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55880</wp:posOffset>
            </wp:positionV>
            <wp:extent cx="137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0" w:lineRule="exact"/>
        <w:rPr>
          <w:sz w:val="24"/>
          <w:szCs w:val="24"/>
          <w:color w:val="auto"/>
        </w:rPr>
      </w:pPr>
    </w:p>
    <w:p>
      <w:pPr>
        <w:ind w:left="4060" w:right="2840" w:hanging="4039"/>
        <w:spacing w:after="0" w:line="338"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720" w:right="2520" w:hanging="3699"/>
        <w:spacing w:after="0" w:line="348" w:lineRule="auto"/>
        <w:tabs>
          <w:tab w:leader="none" w:pos="47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 to ___________</w:t>
      </w:r>
    </w:p>
    <w:p>
      <w:pPr>
        <w:ind w:left="44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Commission file number 333-211719</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ASHLAND INC.</w:t>
      </w:r>
    </w:p>
    <w:p>
      <w:pPr>
        <w:spacing w:after="0" w:line="103" w:lineRule="exact"/>
        <w:rPr>
          <w:sz w:val="24"/>
          <w:szCs w:val="24"/>
          <w:color w:val="auto"/>
        </w:rPr>
      </w:pPr>
    </w:p>
    <w:tbl>
      <w:tblPr>
        <w:tblLayout w:type="fixed"/>
        <w:tblInd w:w="380" w:type="dxa"/>
        <w:tblCellMar>
          <w:top w:w="0" w:type="dxa"/>
          <w:left w:w="0" w:type="dxa"/>
          <w:bottom w:w="0" w:type="dxa"/>
          <w:right w:w="0" w:type="dxa"/>
        </w:tblCellMar>
      </w:tblPr>
      <w:tr>
        <w:trPr>
          <w:trHeight w:val="210"/>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80" w:type="dxa"/>
            <w:vAlign w:val="bottom"/>
          </w:tcPr>
          <w:p>
            <w:pPr>
              <w:jc w:val="center"/>
              <w:ind w:right="1579"/>
              <w:spacing w:after="0"/>
              <w:rPr>
                <w:sz w:val="20"/>
                <w:szCs w:val="20"/>
                <w:color w:val="auto"/>
              </w:rPr>
            </w:pPr>
            <w:r>
              <w:rPr>
                <w:rFonts w:ascii="Times New Roman" w:cs="Times New Roman" w:eastAsia="Times New Roman" w:hAnsi="Times New Roman"/>
                <w:sz w:val="16"/>
                <w:szCs w:val="16"/>
                <w:color w:val="auto"/>
              </w:rPr>
              <w:t>Delaware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81-2587835</w:t>
            </w:r>
          </w:p>
        </w:tc>
        <w:tc>
          <w:tcPr>
            <w:tcW w:w="1820" w:type="dxa"/>
            <w:vAlign w:val="bottom"/>
          </w:tcPr>
          <w:p>
            <w:pPr>
              <w:spacing w:after="0"/>
              <w:rPr>
                <w:sz w:val="18"/>
                <w:szCs w:val="18"/>
                <w:color w:val="auto"/>
              </w:rPr>
            </w:pPr>
          </w:p>
        </w:tc>
      </w:tr>
      <w:tr>
        <w:trPr>
          <w:trHeight w:val="229"/>
        </w:trPr>
        <w:tc>
          <w:tcPr>
            <w:tcW w:w="4500" w:type="dxa"/>
            <w:vAlign w:val="bottom"/>
            <w:gridSpan w:val="3"/>
          </w:tcPr>
          <w:p>
            <w:pPr>
              <w:jc w:val="center"/>
              <w:ind w:left="297"/>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40" w:type="dxa"/>
            <w:vAlign w:val="bottom"/>
            <w:gridSpan w:val="4"/>
          </w:tcPr>
          <w:p>
            <w:pPr>
              <w:jc w:val="center"/>
              <w:ind w:left="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9"/>
        </w:trPr>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160" w:type="dxa"/>
            <w:vAlign w:val="bottom"/>
            <w:gridSpan w:val="3"/>
          </w:tcPr>
          <w:p>
            <w:pPr>
              <w:jc w:val="center"/>
              <w:ind w:right="1599"/>
              <w:spacing w:after="0"/>
              <w:rPr>
                <w:sz w:val="20"/>
                <w:szCs w:val="20"/>
                <w:color w:val="auto"/>
              </w:rPr>
            </w:pPr>
            <w:r>
              <w:rPr>
                <w:rFonts w:ascii="Times New Roman" w:cs="Times New Roman" w:eastAsia="Times New Roman" w:hAnsi="Times New Roman"/>
                <w:sz w:val="16"/>
                <w:szCs w:val="16"/>
                <w:color w:val="auto"/>
              </w:rPr>
              <w:t>8145 Blazer Drive</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03"/>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40" w:type="dxa"/>
            <w:vAlign w:val="bottom"/>
            <w:gridSpan w:val="4"/>
          </w:tcPr>
          <w:p>
            <w:pPr>
              <w:jc w:val="center"/>
              <w:ind w:left="719"/>
              <w:spacing w:after="0"/>
              <w:rPr>
                <w:sz w:val="20"/>
                <w:szCs w:val="20"/>
                <w:color w:val="auto"/>
              </w:rPr>
            </w:pPr>
            <w:r>
              <w:rPr>
                <w:rFonts w:ascii="Times New Roman" w:cs="Times New Roman" w:eastAsia="Times New Roman" w:hAnsi="Times New Roman"/>
                <w:sz w:val="16"/>
                <w:szCs w:val="16"/>
                <w:color w:val="auto"/>
              </w:rPr>
              <w:t>Wilmington, Delaware 19808</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0"/>
        </w:trPr>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4"/>
          </w:tcPr>
          <w:p>
            <w:pPr>
              <w:jc w:val="center"/>
              <w:ind w:left="739"/>
              <w:spacing w:after="0"/>
              <w:rPr>
                <w:sz w:val="20"/>
                <w:szCs w:val="20"/>
                <w:color w:val="auto"/>
              </w:rPr>
            </w:pPr>
            <w:r>
              <w:rPr>
                <w:rFonts w:ascii="Times New Roman" w:cs="Times New Roman" w:eastAsia="Times New Roman" w:hAnsi="Times New Roman"/>
                <w:sz w:val="16"/>
                <w:szCs w:val="16"/>
                <w:color w:val="auto"/>
              </w:rPr>
              <w:t>Telephone Number (302) 995-3000</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7"/>
        </w:trPr>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40" w:type="dxa"/>
            <w:vAlign w:val="bottom"/>
            <w:gridSpan w:val="4"/>
          </w:tcPr>
          <w:p>
            <w:pPr>
              <w:jc w:val="center"/>
              <w:ind w:left="7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8"/>
        </w:trPr>
        <w:tc>
          <w:tcPr>
            <w:tcW w:w="980" w:type="dxa"/>
            <w:vAlign w:val="bottom"/>
          </w:tcPr>
          <w:p>
            <w:pPr>
              <w:spacing w:after="0"/>
              <w:rPr>
                <w:sz w:val="18"/>
                <w:szCs w:val="18"/>
                <w:color w:val="auto"/>
              </w:rPr>
            </w:pPr>
          </w:p>
        </w:tc>
        <w:tc>
          <w:tcPr>
            <w:tcW w:w="3520" w:type="dxa"/>
            <w:vAlign w:val="bottom"/>
            <w:gridSpan w:val="2"/>
          </w:tcPr>
          <w:p>
            <w:pPr>
              <w:jc w:val="center"/>
              <w:ind w:right="2399"/>
              <w:spacing w:after="0"/>
              <w:rPr>
                <w:sz w:val="20"/>
                <w:szCs w:val="20"/>
                <w:color w:val="auto"/>
              </w:rPr>
            </w:pPr>
            <w:r>
              <w:rPr>
                <w:rFonts w:ascii="Times New Roman" w:cs="Times New Roman" w:eastAsia="Times New Roman" w:hAnsi="Times New Roman"/>
                <w:sz w:val="14"/>
                <w:szCs w:val="14"/>
                <w:color w:val="auto"/>
              </w:rPr>
              <w:t>Title of each class</w:t>
            </w:r>
          </w:p>
        </w:tc>
        <w:tc>
          <w:tcPr>
            <w:tcW w:w="280" w:type="dxa"/>
            <w:vAlign w:val="bottom"/>
          </w:tcPr>
          <w:p>
            <w:pPr>
              <w:spacing w:after="0"/>
              <w:rPr>
                <w:sz w:val="18"/>
                <w:szCs w:val="18"/>
                <w:color w:val="auto"/>
              </w:rPr>
            </w:pPr>
          </w:p>
        </w:tc>
        <w:tc>
          <w:tcPr>
            <w:tcW w:w="2880" w:type="dxa"/>
            <w:vAlign w:val="bottom"/>
            <w:gridSpan w:val="2"/>
          </w:tcPr>
          <w:p>
            <w:pPr>
              <w:jc w:val="center"/>
              <w:ind w:right="1859"/>
              <w:spacing w:after="0"/>
              <w:rPr>
                <w:sz w:val="20"/>
                <w:szCs w:val="20"/>
                <w:color w:val="auto"/>
              </w:rPr>
            </w:pPr>
            <w:r>
              <w:rPr>
                <w:rFonts w:ascii="Times New Roman" w:cs="Times New Roman" w:eastAsia="Times New Roman" w:hAnsi="Times New Roman"/>
                <w:sz w:val="14"/>
                <w:szCs w:val="14"/>
                <w:color w:val="auto"/>
              </w:rPr>
              <w:t>Trading Symbol</w:t>
            </w:r>
          </w:p>
        </w:tc>
        <w:tc>
          <w:tcPr>
            <w:tcW w:w="6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r>
      <w:tr>
        <w:trPr>
          <w:trHeight w:val="250"/>
        </w:trPr>
        <w:tc>
          <w:tcPr>
            <w:tcW w:w="4500" w:type="dxa"/>
            <w:vAlign w:val="bottom"/>
            <w:gridSpan w:val="3"/>
          </w:tcPr>
          <w:p>
            <w:pPr>
              <w:jc w:val="center"/>
              <w:ind w:right="1399"/>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80" w:type="dxa"/>
            <w:vAlign w:val="bottom"/>
          </w:tcPr>
          <w:p>
            <w:pPr>
              <w:spacing w:after="0"/>
              <w:rPr>
                <w:sz w:val="21"/>
                <w:szCs w:val="21"/>
                <w:color w:val="auto"/>
              </w:rPr>
            </w:pPr>
          </w:p>
        </w:tc>
        <w:tc>
          <w:tcPr>
            <w:tcW w:w="2880" w:type="dxa"/>
            <w:vAlign w:val="bottom"/>
            <w:gridSpan w:val="2"/>
          </w:tcPr>
          <w:p>
            <w:pPr>
              <w:jc w:val="center"/>
              <w:ind w:right="1839"/>
              <w:spacing w:after="0"/>
              <w:rPr>
                <w:sz w:val="20"/>
                <w:szCs w:val="20"/>
                <w:color w:val="auto"/>
              </w:rPr>
            </w:pPr>
            <w:r>
              <w:rPr>
                <w:rFonts w:ascii="Times New Roman" w:cs="Times New Roman" w:eastAsia="Times New Roman" w:hAnsi="Times New Roman"/>
                <w:sz w:val="18"/>
                <w:szCs w:val="18"/>
                <w:color w:val="auto"/>
                <w:w w:val="99"/>
              </w:rPr>
              <w:t>ASH</w:t>
            </w:r>
          </w:p>
        </w:tc>
        <w:tc>
          <w:tcPr>
            <w:tcW w:w="60" w:type="dxa"/>
            <w:vAlign w:val="bottom"/>
          </w:tcPr>
          <w:p>
            <w:pPr>
              <w:spacing w:after="0"/>
              <w:rPr>
                <w:sz w:val="21"/>
                <w:szCs w:val="21"/>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64"/>
        </w:trPr>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40" w:type="dxa"/>
            <w:vAlign w:val="bottom"/>
            <w:gridSpan w:val="4"/>
          </w:tcPr>
          <w:p>
            <w:pPr>
              <w:jc w:val="center"/>
              <w:ind w:left="71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67"/>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0" w:type="dxa"/>
            <w:vAlign w:val="bottom"/>
          </w:tcPr>
          <w:p>
            <w:pPr>
              <w:spacing w:after="0"/>
              <w:rPr>
                <w:sz w:val="23"/>
                <w:szCs w:val="23"/>
                <w:color w:val="auto"/>
              </w:rPr>
            </w:pPr>
          </w:p>
        </w:tc>
        <w:tc>
          <w:tcPr>
            <w:tcW w:w="720" w:type="dxa"/>
            <w:vAlign w:val="bottom"/>
          </w:tcPr>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2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72"/>
        </w:trPr>
        <w:tc>
          <w:tcPr>
            <w:tcW w:w="8440" w:type="dxa"/>
            <w:vAlign w:val="bottom"/>
            <w:gridSpan w:val="8"/>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18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0" w:lineRule="exact"/>
        <w:rPr>
          <w:sz w:val="24"/>
          <w:szCs w:val="24"/>
          <w:color w:val="auto"/>
        </w:rPr>
      </w:pPr>
    </w:p>
    <w:p>
      <w:pPr>
        <w:jc w:val="both"/>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374"/>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97" w:right="339" w:bottom="1440" w:gutter="0" w:footer="0" w:header="0"/>
        </w:sectPr>
      </w:pPr>
    </w:p>
    <w:p>
      <w:pPr>
        <w:spacing w:after="0" w:line="2" w:lineRule="exact"/>
        <w:rPr>
          <w:sz w:val="24"/>
          <w:szCs w:val="24"/>
          <w:color w:val="auto"/>
        </w:r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3">
            <w:col w:w="7040" w:space="720"/>
            <w:col w:w="1120" w:space="80"/>
            <w:col w:w="2280"/>
          </w:cols>
          <w:pgMar w:left="320" w:top="1397" w:right="339" w:bottom="1440" w:gutter="0" w:footer="0" w:header="0"/>
          <w:type w:val="continuous"/>
        </w:sectPr>
      </w:pPr>
    </w:p>
    <w:p>
      <w:pPr>
        <w:spacing w:after="0" w:line="36"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4">
            <w:col w:w="3420" w:space="80"/>
            <w:col w:w="3160" w:space="720"/>
            <w:col w:w="1860" w:space="80"/>
            <w:col w:w="1920"/>
          </w:cols>
          <w:pgMar w:left="320" w:top="1397" w:right="339" w:bottom="1440" w:gutter="0" w:footer="0" w:header="0"/>
          <w:type w:val="continuous"/>
        </w:sectPr>
      </w:pPr>
    </w:p>
    <w:p>
      <w:pPr>
        <w:spacing w:after="0" w:line="3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3620" w:space="80"/>
            <w:col w:w="7540"/>
          </w:cols>
          <w:pgMar w:left="320" w:top="1397" w:right="339" w:bottom="1440" w:gutter="0" w:footer="0" w:header="0"/>
          <w:type w:val="continuous"/>
        </w:sect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37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attestation to its management’s assessment of the effectiveness of its internal control over financial reporting under section 404(b) of the Sarbanes-Oxley Act (15 U.S.C 7262 (b))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4" w:lineRule="exact"/>
        <w:rPr>
          <w:sz w:val="24"/>
          <w:szCs w:val="24"/>
          <w:color w:val="auto"/>
        </w:rPr>
      </w:pPr>
    </w:p>
    <w:p>
      <w:pPr>
        <w:jc w:val="both"/>
        <w:ind w:right="2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380"/>
        <w:spacing w:after="0" w:line="184" w:lineRule="exact"/>
        <w:tabs>
          <w:tab w:leader="none" w:pos="7260" w:val="left"/>
          <w:tab w:leader="none" w:pos="78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At March 31, 2024, the aggregate market value of voting and non-voting common equity held by non-affiliates of the Registrant was approximately $4.9 billion. In determining this amount, the Registrant has assumed that its directors and executive officers are affiliates. Such assumption shall not be deemed conclusive for any other purpose.</w:t>
      </w:r>
    </w:p>
    <w:p>
      <w:pPr>
        <w:spacing w:after="0" w:line="1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At October 31, 2024, there were 47,109,326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5" w:lineRule="exact"/>
        <w:rPr>
          <w:sz w:val="20"/>
          <w:szCs w:val="20"/>
          <w:color w:val="auto"/>
        </w:rPr>
      </w:pPr>
    </w:p>
    <w:p>
      <w:pPr>
        <w:ind w:firstLine="374"/>
        <w:spacing w:after="0" w:line="298" w:lineRule="auto"/>
        <w:rPr>
          <w:sz w:val="20"/>
          <w:szCs w:val="20"/>
          <w:color w:val="auto"/>
        </w:rPr>
      </w:pPr>
      <w:r>
        <w:rPr>
          <w:rFonts w:ascii="Times New Roman" w:cs="Times New Roman" w:eastAsia="Times New Roman" w:hAnsi="Times New Roman"/>
          <w:sz w:val="16"/>
          <w:szCs w:val="16"/>
          <w:color w:val="auto"/>
        </w:rPr>
        <w:t>Portions of Registrant’s Proxy Statement (Proxy Statement) for its 2025 Annual Meeting of Stockholders are incorporated by reference into Part III of this Annual Report on Form 10-K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751840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94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6"/>
              </w:rPr>
              <w:t>Business</w:t>
            </w:r>
          </w:p>
        </w:tc>
        <w:tc>
          <w:tcPr>
            <w:tcW w:w="8100" w:type="dxa"/>
            <w:vAlign w:val="bottom"/>
            <w:gridSpan w:val="2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General</w:t>
            </w:r>
          </w:p>
        </w:tc>
        <w:tc>
          <w:tcPr>
            <w:tcW w:w="784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Life Sciences</w:t>
            </w:r>
          </w:p>
        </w:tc>
        <w:tc>
          <w:tcPr>
            <w:tcW w:w="744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Personal Care</w:t>
            </w:r>
          </w:p>
        </w:tc>
        <w:tc>
          <w:tcPr>
            <w:tcW w:w="73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Specialty Additives</w:t>
            </w:r>
          </w:p>
        </w:tc>
        <w:tc>
          <w:tcPr>
            <w:tcW w:w="700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Intermediates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Miscellaneous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Cybersecurity</w:t>
            </w:r>
          </w:p>
        </w:tc>
        <w:tc>
          <w:tcPr>
            <w:tcW w:w="6700" w:type="dxa"/>
            <w:vAlign w:val="bottom"/>
            <w:gridSpan w:val="1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7740" w:type="dxa"/>
            <w:vAlign w:val="bottom"/>
            <w:gridSpan w:val="2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8"/>
              </w:rPr>
              <w:t>Legal Proceedings</w:t>
            </w:r>
          </w:p>
        </w:tc>
        <w:tc>
          <w:tcPr>
            <w:tcW w:w="73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6.</w:t>
            </w:r>
          </w:p>
        </w:tc>
        <w:tc>
          <w:tcPr>
            <w:tcW w:w="87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874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w:t>
            </w: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38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36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44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22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0000EE"/>
            </w:tcBorders>
            <w:gridSpan w:val="4"/>
          </w:tcPr>
          <w:p>
            <w:pPr>
              <w:spacing w:after="0"/>
              <w:rPr>
                <w:sz w:val="17"/>
                <w:szCs w:val="17"/>
                <w:color w:val="auto"/>
              </w:rPr>
            </w:pPr>
          </w:p>
        </w:tc>
        <w:tc>
          <w:tcPr>
            <w:tcW w:w="698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464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Executive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33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558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7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Inc. is a Delaware corporation, with its headquarters and principal executive offices at 8145 Blazer Drive, Wilmington, Delaware 19808. Our common stock is listed on the New York Stock Exchange (NYSE) under the ticker symbol “ASH”. The terms “Ashland” and the “Company” as used herein include Ashland Inc., its predecessors, and its consolidated subsidiaries, except where the context indicates otherwise.</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is a global specialty additives and materials company with a conscious and proactive mindset for sustainability. The Company serves customers in a wide range of consumer and industrial markets including, architectural coatings, construction, energy, food and beverage, personal care and pharmaceutical. With approximately 3,200 employees worldwide, Ashland serves customers in more than 100 countries.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Ashland’s reportable segments include: Life Sciences; Personal Care; Specialty Additives; and Intermediates. Unallocated and Other includes corporate governance activities and certain legacy matters.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and industrial manufacturers. The nutraceuticals business was sold in August 2024.</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72"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Available Information - Ashland’s Internet address is http://www.ashland.com. On this website, Ashland makes available, free of charge, its annual reports on Form 10-K, quarterly reports on Form 10-Q, current reports on Form 8-K and any amendments to those reports, as well as any beneficial ownership reports of officers and directors filed on Forms 3, 4 and 5. All such reports are available as soon as reasonably practicable after they are electronically filed with, or electronically furnished to, the Securities and Exchange Commission ("SEC"). Ashland also makes available, free of charge on its website, its Corporate Governance Guidelines, Board Committee Charters, Director Independence Standards and Global Code of Conduct that applies to Ashland’s directors, officers and employees. These documents are also available in print to any stockholder who requests them. Information contained on Ashland’s website referenced here or elsewhere in this Annual Report is not part of this Annual Report on Form 10-K and is not incorporated by reference in this document. The SEC maintains an Internet site (http://www.sec.gov) that contains reports, proxy and information statements and other information regarding issuers that file electronically with the SEC.</w:t>
      </w:r>
    </w:p>
    <w:p>
      <w:pPr>
        <w:spacing w:after="0" w:line="29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LIFE SCIENCES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Life Sciences is a leading supplier of excipients and tablet coating systems to the pharmaceutical and nutrition industries. Excipients include a comprehensive range of polymers for use as tablet binders, super disintegrants, sustained-release agents and drug solubilizers, as well as a variety of coating formulations for immediate, delayed, and sustained release applications. Core products include cellulosics and vinyl pyrrolidone polymers which are used primarily in oral solid dosage drug formulations.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Life Sciences operates throughout the Americas, Europe and Asia Pacific. It has 14 manufacturing and lab facilities in nine countries which serve its various end markets. It has manufacturing facilities and labs in Wilmington, Delaware; Calvert City, Kentucky; Columbus, Ohio; Fiskeville, Rhode Island; and Texas City, Texas within the United States; Cabreuva and Sao Paolo, Brazil; Shanghai, China; Dusseldorf, Germany; Hyderabad, India; Mullingar, Ireland; Mexico City, Mexico; Bangkok, Thailand; and Istanbul, Turkey.</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Life Science markets and distributes its products in the Americas, Europe, the Middle East, Africa and Asia Pacific.</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2024, the following Life Sciences product categories were 10% or greater of Ashland’s total consolidated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760" w:type="dxa"/>
            <w:vAlign w:val="bottom"/>
            <w:tcBorders>
              <w:top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 of Life Sciences sales</w:t>
            </w:r>
          </w:p>
        </w:tc>
        <w:tc>
          <w:tcPr>
            <w:tcW w:w="4040" w:type="dxa"/>
            <w:vAlign w:val="bottom"/>
            <w:tcBorders>
              <w:top w:val="single" w:sz="8" w:color="auto"/>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1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Cellulosics</w:t>
            </w:r>
          </w:p>
        </w:tc>
        <w:tc>
          <w:tcPr>
            <w:tcW w:w="3760" w:type="dxa"/>
            <w:vAlign w:val="bottom"/>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6"/>
              </w:rPr>
              <w:t>38%</w:t>
            </w:r>
          </w:p>
        </w:tc>
        <w:tc>
          <w:tcPr>
            <w:tcW w:w="4040" w:type="dxa"/>
            <w:vAlign w:val="bottom"/>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6"/>
              </w:rPr>
              <w:t>37%</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Polyvinylpyrrolidones (PVP)</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38%</w:t>
            </w:r>
          </w:p>
        </w:tc>
        <w:tc>
          <w:tcPr>
            <w:tcW w:w="4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23%</w:t>
            </w:r>
          </w:p>
        </w:tc>
      </w:tr>
    </w:tbl>
    <w:p>
      <w:pPr>
        <w:spacing w:after="0" w:line="28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PERSONAL CARE</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Personal Care portfolio of oral care products delivers active ingredients in toothpaste and mouthwashes; provides bioadhesive functionality for dentures; delivers flavor, texture and other functional properties; and provides product binding to ensure form and function throughout product lifecycle.</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Personal Care portfolio of hair care products includes advanced styling polymers, fixatives, conditioning polymers, emulsifiers, preservatives, rheology modifiers and biofunctional actives.</w:t>
      </w:r>
    </w:p>
    <w:p>
      <w:pPr>
        <w:spacing w:after="0" w:line="54"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The Personal Care portfolio of ingredients and solutions for skin care, sun care, and cosmetics focuses on natural and sustainable solutions. Ashland’s Personal Care business includes biofunctional actives, preservatives, and specialty polymers to provide functionality such as water resistance and rheology. Ashland’s natural ingredients include a wide range of cellulose, guar, and cassia derivatives; unique active ingredients derived from botanical sources using exclusive Ashland technologies such as Zeta Fraction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PSR technology; emollients based on natural chemistries; encapsulation technology derived from alginates; and efficacious preservative blends inspired by nature.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Personal Care portfolio of products and technologies is used in many types of cleaning and fragrance applications, including fabric care, home care and dishwashing. Personal Care products are used in a variety of applications for viscosity enhancement, particle suspension, rheology modification, stabilization and fragrance enhancement.</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Personal Care operates throughout the Americas, Europe and Asia Pacific. It has 14 manufacturing and lab facilities in nine countries which serve its various end markets and participates in one joint venture. It has manufacturing facilities and labs in Freetown, Massachusetts; Chatham, New Jersey; Ossining, New York; Merry Hill, North Carolina; Kenedy, Texas; and Menomonee Falls, Wisconsin within the United States; Sao Paulo, Brazil; Shanghai, China; Sophia Antipolis, France; Hamburg, Germany; Mumbai, India; Mexico City, Mexico; Zwijndrecht, Netherlands and Poole, United Kingdom.</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Personal Care markets and distributes its products in the Americas, Europe, the Middle East, Africa and Asia Pacific.</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2024, the following Personal Care product categories were 10% or greater of Ashland’s total consolidated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82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 of Personal Care sales</w:t>
            </w:r>
          </w:p>
        </w:tc>
        <w:tc>
          <w:tcPr>
            <w:tcW w:w="4000" w:type="dxa"/>
            <w:vAlign w:val="bottom"/>
            <w:tcBorders>
              <w:top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1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Cellulosics</w:t>
            </w:r>
          </w:p>
        </w:tc>
        <w:tc>
          <w:tcPr>
            <w:tcW w:w="3820" w:type="dxa"/>
            <w:vAlign w:val="bottom"/>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6"/>
              </w:rPr>
              <w:t>18%</w:t>
            </w:r>
          </w:p>
        </w:tc>
        <w:tc>
          <w:tcPr>
            <w:tcW w:w="4000" w:type="dxa"/>
            <w:vAlign w:val="bottom"/>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6"/>
              </w:rPr>
              <w:t>37%</w:t>
            </w: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Polyvinylpyrrolidones (PVP)</w:t>
            </w:r>
          </w:p>
        </w:tc>
        <w:tc>
          <w:tcPr>
            <w:tcW w:w="38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22%</w:t>
            </w:r>
          </w:p>
        </w:tc>
        <w:tc>
          <w:tcPr>
            <w:tcW w:w="4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23%</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SPECIALTY ADDITIVES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Specialty Additives offers industry-leading products, technologies and resources for solving formulation and product-performance challenges. Using synthetic and semisynthetic polymers derived from polyester and polyurethane-based adhesives, and plant and seed extract, Specialty Additives offers comprehensive and innovative solutions for industrial applications.</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Key customers include manufacturers of paint, coatings and construction materials; packaging and converting companies; and oilfield service companies.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areas of expertise include organic and synthetic chemistry, colloid science, rheology, structural analysis and microbiology.</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solutions provide an array of properties, including thickening and rheology control, binding power, film formation, conditioning and deposition, colloid stabilization and suspension.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Specialty Additives is composed of various end use markets. Many of the products of the end markets are produced in shared manufacturing facilities, to better manage capacity and achieve desired returns.</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Specialty Additives provides products and services to over 30 industries. Ashland offers a broad spectrum of organo- and water-soluble 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Specialty Additives function as performance additives that deliver high levels of end-user value in formulated products. In other areas, such as plastics and textiles, Specialty Additives’ products function as a processing aid, improving the quality of end products and reducing manufacturing costs.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Specialty Additives is a recognized leader in rheology solutions for waterborne architectural paint and coatings. Products include hydroxyethylcellulose ("HEC"), which provides thickening and application properties for interior and exterior paints, and nonionic synthetic associative thickeners ("NSATs"), which are APEO-free liquid synthetics for high-performance paint and industrial coatings. The Specialty Additives market complements its rheology offering with a broad portfolio of performance foam-control agents, surfactants and wetting agents, dispersants and pH neutralizers.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Specialty Additives is a major producer and supplier of cellulose ethers and companion products for the construction industry. These products control properties such as water retention, open time, workability, adhesion, stabilization, pumping, sag resistance, rheology, strength, appearance and performance in dry-mortar formulations.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Specialty Additives is a leading global manufacturer of synthetic- and cellulosic-based products for drilling fluids, oil-well cement slurries, completion and workover fluids, fracturing fluids and production chemicals. Specialty Additives offers the oil and gas industry solutions for drilling, stimulation, completion, cementing and production applications.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Specialty Additives operates throughout the Americas, Europe and Asia Pacific. It has 11 manufacturing and lab facilities in nine countries which serve its various end markets. Specialty Additives has manufacturing facilities and labs in Parlin, New Jersey; and Hopewell, Virginia within the United States and Doel-Beveren, Belgium; Nanjing and Shanghai, China; Alizay, France; Dusseldorf, Germany; Mumbai, India; Zwijndrecht, the Netherlands; Singapore, Singapore; and Newton Aycliffe, United Kingdom.</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Specialty Additives markets and distributes its products in the Americas, Europe, the Middle East, Africa and Asia Pacific.</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2024, the following Specialty Additives products were 10% or greater of Ashland’s total consolidated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40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 of Specialty Additives sales</w:t>
            </w:r>
          </w:p>
        </w:tc>
        <w:tc>
          <w:tcPr>
            <w:tcW w:w="392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 of Ashland total consolidated sales</w:t>
            </w:r>
          </w:p>
        </w:tc>
      </w:tr>
      <w:tr>
        <w:trPr>
          <w:trHeight w:val="2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Cellulosics</w:t>
            </w:r>
          </w:p>
        </w:tc>
        <w:tc>
          <w:tcPr>
            <w:tcW w:w="400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65%</w:t>
            </w:r>
          </w:p>
        </w:tc>
        <w:tc>
          <w:tcPr>
            <w:tcW w:w="392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37%</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Polyvinylpyrrolidones (PVP)</w:t>
            </w:r>
          </w:p>
        </w:tc>
        <w:tc>
          <w:tcPr>
            <w:tcW w:w="4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7%</w:t>
            </w:r>
          </w:p>
        </w:tc>
        <w:tc>
          <w:tcPr>
            <w:tcW w:w="3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23%</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INTERMEDIATES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a leading producer of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Key customers include Ashland’s Life Sciences, Personal Care and Specialty Additives segments, general industrial manufacturers, plastics and polymers producers, pharmaceutical companies, agricultural firms and producers of electronic components and systems.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has a manufacturing facility in Lima, Ohio, while some derivatives are produced at Life Sciences facilities in Texas City, Texas and Calvert City, Kentucky. Intermediates markets and distributes its products in the Americas, Europe, and Asia Pacific.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maintains a company-wide environmental policy overseen by the Environmental, Health, Safety and Quality Committee of Ashland’s Board of Directors (the "Board").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At September 30, 2024, Ashland’s reserves for environmental remediation and related environmental litigation amounted to $221 million, reflecting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$485 million. The largest reserve for any site is 21% of the remediation reserve. Ashland regularly adjusts its reserves as environmental remediation continues. Environmental remediation expense, net of insurance receivables, amounted to $56 million in 2024 compared to $59 million in 2023 and $66 million in 2022.</w:t>
      </w:r>
    </w:p>
    <w:p>
      <w:pPr>
        <w:spacing w:after="0" w:line="7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Control, Registration and Inventory </w:t>
      </w:r>
      <w:r>
        <w:rPr>
          <w:rFonts w:ascii="Times New Roman" w:cs="Times New Roman" w:eastAsia="Times New Roman" w:hAnsi="Times New Roman"/>
          <w:sz w:val="18"/>
          <w:szCs w:val="18"/>
          <w:color w:val="auto"/>
        </w:rPr>
        <w:t>- Many of Ashland’s products and operations are subject to chemical control laws of the countries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are located. These laws include regulation of chemical substances and inventories under the Toxic Substances Control Act ("TSCA") in the United States and the Registration, Evaluation and Authorization of Chemicals ("REACH") regulation in Europe as well as new cosmetic ingredients filings in China under the Cosmetics Supervision and Administration Regulation ("CSAR"). Under TSCA, REACH, and CSAR additional testing requirements, documentation, risk assessments and registrations are occurring and will continue to occur and may adversely affect Ashland’s costs of products produced in or imported into the European Union.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The Green Deal in the EU, specifically Chemicals Strategy for Sustainability, will require additional information to be developed on hazard communication and risk assessment of both chemical substances and finished products.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8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Remediation </w:t>
      </w:r>
      <w:r>
        <w:rPr>
          <w:rFonts w:ascii="Times New Roman" w:cs="Times New Roman" w:eastAsia="Times New Roman" w:hAnsi="Times New Roman"/>
          <w:sz w:val="18"/>
          <w:szCs w:val="18"/>
          <w:color w:val="auto"/>
        </w:rPr>
        <w:t>- Ashland currently operates, and in the past has operated, various facilities at which, during the normal course of business, releases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which can also arise related to contaminated sites. Laws in other jurisdictions in which Ashland operates require that contamination caused by such releases at these sites be assessed and, if necessary, remediated to meet applicable standards.</w:t>
      </w:r>
    </w:p>
    <w:p>
      <w:pPr>
        <w:spacing w:after="0" w:line="7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 In the United States, the Clean Air Act ("CAA") imposes stringent limits on facility air emissions, establishes a federally mandated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Ashland’s businesses maintain numerous permits and emission control devices pursuant to these clean air laws.</w:t>
      </w:r>
    </w:p>
    <w:p>
      <w:pPr>
        <w:spacing w:after="0" w:line="7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United States Environmental Protection Agency ("USEPA") has increased its frequency in reviewing the NAAQS. The USEPA has stringent standards for particulate matter, ozone and sulfur dioxide. Throughout 2022, 2023 and 2024, state and local agencies continued to implement options for meeting the newest standards. Particulate matter strategies 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have on Ashland’s operations or products. Ashland will continue to monitor and evaluate these standards to meet these and all air quality requirements.</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Solid Waste </w:t>
      </w:r>
      <w:r>
        <w:rPr>
          <w:rFonts w:ascii="Times New Roman" w:cs="Times New Roman" w:eastAsia="Times New Roman" w:hAnsi="Times New Roman"/>
          <w:sz w:val="18"/>
          <w:szCs w:val="18"/>
          <w:color w:val="auto"/>
        </w:rPr>
        <w:t>- Ashland’s businesses are subject to various laws relating to and establishing standards for the management of hazardous and solid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74"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Water </w:t>
      </w:r>
      <w:r>
        <w:rPr>
          <w:rFonts w:ascii="Times New Roman" w:cs="Times New Roman" w:eastAsia="Times New Roman" w:hAnsi="Times New Roman"/>
          <w:sz w:val="18"/>
          <w:szCs w:val="18"/>
          <w:color w:val="auto"/>
        </w:rPr>
        <w:t>- Ashland’s businesses maintain numerous discharge permits. In the United States, such permits may be required by the National Pollutant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 Elimination System of the Clean Water Act and similar state programs. Other countries have similar laws and regulations requiring permits and controls relating to water discharge.</w:t>
      </w:r>
    </w:p>
    <w:p>
      <w:pPr>
        <w:spacing w:after="0" w:line="6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Climate Change and Related Regulatory Developments </w:t>
      </w:r>
      <w:r>
        <w:rPr>
          <w:rFonts w:ascii="Times New Roman" w:cs="Times New Roman" w:eastAsia="Times New Roman" w:hAnsi="Times New Roman"/>
          <w:sz w:val="18"/>
          <w:szCs w:val="18"/>
          <w:color w:val="auto"/>
        </w:rPr>
        <w:t>- Ashland has been collecting energy use data and calculating greenhouse gas ("GHG")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for many years. Ashland evaluates the physical and transitional risks and opportunities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North American, European and other regional regulatory developments (most notably the pending SEC and approved Corporate Sustainability Reporting Directive ("CSRD") climate disclosure regulations) are monitored continuously for material impacts to Ashland’s operations, and some facilities and subsidiaries are subject to promulgated rules. Proposed and pending climate legislation is monitored for impact and Ashland is taking steps to strengthen climate reporting to meet anticipated disclosure requirements. Other requirements requiring additional product level climate disclosures or supply chain transparency are also approved and in draft or finalized status and could impact the requirements for disclosure and restrictions on sourcing of raw materials. Regulations such as the PFAS restrictions and Microplastics ban in the EU have potential business interruption impacts where they limit the type and availability of raw materials that may be used.</w:t>
      </w:r>
    </w:p>
    <w:p>
      <w:pPr>
        <w:spacing w:after="0" w:line="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competes in the highly fragmented additives and specialty ingredients industries. The participants in these industries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due to industry consolidation, pricing pressures and competing technologies. To improve its competitive position as Ashland narrows its focus, the Company is building and leveraging the Ashland corporate brand as a differentiator to create value and better communicate the capabilities, promise and scale of the Company, making it easier to introduce new product lines and applications.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a broad intellectual property portfolio which is an important component of its business. Ashland relies on patents, trade secrets, formulae and know-how to protect and differentiate its products and technologies. In addition, the reportable segments own valuable trademarks which identify and differentiate its products from its competitors. Ashland also uses licensed intellectual property rights from third-parties.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Energy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purchases its raw materials from multiple sources of supply in the United States and other countries. Raw material supplies were available in quantities sufficient to meet demand in fiscal 2024 and 2023, which was a significant improvement over fiscal 2022 when raw and packaging materials were globally constrained. Similarly, energy costs, which are a significant component of production costs, stabilized in fiscal 2024 and 2023 after significant volatility in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program of research and development is focused on defining the needs of the marketplace and framing those needs into technology platforms. Ashland has the capability to develop and deliver the intellectual property required to grow and protect those platforms. Ashland is focused on developing new chemistries, market-changing technologies and customer driven solutions at numerous technology centers located in the Americas, Europe and the Asia Pacific regions.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Ashland’s business may vary due to seasonality. Ashland’s business units typically experience stronger demand during warmer weather months.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 </w:t>
      </w:r>
      <w:r>
        <w:rPr>
          <w:rFonts w:ascii="Times New Roman" w:cs="Times New Roman" w:eastAsia="Times New Roman" w:hAnsi="Times New Roman"/>
          <w:sz w:val="18"/>
          <w:szCs w:val="18"/>
          <w:color w:val="auto"/>
        </w:rPr>
        <w:t>Cultivating a safety culture is intentional at Ashland and is best shown by its commitment to a Zero Incident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("ZIC"). ZIC begins with the vision, values, beliefs, and actions of Ashland’s leaders demonstrating that zero incidents is possible. It means developing processes where compliance is the minimum expectation, allowing employees to proactively manage safety above compliance on the journey to zero.</w:t>
      </w:r>
    </w:p>
    <w:p>
      <w:pPr>
        <w:spacing w:after="0" w:line="67"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As an indication of its commitment to Responsible Care, Ashland obtained a third-party certification to RC14001, which includes the internationally recognized ISO 14001 certification and adds additional health, safety, security, and chemical industry requirements. Currently, Ashland has 25 sites participating on a group RC14001 certification, including 13 international sites. Also, as part of its commitment to health and safety, 18 of the Company's sites have obtained an additional ISO 45001 certification, an international health and safety management system.</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part of ZIC, the Company strives every day to achieve zero incidents. Ashland continues to make good progress on its journey. For the year ended September 30, 2024, the Company had a Total Preventable Recordable Rate ("TPRR") of 0.46 compared to 0.39 for the year ended September 30, 2023.</w:t>
      </w:r>
    </w:p>
    <w:p>
      <w:pPr>
        <w:spacing w:after="0" w:line="5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has implemented several tools for communicating lessons learned from injuries, process safety incidents, and environmental releases. Immediately following an event, flash reports are developed and shared to communicate key lessons learned across the Company with a review call within 48 hours with Ashland’s Environmental, Health and Safety (“EHS”) leadership team and Operations Leadership. Additionally, incidents and root causes/corrective and preventive actions are reviewed monthly with Company leadership and EHS leaders globally to discuss areas for improvement and highlight the importance of identifying and addressing management system errors.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implemented the “Good Catch” Program aimed at identifying underlying unsafe conditions or behaviors that could lead to an undesirable outcome. Employees are encouraged to report good catches that fall into one of three categories – substandard conditions, near misses, and suggestions. These are tracked with the goal of continuing to increase overall reporting of identified good catches year to year.</w:t>
      </w:r>
    </w:p>
    <w:p>
      <w:pPr>
        <w:spacing w:after="0" w:line="66"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Environmental - </w:t>
      </w:r>
      <w:r>
        <w:rPr>
          <w:rFonts w:ascii="Times New Roman" w:cs="Times New Roman" w:eastAsia="Times New Roman" w:hAnsi="Times New Roman"/>
          <w:sz w:val="18"/>
          <w:szCs w:val="18"/>
          <w:color w:val="auto"/>
        </w:rPr>
        <w:t>Ashland has a conscious and proactive mindset for sustainability and has established a renewable annual trust for ongoing and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and related litigation cash outlays. The initiative follows Ashland's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announcement in February 2021 to align its operations with the ambitious aim of the Paris Climate Accord to limit global temperature rise to 1.5°C above preindustrial levels. At that time, Ashland also became a signatory to the United Nations Global Compact and is making the United Nations principles part of the Company's business strategy, culture, and day-to-day operations. Ashland has targets to reduce its environmental footprint (including energy usage, GHG emissions, and hazardous waste generation). These targets and progress towards meeting them can be found on: https://www.ashland.com/esg/esg-overview, which is not incorporated by reference into the Annual Report on Form 10-K.</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is committed to ensuring compliance with applicable environmental, health, safety and security laws, regulations, technical specifications, and internal standards, while adhering to high ethical standards. We are committed to continuously improving our processes and to providing products and services that throughout their life cycle involve minimum risk to people and the environment, while best meeting the needs of our customers. We strive to eliminate or reduce emissions, discharges, and wastes from our operations and to promote energy efficiency and resource conservation throughout the value chain.</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also maintains an open dialogue with our employees and communities about environmental, health, safety, security, and product stewardship issues. We also work with governments, policy makers, advocacy groups and value chain partners to develop and promote laws, regulations and practices that improve human health and the environment.</w:t>
      </w:r>
    </w:p>
    <w:p>
      <w:pPr>
        <w:spacing w:after="0" w:line="6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Human Capital Management - </w:t>
      </w:r>
      <w:r>
        <w:rPr>
          <w:rFonts w:ascii="Times New Roman" w:cs="Times New Roman" w:eastAsia="Times New Roman" w:hAnsi="Times New Roman"/>
          <w:sz w:val="18"/>
          <w:szCs w:val="18"/>
          <w:color w:val="auto"/>
        </w:rPr>
        <w:t>Ashland is committed to continuously evaluating and strengthening the growth-minded and innovative culture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developing exceptional global talent, supporting employees’ physical, emotional, and financial well-being, and recognizing and rewarding performance. To achieve the highest return, Ashland is building an inclusive and high-integrity organization where everyone belongs, feels inspired to excel, and does the right thing.</w:t>
      </w:r>
    </w:p>
    <w:p>
      <w:pPr>
        <w:spacing w:after="0" w:line="7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is committed to respecting the human and economic rights of others and does not tolerate the use of child or forced labor, slavery, or human trafficking in any of its facilities or operations. Ashland does not tolerate the physical punishment, abuse, involuntary servitude or exploitation of any worker and expects our suppliers and contractors with whom we do business to uphold the same standards and will discontinue the business relationship with any individual or company that does not follow the same standards.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builds a culture of wellness by empowering our employees, and their families, to make healthy decisions that lead to successful outcomes in and outside of work. The four components of Ashland’s global wellbeing vision include health, work-life balance, physical fitness, and financial stability. We achieve this vision by offering diverse and inclusive wellness programs and solutions to our employees that encourage and advance healthy lifestyles within the communities we are part of and the planet we share.</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2024, Ashland had approximately 3,200 employees who thrive on developing practical, innovative, and simple solutions to complex problems for customers in more than 100 countries. The employees’ global demographics consist of approximately 68% male employees and approximately 32% female employees, and in the U.S., approximately 21% of its employees self-identify as ethnically diverse.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80"/>
        <w:spacing w:after="0"/>
        <w:rPr>
          <w:sz w:val="20"/>
          <w:szCs w:val="20"/>
          <w:color w:val="auto"/>
        </w:rPr>
      </w:pPr>
      <w:r>
        <w:rPr>
          <w:rFonts w:ascii="Times New Roman" w:cs="Times New Roman" w:eastAsia="Times New Roman" w:hAnsi="Times New Roman"/>
          <w:sz w:val="18"/>
          <w:szCs w:val="18"/>
          <w:color w:val="auto"/>
        </w:rPr>
        <w:t>Ashland's global footprint is geographically 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85725</wp:posOffset>
            </wp:positionV>
            <wp:extent cx="5580380" cy="3137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038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Competitive Pay and Benefits </w:t>
      </w:r>
      <w:r>
        <w:rPr>
          <w:rFonts w:ascii="Times New Roman" w:cs="Times New Roman" w:eastAsia="Times New Roman" w:hAnsi="Times New Roman"/>
          <w:sz w:val="18"/>
          <w:szCs w:val="18"/>
          <w:color w:val="auto"/>
        </w:rPr>
        <w:t>- Ashland is committed to paying its employees in a fair and equitable manner, regardless of race or gender,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global total rewards tools to promote equitable remuneration. The Company provides a total compensation package that is designed to be competitive with the markets in which it competes for talent. Ashland believes employees should be compensated equitably based on performance, skills, and experience.</w:t>
      </w:r>
    </w:p>
    <w:p>
      <w:pPr>
        <w:spacing w:after="0" w:line="7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reviews pay equity annually in conjunction with its annual performance review, merit, bonus and promotion processes. The Company annually completes an in-depth analysis of its pay equity globally using a number of factors to determine if a pay gap exists based on any protected factors (gender, age, race, veteran status). Overall findings continue to be encouraging, identifying only a few employees annually that had a disparity in pay requiring further analysis and corrective action. Ashland reviews each process annually to ensure that its policies, procedures, and training continue to provide pay equity within the Company.</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June 2024, Ashland achieved certification as a Global Living Wage Employer by the Fair Wage Network following a rigorous and thorough process in which compensation data for all employees was reviewed on an anonymous basis and steps were taken to remediate any pay gaps. A living wage is one that covers one’s basic needs such as housing, food, water, healthcare, transportation, clothing and education for the employee and their dependents. A living wage goes beyond simply fulfilling the local statutory minimum wage requirement.</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compensation programs are globally aligned, and, where possible, its total rewards plans include base salary, short and long-term incentives, benefits, financial, and special recognition programs. The Company routinely reviews its total rewards practices in the markets in which it operates to ensure its plans allow for the recruitment and retention of the talent it needs to be successful.</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also offers a competitive global benefits program to support employees through all life stages. The following benefit plans are available to employees depending on local markets in which the Company operates that include plan specific features such as on-site and on-demand resources:</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benefits including medical, prescription, dental and/or vision</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Wellness initiatives:</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oGlobal EAP (employee assistance program)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102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Flu vaccination resources</w:t>
      </w:r>
    </w:p>
    <w:p>
      <w:pPr>
        <w:spacing w:after="0" w:line="2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benefits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accident coverage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coverage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travel accident</w:t>
      </w:r>
    </w:p>
    <w:p>
      <w:pPr>
        <w:spacing w:after="0" w:line="9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Inclusion and Diversity - </w:t>
      </w:r>
      <w:r>
        <w:rPr>
          <w:rFonts w:ascii="Times New Roman" w:cs="Times New Roman" w:eastAsia="Times New Roman" w:hAnsi="Times New Roman"/>
          <w:sz w:val="18"/>
          <w:szCs w:val="18"/>
          <w:color w:val="auto"/>
        </w:rPr>
        <w:t>In 2024, Ashland progressed its global inclusion and diversity strategy focused on belonging, accountability, community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recruitment, and internal mobility. These priorities serve as the basis of the global and local objectives and initiatives that advance Ashland's collective progress towards equity. The Company and its leadership team are committed to creating a collaborative environment that leverages the talents of a diverse global workforce to drive sustainable growth and innovation that creates value for its shareholders, customers, employees, and the communities in which it operates.</w:t>
      </w:r>
    </w:p>
    <w:p>
      <w:pPr>
        <w:spacing w:after="0" w:line="7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commitment to inclusion and diversity starts at the top with its Board and its executive leadership. The Board is comprised of individuals with diverse experience and credentials, selected for their business acumen and ability to challenge and add value to management. These directors have held significant leadership positions and bring a depth of experience across a wide variety of industries, providing the Company with unique insights and fresh perspectives. The demographics of the Company’s Board is 72% diverse, including females and ethnically diverse males.</w:t>
      </w:r>
    </w:p>
    <w:p>
      <w:pPr>
        <w:spacing w:after="0" w:line="72" w:lineRule="exact"/>
        <w:rPr>
          <w:sz w:val="20"/>
          <w:szCs w:val="20"/>
          <w:color w:val="auto"/>
        </w:rPr>
      </w:pPr>
    </w:p>
    <w:p>
      <w:pPr>
        <w:jc w:val="both"/>
        <w:ind w:right="20" w:firstLine="435"/>
        <w:spacing w:after="0" w:line="266" w:lineRule="auto"/>
        <w:rPr>
          <w:sz w:val="20"/>
          <w:szCs w:val="20"/>
          <w:color w:val="auto"/>
        </w:rPr>
      </w:pPr>
      <w:r>
        <w:rPr>
          <w:rFonts w:ascii="Times New Roman" w:cs="Times New Roman" w:eastAsia="Times New Roman" w:hAnsi="Times New Roman"/>
          <w:sz w:val="18"/>
          <w:szCs w:val="18"/>
          <w:color w:val="auto"/>
        </w:rPr>
        <w:t>The Company’s management is led by its President and Chief Executive Officer and the other members of the Executive Committee (“EC”). The demographics of the EC include 30% women and 60% ethnic diversity. The chart below shows the Company’s global gender diversity and US ethnic diversity progress over the past three years. The Company remains committed to making continued short and long-term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54610</wp:posOffset>
            </wp:positionV>
            <wp:extent cx="5666105" cy="3377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610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Talent Management </w:t>
      </w:r>
      <w:r>
        <w:rPr>
          <w:rFonts w:ascii="Times New Roman" w:cs="Times New Roman" w:eastAsia="Times New Roman" w:hAnsi="Times New Roman"/>
          <w:sz w:val="18"/>
          <w:szCs w:val="18"/>
          <w:color w:val="auto"/>
        </w:rPr>
        <w:t>- Ashland is dedicated to creating a purpose-driven people ecosystem that enables personal and professional growth at every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minimizing risk to the business. The Company deploys a disciplined annual talent review and succession process to identify and develop a leadership pipeline that accelerates business results, promotes internal mobility, and minimizes attrition. The talent management process includes a performance management process that seeks to provide employees with on-going feedback to enhance their performance in support of the Company’s business objectives. As part of Ashland's commitment to professional development, it offers associate’s and bachelor’s undergraduate, graduate, and PhD tuition assistance to eligible employees, along with ongoing technical and professional development.</w:t>
      </w:r>
    </w:p>
    <w:p>
      <w:pPr>
        <w:spacing w:after="0" w:line="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2024, the Company elevated the skillset of its leaders to support the career development of their employees and provided continued learning on inclusion and allyship. Ashland conducted its third annual global Culture Survey, with 82% response rate, which provided valuable insight to prioritize investments in the tools, resources, and processes that will make a positive impact on employee’s well-being, engagement, and career growth. Ashland remains committed to continuously listening and evolving its people practices aligning with and drive the Company’s purpose and business success.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“objectives,” “may,” “will,” “should,” “plans,”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of “risk factors” identifies the most significant factors that may adversely affect Ashland’s business, operations, financial position or future financial performance. This information should be read in conjunction with Management’s Discussion and Analysis and the consolidated financial statements and related notes incorporated by reference into this Annual Report on Form 10-K. The following discussion of risks is designed to highlight what Ashland believes are important factors to consider when evaluating its expectations. These factors could cause future results to differ from those in forward-looking statements and from historical trends.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Company’s Business Operations, Financial Performance and Growth</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Ashland has set aggressive growth goals for its businesses which may be impacted by such risks as the failure to optimize the use of Ashland’s tangible and intangible assets, the failure to identify and successfully integrate acquisition targets, and/or unexpected costs and liabilities associated with strategic acquisitions. If they materialize, these risks could lead to reduced sales, impairment of goodwill or intangible assets, and other adverse effects on the Company’s financial condition and results of operations.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Ashland’s failure to fully achieve one or more of its aggressive growth goals or meet its long-term objectives could negatively impact Ashland’s potential value and its businesses. One of the most important risks is that Ashland might fail to adequately execute its business strategy and growth plans by not optimizing the use of its physical and intangible assets. Aspects of that risk include changes to the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 In addition, Ashland, as part of its growth goals, continuously evaluates acquisition candidates. If Ashland is unable to successfully identify and integrate acquired businesses, Ashland could fail to achieve any expected increases in sales and operating results, which could have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material adverse effect on Ashland’s financial results. Ashland’s ability to achieve the anticipated financial benefits from any acquisition transactions may not be realized due to any number of factors, including, but not limited to, unsuccessful integration efforts, unexpected or underestimated liabilities or increased costs, fees, expenses and charges related to such transactions. Such adverse events could result in a decrease in the estimated fair value of goodwill or other intangible assets established as a result of such transactions, triggering an impairment. These and other factors could have a material adverse effect on our financial condition and results of operations.</w:t>
      </w: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6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Business disruptions, including those related to operating hazards inherent with the production of chemicals, natural disasters, severe weather conditions, supply or logistics disruptions, increasing costs for energy, temporary plant and/or power outages, information technology systems and network disruptions, cyber-security breaches, terrorist attacks, armed conflicts, war, public health crises, fires, floods or other catastrophic events, could seriously harm Ashland’s operations, as well as the operations of its customers and suppliers, and may adversely impact Ashland’s financial performance. These events could result in reduced demand for Ashland’s products, make it difficult or impossible for Ashland to manufacture its products or deliver products to its customers or to receive raw materials from suppliers, or create delays and inefficiencies in the supply chain. In addition to leading to a serious disruption of Ashland’s businesses, a catastrophic event at one of our facilities or involving our products or employees could lead to substantial legal liability to or claims by parties allegedly harmed by the event.</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Furthermore, because catastrophic events are inherently uncertain, Ashland's business continuity plans may not address every potential scenario and may not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Climate change and related resource impacts may lead to supply chain disruptions, operational impacts, and geopolitical events which could result in impacts to raw material pricing, lack of product availability, and decreased sales.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sources a large number of raw materials from third party suppliers globally. These products include both natural and synthetic materials derived from plants, animal products, organic and petroleum based raw materials. Disruptions to the global supply chain due to climate related impacts or geopolitical events are possible and exist as external risk factors that the Company cannot control. These events could limit the supply of key raw materials to the Company, or could have significant impacts to pricing.</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manufacturing operations in areas vulnerable to coastal storms which may increase in magnitude and impact due to climate change. Increasingly large and unprecedented weather events may pose a risk to business operations in vulnerable areas. Storms could cause business interruptions, incur additional restoration costs, and impact product availability and pricing.</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Consumer preference is increasingly impacted by awareness of and a response to climate change. Consumers are increasingly demanding responsibly sourced and manufactured products. An inability to respond to consumer demands through environmental, social and governance ("ESG") innovation could lead to a loss of sales to competitors providing more sustainable product offerings.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Energy availability and pricing has been impacted by geopolitical events and may be impacted by climate related legislation and regulations. As climate legislation increases in many countries, the availability of conventional and nonrenewable energy may be increasingly limited and prices may continue to increase. Where demand exceeds energy capacity, energy disruptions such as brown out or black out events are possible, leading to business interruption and quality/operational impacts. Failure to respond to or mitigate this risk could lead to increased cost and business impacts.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Globally, the availability of fresh, potable water is a growing concern, where water withdrawal can exceed the rates of surface and groundwater replenishment in critical basins, rivers, or other bodies of water. This concern continues to increase for Ashland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and for the global supply chain where fresh water is a key resource for manufacturing operations. Failure to respond to this risk could lead to business interruptions and impact the availability and pricing of product.</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sources several key natural raw materials that contain processed timber, palm, soy, and other harvested or farmed raw materials. Deforestation is an increasing concern where the irresponsible harvest of these raw materials can lead to loss of critical forests and habitats. Additional sourcing of these materials is under increasing scrutiny due to deforestation, and the availability of these raw materials may be limited in the future. Failure to source responsibly and respond to or mitigate the risk could lead to business impacts and increased cost.</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part of its commitment to supporting climate change response efforts, Ashland has committed to 2032 targets through the Science Based Targets Initiative (SBTi) which were approved by SBTi in November of 2023. These targets are aligned with the objective of limiting global warming to no more than 1.5C above preindustrial levels. Ashland’s sustainability commitments are key to stakeholders and a differentiator for Ashland. Failure to meet stated commitments could lead to reputational and business impacts.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Ashland’s customers could change their products in a way that reduces the demand for Ashland’s products.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produces and sells specialty materials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 products or production techniques to take advantage of newer technologies, alternative chemistries, more effective formulations, or improved processes, or in response to various market, technical or regulatory changes.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If Ashland fails to develop new products and new applications of existing products, it may face loss of market share, margins and cash flow.</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Ashland’s substantial global operations subject it to risks of doing business in foreign countries, which could adversely affect its business, financial condition and results of operations.</w:t>
      </w:r>
    </w:p>
    <w:p>
      <w:pPr>
        <w:spacing w:after="0" w:line="5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Greater than half of Ashland’s net sales for fiscal 2024 were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global nature of Ashland’s business presents difficulties in hiring and maintaining a workforce in certain countries. Fluctuations in exchange rates may affect product demand and may adversely affect the profitability in U.S. dollars of products and services provided in foreign countries. In addition, foreign countries may impose additional withholding taxes or otherwise tax Ashland’s foreign income, or adopt other restrictions on foreign trade or investment, including currency exchange controls. The imposition of new tariffs or trade quotas, or an impairment of existing trade agreements is also a risk that could impair Ashland’s financial performance.</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Certain legal and political risks are also inherent in the operation of a company with Ashland’s global scope. Ashland’s ability to do business and execute its growth strategies could be adversely affected by legal and political changes or other changes to trade policy and trade relationships. Ashland could also be impacted negatively if the ongoing trade disputes between the United States and China, or those between the United States and the E.U. were to worsen. In addition, it may be more difficult for Ashland to enforce its agreements or collect receivables through foreign legal systems. There is a risk that foreign governments may nationalize private enterprises in certain countries where Ashland operates. In certain countries or regions, terrorist activities and the response to such activities may threaten Ashland’s operations more than those in the United States. In Europe, the effect of economic sanctions imposed on Russia and/or Russia’s reaction to the sanctions could adversely impact Ashland’s performance and results of operations. The risks associated with localized or regional armed conflict in many parts of the world remain high and could disrupt and/or adversely impact Ashland’s businesses. Social and cultural norms in certain countries may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not support compliance with Ashland’s corporate policies including those that require compliance with substantive laws and regulations. Also, changes in general economic and political conditions in countries where Ashland operates, particularly in Europe, the Middle East and emerging markets, are a risk to Ashland’s financial performance.</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Ashland continues to operate its business globally, its success will depend, in part, on its ability to anticipate and effectively manage these and other related risks.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inflation or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which includes customer destocking of their own inventories,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Ashland’s substantial indebtedness may adversely affect our ability to pursue certain strategic acquisitions and other business opportunities, inhibit our flexibility in responding to changing market conditions, and impede our ability to generate revenue.</w:t>
      </w:r>
    </w:p>
    <w:p>
      <w:pPr>
        <w:spacing w:after="0" w:line="5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maintains a substantial amount of debt. Ashland’s substantial indebtedness could adversely affect its business, results of operations and financial condition by, among other things:</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Ashland’s ability to borrow additional amounts to fund working capital, capital expenditures, acquisitions, debt service requirements, execution of its growth strategy and other purposes;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Ashland at a competitive disadvantage compared with those of its competitors that have less debt and lower debt service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Ashland more vulnerable to increases in interest rates if debt is refinanced;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Ashland to satisfy its financial obligations.</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revenues.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Competition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develop and market new products and production technologies could impact Ashland’s competitive position and have an adverse effect on its sales, businesses, and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specialty additives and materials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Ashland’s products may not achieve substantial commercial success.</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all business segments and especially within Personal Care, there is an increasing awareness of and competition for innovations relating to more sustainable products with increasing attributes such as naturality and biodegradability, or materials sourced from bio-based raw materials. Ashland sees increasing pressure to innovate and provide solutions with these features to stay competitive and to differentiate the Company from competitors in key markets. Failure to innovate could result in a loss of business to competitors who offer similar or improved sustainable product portfolios.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competitive nature of Ashland’s markets may delay or prevent Ashland from passing increases in raw materials or energy costs on to its customers. In addition, certain of Ashland’s suppliers may be unable to deliver products or raw materials or fulfill contractual requirements. The occurrence of either event could result in decreased sales, increased costs, and adverse impacts to the valuation of Ashland’s inventory.</w:t>
      </w:r>
    </w:p>
    <w:p>
      <w:pPr>
        <w:spacing w:after="0" w:line="6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 commercially reasonable terms. Certain Ashland businesses rely on agricultural output of clary sage,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Ashland operates in highly competitive markets which places downward pressure on prices and margins and may adversely affect Ashland’s businesses and results of operations.</w:t>
      </w:r>
    </w:p>
    <w:p>
      <w:pPr>
        <w:spacing w:after="0" w:line="5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businesses and results of operations could be negatively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Ashland’s success depends upon its ability to attract and retain key employees and the identification and development of talent to succeed senior management.</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Ashland’s success depends on its ability to attract and retain key personnel. Ashland relies heavily on its senior management team as these executives are primarily responsible for determining the strategic direction of Ashland’s business and for executing its growth strategy. Therefore, Ashland’s future success depends, in part, on the continued service of its senior management team. The loss of any member of the senior management team could impact the Company’s execution of its growth strategy and also be viewed negatively by investors and analysts, which may cause the price of Ashland’s common stock to decline.</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Ashland’s success further depends on the Company’s ability to identify and develop talent to succeed its senior management team and other key positions throughout the organization. If Ashland fails to identify and develop successors, the Company is at risk of being harmed by the departures of these key employees. The inability to recruit, retain and develop key personnel or the unexpected loss, voluntarily or otherwise, of key personnel may adversely affect Ashland’s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Cybersecurity and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Ashland uses information technology ("IT") systems to conduct business and these IT systems are at risk of potential disruption and cybersecurity threats.</w:t>
      </w:r>
    </w:p>
    <w:p>
      <w:pPr>
        <w:spacing w:after="0" w:line="5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Ashland’s businesses rely on IT systems to operate efficiently and in some cases, to operate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the nature of our businesses, the markets we serve, and the extensive geographic profile of our operations make Ashland a target of cybersecurity threats. Cybersecurity threats in general are increasing and becoming more advanced and could occur as a result of the activity of hackers, employee error or employee misconduct. In addition, bad actors are becoming more sophisticated in using various techniques and tools, including artificial intelligence, for malicious purposes. We have in the past experienced cybersecurity threats and other incidents, and we expect such incidents to continue in varying degrees. Ashland utilizes various cybersecurity controls and governance procedures to protect against such disruptions; however, these measures may not be sufficient for all eventualities. A failure in these controls and procedures may prevent us from detecting a failure or breach of our information systems and delay our ability to respond. Such failure of our controls and procedures and/or a breach of our IT systems could lead to the loss and destruction of trade secrets, confidential information, proprietary data, intellectual property, customer and supplier data, and employee personal information and we may be required by law to notify the impacted individuals and/or make other disclosures. These events could expose us to customer litigation, regulatory actions and costs related to the reporting and handling of such a failure or breach, all of which could disrupt our business operations and adversely affect Ashland’s relationships with business partners, harm our brands, reputation, and financial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may not be able to effectively protect or enforce its intellectual property rights.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Ashland’s intellectual property rights may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also has substantial intellectual property associated with its know-how and trade secrets that are not protected by patent or copyright laws. Ashland’s confidentiality and non-disclosure agreements with its employees and third parties may be breached or may not be effectively enforced.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Compliance and Litigation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Ashland’s business exposes it to potential product liability claims and recalls, which could adversely affect its financial condition, performance, and reputation.</w:t>
      </w:r>
    </w:p>
    <w:p>
      <w:pPr>
        <w:spacing w:after="0" w:line="5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development, manufacture and sale of specialty materials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 could also result in substantial and unexpected expenditures, affect consumer or customer confidence in its products, and divert management’s attention from other responsibilities. Ashland’s product liability insurance may be inadequate to address such claims, recalls, or judgments. Additionally, Ashland may be unable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Ashland has incurred, and will continue to incur, substantial costs as a result of environmental, health and safety, and hazardous substances liabilities and related compliance requirements. These costs could adversely impact Ashland’s cash flow, and, to the extent they exceed Ashland’s established reserves for these liabilities, its results of operations.</w:t>
      </w:r>
    </w:p>
    <w:p>
      <w:pPr>
        <w:spacing w:after="0" w:line="6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is subject to extensive federal, state, local and foreign laws, regulations, rules and ordinances relating to pollution, protection of the environment and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6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Environmental, health and safety regulations change over time, and such regulations and their enforcement have tended to become more stringent.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uncertainties that affect Ashland’s ability to estimate its share of the applicable costs. Such uncertainties involve the nature and extent of contamination at each site and the extent of required cleanup efforts under existing environmental regulations, with varying costs of alternate cleanup methods. There may also be situations in which certain environmental liabilities are not known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to Ashland or are not probable and estimable. As a result, Ashland’s actual costs for environmental remediation could adversely affect Ashland’s cash flow and, to the extent costs exceed established reserves for those liabilities, its results of operations.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Ashland is responsible for, and has financial exposure to, liabilities from pending and threatened claims, including those alleging personal injury caused by exposure to asbestos, which could adversely impact Ashland’s results of operations and cash flow.</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As a part of the process to develop estimates of the Company’s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the Pillar Two initiative of the Organization for Economic Co-operation and Development which introduces a 15% global minimum tax applied on a country-by-country basis to Ashland in many jurisdictions starting October 1, 2024,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European Union’s Registration, Authorization and Restriction of Chemicals ("REACH") regulation (and analogous non-EU initiatives), and potential operational impacts of General Data Protection Regulation ("GDPR"). Uncertainty associated with the passage of new laws, application of executive authority beyond the legislative process,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Emerging ESG regulations in the European Union and globally such as the Corporate Sustainability Reporting Directive ("CSRD") and European Union Deforestation Regulations ("EUDR") may also require significant resources and data management systems to continue to support the Company. These regulations have the potential to impact Ashland’s business and ability to manage materials effectively.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Imposition of new taxes, disagreements with tax authorities or additional tax liabilities could adversely affect Ashland’s business, financial condition, reputation or results of operations.</w:t>
      </w:r>
    </w:p>
    <w:p>
      <w:pPr>
        <w:spacing w:after="0" w:line="5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Ashland’s products are made, manufactured, distributed or sold in more than 100 countries and territories. A significant portion of Ashland’s revenues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recognizes the importance of cybersecurity in safeguarding sensitive information and maintaining operational integrity. To that end, Ashland maintains an information security program as part of its overall Enterprise Risk Management ("ERM") program. The Company’s information security program includes an incident response plan, which has been reviewed by third-party consultants and aligns with the National Institute of Standards and Technology ("NIST") Cybersecurity Framework 2.0. The information security program, led by the Company’s Vice President of Cyber Security, is designed to provide a framework for assessing, identifying, managing, mitigating and responding to cybersecurity threats and incidents and to facilitate cross-functional coordination within Ashland.</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Ashland’s information security program also includes policies and processes that are designed to provide visibility and information about the identification, assessment, and management of critical risks and management’s risk mitigation strategies. This includes the use of a 24/7 Security Operations Center as well as an in-house, dedicated threat hunting team. Additional safeguards also include employee training and awareness programs around phishing, malware, and other cybersecurity risks. In addition, the Company conducts periodic testing of software, hardware, defensive capabilities, and other information security systems and regularly engages consultants and other expert third parties to assist the Company in the identification and assessment of risks.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also maintains a similar risk-based approach to its third-party vendor management program including identifying and overseeing cybersecurity risks that such third parties may present. As part of this program, the Company, imposes additional scrutiny for vendors that may handle personally identifiable information (PII) data or trade secrets.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on Form 10-K, the Company is not aware of any cybersecurity incidents that have materially affected or are reasonably likely to materially affect its business, results of operations or financial condition. However, despite the Company’s best efforts, it cannot eliminate all risks from cybersecurity threats or provide assurances that undetected cybersecurity incidents have not occurred. See the “Risk Factors” in Item 1A of this Annual Report on Form 10-K for further information.</w:t>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Ashland’s information security program is led by the Company’s Vice President of Cyber Security who is a Certified Information Systems Security Professional (CISSP) with more than 30 years of experience in information technology and 12 years of experience serving in a chief information security officer role or top executive leader in cyber. Our Vice President of Cyber Security is primarily responsible for integrating cybersecurity risk considerations into the Company’s overall risk management strategy. The Vice President of Cyber Security also holds a master’s in business administration and a Bachelor of Science degree in Computer Science and Engineering. In addition, other members of the Company’s information security team also have significant experience in information security.</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noted above, management of Ashland’s cybersecurity risks is part of the Company’s overall ERM program, which is overseen by the Board. The Board’s Audit Committee has primary responsibility for the oversight of the Company’s information and cybersecurity risks and programs established to manage such risks. The Audit Committee fulfills this oversight responsibility through receiving regular (and as needed) reports and updates from the Company’s Vice President of Cyber Security and Ashland’s Board also receives periodic reports updates from the Vice President of Cyber Security and the Audit Committee regarding information and cybersecurity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Ashland’s corporate headquarters is located in Wilmington, Delaware. Principal offices of other major operations are located in Wilmington, Delaware (Life Sciences, Specialty Additives, Intermediates and Corporate); and Bridgewater, New Jersey (Personal Care and Corporate) within the United States and Hyderabad, India; Warsaw, Poland; and Schaffhausen, Switzerland (each of which are shared service centers of Ashland’s and house corporate and direct business segment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J of Notes to Consolidated Financial Statements in this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Litigation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Hercules LLC (Hercules) (formerly Hercules Incorporated), an indirect wholly-owned subsidiary of Ashland, is also subject to liabilities from asbestos-related personal injury lawsuits involving claims which typically arise from alleged exposure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asbestos fibers from resin encapsulated pipe and tank products which were sold by one of Hercules’ former subsidiaries to a limited industrial market.</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Ashland and Hercules are also defendants in lawsuits alleging exposure to asbestos at facilities formerly or presently owned or operated by Ashland or Hercules.</w:t>
      </w:r>
    </w:p>
    <w:p>
      <w:pPr>
        <w:spacing w:after="0" w:line="5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For additional detailed information regarding liabilities arising from asbestos-related litigation, see “Management’s Discussion and Analysis - Critical Accounting Policies - Asbestos Litigation” and Note M of Notes to Consolidated Financial Statements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Proceedings</w:t>
      </w:r>
    </w:p>
    <w:p>
      <w:pPr>
        <w:spacing w:after="0" w:line="119" w:lineRule="exact"/>
        <w:rPr>
          <w:sz w:val="20"/>
          <w:szCs w:val="20"/>
          <w:color w:val="auto"/>
        </w:rPr>
      </w:pPr>
    </w:p>
    <w:p>
      <w:pPr>
        <w:jc w:val="both"/>
        <w:ind w:firstLine="382"/>
        <w:spacing w:after="0" w:line="255" w:lineRule="auto"/>
        <w:tabs>
          <w:tab w:leader="none" w:pos="6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CERCLA and Similar State Law Sites </w:t>
      </w:r>
      <w:r>
        <w:rPr>
          <w:rFonts w:ascii="Times New Roman" w:cs="Times New Roman" w:eastAsia="Times New Roman" w:hAnsi="Times New Roman"/>
          <w:sz w:val="18"/>
          <w:szCs w:val="18"/>
          <w:color w:val="auto"/>
        </w:rPr>
        <w:t>- Under the Comprehensive Environmental Response, Compensation and Liability Act of 1980 and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2024, Ashland and its subsidiaries have been identified as a PRP by U.S. federal and state authorities, or by private parties seeking contribution, for the cost of environmental investigation and/or cleanup at 53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sediment,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Times New Roman" w:cs="Times New Roman" w:eastAsia="Times New Roman" w:hAnsi="Times New Roman"/>
          <w:sz w:val="18"/>
          <w:szCs w:val="18"/>
          <w:color w:val="auto"/>
        </w:rPr>
      </w:pPr>
    </w:p>
    <w:p>
      <w:pPr>
        <w:jc w:val="both"/>
        <w:ind w:firstLine="427"/>
        <w:spacing w:after="0" w:line="252" w:lineRule="auto"/>
        <w:tabs>
          <w:tab w:leader="none" w:pos="67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Lower Passaic River, New Jersey Matters </w:t>
      </w:r>
      <w:r>
        <w:rPr>
          <w:rFonts w:ascii="Times New Roman" w:cs="Times New Roman" w:eastAsia="Times New Roman" w:hAnsi="Times New Roman"/>
          <w:sz w:val="18"/>
          <w:szCs w:val="18"/>
          <w:color w:val="auto"/>
        </w:rPr>
        <w:t>- Ashland, through two formerly owned facilities, and International Specialty Products (ISP),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now-closed facility, were identified as PRPs, along with approximately 70 other companies (the Cooperating Parties Group or the CPG), in a May 2007 Administrative Order of Consent (AOOC) with the USEPA. The parties were required to perform a remedial investigation and feasibility study (RI/FS) of the entire 17 miles of the Passaic River. In June 2007, the USEPA separately commenced a Focused Feasibility Study (FFS) as an interim measure of the lower 8 miles of the river. In accordance with the 2007 AOOC, in June 2012 the CPG voluntarily entered into another AOOC for an interim removal action focused solely at mile 10.9 of the Passaic River. The allocations for the 2007 AOOC and the 2012 removal action were based on interim allocations, are immaterial and have been accrued. In April 2014, the USEPA released the FFS for a cleanup of the lower 8 miles. The CPG submitted the Draft RI/FS Report on April 30, 2015. In March 2016, the USEPA released the FFS Record of Decision for the lower 8 miles and reached an agreement with another chemical company, Occidental Chemical Corporation (OCC) to conduct and pay for the remedial design in Sept. 2016, which design work was completed in Spring 2024. In March 2023, USEPA issued a unilateral order with OCC to conduct and pay for the remedial design for a remedy in the upper 9 miles of the river. In June 2018, OCC sued Ashland, ISP and numerous other defendants in the United States District Court for the District of New Jersey to recover past and future costs of the lower 8 miles pursuant to CERCLA, and filed a later suit in March 2023 for past and future costs of the upper 9 miles of the river. Between 2017 and 2020, Ashland and ISP participated in an USEPA allocation process that resulted in a partial settlement with the EPA. The settlement was lodged with the New Jersey District Court on December 16, 2022, and is currently pending court approval amidst opposition from OCC and others. The 2018 and 2023 OCC litigations have been stayed pending the outcome of the settlement.</w:t>
      </w:r>
    </w:p>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environmental matters and reserves, see Note M of Notes to Consolidated Financial Statements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Pending Legal Proceedings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as of September 30, 2024. There is a reasonable possibility that a loss exceeding amounts already recognized may be incurred related to these actions; however, Ashland believes that such potential losses would not be material as of September 30,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Ashland’s Common Stock is listed on the NYSE (ticker symbol “ASH”) and has trading privileges on Nasdaq.</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October 31, 2024, there were approximately 8,003 holders of record of Ashland’s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While we currently expect that quarterly cash dividends comparable to past dividends will continue to be paid in the future, such payments are at the discretion of our Board of Directors and will depend upon many factors, including our results of operations and liquidity position.</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sales of unregistered securities required to be reported under Item 5 of Form 10-K.</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FIVE-YEAR TOTAL RETURN PERFORMANCE GRAPH</w:t>
      </w:r>
    </w:p>
    <w:p>
      <w:pPr>
        <w:spacing w:after="0" w:line="128" w:lineRule="exact"/>
        <w:rPr>
          <w:sz w:val="20"/>
          <w:szCs w:val="20"/>
          <w:color w:val="auto"/>
        </w:rPr>
      </w:pPr>
    </w:p>
    <w:p>
      <w:pPr>
        <w:jc w:val="both"/>
        <w:ind w:firstLine="374"/>
        <w:spacing w:after="0" w:line="217" w:lineRule="auto"/>
        <w:rPr>
          <w:sz w:val="20"/>
          <w:szCs w:val="20"/>
          <w:color w:val="auto"/>
        </w:rPr>
      </w:pPr>
      <w:r>
        <w:rPr>
          <w:rFonts w:ascii="Times New Roman" w:cs="Times New Roman" w:eastAsia="Times New Roman" w:hAnsi="Times New Roman"/>
          <w:sz w:val="18"/>
          <w:szCs w:val="18"/>
          <w:color w:val="auto"/>
        </w:rPr>
        <w:t>The following graph compares Ashland’s five-year cumulative total shareholder return with the cumulative total return of the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index and one peer group of companies. Ashland is listed in the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index. The cumulative total shareholder return assumes the reinvestment of dividends.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ASHLAND,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-28575</wp:posOffset>
            </wp:positionV>
            <wp:extent cx="4568825" cy="256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6882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42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Ashland</w:t>
            </w:r>
          </w:p>
        </w:tc>
        <w:tc>
          <w:tcPr>
            <w:tcW w:w="2340" w:type="dxa"/>
            <w:vAlign w:val="bottom"/>
            <w:shd w:val="clear" w:color="auto" w:fill="CFF0FC"/>
          </w:tcPr>
          <w:p>
            <w:pPr>
              <w:jc w:val="center"/>
              <w:ind w:left="111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129</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4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S&amp;P MidCap 400</w:t>
            </w:r>
            <w:r>
              <w:rPr>
                <w:rFonts w:ascii="Times New Roman" w:cs="Times New Roman" w:eastAsia="Times New Roman" w:hAnsi="Times New Roman"/>
                <w:sz w:val="24"/>
                <w:szCs w:val="24"/>
                <w:b w:val="1"/>
                <w:bCs w:val="1"/>
                <w:color w:val="auto"/>
                <w:vertAlign w:val="superscript"/>
              </w:rPr>
              <w:t>†</w:t>
            </w:r>
          </w:p>
        </w:tc>
        <w:tc>
          <w:tcPr>
            <w:tcW w:w="234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 - Materials</w:t>
            </w:r>
          </w:p>
        </w:tc>
        <w:tc>
          <w:tcPr>
            <w:tcW w:w="2340" w:type="dxa"/>
            <w:vAlign w:val="bottom"/>
            <w:shd w:val="clear" w:color="auto" w:fill="CFF0FC"/>
          </w:tcPr>
          <w:p>
            <w:pPr>
              <w:jc w:val="center"/>
              <w:ind w:left="1110"/>
              <w:spacing w:after="0"/>
              <w:rPr>
                <w:sz w:val="20"/>
                <w:szCs w:val="20"/>
                <w:color w:val="auto"/>
              </w:rPr>
            </w:pPr>
            <w:r>
              <w:rPr>
                <w:rFonts w:ascii="Times New Roman" w:cs="Times New Roman" w:eastAsia="Times New Roman" w:hAnsi="Times New Roman"/>
                <w:sz w:val="18"/>
                <w:szCs w:val="18"/>
                <w:color w:val="auto"/>
                <w:w w:val="96"/>
              </w:rPr>
              <w:t>100</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125</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149</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185</w:t>
            </w:r>
          </w:p>
        </w:tc>
      </w:tr>
    </w:tbl>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peer group consists of the following industry indices:</w:t>
      </w:r>
    </w:p>
    <w:p>
      <w:pPr>
        <w:spacing w:after="0" w:line="124" w:lineRule="exact"/>
        <w:rPr>
          <w:sz w:val="20"/>
          <w:szCs w:val="20"/>
          <w:color w:val="auto"/>
        </w:rPr>
      </w:pPr>
    </w:p>
    <w:p>
      <w:pPr>
        <w:ind w:left="760" w:hanging="378"/>
        <w:spacing w:after="0" w:line="233"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Peer Group – Materials: </w:t>
      </w:r>
      <w:r>
        <w:rPr>
          <w:rFonts w:ascii="Times New Roman" w:cs="Times New Roman" w:eastAsia="Times New Roman" w:hAnsi="Times New Roman"/>
          <w:sz w:val="18"/>
          <w:szCs w:val="18"/>
          <w:color w:val="auto"/>
        </w:rPr>
        <w:t>S&amp;P 500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(large-cap) and S&amp;P MidCap 400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As of September 30, 2024, this peer group consisted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53 companies.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ind w:left="4020"/>
        <w:spacing w:after="0"/>
        <w:rPr>
          <w:sz w:val="20"/>
          <w:szCs w:val="20"/>
          <w:color w:val="auto"/>
        </w:rPr>
      </w:pPr>
      <w:r>
        <w:rPr>
          <w:rFonts w:ascii="Times New Roman" w:cs="Times New Roman" w:eastAsia="Times New Roman" w:hAnsi="Times New Roman"/>
          <w:sz w:val="18"/>
          <w:szCs w:val="18"/>
          <w:b w:val="1"/>
          <w:bCs w:val="1"/>
          <w:color w:val="auto"/>
        </w:rPr>
        <w:t>Repurchases of Company Common Stock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September 30, 2024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3"/>
        </w:trPr>
        <w:tc>
          <w:tcPr>
            <w:tcW w:w="4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8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rPr>
              <w:t>of Shares</w:t>
            </w:r>
          </w:p>
        </w:tc>
      </w:tr>
      <w:tr>
        <w:trPr>
          <w:trHeight w:val="203"/>
        </w:trPr>
        <w:tc>
          <w:tcPr>
            <w:tcW w:w="4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8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9"/>
              </w:rPr>
              <w:t>That May Yet</w:t>
            </w:r>
          </w:p>
        </w:tc>
      </w:tr>
      <w:tr>
        <w:trPr>
          <w:trHeight w:val="203"/>
        </w:trPr>
        <w:tc>
          <w:tcPr>
            <w:tcW w:w="4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Purchased as</w:t>
            </w:r>
          </w:p>
        </w:tc>
        <w:tc>
          <w:tcPr>
            <w:tcW w:w="180" w:type="dxa"/>
            <w:vAlign w:val="bottom"/>
          </w:tcPr>
          <w:p>
            <w:pPr>
              <w:spacing w:after="0"/>
              <w:rPr>
                <w:sz w:val="17"/>
                <w:szCs w:val="17"/>
                <w:color w:val="auto"/>
              </w:rPr>
            </w:pPr>
          </w:p>
        </w:tc>
        <w:tc>
          <w:tcPr>
            <w:tcW w:w="140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Be Purchased</w:t>
            </w:r>
          </w:p>
        </w:tc>
      </w:tr>
      <w:tr>
        <w:trPr>
          <w:trHeight w:val="203"/>
        </w:trPr>
        <w:tc>
          <w:tcPr>
            <w:tcW w:w="47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80" w:type="dxa"/>
            <w:vAlign w:val="bottom"/>
          </w:tcPr>
          <w:p>
            <w:pPr>
              <w:spacing w:after="0"/>
              <w:rPr>
                <w:sz w:val="17"/>
                <w:szCs w:val="17"/>
                <w:color w:val="auto"/>
              </w:rPr>
            </w:pPr>
          </w:p>
        </w:tc>
        <w:tc>
          <w:tcPr>
            <w:tcW w:w="140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Under the</w:t>
            </w:r>
          </w:p>
        </w:tc>
      </w:tr>
      <w:tr>
        <w:trPr>
          <w:trHeight w:val="203"/>
        </w:trPr>
        <w:tc>
          <w:tcPr>
            <w:tcW w:w="4720" w:type="dxa"/>
            <w:vAlign w:val="bottom"/>
          </w:tcPr>
          <w:p>
            <w:pPr>
              <w:spacing w:after="0"/>
              <w:rPr>
                <w:sz w:val="17"/>
                <w:szCs w:val="17"/>
                <w:color w:val="auto"/>
              </w:rPr>
            </w:pPr>
          </w:p>
        </w:tc>
        <w:tc>
          <w:tcPr>
            <w:tcW w:w="14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320" w:type="dxa"/>
            <w:vAlign w:val="bottom"/>
          </w:tcPr>
          <w:p>
            <w:pPr>
              <w:spacing w:after="0"/>
              <w:rPr>
                <w:sz w:val="17"/>
                <w:szCs w:val="17"/>
                <w:color w:val="auto"/>
              </w:rPr>
            </w:pPr>
          </w:p>
        </w:tc>
        <w:tc>
          <w:tcPr>
            <w:tcW w:w="1300" w:type="dxa"/>
            <w:vAlign w:val="bottom"/>
          </w:tcPr>
          <w:p>
            <w:pPr>
              <w:jc w:val="center"/>
              <w:ind w:right="336"/>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80" w:type="dxa"/>
            <w:vAlign w:val="bottom"/>
          </w:tcPr>
          <w:p>
            <w:pPr>
              <w:spacing w:after="0"/>
              <w:rPr>
                <w:sz w:val="17"/>
                <w:szCs w:val="17"/>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9"/>
              </w:rPr>
              <w:t>Plans or</w:t>
            </w:r>
          </w:p>
        </w:tc>
      </w:tr>
      <w:tr>
        <w:trPr>
          <w:trHeight w:val="175"/>
        </w:trPr>
        <w:tc>
          <w:tcPr>
            <w:tcW w:w="4720" w:type="dxa"/>
            <w:vAlign w:val="bottom"/>
          </w:tcPr>
          <w:p>
            <w:pPr>
              <w:spacing w:after="0"/>
              <w:rPr>
                <w:sz w:val="15"/>
                <w:szCs w:val="15"/>
                <w:color w:val="auto"/>
              </w:rPr>
            </w:pPr>
          </w:p>
        </w:tc>
        <w:tc>
          <w:tcPr>
            <w:tcW w:w="1460" w:type="dxa"/>
            <w:vAlign w:val="bottom"/>
          </w:tcPr>
          <w:p>
            <w:pPr>
              <w:jc w:val="center"/>
              <w:ind w:right="54"/>
              <w:spacing w:after="0" w:line="175"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320" w:type="dxa"/>
            <w:vAlign w:val="bottom"/>
          </w:tcPr>
          <w:p>
            <w:pPr>
              <w:spacing w:after="0"/>
              <w:rPr>
                <w:sz w:val="15"/>
                <w:szCs w:val="15"/>
                <w:color w:val="auto"/>
              </w:rPr>
            </w:pPr>
          </w:p>
        </w:tc>
        <w:tc>
          <w:tcPr>
            <w:tcW w:w="1300" w:type="dxa"/>
            <w:vAlign w:val="bottom"/>
          </w:tcPr>
          <w:p>
            <w:pPr>
              <w:jc w:val="center"/>
              <w:ind w:right="356"/>
              <w:spacing w:after="0" w:line="175"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186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Plans or</w:t>
            </w:r>
          </w:p>
        </w:tc>
        <w:tc>
          <w:tcPr>
            <w:tcW w:w="180" w:type="dxa"/>
            <w:vAlign w:val="bottom"/>
          </w:tcPr>
          <w:p>
            <w:pPr>
              <w:spacing w:after="0"/>
              <w:rPr>
                <w:sz w:val="15"/>
                <w:szCs w:val="15"/>
                <w:color w:val="auto"/>
              </w:rPr>
            </w:pPr>
          </w:p>
        </w:tc>
        <w:tc>
          <w:tcPr>
            <w:tcW w:w="1400" w:type="dxa"/>
            <w:vAlign w:val="bottom"/>
          </w:tcPr>
          <w:p>
            <w:pPr>
              <w:jc w:val="center"/>
              <w:ind w:right="196"/>
              <w:spacing w:after="0" w:line="175" w:lineRule="exact"/>
              <w:rPr>
                <w:sz w:val="20"/>
                <w:szCs w:val="20"/>
                <w:color w:val="auto"/>
              </w:rPr>
            </w:pPr>
            <w:r>
              <w:rPr>
                <w:rFonts w:ascii="Times New Roman" w:cs="Times New Roman" w:eastAsia="Times New Roman" w:hAnsi="Times New Roman"/>
                <w:sz w:val="16"/>
                <w:szCs w:val="16"/>
                <w:b w:val="1"/>
                <w:bCs w:val="1"/>
                <w:color w:val="auto"/>
              </w:rPr>
              <w:t>Programs</w:t>
            </w:r>
          </w:p>
        </w:tc>
      </w:tr>
      <w:tr>
        <w:trPr>
          <w:trHeight w:val="246"/>
        </w:trPr>
        <w:tc>
          <w:tcPr>
            <w:tcW w:w="47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Q4 Fiscal Periods</w:t>
            </w:r>
          </w:p>
        </w:tc>
        <w:tc>
          <w:tcPr>
            <w:tcW w:w="14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8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6"/>
                <w:szCs w:val="16"/>
                <w:b w:val="1"/>
                <w:bCs w:val="1"/>
                <w:color w:val="auto"/>
                <w:w w:val="97"/>
              </w:rPr>
              <w:t>(in millions)</w:t>
            </w:r>
            <w:r>
              <w:rPr>
                <w:rFonts w:ascii="Times New Roman" w:cs="Times New Roman" w:eastAsia="Times New Roman" w:hAnsi="Times New Roman"/>
                <w:sz w:val="21"/>
                <w:szCs w:val="21"/>
                <w:b w:val="1"/>
                <w:bCs w:val="1"/>
                <w:color w:val="auto"/>
                <w:w w:val="97"/>
                <w:vertAlign w:val="superscript"/>
              </w:rPr>
              <w:t>(a)</w:t>
            </w:r>
          </w:p>
        </w:tc>
      </w:tr>
      <w:tr>
        <w:trPr>
          <w:trHeight w:val="209"/>
        </w:trPr>
        <w:tc>
          <w:tcPr>
            <w:tcW w:w="472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July 1, 2024 to July 31, 2024</w:t>
            </w:r>
          </w:p>
        </w:tc>
        <w:tc>
          <w:tcPr>
            <w:tcW w:w="1460" w:type="dxa"/>
            <w:vAlign w:val="bottom"/>
            <w:shd w:val="clear" w:color="auto" w:fill="CC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to August 31, 2024</w:t>
            </w: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992,380</w:t>
            </w:r>
          </w:p>
        </w:tc>
        <w:tc>
          <w:tcPr>
            <w:tcW w:w="320" w:type="dxa"/>
            <w:vAlign w:val="bottom"/>
          </w:tcPr>
          <w:p>
            <w:pPr>
              <w:spacing w:after="0"/>
              <w:rPr>
                <w:sz w:val="18"/>
                <w:szCs w:val="18"/>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86.44</w:t>
            </w:r>
          </w:p>
        </w:tc>
        <w:tc>
          <w:tcPr>
            <w:tcW w:w="1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992,380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4720" w:type="dxa"/>
            <w:vAlign w:val="bottom"/>
            <w:tcBorders>
              <w:bottom w:val="single" w:sz="8" w:color="CCF0FC"/>
            </w:tcBorders>
            <w:shd w:val="clear" w:color="auto" w:fill="CCF0FC"/>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30, 2024</w:t>
            </w:r>
          </w:p>
        </w:tc>
        <w:tc>
          <w:tcPr>
            <w:tcW w:w="1460" w:type="dxa"/>
            <w:vAlign w:val="bottom"/>
            <w:tcBorders>
              <w:bottom w:val="single" w:sz="8" w:color="auto"/>
            </w:tcBorders>
            <w:shd w:val="clear" w:color="auto" w:fill="CCF0FC"/>
          </w:tcPr>
          <w:p>
            <w:pPr>
              <w:jc w:val="right"/>
              <w:ind w:right="54"/>
              <w:spacing w:after="0"/>
              <w:rPr>
                <w:sz w:val="20"/>
                <w:szCs w:val="20"/>
                <w:color w:val="auto"/>
              </w:rPr>
            </w:pPr>
            <w:r>
              <w:rPr>
                <w:rFonts w:ascii="Times New Roman" w:cs="Times New Roman" w:eastAsia="Times New Roman" w:hAnsi="Times New Roman"/>
                <w:sz w:val="18"/>
                <w:szCs w:val="18"/>
                <w:color w:val="auto"/>
              </w:rPr>
              <w:t>740,117</w:t>
            </w:r>
          </w:p>
        </w:tc>
        <w:tc>
          <w:tcPr>
            <w:tcW w:w="320" w:type="dxa"/>
            <w:vAlign w:val="bottom"/>
            <w:tcBorders>
              <w:bottom w:val="single" w:sz="8" w:color="CCF0FC"/>
            </w:tcBorders>
            <w:shd w:val="clear" w:color="auto" w:fill="CCF0FC"/>
          </w:tcPr>
          <w:p>
            <w:pPr>
              <w:spacing w:after="0"/>
              <w:rPr>
                <w:sz w:val="18"/>
                <w:szCs w:val="18"/>
                <w:color w:val="auto"/>
              </w:rPr>
            </w:pPr>
          </w:p>
        </w:tc>
        <w:tc>
          <w:tcPr>
            <w:tcW w:w="1300" w:type="dxa"/>
            <w:vAlign w:val="bottom"/>
            <w:tcBorders>
              <w:bottom w:val="single" w:sz="8" w:color="CCF0FC"/>
            </w:tcBorders>
            <w:shd w:val="clear" w:color="auto" w:fill="CCF0FC"/>
          </w:tcPr>
          <w:p>
            <w:pPr>
              <w:jc w:val="right"/>
              <w:ind w:right="236"/>
              <w:spacing w:after="0"/>
              <w:rPr>
                <w:sz w:val="20"/>
                <w:szCs w:val="20"/>
                <w:color w:val="auto"/>
              </w:rPr>
            </w:pPr>
            <w:r>
              <w:rPr>
                <w:rFonts w:ascii="Times New Roman" w:cs="Times New Roman" w:eastAsia="Times New Roman" w:hAnsi="Times New Roman"/>
                <w:sz w:val="18"/>
                <w:szCs w:val="18"/>
                <w:color w:val="auto"/>
              </w:rPr>
              <w:t>86.82</w:t>
            </w:r>
          </w:p>
        </w:tc>
        <w:tc>
          <w:tcPr>
            <w:tcW w:w="1660" w:type="dxa"/>
            <w:vAlign w:val="bottom"/>
            <w:tcBorders>
              <w:bottom w:val="single" w:sz="8" w:color="auto"/>
            </w:tcBorders>
            <w:shd w:val="clear" w:color="auto" w:fill="CCF0FC"/>
          </w:tcPr>
          <w:p>
            <w:pPr>
              <w:jc w:val="right"/>
              <w:ind w:right="36"/>
              <w:spacing w:after="0"/>
              <w:rPr>
                <w:sz w:val="20"/>
                <w:szCs w:val="20"/>
                <w:color w:val="auto"/>
              </w:rPr>
            </w:pPr>
            <w:r>
              <w:rPr>
                <w:rFonts w:ascii="Times New Roman" w:cs="Times New Roman" w:eastAsia="Times New Roman" w:hAnsi="Times New Roman"/>
                <w:sz w:val="18"/>
                <w:szCs w:val="18"/>
                <w:color w:val="auto"/>
              </w:rPr>
              <w:t>740,117</w:t>
            </w:r>
          </w:p>
        </w:tc>
        <w:tc>
          <w:tcPr>
            <w:tcW w:w="200" w:type="dxa"/>
            <w:vAlign w:val="bottom"/>
            <w:tcBorders>
              <w:bottom w:val="single" w:sz="8" w:color="CCF0FC"/>
            </w:tcBorders>
            <w:shd w:val="clear" w:color="auto" w:fill="CCF0FC"/>
          </w:tcPr>
          <w:p>
            <w:pPr>
              <w:spacing w:after="0"/>
              <w:rPr>
                <w:sz w:val="18"/>
                <w:szCs w:val="18"/>
                <w:color w:val="auto"/>
              </w:rPr>
            </w:pPr>
          </w:p>
        </w:tc>
        <w:tc>
          <w:tcPr>
            <w:tcW w:w="180" w:type="dxa"/>
            <w:vAlign w:val="bottom"/>
            <w:tcBorders>
              <w:bottom w:val="single" w:sz="8" w:color="auto"/>
            </w:tcBorders>
            <w:shd w:val="clear" w:color="auto" w:fill="CCF0FC"/>
          </w:tcPr>
          <w:p>
            <w:pPr>
              <w:spacing w:after="0"/>
              <w:rPr>
                <w:sz w:val="18"/>
                <w:szCs w:val="18"/>
                <w:color w:val="auto"/>
              </w:rPr>
            </w:pPr>
          </w:p>
        </w:tc>
        <w:tc>
          <w:tcPr>
            <w:tcW w:w="1400" w:type="dxa"/>
            <w:vAlign w:val="bottom"/>
            <w:tcBorders>
              <w:bottom w:val="single" w:sz="8" w:color="auto"/>
            </w:tcBorders>
            <w:shd w:val="clear" w:color="auto" w:fill="CCF0FC"/>
          </w:tcPr>
          <w:p>
            <w:pPr>
              <w:jc w:val="right"/>
              <w:ind w:right="36"/>
              <w:spacing w:after="0"/>
              <w:rPr>
                <w:sz w:val="20"/>
                <w:szCs w:val="20"/>
                <w:color w:val="auto"/>
              </w:rPr>
            </w:pPr>
            <w:r>
              <w:rPr>
                <w:rFonts w:ascii="Times New Roman" w:cs="Times New Roman" w:eastAsia="Times New Roman" w:hAnsi="Times New Roman"/>
                <w:sz w:val="18"/>
                <w:szCs w:val="18"/>
                <w:color w:val="auto"/>
              </w:rPr>
              <w:t>620</w:t>
            </w:r>
          </w:p>
        </w:tc>
      </w:tr>
      <w:tr>
        <w:trPr>
          <w:trHeight w:val="210"/>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1,732,497</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1,732,497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620</w:t>
            </w:r>
          </w:p>
        </w:tc>
      </w:tr>
      <w:tr>
        <w:trPr>
          <w:trHeight w:val="20"/>
        </w:trPr>
        <w:tc>
          <w:tcPr>
            <w:tcW w:w="47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8"/>
        </w:trPr>
        <w:tc>
          <w:tcPr>
            <w:tcW w:w="47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-222250</wp:posOffset>
            </wp:positionV>
            <wp:extent cx="128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-222250</wp:posOffset>
            </wp:positionV>
            <wp:extent cx="128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8" w:lineRule="exact"/>
        <w:rPr>
          <w:sz w:val="20"/>
          <w:szCs w:val="20"/>
          <w:color w:val="auto"/>
        </w:rPr>
      </w:pPr>
    </w:p>
    <w:p>
      <w:pPr>
        <w:jc w:val="both"/>
        <w:ind w:left="600" w:hanging="592"/>
        <w:spacing w:after="0" w:line="241" w:lineRule="auto"/>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28, 2023, Ashland's board of directors authorized a new evergreen $1 billion common share repurchase program ("2023 Stock Repurchase Program"). The new authorization terminated and replaced the Company's 2022 Stock Repurchase Program, which had $200 million outstanding at the date of termination. As of September 30, 2024, $620 million remained available for repurchase under this authorization.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on pages M-1 through M-42.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Quantitative and Qualitative Disclosures about Market Risk on page M-42.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Ashland presented in this Annual Report on Form 10-K are listed in the index on page F-1.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 As of September 30, 2024, Ashland, under the supervision and with the participation of Ashland’s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2024.</w:t>
      </w:r>
    </w:p>
    <w:p>
      <w:pPr>
        <w:spacing w:after="0" w:line="72"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 See Management’s Report on Internal Control Over Financial Reporting on page F-2 and the Reports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Independent Registered Public Accounting Firm on pages F-3 and F-4.</w:t>
      </w:r>
    </w:p>
    <w:p>
      <w:pPr>
        <w:spacing w:after="0" w:line="5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have been no changes in Ashland’s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September 30, 2024, that have materially affected, or are reasonably likely to materially affect, Ashland’s internal control over financial reporting.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August 12, 2024, Robin E. Lampkin, Ashland’s Senior Vice President, General Counsel and Corporate Secretary, entered into a Rule 10b5-1 trading arrangement that provides for the sale of 1,464 shares of Ashland Common Stock. The trading arrangement is intended to satisfy the affirmative defense conditions of Rule 10b5-1(c) under the Exchange Act. The duration of the trading arrangement is until the earlier of (1) February 28, 2025, (2) the date on which all transactions under the trading arrangement are completed, or (3) at such time as the trading arrangement is otherwise terminated or expires according to its terms.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adopted an insider trading policy (the “Insider Trading Policy”) to govern the purchase, sale, and other dispositions of Company securities by its directors, officers, and employees. The Insider Trading Policy is reasonably designed to promote compliance with insider trading laws, rules and regulations, and any listing standards applicable to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“Proposal One - Election of Directors,” “Executive Officers,” “Delinquent Section 16(a) Reports,” “Corporate Governance - Governance Principles,” “Corporate Governance - Stockholder Nominations of Directors,” “Corporate Governance – Insider Trading Policy,” and “Corporate Governance - Committees and Meetings of the Board of Directors” in the Proxy Statement for Ashland’s 2025 Annual Meeting of Stockholders. Ashland plans to file such Proxy Statement within 120 days after September 30, 2024, the end of Ashland’s fiscal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“Director Compensation,” “Compensation Committee Interlocks and Insider Participation,” “Executive Compensation,” and “Compensation Committee Report,” in the Proxy Statement for Ashland’s 2025 Annual Meeting of Stockholders. The Compensation Committee Report to be included in such Proxy Statement shall be deemed to be furnished in this report and shall not be incorporated by reference into any filing under the Securities Act of 1933 or the Exchange Act as a result of such furnishing in this Item 11. Ashland plans to file such Proxy Statement within 120 days after September 30, 2024, the end of Ashland’s fiscal year.</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“Ashland Common Stock Ownership of Certain Beneficial Owners,” and “Ashland Common Stock Ownership of Directors and Executive Officers of Ashland” in the Proxy Statement for Ashland’s 2025 Annual Meeting of Shareholders. Ashland plans to file such Proxy Statement within 120 days after September 30, 2024, the end of Ashland’s fiscal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equity compensation plans under which Ashland Common Stock may be issued as of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2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w:t>
            </w:r>
          </w:p>
        </w:tc>
        <w:tc>
          <w:tcPr>
            <w:tcW w:w="2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534,449</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10,363,703</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3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51,848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1,275,314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1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586,297</w:t>
            </w:r>
          </w:p>
        </w:tc>
        <w:tc>
          <w:tcPr>
            <w:tcW w:w="3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11,639,017</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400" w:type="dxa"/>
            <w:vAlign w:val="bottom"/>
            <w:tcBorders>
              <w:top w:val="single" w:sz="8" w:color="CFF0FC"/>
              <w:bottom w:val="single" w:sz="8" w:color="auto"/>
            </w:tcBorders>
          </w:tcPr>
          <w:p>
            <w:pPr>
              <w:spacing w:after="0"/>
              <w:rPr>
                <w:sz w:val="6"/>
                <w:szCs w:val="6"/>
                <w:color w:val="auto"/>
              </w:rPr>
            </w:pPr>
          </w:p>
        </w:tc>
        <w:tc>
          <w:tcPr>
            <w:tcW w:w="21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78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20" w:type="dxa"/>
            <w:vAlign w:val="bottom"/>
            <w:tcBorders>
              <w:top w:val="single" w:sz="8" w:color="CFF0FC"/>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spacing w:after="0"/>
              <w:rPr>
                <w:sz w:val="6"/>
                <w:szCs w:val="6"/>
                <w:color w:val="auto"/>
              </w:rPr>
            </w:pPr>
          </w:p>
        </w:tc>
        <w:tc>
          <w:tcPr>
            <w:tcW w:w="222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-67945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-67945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both"/>
        <w:ind w:left="600" w:hanging="592"/>
        <w:spacing w:after="0" w:line="227" w:lineRule="auto"/>
        <w:tabs>
          <w:tab w:leader="none" w:pos="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4,699 net shares that could be issued under stock-settled SARs under the Amended and Restated 2011 Ashland Inc. Incentive Plan (“2011 Incentive Plan”), 171,579 net shares that could be issued under stock-settled SARs, 19,655 net shares that could be issued under stock-settled SARs, 61,646 shares that could be issued under stock settled restricted stock units under the Ashland Global Holdings Inc. 2018 Omnibus Incentive Compensation Plan (the “2018 Omnibus Plan”), 18,983 shares that could be issued under stock settled restricted stock units under the Ashland Global Holdings Inc. 2021 Omnibus Incentive Compensation Plan (the “2021 Omnibus Plan”), based upon the closing price of Ashland Common Stock on the NYSE as of September 30, 2024 of $86.97. Additionally, this figure includes 50,521 performance units for the fiscal 2022-2024 performance period payable in Ashland Common Stock under the 2021 Omnibus Plan, 29,522 performance units for the fiscal 2023-2025 performance period payable in Ashland Common Stock under the 2021 Omnibus Plan and 163,481 performance units for the fiscal 2024-2026 performance period payable in Ashland Common Stock under the 2021 Omnibus Plan, estimated assuming target performance is achieved. Also included in the figure are 14,363 shares to be issued under the pre-2005 Deferred Compensation Plan for Employees payable in Ashland Common Stock upon termination of employment or service with Ashland.</w:t>
      </w:r>
    </w:p>
    <w:p>
      <w:pPr>
        <w:spacing w:after="0" w:line="6" w:lineRule="exact"/>
        <w:rPr>
          <w:rFonts w:ascii="Times New Roman" w:cs="Times New Roman" w:eastAsia="Times New Roman" w:hAnsi="Times New Roman"/>
          <w:sz w:val="14"/>
          <w:szCs w:val="14"/>
          <w:color w:val="auto"/>
        </w:rPr>
      </w:pPr>
    </w:p>
    <w:p>
      <w:pPr>
        <w:jc w:val="both"/>
        <w:ind w:left="600" w:hanging="592"/>
        <w:spacing w:after="0" w:line="241" w:lineRule="auto"/>
        <w:tabs>
          <w:tab w:leader="none" w:pos="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 (1) and (4) in this table.</w:t>
      </w:r>
    </w:p>
    <w:p>
      <w:pPr>
        <w:jc w:val="both"/>
        <w:ind w:left="600" w:hanging="592"/>
        <w:spacing w:after="0" w:line="227" w:lineRule="auto"/>
        <w:tabs>
          <w:tab w:leader="none" w:pos="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6,136,427 available for issuance under the Ashland Global Holdings Inc. 2021 Omnibus Plan, 123,183 shares available for issuance under the pre-2005 Deferred Compensation Plan for Employees (closed) and 341,697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2018 Omnibus Plan are now available for grant under the 2021 Omnibus Plan and are included in the numbers of shares available for issuance under the 2021 Omnibus Plan. This figure also includes 80,311 shares available for issuance under the 2006 Incentive Plan, 2,574,171 shares available for issuance under the 2011 Incentive Plan and 1,107,914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1" w:lineRule="exact"/>
        <w:rPr>
          <w:rFonts w:ascii="Times New Roman" w:cs="Times New Roman" w:eastAsia="Times New Roman" w:hAnsi="Times New Roman"/>
          <w:sz w:val="14"/>
          <w:szCs w:val="14"/>
          <w:color w:val="auto"/>
        </w:rPr>
      </w:pPr>
    </w:p>
    <w:p>
      <w:pPr>
        <w:jc w:val="both"/>
        <w:ind w:left="600" w:hanging="592"/>
        <w:spacing w:after="0" w:line="236" w:lineRule="auto"/>
        <w:tabs>
          <w:tab w:leader="none" w:pos="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34,453 shares to be issued under the Deferred Compensation Plan for Employees (2005), which is described in the “Non-Qualified Deferred Compensation-Ashland Employees’ Deferral Plan” section of Ashland’s proxy statement, and 17,395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spacing w:after="0" w:line="1" w:lineRule="exact"/>
        <w:rPr>
          <w:rFonts w:ascii="Times New Roman" w:cs="Times New Roman" w:eastAsia="Times New Roman" w:hAnsi="Times New Roman"/>
          <w:sz w:val="14"/>
          <w:szCs w:val="14"/>
          <w:color w:val="auto"/>
        </w:rPr>
      </w:pPr>
    </w:p>
    <w:p>
      <w:pPr>
        <w:jc w:val="both"/>
        <w:ind w:left="600" w:right="20" w:hanging="592"/>
        <w:spacing w:after="0" w:line="241" w:lineRule="auto"/>
        <w:tabs>
          <w:tab w:leader="none" w:pos="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includes 616,459 shares available for issuance under the Deferred Compensation Plan for Employees (2005) and 658,855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“Corporate Governance - Director Independence and Certain Relationships,” “Corporate Governance - Related Person Transaction Policy,” and “Audit Committee Report” in in the Proxy Statement for Ashland’s 2025 Annual Meeting of Stockholders. Ashland plans to file such Proxy Statement within 120 days after September 30, 2024, the end of Ashland’s fiscal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captioned “Audit Committee Report” and “Proposal Two - Ratification of Independent Registered Public Accountants” in the Proxy Statement for Ashland’s 2025 Annual Meeting of Stockholders. Ashland plans to file such Proxy Statement within 120 days after September 30, 2024, the end of Ashland’s fiscal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121" w:lineRule="exact"/>
        <w:rPr>
          <w:rFonts w:ascii="Times New Roman" w:cs="Times New Roman" w:eastAsia="Times New Roman" w:hAnsi="Times New Roman"/>
          <w:sz w:val="18"/>
          <w:szCs w:val="18"/>
          <w:b w:val="1"/>
          <w:bCs w:val="1"/>
          <w:color w:val="auto"/>
        </w:rPr>
      </w:pPr>
    </w:p>
    <w:p>
      <w:pPr>
        <w:ind w:left="640" w:hanging="258"/>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w:t>
      </w:r>
    </w:p>
    <w:p>
      <w:pPr>
        <w:spacing w:after="0" w:line="117"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15(b) in this Annual Report on Form 10-K</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Ashland presented in this Annual Report on Form 10-K are listed in the index on page F-1.</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Documents required by Item 601 of Regulation 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color w:val="auto"/>
                </w:rPr>
                <w:t>Stock and Asset Purchase Agreement, dated as of February 18, 2014, between Ashland Inc. and CD&amp;R Seahawk Bidco, LLC</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49">
              <w:r>
                <w:rPr>
                  <w:rFonts w:ascii="Times New Roman" w:cs="Times New Roman" w:eastAsia="Times New Roman" w:hAnsi="Times New Roman"/>
                  <w:sz w:val="18"/>
                  <w:szCs w:val="18"/>
                  <w:color w:val="auto"/>
                </w:rPr>
                <w:t>(filed as Exhibit 2.1 to Ashland’s Form 8-K filed on February 24, 2014 (SEC File No. 001-32532), and incorporated herein by</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49">
              <w:r>
                <w:rPr>
                  <w:rFonts w:ascii="Times New Roman" w:cs="Times New Roman" w:eastAsia="Times New Roman" w:hAnsi="Times New Roman"/>
                  <w:sz w:val="18"/>
                  <w:szCs w:val="18"/>
                  <w:color w:val="auto"/>
                  <w:w w:val="95"/>
                </w:rPr>
                <w:t>reference).</w:t>
              </w:r>
            </w:hyperlink>
          </w:p>
        </w:tc>
        <w:tc>
          <w:tcPr>
            <w:tcW w:w="8520" w:type="dxa"/>
            <w:vAlign w:val="bottom"/>
            <w:gridSpan w:val="7"/>
          </w:tcPr>
          <w:p>
            <w:pPr>
              <w:spacing w:after="0"/>
              <w:rPr>
                <w:sz w:val="17"/>
                <w:szCs w:val="17"/>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auto"/>
                </w:rPr>
                <w:t>Sale and Purchase Agreement related to the ASK Chemicals Group, dated April 8, 2014, among Ashland Inc.,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50">
              <w:r>
                <w:rPr>
                  <w:rFonts w:ascii="Times New Roman" w:cs="Times New Roman" w:eastAsia="Times New Roman" w:hAnsi="Times New Roman"/>
                  <w:sz w:val="18"/>
                  <w:szCs w:val="18"/>
                  <w:color w:val="auto"/>
                </w:rPr>
                <w:t>International Holdings, Inc., Clariant Produkte (Deutschland) GmbH, Clariant Corp., mertus 158. GmbH, Ascot US Bidco Inc.</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50">
              <w:r>
                <w:rPr>
                  <w:rFonts w:ascii="Times New Roman" w:cs="Times New Roman" w:eastAsia="Times New Roman" w:hAnsi="Times New Roman"/>
                  <w:sz w:val="18"/>
                  <w:szCs w:val="18"/>
                  <w:color w:val="auto"/>
                </w:rPr>
                <w:t>and Ascot UK Bidco Limited (filed as Exhibit 2.1 to Ashland’s Form 8-K filed on April 14, 2014 (SEC File No. 001-32532),</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50">
              <w:r>
                <w:rPr>
                  <w:rFonts w:ascii="Times New Roman" w:cs="Times New Roman" w:eastAsia="Times New Roman" w:hAnsi="Times New Roman"/>
                  <w:sz w:val="18"/>
                  <w:szCs w:val="18"/>
                  <w:color w:val="auto"/>
                  <w:w w:val="98"/>
                </w:rPr>
                <w:t>and incorporated herein by reference).</w:t>
              </w:r>
            </w:hyperlink>
          </w:p>
        </w:tc>
        <w:tc>
          <w:tcPr>
            <w:tcW w:w="65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color w:val="auto"/>
                </w:rPr>
                <w:t>Agreement and Plan of Merger dated May 31, 2016, by and among Ashland Inc., Ashland Global Holdings Inc. and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51">
              <w:r>
                <w:rPr>
                  <w:rFonts w:ascii="Times New Roman" w:cs="Times New Roman" w:eastAsia="Times New Roman" w:hAnsi="Times New Roman"/>
                  <w:sz w:val="18"/>
                  <w:szCs w:val="18"/>
                  <w:color w:val="auto"/>
                </w:rPr>
                <w:t>Merger Sub Corp. (filed as Exhibit 2.1 to Ashland’s Form 8-K filed on May 31, 2016 (SEC File No. 001-32532),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51">
              <w:r>
                <w:rPr>
                  <w:rFonts w:ascii="Times New Roman" w:cs="Times New Roman" w:eastAsia="Times New Roman" w:hAnsi="Times New Roman"/>
                  <w:sz w:val="18"/>
                  <w:szCs w:val="18"/>
                  <w:color w:val="auto"/>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color w:val="auto"/>
                </w:rPr>
                <w:t>Stock and Asset Purchase Agreement, dated November 14, 2018, between Ashland Global Holdings Inc. and INEOS Enterprises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2">
              <w:r>
                <w:rPr>
                  <w:rFonts w:ascii="Times New Roman" w:cs="Times New Roman" w:eastAsia="Times New Roman" w:hAnsi="Times New Roman"/>
                  <w:sz w:val="18"/>
                  <w:szCs w:val="18"/>
                  <w:color w:val="auto"/>
                </w:rPr>
                <w:t>Holdings Limited (pursuant to Item 601(b)(2) of Regulation S-K, exhibits, schedules and certain annexes to the Stock and Asset</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52">
              <w:r>
                <w:rPr>
                  <w:rFonts w:ascii="Times New Roman" w:cs="Times New Roman" w:eastAsia="Times New Roman" w:hAnsi="Times New Roman"/>
                  <w:sz w:val="18"/>
                  <w:szCs w:val="18"/>
                  <w:color w:val="auto"/>
                </w:rPr>
                <w:t>Purchase Agreement have been omitted; exhibits, schedules and annexes will be supplementally provided to the SEC upon</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2">
              <w:r>
                <w:rPr>
                  <w:rFonts w:ascii="Times New Roman" w:cs="Times New Roman" w:eastAsia="Times New Roman" w:hAnsi="Times New Roman"/>
                  <w:sz w:val="18"/>
                  <w:szCs w:val="18"/>
                  <w:color w:val="auto"/>
                </w:rPr>
                <w:t>request) (filed as Exhibit 2.1 to Ashland’s Form 8-K filed on November 20, 2018 (SEC File No. 333-211719), and incorporated</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52">
              <w:r>
                <w:rPr>
                  <w:rFonts w:ascii="Times New Roman" w:cs="Times New Roman" w:eastAsia="Times New Roman" w:hAnsi="Times New Roman"/>
                  <w:sz w:val="18"/>
                  <w:szCs w:val="18"/>
                  <w:color w:val="auto"/>
                  <w:w w:val="97"/>
                </w:rPr>
                <w:t>herein by reference.)</w:t>
              </w:r>
            </w:hyperlink>
          </w:p>
        </w:tc>
        <w:tc>
          <w:tcPr>
            <w:tcW w:w="7800" w:type="dxa"/>
            <w:vAlign w:val="bottom"/>
            <w:gridSpan w:val="6"/>
          </w:tcPr>
          <w:p>
            <w:pPr>
              <w:spacing w:after="0"/>
              <w:rPr>
                <w:sz w:val="17"/>
                <w:szCs w:val="17"/>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color w:val="auto"/>
                </w:rPr>
                <w:t>First Amendment to Stock and Asset Purchase Agreement, dated July 1, 2019, between Ashland Global Holdings Inc.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INEOS Enterprises Holdings Limited (pursuant to Item 601(b)(2) of Regulation S-K, exhibits, schedules and certain annexes to</w:t>
              </w:r>
            </w:hyperlink>
          </w:p>
        </w:tc>
        <w:tc>
          <w:tcPr>
            <w:tcW w:w="20" w:type="dxa"/>
            <w:vAlign w:val="bottom"/>
            <w:tcBorders>
              <w:top w:val="single" w:sz="8" w:color="0000EE"/>
            </w:tcBorders>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53">
              <w:r>
                <w:rPr>
                  <w:rFonts w:ascii="Times New Roman" w:cs="Times New Roman" w:eastAsia="Times New Roman" w:hAnsi="Times New Roman"/>
                  <w:sz w:val="18"/>
                  <w:szCs w:val="18"/>
                  <w:color w:val="auto"/>
                  <w:w w:val="99"/>
                </w:rPr>
                <w:t>the Stock and Asset Purchase Agreement have been omitted; exhibits, schedules and annexes will be supplementally provided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the SEC upon request) (filed as Exhibit 2.1 to Ashland’s Form 8-K filed on July 8, 2019 (SEC File No. 333-211719)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color w:val="auto"/>
                </w:rPr>
                <w:t>Second Amendment to Stock and Asset Purchase Agreement, dated July 30, 2019, between Ashland Global Holdings Inc.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4">
              <w:r>
                <w:rPr>
                  <w:rFonts w:ascii="Times New Roman" w:cs="Times New Roman" w:eastAsia="Times New Roman" w:hAnsi="Times New Roman"/>
                  <w:sz w:val="18"/>
                  <w:szCs w:val="18"/>
                  <w:color w:val="auto"/>
                </w:rPr>
                <w:t>INEOS Enterprises Holdings Limited (pursuant to Item 601(b)(2) of Regulation S-K, exhibits, schedules and certain annexes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54">
              <w:r>
                <w:rPr>
                  <w:rFonts w:ascii="Times New Roman" w:cs="Times New Roman" w:eastAsia="Times New Roman" w:hAnsi="Times New Roman"/>
                  <w:sz w:val="18"/>
                  <w:szCs w:val="18"/>
                  <w:color w:val="auto"/>
                  <w:w w:val="99"/>
                </w:rPr>
                <w:t>the Stock and Asset Purchase Agreement have been omitted; exhibits, schedules and annexes will be supplementally provided to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rPr>
            </w:pPr>
            <w:hyperlink r:id="rId54">
              <w:r>
                <w:rPr>
                  <w:rFonts w:ascii="Times New Roman" w:cs="Times New Roman" w:eastAsia="Times New Roman" w:hAnsi="Times New Roman"/>
                  <w:sz w:val="18"/>
                  <w:szCs w:val="18"/>
                  <w:color w:val="auto"/>
                </w:rPr>
                <w:t>the SEC upon request (filed as Exhibit 2.1 to Ashland’s Form 8-K filed on August 2, 2019 (SEC File No. 333-211719)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4">
              <w:r>
                <w:rPr>
                  <w:rFonts w:ascii="Times New Roman" w:cs="Times New Roman" w:eastAsia="Times New Roman" w:hAnsi="Times New Roman"/>
                  <w:sz w:val="18"/>
                  <w:szCs w:val="18"/>
                  <w:color w:val="auto"/>
                </w:rPr>
                <w:t>incorporated herein by reference).</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color w:val="auto"/>
                </w:rPr>
                <w:t>Asset Purchase Agreement dated July 25, 2020, by and between Ashland LLC and AOC Materials LLC (filed as Exhibit 2.1 to</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55">
              <w:r>
                <w:rPr>
                  <w:rFonts w:ascii="Times New Roman" w:cs="Times New Roman" w:eastAsia="Times New Roman" w:hAnsi="Times New Roman"/>
                  <w:sz w:val="18"/>
                  <w:szCs w:val="18"/>
                  <w:color w:val="auto"/>
                  <w:w w:val="99"/>
                </w:rPr>
                <w:t>Ashland’s Form 8-K filed on July 27, 2020 (SEC File No. 333-211719 and incorporated herein by reference).</w:t>
              </w:r>
            </w:hyperlink>
          </w:p>
        </w:tc>
        <w:tc>
          <w:tcPr>
            <w:tcW w:w="1420" w:type="dxa"/>
            <w:vAlign w:val="bottom"/>
            <w:tcBorders>
              <w:top w:val="single" w:sz="8" w:color="0000EE"/>
            </w:tcBorders>
            <w:gridSpan w:val="2"/>
          </w:tcPr>
          <w:p>
            <w:pPr>
              <w:spacing w:after="0"/>
              <w:rPr>
                <w:sz w:val="17"/>
                <w:szCs w:val="17"/>
                <w:color w:val="auto"/>
              </w:rPr>
            </w:pPr>
          </w:p>
        </w:tc>
      </w:tr>
      <w:tr>
        <w:trPr>
          <w:trHeight w:val="439"/>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w:t>
            </w:r>
          </w:p>
        </w:tc>
        <w:tc>
          <w:tcPr>
            <w:tcW w:w="10120" w:type="dxa"/>
            <w:vAlign w:val="bottom"/>
            <w:gridSpan w:val="9"/>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color w:val="auto"/>
                </w:rPr>
                <w:t>Master Asset Purchase Agreement, dated January 18, 2021, entered into by and between Schülke &amp; Mayr GmbH, ISP Marl</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8"/>
          </w:tcPr>
          <w:p>
            <w:pPr>
              <w:spacing w:after="0" w:line="196" w:lineRule="exact"/>
              <w:rPr>
                <w:rFonts w:ascii="Times New Roman" w:cs="Times New Roman" w:eastAsia="Times New Roman" w:hAnsi="Times New Roman"/>
                <w:sz w:val="18"/>
                <w:szCs w:val="18"/>
                <w:color w:val="auto"/>
                <w:w w:val="99"/>
              </w:rPr>
            </w:pPr>
            <w:hyperlink r:id="rId56">
              <w:r>
                <w:rPr>
                  <w:rFonts w:ascii="Times New Roman" w:cs="Times New Roman" w:eastAsia="Times New Roman" w:hAnsi="Times New Roman"/>
                  <w:sz w:val="18"/>
                  <w:szCs w:val="18"/>
                  <w:color w:val="auto"/>
                  <w:w w:val="99"/>
                </w:rPr>
                <w:t>Holdings and Ashland Industries Europe GmbH (filed as Exhibit 2.1 to Ashland’s Form 8-K filed on January 22, 2021 (SEC File</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56">
              <w:r>
                <w:rPr>
                  <w:rFonts w:ascii="Times New Roman" w:cs="Times New Roman" w:eastAsia="Times New Roman" w:hAnsi="Times New Roman"/>
                  <w:sz w:val="18"/>
                  <w:szCs w:val="18"/>
                  <w:color w:val="auto"/>
                </w:rPr>
                <w:t>No.333-211719) and incorporated herein by reference).</w:t>
              </w:r>
            </w:hyperlink>
          </w:p>
        </w:tc>
        <w:tc>
          <w:tcPr>
            <w:tcW w:w="20" w:type="dxa"/>
            <w:vAlign w:val="bottom"/>
          </w:tcPr>
          <w:p>
            <w:pPr>
              <w:spacing w:after="0"/>
              <w:rPr>
                <w:sz w:val="17"/>
                <w:szCs w:val="17"/>
                <w:color w:val="auto"/>
              </w:rPr>
            </w:pPr>
          </w:p>
        </w:tc>
      </w:tr>
      <w:tr>
        <w:trPr>
          <w:trHeight w:val="574"/>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60" w:type="dxa"/>
            <w:vAlign w:val="bottom"/>
            <w:tcBorders>
              <w:top w:val="single" w:sz="8" w:color="0000EE"/>
            </w:tcBorders>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340"/>
        <w:spacing w:after="0"/>
        <w:tabs>
          <w:tab w:leader="none" w:pos="1640" w:val="left"/>
          <w:tab w:leader="none" w:pos="19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w:t>
        <w:tab/>
      </w:r>
      <w:hyperlink r:id="rId59">
        <w:r>
          <w:rPr>
            <w:rFonts w:ascii="Times New Roman" w:cs="Times New Roman" w:eastAsia="Times New Roman" w:hAnsi="Times New Roman"/>
            <w:sz w:val="18"/>
            <w:szCs w:val="18"/>
            <w:color w:val="auto"/>
          </w:rPr>
          <w:t>Amendment Agreement to the Master Purchase Agreement regarding the acquisition of the Personal Care Business of Schülke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-7620</wp:posOffset>
            </wp:positionV>
            <wp:extent cx="58902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890260" cy="8890"/>
                    </a:xfrm>
                    <a:prstGeom prst="rect">
                      <a:avLst/>
                    </a:prstGeom>
                    <a:noFill/>
                  </pic:spPr>
                </pic:pic>
              </a:graphicData>
            </a:graphic>
          </wp:anchor>
        </w:drawing>
      </w:r>
    </w:p>
    <w:p>
      <w:pPr>
        <w:spacing w:after="0" w:line="7" w:lineRule="exact"/>
        <w:rPr>
          <w:sz w:val="20"/>
          <w:szCs w:val="20"/>
          <w:color w:val="auto"/>
        </w:rPr>
      </w:pPr>
    </w:p>
    <w:p>
      <w:pPr>
        <w:ind w:left="1940" w:right="20" w:hanging="2"/>
        <w:spacing w:after="0" w:line="260" w:lineRule="auto"/>
        <w:tabs>
          <w:tab w:leader="none" w:pos="2142" w:val="left"/>
        </w:tabs>
        <w:numPr>
          <w:ilvl w:val="0"/>
          <w:numId w:val="11"/>
        </w:numPr>
        <w:rPr>
          <w:rFonts w:ascii="Times New Roman" w:cs="Times New Roman" w:eastAsia="Times New Roman" w:hAnsi="Times New Roman"/>
          <w:sz w:val="18"/>
          <w:szCs w:val="18"/>
          <w:color w:val="auto"/>
        </w:rPr>
      </w:pPr>
      <w:hyperlink r:id="rId59">
        <w:r>
          <w:rPr>
            <w:rFonts w:ascii="Times New Roman" w:cs="Times New Roman" w:eastAsia="Times New Roman" w:hAnsi="Times New Roman"/>
            <w:sz w:val="18"/>
            <w:szCs w:val="18"/>
            <w:color w:val="auto"/>
          </w:rPr>
          <w:t>Mayr GmbH dated April 29, 2021, filed as Exhibit 2.2 to Ashland’s Form 10-Q filed on July 29, 2021 (SEC File No.333-</w:t>
        </w:r>
      </w:hyperlink>
      <w:hyperlink r:id="rId59">
        <w:r>
          <w:rPr>
            <w:rFonts w:ascii="Times New Roman" w:cs="Times New Roman" w:eastAsia="Times New Roman" w:hAnsi="Times New Roman"/>
            <w:sz w:val="18"/>
            <w:szCs w:val="18"/>
            <w:color w:val="auto"/>
          </w:rPr>
          <w:t>211719) and incorporated herein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1230630</wp:posOffset>
            </wp:positionH>
            <wp:positionV relativeFrom="paragraph">
              <wp:posOffset>-172720</wp:posOffset>
            </wp:positionV>
            <wp:extent cx="58959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895975" cy="825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-35560</wp:posOffset>
            </wp:positionV>
            <wp:extent cx="2152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152650" cy="8255"/>
                    </a:xfrm>
                    <a:prstGeom prst="rect">
                      <a:avLst/>
                    </a:prstGeom>
                    <a:noFill/>
                  </pic:spPr>
                </pic:pic>
              </a:graphicData>
            </a:graphic>
          </wp:anchor>
        </w:drawing>
      </w:r>
    </w:p>
    <w:p>
      <w:pPr>
        <w:spacing w:after="0" w:line="54" w:lineRule="exact"/>
        <w:rPr>
          <w:rFonts w:ascii="Times New Roman" w:cs="Times New Roman" w:eastAsia="Times New Roman" w:hAnsi="Times New Roman"/>
          <w:sz w:val="18"/>
          <w:szCs w:val="18"/>
          <w:color w:val="auto"/>
        </w:rPr>
      </w:pPr>
    </w:p>
    <w:tbl>
      <w:tblPr>
        <w:tblLayout w:type="fixed"/>
        <w:tblInd w:w="34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color w:val="auto"/>
                </w:rPr>
                <w:t>Purchase and Sale Agreement, dated as of August 30, 2021, between Ashland LLC and Arkema, filed as Exhibit 2.1 to</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63">
              <w:r>
                <w:rPr>
                  <w:rFonts w:ascii="Times New Roman" w:cs="Times New Roman" w:eastAsia="Times New Roman" w:hAnsi="Times New Roman"/>
                  <w:sz w:val="18"/>
                  <w:szCs w:val="18"/>
                  <w:color w:val="auto"/>
                </w:rPr>
                <w:t>Ashland’s Form 8-K filed on August 31, 2021 (SEC File No.333-211719) and incorporated herein by reference).</w:t>
              </w:r>
            </w:hyperlink>
          </w:p>
        </w:tc>
      </w:tr>
      <w:tr>
        <w:trPr>
          <w:trHeight w:val="20"/>
        </w:trPr>
        <w:tc>
          <w:tcPr>
            <w:tcW w:w="82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color w:val="auto"/>
                </w:rPr>
                <w:t>Amendment No. 1 to the Purchase and Sale Agreement, dated as of February 28, 2022, by and between Arkema and Ashland</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9"/>
          </w:tcPr>
          <w:p>
            <w:pPr>
              <w:jc w:val="right"/>
              <w:spacing w:after="0" w:line="196" w:lineRule="exact"/>
              <w:rPr>
                <w:rFonts w:ascii="Times New Roman" w:cs="Times New Roman" w:eastAsia="Times New Roman" w:hAnsi="Times New Roman"/>
                <w:sz w:val="18"/>
                <w:szCs w:val="18"/>
                <w:color w:val="auto"/>
                <w:w w:val="99"/>
              </w:rPr>
            </w:pPr>
            <w:hyperlink r:id="rId64">
              <w:r>
                <w:rPr>
                  <w:rFonts w:ascii="Times New Roman" w:cs="Times New Roman" w:eastAsia="Times New Roman" w:hAnsi="Times New Roman"/>
                  <w:sz w:val="18"/>
                  <w:szCs w:val="18"/>
                  <w:color w:val="auto"/>
                  <w:w w:val="99"/>
                </w:rPr>
                <w:t>LLC (filed as Exhibit 2.1 to Ashland’s Form 8-K filed on February 28, 2022 (SEC File No.333-211719) and incorporated herein</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6"/>
              </w:rPr>
            </w:pPr>
            <w:hyperlink r:id="rId64">
              <w:r>
                <w:rPr>
                  <w:rFonts w:ascii="Times New Roman" w:cs="Times New Roman" w:eastAsia="Times New Roman" w:hAnsi="Times New Roman"/>
                  <w:sz w:val="18"/>
                  <w:szCs w:val="18"/>
                  <w:color w:val="auto"/>
                  <w:w w:val="96"/>
                </w:rPr>
                <w:t>by reference).</w:t>
              </w:r>
            </w:hyperlink>
          </w:p>
        </w:tc>
        <w:tc>
          <w:tcPr>
            <w:tcW w:w="8280" w:type="dxa"/>
            <w:vAlign w:val="bottom"/>
            <w:gridSpan w:val="8"/>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color w:val="auto"/>
                </w:rPr>
                <w:t>Stock Purchase Agreement, dated April 14, 2017, by and among Ashland LLC, Pharmachem Laboratories, Inc., the holders of</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9"/>
          </w:tcPr>
          <w:p>
            <w:pPr>
              <w:jc w:val="right"/>
              <w:spacing w:after="0" w:line="196" w:lineRule="exact"/>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common stock of Pharmachem Laboratories, Inc., Dr. David Peele, and Photon SH Representative LLC, solely as the</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bottom w:val="single" w:sz="8" w:color="0000EE"/>
            </w:tcBorders>
            <w:gridSpan w:val="9"/>
          </w:tcPr>
          <w:p>
            <w:pPr>
              <w:jc w:val="right"/>
              <w:spacing w:after="0" w:line="196" w:lineRule="exact"/>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shareholders’ representative (filed as Exhibit 2.1 to Ashland’s Form 8-K filed on May 18, 2017 (SEC File No. 333-211719) and</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gridSpan w:val="9"/>
          </w:tcPr>
          <w:p>
            <w:pPr>
              <w:spacing w:after="0" w:line="196" w:lineRule="exact"/>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incorporated herein by reference).</w:t>
              </w:r>
            </w:hyperlink>
          </w:p>
        </w:tc>
      </w:tr>
      <w:tr>
        <w:trPr>
          <w:trHeight w:val="20"/>
        </w:trPr>
        <w:tc>
          <w:tcPr>
            <w:tcW w:w="82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color w:val="auto"/>
                </w:rPr>
                <w:t>Amendment No. 1 to the Stock Purchase Agreement, dated May 16, 2017, by and among Ashland LLC, Pharmachem</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9"/>
          </w:tcPr>
          <w:p>
            <w:pPr>
              <w:jc w:val="right"/>
              <w:spacing w:after="0" w:line="196" w:lineRule="exact"/>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Laboratories, Inc., the holders of common stock of Pharmachem Laboratories, Inc., Dr. David Peele, and Photon SH</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bottom w:val="single" w:sz="8" w:color="0000EE"/>
            </w:tcBorders>
            <w:gridSpan w:val="9"/>
          </w:tcPr>
          <w:p>
            <w:pPr>
              <w:jc w:val="right"/>
              <w:spacing w:after="0" w:line="196" w:lineRule="exact"/>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Representative LLC, solely as the shareholders’ representative (filed as Exhibit 2.2 to Ashland’s Form 8-K filed on May 18,</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66">
              <w:r>
                <w:rPr>
                  <w:rFonts w:ascii="Times New Roman" w:cs="Times New Roman" w:eastAsia="Times New Roman" w:hAnsi="Times New Roman"/>
                  <w:sz w:val="18"/>
                  <w:szCs w:val="18"/>
                  <w:color w:val="auto"/>
                  <w:w w:val="99"/>
                </w:rPr>
                <w:t>2017 (SEC File No. 333-211719) and incorporated herein by reference).</w:t>
              </w:r>
            </w:hyperlink>
          </w:p>
        </w:tc>
        <w:tc>
          <w:tcPr>
            <w:tcW w:w="4080" w:type="dxa"/>
            <w:vAlign w:val="bottom"/>
            <w:gridSpan w:val="6"/>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2.14</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color w:val="auto"/>
                </w:rPr>
                <w:t>Amendment No. 2 to the Stock Purchase Agreement, dated August 23, 2017, by and among Ashland LLC, Pharmachem</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9"/>
          </w:tcPr>
          <w:p>
            <w:pPr>
              <w:jc w:val="right"/>
              <w:spacing w:after="0" w:line="196" w:lineRule="exact"/>
              <w:rPr>
                <w:rFonts w:ascii="Times New Roman" w:cs="Times New Roman" w:eastAsia="Times New Roman" w:hAnsi="Times New Roman"/>
                <w:sz w:val="18"/>
                <w:szCs w:val="18"/>
                <w:color w:val="auto"/>
              </w:rPr>
            </w:pPr>
            <w:hyperlink r:id="rId67">
              <w:r>
                <w:rPr>
                  <w:rFonts w:ascii="Times New Roman" w:cs="Times New Roman" w:eastAsia="Times New Roman" w:hAnsi="Times New Roman"/>
                  <w:sz w:val="18"/>
                  <w:szCs w:val="18"/>
                  <w:color w:val="auto"/>
                </w:rPr>
                <w:t>Laboratories, Inc., the holders of common stock of Pharmachem Laboratories, Inc., Dr. David Peele, and Photon SH</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bottom w:val="single" w:sz="8" w:color="0000EE"/>
            </w:tcBorders>
            <w:gridSpan w:val="9"/>
          </w:tcPr>
          <w:p>
            <w:pPr>
              <w:jc w:val="right"/>
              <w:spacing w:after="0" w:line="196" w:lineRule="exact"/>
              <w:rPr>
                <w:rFonts w:ascii="Times New Roman" w:cs="Times New Roman" w:eastAsia="Times New Roman" w:hAnsi="Times New Roman"/>
                <w:sz w:val="18"/>
                <w:szCs w:val="18"/>
                <w:color w:val="auto"/>
                <w:w w:val="99"/>
              </w:rPr>
            </w:pPr>
            <w:hyperlink r:id="rId67">
              <w:r>
                <w:rPr>
                  <w:rFonts w:ascii="Times New Roman" w:cs="Times New Roman" w:eastAsia="Times New Roman" w:hAnsi="Times New Roman"/>
                  <w:sz w:val="18"/>
                  <w:szCs w:val="18"/>
                  <w:color w:val="auto"/>
                  <w:w w:val="99"/>
                </w:rPr>
                <w:t>Representative LLC, solely as the shareholders’ representative (filed as Exhibit 10.84 to Ashland’s Form 10-K for the fiscal year</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gridSpan w:val="9"/>
          </w:tcPr>
          <w:p>
            <w:pPr>
              <w:spacing w:after="0" w:line="196" w:lineRule="exact"/>
              <w:rPr>
                <w:rFonts w:ascii="Times New Roman" w:cs="Times New Roman" w:eastAsia="Times New Roman" w:hAnsi="Times New Roman"/>
                <w:sz w:val="18"/>
                <w:szCs w:val="18"/>
                <w:color w:val="auto"/>
              </w:rPr>
            </w:pPr>
            <w:hyperlink r:id="rId67">
              <w:r>
                <w:rPr>
                  <w:rFonts w:ascii="Times New Roman" w:cs="Times New Roman" w:eastAsia="Times New Roman" w:hAnsi="Times New Roman"/>
                  <w:sz w:val="18"/>
                  <w:szCs w:val="18"/>
                  <w:color w:val="auto"/>
                </w:rPr>
                <w:t>ended September 30, 2017 (SEC File No. 333-211719), and incorporated by reference herein).</w:t>
              </w:r>
            </w:hyperlink>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6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color w:val="auto"/>
                </w:rPr>
                <w:t>Amended and Restated Articles of Incorporation of Ashland Global Holdings Inc. (filed as Exhibit 3.1 to Ashland’s Form 8-K</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68">
              <w:r>
                <w:rPr>
                  <w:rFonts w:ascii="Times New Roman" w:cs="Times New Roman" w:eastAsia="Times New Roman" w:hAnsi="Times New Roman"/>
                  <w:sz w:val="18"/>
                  <w:szCs w:val="18"/>
                  <w:color w:val="auto"/>
                  <w:w w:val="99"/>
                </w:rPr>
                <w:t>filed on September 20, 2016 (SEC File No. 001-32532)) and incorporated by reference herein).</w:t>
              </w:r>
            </w:hyperlink>
          </w:p>
        </w:tc>
        <w:tc>
          <w:tcPr>
            <w:tcW w:w="2420" w:type="dxa"/>
            <w:vAlign w:val="bottom"/>
            <w:tcBorders>
              <w:top w:val="single" w:sz="8" w:color="0000EE"/>
            </w:tcBorders>
            <w:gridSpan w:val="3"/>
          </w:tcPr>
          <w:p>
            <w:pPr>
              <w:spacing w:after="0"/>
              <w:rPr>
                <w:sz w:val="17"/>
                <w:szCs w:val="17"/>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color w:val="auto"/>
                </w:rPr>
                <w:t>Certificate of Ownership &amp; Merger, amending the Company’s Amended and Restated Certificate of Incorporation (filed as</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Exhibit 3.1 to Ashland’s Form 8-K filed on August 1, 2022 (SEC File No. 001-32532) and incorporated by reference herein).</w:t>
              </w:r>
            </w:hyperlink>
          </w:p>
        </w:tc>
      </w:tr>
      <w:tr>
        <w:trPr>
          <w:trHeight w:val="20"/>
        </w:trPr>
        <w:tc>
          <w:tcPr>
            <w:tcW w:w="82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6260" w:type="dxa"/>
            <w:vAlign w:val="bottom"/>
            <w:gridSpan w:val="4"/>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060" w:type="dxa"/>
            <w:vAlign w:val="bottom"/>
            <w:gridSpan w:val="10"/>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color w:val="auto"/>
                </w:rPr>
                <w:t>By-laws of Ashland Inc. (Amended and Restated as of September 20, 2022) (filed as Exhibit 3.1 to Ashland’s Form 8-K filed on</w:t>
              </w:r>
            </w:hyperlink>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70">
              <w:r>
                <w:rPr>
                  <w:rFonts w:ascii="Times New Roman" w:cs="Times New Roman" w:eastAsia="Times New Roman" w:hAnsi="Times New Roman"/>
                  <w:sz w:val="18"/>
                  <w:szCs w:val="18"/>
                  <w:color w:val="auto"/>
                  <w:w w:val="99"/>
                </w:rPr>
                <w:t>September 20, 2022 (SEC File No. 333-211719) and incorporated by reference herein).</w:t>
              </w:r>
            </w:hyperlink>
          </w:p>
        </w:tc>
        <w:tc>
          <w:tcPr>
            <w:tcW w:w="3000" w:type="dxa"/>
            <w:vAlign w:val="bottom"/>
            <w:tcBorders>
              <w:top w:val="single" w:sz="8" w:color="0000EE"/>
            </w:tcBorders>
            <w:gridSpan w:val="5"/>
          </w:tcPr>
          <w:p>
            <w:pPr>
              <w:spacing w:after="0"/>
              <w:rPr>
                <w:sz w:val="17"/>
                <w:szCs w:val="17"/>
                <w:color w:val="auto"/>
              </w:rPr>
            </w:pPr>
          </w:p>
        </w:tc>
      </w:tr>
    </w:tbl>
    <w:p>
      <w:pPr>
        <w:spacing w:after="0" w:line="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Item 601(b)(4)(iii)(A) of Regulation S-K, copies of instruments defining the rights of holders of long-term debt of Ashland and all of its subsidiaries are not filed, Ashland agrees to furnish a copy of such instruments with the SEC upon request.</w:t>
      </w: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w:t>
            </w:r>
          </w:p>
        </w:tc>
        <w:tc>
          <w:tcPr>
            <w:tcW w:w="10120" w:type="dxa"/>
            <w:vAlign w:val="bottom"/>
            <w:gridSpan w:val="7"/>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color w:val="auto"/>
                </w:rPr>
                <w:t>Indenture, dated as of February 26, 2013, between Ashland Inc. and U.S. Bank National Association, as Trustee (filed as Exhibit</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71">
              <w:r>
                <w:rPr>
                  <w:rFonts w:ascii="Times New Roman" w:cs="Times New Roman" w:eastAsia="Times New Roman" w:hAnsi="Times New Roman"/>
                  <w:sz w:val="18"/>
                  <w:szCs w:val="18"/>
                  <w:color w:val="auto"/>
                </w:rPr>
                <w:t>4.3 to Ashland’s Form 8-K filed on February 27, 2013 (SEC File No. 001- 32532), and 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w:t>
            </w:r>
          </w:p>
        </w:tc>
        <w:tc>
          <w:tcPr>
            <w:tcW w:w="10120" w:type="dxa"/>
            <w:vAlign w:val="bottom"/>
            <w:gridSpan w:val="7"/>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color w:val="auto"/>
                </w:rPr>
                <w:t>First Supplemental Indenture, dated as of February 26, 2013, between Ashland Inc. and U.S. Bank National Association, as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Trustee, in respect of the senior notes due 2016, 2018 and 2043 (filed as Exhibit 4.4 to Ashland’s Form 8-K filed on February</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6"/>
          </w:tcPr>
          <w:p>
            <w:pPr>
              <w:spacing w:after="0" w:line="196" w:lineRule="exact"/>
              <w:rPr>
                <w:rFonts w:ascii="Times New Roman" w:cs="Times New Roman" w:eastAsia="Times New Roman" w:hAnsi="Times New Roman"/>
                <w:sz w:val="18"/>
                <w:szCs w:val="18"/>
                <w:color w:val="auto"/>
              </w:rPr>
            </w:pPr>
            <w:hyperlink r:id="rId72">
              <w:r>
                <w:rPr>
                  <w:rFonts w:ascii="Times New Roman" w:cs="Times New Roman" w:eastAsia="Times New Roman" w:hAnsi="Times New Roman"/>
                  <w:sz w:val="18"/>
                  <w:szCs w:val="18"/>
                  <w:color w:val="auto"/>
                </w:rPr>
                <w:t>27, 2013 (SEC File No. 001-32532), and 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10120" w:type="dxa"/>
            <w:vAlign w:val="bottom"/>
            <w:gridSpan w:val="7"/>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color w:val="auto"/>
                </w:rPr>
                <w:t>Second Supplemental Indenture, dated as of March 14, 2013, between Ashland Inc. and U.S. Bank National Association, as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73">
              <w:r>
                <w:rPr>
                  <w:rFonts w:ascii="Times New Roman" w:cs="Times New Roman" w:eastAsia="Times New Roman" w:hAnsi="Times New Roman"/>
                  <w:sz w:val="18"/>
                  <w:szCs w:val="18"/>
                  <w:color w:val="auto"/>
                </w:rPr>
                <w:t>Trustee, in respect of the senior notes due 2043 (filed as Exhibit 4.2 to Ashland’s Form 8-K filed on March 18, 2013 (SEC File</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9"/>
              </w:rPr>
            </w:pPr>
            <w:hyperlink r:id="rId73">
              <w:r>
                <w:rPr>
                  <w:rFonts w:ascii="Times New Roman" w:cs="Times New Roman" w:eastAsia="Times New Roman" w:hAnsi="Times New Roman"/>
                  <w:sz w:val="18"/>
                  <w:szCs w:val="18"/>
                  <w:color w:val="auto"/>
                  <w:w w:val="99"/>
                </w:rPr>
                <w:t>No. 001-32532), and incorporated herein by reference).</w:t>
              </w:r>
            </w:hyperlink>
          </w:p>
        </w:tc>
        <w:tc>
          <w:tcPr>
            <w:tcW w:w="5300" w:type="dxa"/>
            <w:vAlign w:val="bottom"/>
            <w:gridSpan w:val="5"/>
          </w:tcPr>
          <w:p>
            <w:pPr>
              <w:spacing w:after="0"/>
              <w:rPr>
                <w:sz w:val="17"/>
                <w:szCs w:val="17"/>
                <w:color w:val="auto"/>
              </w:rPr>
            </w:pPr>
          </w:p>
        </w:tc>
      </w:tr>
      <w:tr>
        <w:trPr>
          <w:trHeight w:val="318"/>
        </w:trPr>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4.4</w:t>
            </w:r>
          </w:p>
        </w:tc>
        <w:tc>
          <w:tcPr>
            <w:tcW w:w="10120" w:type="dxa"/>
            <w:vAlign w:val="bottom"/>
            <w:gridSpan w:val="7"/>
          </w:tcPr>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color w:val="auto"/>
                </w:rPr>
                <w:t>First Supplemental Indenture as of August 1, 2022, to the Trust Indenture in respect of the 2031 Notes dated as of August 18,</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2021, by and among Ashland Global Holdings Inc. (now Ashland Inc.), U.S. Bank Trust Company, National Association, as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trustee (filed as Exhibit 4.12 to Ashland's Form 10-K for the fiscal year ended September 30, 2022, filed on November 21, 2022</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80" w:type="dxa"/>
            <w:vAlign w:val="bottom"/>
            <w:gridSpan w:val="6"/>
          </w:tcPr>
          <w:p>
            <w:pPr>
              <w:spacing w:after="0" w:line="196" w:lineRule="exact"/>
              <w:rPr>
                <w:rFonts w:ascii="Times New Roman" w:cs="Times New Roman" w:eastAsia="Times New Roman" w:hAnsi="Times New Roman"/>
                <w:sz w:val="18"/>
                <w:szCs w:val="18"/>
                <w:color w:val="auto"/>
              </w:rPr>
            </w:pPr>
            <w:hyperlink r:id="rId74">
              <w:r>
                <w:rPr>
                  <w:rFonts w:ascii="Times New Roman" w:cs="Times New Roman" w:eastAsia="Times New Roman" w:hAnsi="Times New Roman"/>
                  <w:sz w:val="18"/>
                  <w:szCs w:val="18"/>
                  <w:color w:val="auto"/>
                </w:rPr>
                <w:t>(SEC File No. 333-211719), and incorporated herein by reference).</w:t>
              </w:r>
            </w:hyperlink>
          </w:p>
        </w:tc>
      </w:tr>
      <w:tr>
        <w:trPr>
          <w:trHeight w:val="574"/>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80" w:type="dxa"/>
            <w:vAlign w:val="bottom"/>
            <w:tcBorders>
              <w:top w:val="single" w:sz="8" w:color="0000EE"/>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tbl>
      <w:tblPr>
        <w:tblLayout w:type="fixed"/>
        <w:tblInd w:w="3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920" w:type="dxa"/>
            <w:vAlign w:val="bottom"/>
            <w:gridSpan w:val="9"/>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color w:val="auto"/>
                </w:rPr>
                <w:t>Third Supplemental Indenture dated October 19, 2016, among Ashland LLC, Ashland Global Holdings Inc. and US Bank</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8"/>
          </w:tcPr>
          <w:p>
            <w:pPr>
              <w:jc w:val="right"/>
              <w:spacing w:after="0" w:line="196" w:lineRule="exact"/>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National Association, to the Indenture dated as of February 26, 2013 between Ashland LLC and US Bank National Association</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bottom w:val="single" w:sz="8" w:color="0000EE"/>
            </w:tcBorders>
            <w:gridSpan w:val="8"/>
          </w:tcPr>
          <w:p>
            <w:pPr>
              <w:jc w:val="right"/>
              <w:spacing w:after="0" w:line="196" w:lineRule="exact"/>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(filed as Exhibit 4.2 to Ashland’s Form 8-K filed on October 20, 2016 (SEC File No. 333-211719), and incorporated herein by</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77">
              <w:r>
                <w:rPr>
                  <w:rFonts w:ascii="Times New Roman" w:cs="Times New Roman" w:eastAsia="Times New Roman" w:hAnsi="Times New Roman"/>
                  <w:sz w:val="18"/>
                  <w:szCs w:val="18"/>
                  <w:color w:val="auto"/>
                  <w:w w:val="95"/>
                </w:rPr>
                <w:t>reference).</w:t>
              </w:r>
            </w:hyperlink>
          </w:p>
        </w:tc>
        <w:tc>
          <w:tcPr>
            <w:tcW w:w="8500" w:type="dxa"/>
            <w:vAlign w:val="bottom"/>
            <w:gridSpan w:val="7"/>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920" w:type="dxa"/>
            <w:vAlign w:val="bottom"/>
            <w:gridSpan w:val="9"/>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color w:val="auto"/>
                </w:rPr>
                <w:t>Fourth Supplemental Indenture dated August 1, 2022, to the Trust Indenture dated as of February 26, 2013, between Ashland</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8"/>
          </w:tcPr>
          <w:p>
            <w:pPr>
              <w:jc w:val="right"/>
              <w:spacing w:after="0" w:line="196" w:lineRule="exact"/>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Global Holdings Inc. (now Ashland Inc.) and U.S. Bank Trust Company, National Association, as trustee (filed as Exhibit 4.14</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bottom w:val="single" w:sz="8" w:color="0000EE"/>
            </w:tcBorders>
            <w:gridSpan w:val="8"/>
          </w:tcPr>
          <w:p>
            <w:pPr>
              <w:jc w:val="right"/>
              <w:spacing w:after="0" w:line="196" w:lineRule="exact"/>
              <w:rPr>
                <w:rFonts w:ascii="Times New Roman" w:cs="Times New Roman" w:eastAsia="Times New Roman" w:hAnsi="Times New Roman"/>
                <w:sz w:val="18"/>
                <w:szCs w:val="18"/>
                <w:color w:val="auto"/>
              </w:rPr>
            </w:pPr>
            <w:hyperlink r:id="rId78">
              <w:r>
                <w:rPr>
                  <w:rFonts w:ascii="Times New Roman" w:cs="Times New Roman" w:eastAsia="Times New Roman" w:hAnsi="Times New Roman"/>
                  <w:sz w:val="18"/>
                  <w:szCs w:val="18"/>
                  <w:color w:val="auto"/>
                </w:rPr>
                <w:t>to Ashland's Form 10-K for the fiscal year ended September 30, 2022, filed on November 21, 2022 (SEC File No. 333-211719),</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78">
              <w:r>
                <w:rPr>
                  <w:rFonts w:ascii="Times New Roman" w:cs="Times New Roman" w:eastAsia="Times New Roman" w:hAnsi="Times New Roman"/>
                  <w:sz w:val="18"/>
                  <w:szCs w:val="18"/>
                  <w:color w:val="auto"/>
                  <w:w w:val="98"/>
                </w:rPr>
                <w:t>and incorporated herein by reference).</w:t>
              </w:r>
            </w:hyperlink>
          </w:p>
        </w:tc>
        <w:tc>
          <w:tcPr>
            <w:tcW w:w="6520" w:type="dxa"/>
            <w:vAlign w:val="bottom"/>
            <w:gridSpan w:val="6"/>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920" w:type="dxa"/>
            <w:vAlign w:val="bottom"/>
            <w:gridSpan w:val="9"/>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color w:val="auto"/>
                </w:rPr>
                <w:t>Indenture dated January 23, 2020, among Ashland Services B.V., Ashland Global Holdings Inc., Ashland LLC and U.S. Bank</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8"/>
          </w:tcPr>
          <w:p>
            <w:pPr>
              <w:jc w:val="right"/>
              <w:spacing w:after="0" w:line="196" w:lineRule="exact"/>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National Association, as trustee, in respect of the Senior Euro-Denominated Notes due 2028 (filed as Exhibit 4.1 to Ashland’s</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gridSpan w:val="8"/>
          </w:tcPr>
          <w:p>
            <w:pPr>
              <w:spacing w:after="0" w:line="196" w:lineRule="exact"/>
              <w:rPr>
                <w:rFonts w:ascii="Times New Roman" w:cs="Times New Roman" w:eastAsia="Times New Roman" w:hAnsi="Times New Roman"/>
                <w:sz w:val="18"/>
                <w:szCs w:val="18"/>
                <w:color w:val="auto"/>
              </w:rPr>
            </w:pPr>
            <w:hyperlink r:id="rId79">
              <w:r>
                <w:rPr>
                  <w:rFonts w:ascii="Times New Roman" w:cs="Times New Roman" w:eastAsia="Times New Roman" w:hAnsi="Times New Roman"/>
                  <w:sz w:val="18"/>
                  <w:szCs w:val="18"/>
                  <w:color w:val="auto"/>
                </w:rPr>
                <w:t>Form 8-K filed on January 23, 2020 (SEC File No. 333-211719)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4.8(a)</w:t>
            </w:r>
          </w:p>
        </w:tc>
        <w:tc>
          <w:tcPr>
            <w:tcW w:w="9920" w:type="dxa"/>
            <w:vAlign w:val="bottom"/>
            <w:gridSpan w:val="9"/>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color w:val="auto"/>
                </w:rPr>
                <w:t>Description of Capital Stock (filed as Exhibit 4.14(a) to Ashland’s Form 10-K for the fiscal year ended September 30, 2019</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80">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4.8(b)</w:t>
            </w:r>
          </w:p>
        </w:tc>
        <w:tc>
          <w:tcPr>
            <w:tcW w:w="9920" w:type="dxa"/>
            <w:vAlign w:val="bottom"/>
            <w:gridSpan w:val="9"/>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color w:val="auto"/>
                </w:rPr>
                <w:t>Description of 6.875% Senior Notes due 2043 (filed as Exhibit 4.14(b) to Ashland’s Form 10-K for the fiscal year ended</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81">
              <w:r>
                <w:rPr>
                  <w:rFonts w:ascii="Times New Roman" w:cs="Times New Roman" w:eastAsia="Times New Roman" w:hAnsi="Times New Roman"/>
                  <w:sz w:val="18"/>
                  <w:szCs w:val="18"/>
                  <w:color w:val="auto"/>
                  <w:w w:val="99"/>
                </w:rPr>
                <w:t>September 30, 2019 (SEC File No. 333-211719) and incorporated herein by reference).</w:t>
              </w:r>
            </w:hyperlink>
          </w:p>
        </w:tc>
        <w:tc>
          <w:tcPr>
            <w:tcW w:w="3000" w:type="dxa"/>
            <w:vAlign w:val="bottom"/>
            <w:tcBorders>
              <w:top w:val="single" w:sz="8" w:color="0000EE"/>
            </w:tcBorders>
            <w:gridSpan w:val="2"/>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4.8(c)**</w:t>
            </w:r>
          </w:p>
        </w:tc>
        <w:tc>
          <w:tcPr>
            <w:tcW w:w="9920" w:type="dxa"/>
            <w:vAlign w:val="bottom"/>
            <w:gridSpan w:val="9"/>
          </w:tcPr>
          <w:p>
            <w:pPr>
              <w:jc w:val="right"/>
              <w:ind w:right="4900"/>
              <w:spacing w:after="0"/>
              <w:rPr>
                <w:sz w:val="20"/>
                <w:szCs w:val="20"/>
                <w:color w:val="auto"/>
              </w:rPr>
            </w:pPr>
            <w:r>
              <w:rPr>
                <w:rFonts w:ascii="Times New Roman" w:cs="Times New Roman" w:eastAsia="Times New Roman" w:hAnsi="Times New Roman"/>
                <w:sz w:val="18"/>
                <w:szCs w:val="18"/>
                <w:color w:val="auto"/>
              </w:rPr>
              <w:t>–  Description of 3.75% Senior Notes due 2031, filed herewith.</w:t>
            </w:r>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920" w:type="dxa"/>
            <w:vAlign w:val="bottom"/>
            <w:gridSpan w:val="9"/>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color w:val="auto"/>
                </w:rPr>
                <w:t>Indenture dated August 18, 2021, among Ashland LLC, Ashland Global Holdings Inc. and U.S. Bank National Association, as</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8"/>
          </w:tcPr>
          <w:p>
            <w:pPr>
              <w:jc w:val="right"/>
              <w:spacing w:after="0" w:line="196" w:lineRule="exact"/>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trustee, in respect of the Notes due 2031 (filed as Exhibit 4.1 to Ashland’s Form 8-K filed on August 18, 2021 (SEC File No.</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gridSpan w:val="8"/>
          </w:tcPr>
          <w:p>
            <w:pPr>
              <w:spacing w:after="0" w:line="196" w:lineRule="exact"/>
              <w:rPr>
                <w:rFonts w:ascii="Times New Roman" w:cs="Times New Roman" w:eastAsia="Times New Roman" w:hAnsi="Times New Roman"/>
                <w:sz w:val="18"/>
                <w:szCs w:val="18"/>
                <w:color w:val="auto"/>
              </w:rPr>
            </w:pPr>
            <w:hyperlink r:id="rId82">
              <w:r>
                <w:rPr>
                  <w:rFonts w:ascii="Times New Roman" w:cs="Times New Roman" w:eastAsia="Times New Roman" w:hAnsi="Times New Roman"/>
                  <w:sz w:val="18"/>
                  <w:szCs w:val="18"/>
                  <w:color w:val="auto"/>
                </w:rPr>
                <w:t>333-211719),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Exhibits 10.1 through 10.67 are contracts or compensatory plans or arrangements or management contracts required to be filed as exhibits pursuant to Items 601(b)(10)(ii)(A) and 601(b)(10)(iii)(A) and (B) of Regulation S-K.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color w:val="auto"/>
                </w:rPr>
                <w:t>Amended and Restated Ashland Inc. Deferred Compensation Plan for Non-Employee Directors (2005) (filed as Exhibit 10.4 to</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Ashland’s Form 10-K for the fiscal year ended September 30, 2008 (SEC File No. 001-32532), and incorporated herein by</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5"/>
              </w:rPr>
            </w:pPr>
            <w:hyperlink r:id="rId83">
              <w:r>
                <w:rPr>
                  <w:rFonts w:ascii="Times New Roman" w:cs="Times New Roman" w:eastAsia="Times New Roman" w:hAnsi="Times New Roman"/>
                  <w:sz w:val="18"/>
                  <w:szCs w:val="18"/>
                  <w:color w:val="auto"/>
                  <w:w w:val="95"/>
                </w:rPr>
                <w:t>reference).</w:t>
              </w:r>
            </w:hyperlink>
          </w:p>
        </w:tc>
        <w:tc>
          <w:tcPr>
            <w:tcW w:w="8520" w:type="dxa"/>
            <w:vAlign w:val="bottom"/>
            <w:gridSpan w:val="9"/>
          </w:tcPr>
          <w:p>
            <w:pPr>
              <w:spacing w:after="0"/>
              <w:rPr>
                <w:sz w:val="17"/>
                <w:szCs w:val="17"/>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color w:val="auto"/>
                </w:rPr>
                <w:t>Amendment to the Amended and Restated Ashland Inc. Deferred Compensation Plan for Non-Employee Directors (2005) (filed</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as Exhibit 10.4 to Ashland’s Form 10-Q for the quarter ended March 31, 2015 (SEC File No. 001-32532), and incorporated</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84">
              <w:r>
                <w:rPr>
                  <w:rFonts w:ascii="Times New Roman" w:cs="Times New Roman" w:eastAsia="Times New Roman" w:hAnsi="Times New Roman"/>
                  <w:sz w:val="18"/>
                  <w:szCs w:val="18"/>
                  <w:color w:val="auto"/>
                  <w:w w:val="97"/>
                </w:rPr>
                <w:t>herein by reference).</w:t>
              </w:r>
            </w:hyperlink>
          </w:p>
        </w:tc>
        <w:tc>
          <w:tcPr>
            <w:tcW w:w="7800" w:type="dxa"/>
            <w:vAlign w:val="bottom"/>
            <w:gridSpan w:val="8"/>
          </w:tcPr>
          <w:p>
            <w:pPr>
              <w:spacing w:after="0"/>
              <w:rPr>
                <w:sz w:val="17"/>
                <w:szCs w:val="17"/>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auto"/>
                </w:rPr>
                <w:t>Amended and Restated Ashland Global Holdings Inc. Deferred Compensation Plan for Non-Employee Directors (2005)</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effective as of January 1, 2017 (filed as Exhibit 10.4 to Ashland’s Form 10-Q for the quarter ended December 31, 2016 (SEC</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85">
              <w:r>
                <w:rPr>
                  <w:rFonts w:ascii="Times New Roman" w:cs="Times New Roman" w:eastAsia="Times New Roman" w:hAnsi="Times New Roman"/>
                  <w:sz w:val="18"/>
                  <w:szCs w:val="18"/>
                  <w:color w:val="auto"/>
                  <w:w w:val="98"/>
                </w:rPr>
                <w:t>File No. 333-211719), and incorporated herein by reference).</w:t>
              </w:r>
            </w:hyperlink>
          </w:p>
        </w:tc>
        <w:tc>
          <w:tcPr>
            <w:tcW w:w="4900" w:type="dxa"/>
            <w:vAlign w:val="bottom"/>
            <w:gridSpan w:val="6"/>
          </w:tcPr>
          <w:p>
            <w:pPr>
              <w:spacing w:after="0"/>
              <w:rPr>
                <w:sz w:val="17"/>
                <w:szCs w:val="17"/>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color w:val="auto"/>
                </w:rPr>
                <w:t>Amended and Restated Ashland Inc. Deferred Compensation Plan for Employees (2005) (filed as Exhibit 10.3 to Ashland’s</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Form 10-K for the fiscal year ended September 30, 2008 (SEC File No. 001-32532) and incorporated herein by 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7">
              <w:r>
                <w:rPr>
                  <w:rFonts w:ascii="Times New Roman" w:cs="Times New Roman" w:eastAsia="Times New Roman" w:hAnsi="Times New Roman"/>
                  <w:sz w:val="18"/>
                  <w:szCs w:val="18"/>
                  <w:color w:val="auto"/>
                </w:rPr>
                <w:t>Ashland Global Holdings Inc. Deferred Compensation Plan for Employees (Amended and Restated Effective as of May 22,</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2019) (filed as Exhibit 10.1 to Ashland’s Form10-Q for the quarter ended June 30, 2019 (SEC File No. 333-211719), and</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10"/>
          </w:tcPr>
          <w:p>
            <w:pPr>
              <w:spacing w:after="0" w:line="196" w:lineRule="exact"/>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color w:val="auto"/>
                </w:rPr>
                <w:t>Ashland Global Holdings Inc. Deferred Compensation Plan for Non-Employee Directors (Amended and Restated as of May 22,</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2019) (filed as Exhibit 10.2 to Ashland’s Form 10-Q for the quarter ended June 30, 2019 (SEC File No. 333-21179), and</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gridSpan w:val="10"/>
          </w:tcPr>
          <w:p>
            <w:pPr>
              <w:spacing w:after="0" w:line="196" w:lineRule="exact"/>
              <w:rPr>
                <w:rFonts w:ascii="Times New Roman" w:cs="Times New Roman" w:eastAsia="Times New Roman" w:hAnsi="Times New Roman"/>
                <w:sz w:val="18"/>
                <w:szCs w:val="18"/>
                <w:color w:val="auto"/>
              </w:rPr>
            </w:pPr>
            <w:hyperlink r:id="rId88">
              <w:r>
                <w:rPr>
                  <w:rFonts w:ascii="Times New Roman" w:cs="Times New Roman" w:eastAsia="Times New Roman" w:hAnsi="Times New Roman"/>
                  <w:sz w:val="18"/>
                  <w:szCs w:val="18"/>
                  <w:color w:val="auto"/>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10.7</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color w:val="auto"/>
                </w:rPr>
                <w:t>Ashland Supplemental Defined Contribution Plan for Certain Employees (filed as Exhibit 10.3 to Ashland’s Form 10-Q for the</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quarter ended March 31, 2011 (SEC File No. 001-32532), and incorporated herein by reference) (Frozen).</w:t>
              </w:r>
            </w:hyperlink>
          </w:p>
        </w:tc>
      </w:tr>
      <w:tr>
        <w:trPr>
          <w:trHeight w:val="20"/>
        </w:trPr>
        <w:tc>
          <w:tcPr>
            <w:tcW w:w="1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4740" w:type="dxa"/>
            <w:vAlign w:val="bottom"/>
            <w:gridSpan w:val="5"/>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10.8</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auto"/>
                </w:rPr>
                <w:t>Amended and Restated 2011 Ashland Inc. Incentive Plan (filed as Exhibit 10.2 to Ashland’s Form 8-K filed on February 1, 2013</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90">
              <w:r>
                <w:rPr>
                  <w:rFonts w:ascii="Times New Roman" w:cs="Times New Roman" w:eastAsia="Times New Roman" w:hAnsi="Times New Roman"/>
                  <w:sz w:val="18"/>
                  <w:szCs w:val="18"/>
                  <w:color w:val="auto"/>
                  <w:w w:val="99"/>
                </w:rPr>
                <w:t>(SEC File No. 001-32532), and incorporated herein by reference).</w:t>
              </w:r>
            </w:hyperlink>
          </w:p>
        </w:tc>
        <w:tc>
          <w:tcPr>
            <w:tcW w:w="45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gridSpan w:val="11"/>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auto"/>
                </w:rPr>
                <w:t>Amended and Restated 2015 Ashland Global Holdings Inc. Incentive Plan (filed as Exhibit 10.21 to Ashland’s Form 10-K for</w:t>
              </w:r>
            </w:hyperlink>
          </w:p>
        </w:tc>
      </w:tr>
      <w:tr>
        <w:trPr>
          <w:trHeight w:val="196"/>
        </w:trPr>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91">
              <w:r>
                <w:rPr>
                  <w:rFonts w:ascii="Times New Roman" w:cs="Times New Roman" w:eastAsia="Times New Roman" w:hAnsi="Times New Roman"/>
                  <w:sz w:val="18"/>
                  <w:szCs w:val="18"/>
                  <w:color w:val="auto"/>
                </w:rPr>
                <w:t>the fiscal year ended September 30, 2016 (SEC File No. 333-211719), and incorporated by reference herein).</w:t>
              </w:r>
            </w:hyperlink>
          </w:p>
        </w:tc>
      </w:tr>
      <w:tr>
        <w:trPr>
          <w:trHeight w:val="574"/>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80" w:type="dxa"/>
            <w:vAlign w:val="bottom"/>
            <w:tcBorders>
              <w:top w:val="single" w:sz="8" w:color="0000EE"/>
            </w:tcBorders>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top w:val="single" w:sz="8" w:color="0000EE"/>
            </w:tcBorders>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10.10</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auto"/>
                </w:rPr>
                <w:t>Form of Stock Appreciation Rights Award Agreement under the Amended and Restated 2011 Ashland Inc. Incentive Plan (filed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as Exhibit 10.16 to Ashland’s Form 10-K for the fiscal year ended September 30, 2014 (SEC File No. 001-32532),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auto"/>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Incentive Plan (Double-Trigger Form) (filed as Exhibit 10.39 to Ashland’s Form 10-K for the fiscal year ended September 30,</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95">
              <w:r>
                <w:rPr>
                  <w:rFonts w:ascii="Times New Roman" w:cs="Times New Roman" w:eastAsia="Times New Roman" w:hAnsi="Times New Roman"/>
                  <w:sz w:val="18"/>
                  <w:szCs w:val="18"/>
                  <w:color w:val="auto"/>
                  <w:w w:val="99"/>
                </w:rPr>
                <w:t>2016 (SEC File No. 333-211719), and incorporated by reference herein).</w:t>
              </w:r>
            </w:hyperlink>
          </w:p>
        </w:tc>
        <w:tc>
          <w:tcPr>
            <w:tcW w:w="4060" w:type="dxa"/>
            <w:vAlign w:val="bottom"/>
            <w:gridSpan w:val="8"/>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auto"/>
                </w:rPr>
                <w:t>Form of Indemnification Agreement between Ashland and members of its Board of Directors (filed as Exhibit 10.2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Form 8-K filed on September 20, 2016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auto"/>
                </w:rPr>
                <w:t>Form of Cash-Settled Performance Unit (LTIP) Award Agreement under the Amended and Restated 2015 Ashland Global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Holdings Inc. Incentive Plan (Double-Trigger Form) (filed as Exhibit 10.59 to Ashland’s Form 10-K for the fiscal year ended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September 30, 2016 (SEC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auto"/>
                </w:rPr>
                <w:t>Amended and Restated Hercules Deferred Compensation Plan effective January 1, 2008 (filed as Exhibit 10.8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98">
              <w:r>
                <w:rPr>
                  <w:rFonts w:ascii="Times New Roman" w:cs="Times New Roman" w:eastAsia="Times New Roman" w:hAnsi="Times New Roman"/>
                  <w:sz w:val="18"/>
                  <w:szCs w:val="18"/>
                  <w:color w:val="auto"/>
                  <w:w w:val="99"/>
                </w:rPr>
                <w:t>Form 10-K for the fiscal year ended on September 30, 2010 (SEC File No. 001-32532), and incorporated herein by reference).</w:t>
              </w:r>
            </w:hyperlink>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10.15</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auto"/>
                </w:rPr>
                <w:t>Amendment to the Amended and Restated Hercules Deferred Compensation Plan dated September 30, 2016 (annuity cash-out)</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(filed as Exhibit 10.61 to Ashland’s Form 10-K for the fiscal year ended September 30, 2016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10.16</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auto"/>
                </w:rPr>
                <w:t>Ashland Global Holdings Inc. 2018 Omnibus Incentive Compensation Plan (filed as Exhibit 10.1 to Ashland’s Form 8-K filed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00">
              <w:r>
                <w:rPr>
                  <w:rFonts w:ascii="Times New Roman" w:cs="Times New Roman" w:eastAsia="Times New Roman" w:hAnsi="Times New Roman"/>
                  <w:sz w:val="18"/>
                  <w:szCs w:val="18"/>
                  <w:color w:val="auto"/>
                  <w:w w:val="99"/>
                </w:rPr>
                <w:t>on January 26, 2018 (SEC File No. 333-211719), and incorporated herein by reference).</w:t>
              </w:r>
            </w:hyperlink>
          </w:p>
        </w:tc>
        <w:tc>
          <w:tcPr>
            <w:tcW w:w="29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auto"/>
                </w:rPr>
                <w:t>Form of Stock-Settled Restricted Stock Unit Award Agreement under the Ashland Global Holdings Inc. 2018 Omnibus</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1">
              <w:r>
                <w:rPr>
                  <w:rFonts w:ascii="Times New Roman" w:cs="Times New Roman" w:eastAsia="Times New Roman" w:hAnsi="Times New Roman"/>
                  <w:sz w:val="18"/>
                  <w:szCs w:val="18"/>
                  <w:color w:val="auto"/>
                </w:rPr>
                <w:t>Incentive Compensation Plan (filed as Exhibit 10.2 to Ashland’s Form 8-K filed on January 26, 2018 (SEC File No. 333-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101">
              <w:r>
                <w:rPr>
                  <w:rFonts w:ascii="Times New Roman" w:cs="Times New Roman" w:eastAsia="Times New Roman" w:hAnsi="Times New Roman"/>
                  <w:sz w:val="18"/>
                  <w:szCs w:val="18"/>
                  <w:color w:val="auto"/>
                  <w:w w:val="98"/>
                </w:rPr>
                <w:t>211719), and incorporated herein by reference).</w:t>
              </w:r>
            </w:hyperlink>
          </w:p>
        </w:tc>
        <w:tc>
          <w:tcPr>
            <w:tcW w:w="58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auto"/>
                </w:rPr>
                <w:t>Form of Restricted Stock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1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2">
              <w:r>
                <w:rPr>
                  <w:rFonts w:ascii="Times New Roman" w:cs="Times New Roman" w:eastAsia="Times New Roman" w:hAnsi="Times New Roman"/>
                  <w:sz w:val="18"/>
                  <w:szCs w:val="18"/>
                  <w:color w:val="auto"/>
                </w:rPr>
                <w:t>Plan (filed as Exhibit 10.3 to Ashland’s Form 8-K filed on January 26, 2018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02">
              <w:r>
                <w:rPr>
                  <w:rFonts w:ascii="Times New Roman" w:cs="Times New Roman" w:eastAsia="Times New Roman" w:hAnsi="Times New Roman"/>
                  <w:sz w:val="18"/>
                  <w:szCs w:val="18"/>
                  <w:color w:val="auto"/>
                  <w:w w:val="97"/>
                </w:rPr>
                <w:t>herein by reference).</w:t>
              </w:r>
            </w:hyperlink>
          </w:p>
        </w:tc>
        <w:tc>
          <w:tcPr>
            <w:tcW w:w="7800" w:type="dxa"/>
            <w:vAlign w:val="bottom"/>
            <w:gridSpan w:val="11"/>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auto"/>
                </w:rPr>
                <w:t>Form of Stock Appreciation Rights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Compensation Plan (filed as Exhibit 10.4 to Ashland’s Form 8-K filed on January 26, 2018 (SEC File No. 333-211719), and</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10.20</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color w:val="auto"/>
                </w:rPr>
                <w:t>Form of Performance Unit Award Agreement under the Ashland Global Holdings Inc. 2018 Omnibus Incentive Compensation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Plan (filed as Exhibit 10.5 to Ashland’s Form 8-K filed on January 26, 2018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04">
              <w:r>
                <w:rPr>
                  <w:rFonts w:ascii="Times New Roman" w:cs="Times New Roman" w:eastAsia="Times New Roman" w:hAnsi="Times New Roman"/>
                  <w:sz w:val="18"/>
                  <w:szCs w:val="18"/>
                  <w:color w:val="auto"/>
                  <w:w w:val="97"/>
                </w:rPr>
                <w:t>herein by reference).</w:t>
              </w:r>
            </w:hyperlink>
          </w:p>
        </w:tc>
        <w:tc>
          <w:tcPr>
            <w:tcW w:w="7800" w:type="dxa"/>
            <w:vAlign w:val="bottom"/>
            <w:gridSpan w:val="11"/>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color w:val="auto"/>
                </w:rPr>
                <w:t>Form of Cash-Settled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Compensation Plan (filed as Exhibit 10.6 to Ashland’s Form 8-K filed on January 26, 2018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color w:val="auto"/>
                </w:rPr>
                <w:t>Ashland Global Holdings Inc. NonQualified Defined Contribution Plan (Amended and Restated as of May 22, 2019)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Exhibit 10.3 to Ashland’s Form 10-Q for the quarter ended June 30, 2019 (SEC File No. 333-211719), and incorporated herein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6"/>
              </w:rPr>
            </w:pPr>
            <w:hyperlink r:id="rId106">
              <w:r>
                <w:rPr>
                  <w:rFonts w:ascii="Times New Roman" w:cs="Times New Roman" w:eastAsia="Times New Roman" w:hAnsi="Times New Roman"/>
                  <w:sz w:val="18"/>
                  <w:szCs w:val="18"/>
                  <w:color w:val="auto"/>
                  <w:w w:val="96"/>
                </w:rPr>
                <w:t>by reference).</w:t>
              </w:r>
            </w:hyperlink>
          </w:p>
        </w:tc>
        <w:tc>
          <w:tcPr>
            <w:tcW w:w="8300" w:type="dxa"/>
            <w:vAlign w:val="bottom"/>
            <w:gridSpan w:val="12"/>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color w:val="auto"/>
                </w:rPr>
                <w:t>Ashland Global Holdings Inc. Supplemental Defined Contribution Plan for Certain Employees (Amended and Restated as of</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May 22, 2019) (filed as Exhibit 10.39 to Ashland’s Form 10-K filed on November 25, 2019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13"/>
          </w:tcPr>
          <w:p>
            <w:pPr>
              <w:spacing w:after="0" w:line="196" w:lineRule="exact"/>
              <w:rPr>
                <w:rFonts w:ascii="Times New Roman" w:cs="Times New Roman" w:eastAsia="Times New Roman" w:hAnsi="Times New Roman"/>
                <w:sz w:val="18"/>
                <w:szCs w:val="18"/>
                <w:color w:val="auto"/>
              </w:rPr>
            </w:pPr>
            <w:hyperlink r:id="rId107">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color w:val="auto"/>
                </w:rPr>
                <w:t>Form of Restricted Stock Award Agreement under the Ashland Global Holdings Inc. 2018 Omnibus Incentive Compensation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Plan (with pro-rata vesting upon death, disability and retirement) (filed as Exhibit 10.5 to Ashland’s Form 10-Q for the quarter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08">
              <w:r>
                <w:rPr>
                  <w:rFonts w:ascii="Times New Roman" w:cs="Times New Roman" w:eastAsia="Times New Roman" w:hAnsi="Times New Roman"/>
                  <w:sz w:val="18"/>
                  <w:szCs w:val="18"/>
                  <w:color w:val="auto"/>
                  <w:w w:val="99"/>
                </w:rPr>
                <w:t>ended June 30, 2019 (SEC File No. 333-211719), and incorporated herein by reference).</w:t>
              </w:r>
            </w:hyperlink>
          </w:p>
        </w:tc>
        <w:tc>
          <w:tcPr>
            <w:tcW w:w="2940" w:type="dxa"/>
            <w:vAlign w:val="bottom"/>
            <w:gridSpan w:val="4"/>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gridSpan w:val="14"/>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color w:val="auto"/>
                </w:rPr>
                <w:t>Form of Stock Appreciation Rights Award Agreement (Stock Settled) under the Ashland Global Holdings Inc. 2018 Omnibus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Incentive Compensation Plan (with pro-rata vesting upon death, disability and</w:t>
              </w:r>
            </w:hyperlink>
          </w:p>
        </w:tc>
        <w:tc>
          <w:tcPr>
            <w:tcW w:w="20" w:type="dxa"/>
            <w:vAlign w:val="bottom"/>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20" w:type="dxa"/>
            <w:vAlign w:val="bottom"/>
            <w:tcBorders>
              <w:top w:val="single" w:sz="8" w:color="0000EE"/>
            </w:tcBorders>
            <w:gridSpan w:val="5"/>
          </w:tcPr>
          <w:p>
            <w:pPr>
              <w:jc w:val="right"/>
              <w:ind w:right="1460"/>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retirement) (filed as Exhibit 10.6 to Ashland’s Form 10-Q for the quarter ended June 30, 2019 (SEC File No. 333-211719), and</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1"/>
          </w:tcPr>
          <w:p>
            <w:pPr>
              <w:spacing w:after="0" w:line="196" w:lineRule="exact"/>
              <w:rPr>
                <w:rFonts w:ascii="Times New Roman" w:cs="Times New Roman" w:eastAsia="Times New Roman" w:hAnsi="Times New Roman"/>
                <w:sz w:val="18"/>
                <w:szCs w:val="18"/>
                <w:color w:val="auto"/>
              </w:rPr>
            </w:pPr>
            <w:hyperlink r:id="rId109">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10.26</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Form of Restricted Stock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12">
              <w:r>
                <w:rPr>
                  <w:rFonts w:ascii="Times New Roman" w:cs="Times New Roman" w:eastAsia="Times New Roman" w:hAnsi="Times New Roman"/>
                  <w:sz w:val="18"/>
                  <w:szCs w:val="18"/>
                  <w:color w:val="auto"/>
                </w:rPr>
                <w:t>Compensation Plan (with pro-rata vesting upon death, disability and retirement) (filed as Exhibit 10.7 to Ashland’s Form 10-Q</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12">
              <w:r>
                <w:rPr>
                  <w:rFonts w:ascii="Times New Roman" w:cs="Times New Roman" w:eastAsia="Times New Roman" w:hAnsi="Times New Roman"/>
                  <w:sz w:val="18"/>
                  <w:szCs w:val="18"/>
                  <w:color w:val="auto"/>
                  <w:w w:val="99"/>
                </w:rPr>
                <w:t>for the quarter ended June 30, 2019 (SEC File No. 333-211719), and incorporated herein by reference).</w:t>
              </w:r>
            </w:hyperlink>
          </w:p>
        </w:tc>
        <w:tc>
          <w:tcPr>
            <w:tcW w:w="1860" w:type="dxa"/>
            <w:vAlign w:val="bottom"/>
            <w:gridSpan w:val="3"/>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color w:val="auto"/>
                </w:rPr>
                <w:t>Form of Stock-Settled Performance Unit Award Agreement under the Ashland Global Holdings Inc. 2018 Omnibus Incentive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Compensation Plan (with pro-rata vesting upon death, disability and retirement) (filed as Exhibit 10.8 to Ashland’s Form 10-Q</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13">
              <w:r>
                <w:rPr>
                  <w:rFonts w:ascii="Times New Roman" w:cs="Times New Roman" w:eastAsia="Times New Roman" w:hAnsi="Times New Roman"/>
                  <w:sz w:val="18"/>
                  <w:szCs w:val="18"/>
                  <w:color w:val="auto"/>
                  <w:w w:val="99"/>
                </w:rPr>
                <w:t>for the quarter ended June 30, 2019 (SEC File No. 333-211719), and incorporated herein by reference).</w:t>
              </w:r>
            </w:hyperlink>
          </w:p>
        </w:tc>
        <w:tc>
          <w:tcPr>
            <w:tcW w:w="1860" w:type="dxa"/>
            <w:vAlign w:val="bottom"/>
            <w:gridSpan w:val="3"/>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color w:val="auto"/>
                </w:rPr>
                <w:t>Offer Letter dated as of October 8, 2019, entered into by Guillermo Novo and Ashland Global Holdings Inc. (filed as Exhibit</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10.1 to Ashland’s Form 8-K filed on October 8, 2019 (SEC File 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10.29</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Ashland Global Holdings Inc. 2021 Omnibus Incentive Compensation Plan (filed as Exhibit 10.1 to Ashland’s Form 8-K filed</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115">
              <w:r>
                <w:rPr>
                  <w:rFonts w:ascii="Times New Roman" w:cs="Times New Roman" w:eastAsia="Times New Roman" w:hAnsi="Times New Roman"/>
                  <w:sz w:val="18"/>
                  <w:szCs w:val="18"/>
                  <w:color w:val="auto"/>
                  <w:w w:val="99"/>
                </w:rPr>
                <w:t>on February 3, 2021 (SEC File No. 333-211719) and incorporated herein by reference).</w:t>
              </w:r>
            </w:hyperlink>
          </w:p>
        </w:tc>
        <w:tc>
          <w:tcPr>
            <w:tcW w:w="3000" w:type="dxa"/>
            <w:vAlign w:val="bottom"/>
            <w:gridSpan w:val="4"/>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10.30</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color w:val="auto"/>
                </w:rPr>
                <w:t>Form of Stock-Settled Restricted Stock Unit Award Agreement (filed as Exhibit 10.2 to Ashland’s Form 8-K filed on February</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116">
              <w:r>
                <w:rPr>
                  <w:rFonts w:ascii="Times New Roman" w:cs="Times New Roman" w:eastAsia="Times New Roman" w:hAnsi="Times New Roman"/>
                  <w:sz w:val="18"/>
                  <w:szCs w:val="18"/>
                  <w:color w:val="auto"/>
                  <w:w w:val="99"/>
                </w:rPr>
                <w:t>3, 2021 (SEC File No. 333-211719) and incorporated herein by reference).</w:t>
              </w:r>
            </w:hyperlink>
          </w:p>
        </w:tc>
        <w:tc>
          <w:tcPr>
            <w:tcW w:w="3920" w:type="dxa"/>
            <w:vAlign w:val="bottom"/>
            <w:tcBorders>
              <w:top w:val="single" w:sz="8" w:color="0000EE"/>
            </w:tcBorders>
            <w:gridSpan w:val="5"/>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10.31</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color w:val="auto"/>
                </w:rPr>
                <w:t>Form of Restricted Share Award Agreement (filed as Exhibit 10.3 to Ashland’s Form 8-K filed on February 3, 2021 (SEC File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No. 333-211719) and incorporated herein by 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10.32</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Form of Stock Appreciation Rights Award Agreement (filed as Exhibit 10.4 to Ashland’s Form 8-K filed on February 3, 2021</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1"/>
          </w:tcPr>
          <w:p>
            <w:pPr>
              <w:spacing w:after="0" w:line="196" w:lineRule="exact"/>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10.33</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auto"/>
                </w:rPr>
                <w:t>Form of Performance Unit Award Agreement (filed as Exhibit 10.5 to Ashland’s Form 8-K filed on February 3, 2021 (SEC File</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119">
              <w:r>
                <w:rPr>
                  <w:rFonts w:ascii="Times New Roman" w:cs="Times New Roman" w:eastAsia="Times New Roman" w:hAnsi="Times New Roman"/>
                  <w:sz w:val="18"/>
                  <w:szCs w:val="18"/>
                  <w:color w:val="auto"/>
                  <w:w w:val="99"/>
                </w:rPr>
                <w:t>No. 333-211719) and incorporated herein by reference).</w:t>
              </w:r>
            </w:hyperlink>
          </w:p>
        </w:tc>
        <w:tc>
          <w:tcPr>
            <w:tcW w:w="5260" w:type="dxa"/>
            <w:vAlign w:val="bottom"/>
            <w:tcBorders>
              <w:top w:val="single" w:sz="8" w:color="0000EE"/>
            </w:tcBorders>
            <w:gridSpan w:val="7"/>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10.34</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120">
              <w:r>
                <w:rPr>
                  <w:rFonts w:ascii="Times New Roman" w:cs="Times New Roman" w:eastAsia="Times New Roman" w:hAnsi="Times New Roman"/>
                  <w:sz w:val="18"/>
                  <w:szCs w:val="18"/>
                  <w:color w:val="auto"/>
                </w:rPr>
                <w:t>Form of Cash-Settled Restricted Stock Unit Award Agreement (filed as Exhibit 10.6 to Ashland’s Form 8-K filed on February</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120">
              <w:r>
                <w:rPr>
                  <w:rFonts w:ascii="Times New Roman" w:cs="Times New Roman" w:eastAsia="Times New Roman" w:hAnsi="Times New Roman"/>
                  <w:sz w:val="18"/>
                  <w:szCs w:val="18"/>
                  <w:color w:val="auto"/>
                  <w:w w:val="99"/>
                </w:rPr>
                <w:t>3, 2021 (SEC File No. 333-211719) and incorporated herein by reference).</w:t>
              </w:r>
            </w:hyperlink>
          </w:p>
        </w:tc>
        <w:tc>
          <w:tcPr>
            <w:tcW w:w="3920" w:type="dxa"/>
            <w:vAlign w:val="bottom"/>
            <w:gridSpan w:val="5"/>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10.35</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color w:val="auto"/>
                </w:rPr>
                <w:t>Form of Cash Settled Restricted Stock Equivalent Award Agreement for Non-U.S. Participants under the Ashland Global</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21">
              <w:r>
                <w:rPr>
                  <w:rFonts w:ascii="Times New Roman" w:cs="Times New Roman" w:eastAsia="Times New Roman" w:hAnsi="Times New Roman"/>
                  <w:sz w:val="18"/>
                  <w:szCs w:val="18"/>
                  <w:color w:val="auto"/>
                  <w:w w:val="99"/>
                </w:rPr>
                <w:t>Holdings Inc. 2021 Omnibus Incentive Compensation Plan (filed as Exhibit 10.2 to Ashland’s Form 8-K filed on August 6, 2021</w:t>
              </w:r>
            </w:hyperlink>
          </w:p>
        </w:tc>
        <w:tc>
          <w:tcPr>
            <w:tcW w:w="2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1"/>
          </w:tcPr>
          <w:p>
            <w:pPr>
              <w:spacing w:after="0" w:line="196" w:lineRule="exact"/>
              <w:rPr>
                <w:rFonts w:ascii="Times New Roman" w:cs="Times New Roman" w:eastAsia="Times New Roman" w:hAnsi="Times New Roman"/>
                <w:sz w:val="18"/>
                <w:szCs w:val="18"/>
                <w:color w:val="auto"/>
              </w:rPr>
            </w:pPr>
            <w:hyperlink r:id="rId121">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10.36</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auto"/>
                </w:rPr>
                <w:t>Form of Cash Settled Performance Unit Award Agreement for Non-U.S. Participants under the Ashland Global Holdings Inc.</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2021 Omnibus Incentive Compensation Plan (filed as Exhibit 10.3 to Ashland’s Form 8-K filed on August 6, 2021 (SEC File</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1"/>
          </w:tcPr>
          <w:p>
            <w:pPr>
              <w:spacing w:after="0" w:line="196" w:lineRule="exact"/>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10.37</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auto"/>
                </w:rPr>
                <w:t>Form of Stock Settled Performance Unit Agreement for U.S. Employees under the Ashland Global Holdings Inc. 2021 Omnibus</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Incentive Compensation Plan (filed as Exhibit 10.4 to Ashland’s Form 8-K filed on August 6, 2021 (SEC File No. 333-211719)</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123">
              <w:r>
                <w:rPr>
                  <w:rFonts w:ascii="Times New Roman" w:cs="Times New Roman" w:eastAsia="Times New Roman" w:hAnsi="Times New Roman"/>
                  <w:sz w:val="18"/>
                  <w:szCs w:val="18"/>
                  <w:color w:val="auto"/>
                  <w:w w:val="99"/>
                </w:rPr>
                <w:t>and incorporated herein by reference).</w:t>
              </w:r>
            </w:hyperlink>
          </w:p>
        </w:tc>
        <w:tc>
          <w:tcPr>
            <w:tcW w:w="6540" w:type="dxa"/>
            <w:vAlign w:val="bottom"/>
            <w:gridSpan w:val="9"/>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10.38</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auto"/>
                </w:rPr>
                <w:t>Form of Restricted Stock Unit Agreement for U.S. Employees under the Ashland Global Holdings Inc. 2021 Omnibus Incentive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8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Compensation Plan (filed as Exhibit 10.5 to Ashland’s Form 8-K filed on August 6, 2021 (SEC File No. 333-211719) and</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1"/>
          </w:tcPr>
          <w:p>
            <w:pPr>
              <w:spacing w:after="0" w:line="196" w:lineRule="exact"/>
              <w:rPr>
                <w:rFonts w:ascii="Times New Roman" w:cs="Times New Roman" w:eastAsia="Times New Roman" w:hAnsi="Times New Roman"/>
                <w:sz w:val="18"/>
                <w:szCs w:val="18"/>
                <w:color w:val="auto"/>
              </w:rPr>
            </w:pPr>
            <w:hyperlink r:id="rId124">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10.39</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auto"/>
                </w:rPr>
                <w:t>Form of Stock-Settled Performance Unit Agreement for (Germany) under the Ashland Global Holdings Inc. 2021 Omnibus</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5">
              <w:r>
                <w:rPr>
                  <w:rFonts w:ascii="Times New Roman" w:cs="Times New Roman" w:eastAsia="Times New Roman" w:hAnsi="Times New Roman"/>
                  <w:sz w:val="18"/>
                  <w:szCs w:val="18"/>
                  <w:color w:val="auto"/>
                </w:rPr>
                <w:t>Incentive Compensation Plan (filed as Exhibit 10.6 to Ashland’s Form 8-K filed on August 6, 2021 (SEC File No. 333-211719)</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125">
              <w:r>
                <w:rPr>
                  <w:rFonts w:ascii="Times New Roman" w:cs="Times New Roman" w:eastAsia="Times New Roman" w:hAnsi="Times New Roman"/>
                  <w:sz w:val="18"/>
                  <w:szCs w:val="18"/>
                  <w:color w:val="auto"/>
                  <w:w w:val="99"/>
                </w:rPr>
                <w:t>and incorporated herein by reference).</w:t>
              </w:r>
            </w:hyperlink>
          </w:p>
        </w:tc>
        <w:tc>
          <w:tcPr>
            <w:tcW w:w="6540" w:type="dxa"/>
            <w:vAlign w:val="bottom"/>
            <w:gridSpan w:val="9"/>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10.40</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auto"/>
                </w:rPr>
                <w:t>Form of Restricted Stock Unit Agreement for (Germany) under the Ashland Global Holdings Inc. 2021 Omnibus Incentive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8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Compensation Plan (filed as Exhibit 10.7 to Ashland’s Form 8-K filed on August 6, 2021 (SEC File No. 333-211719) and</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11"/>
          </w:tcPr>
          <w:p>
            <w:pPr>
              <w:spacing w:after="0" w:line="196" w:lineRule="exact"/>
              <w:rPr>
                <w:rFonts w:ascii="Times New Roman" w:cs="Times New Roman" w:eastAsia="Times New Roman" w:hAnsi="Times New Roman"/>
                <w:sz w:val="18"/>
                <w:szCs w:val="18"/>
                <w:color w:val="auto"/>
              </w:rPr>
            </w:pPr>
            <w:hyperlink r:id="rId126">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10.41</w:t>
            </w:r>
          </w:p>
        </w:tc>
        <w:tc>
          <w:tcPr>
            <w:tcW w:w="10040" w:type="dxa"/>
            <w:vAlign w:val="bottom"/>
            <w:gridSpan w:val="12"/>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auto"/>
                </w:rPr>
                <w:t>Form of Chief Executive Officer Change in Control Agreement (filed as Exhibit 10.69 to Ashland's Form 10-K for the fiscal</w:t>
              </w:r>
            </w:hyperlink>
          </w:p>
        </w:tc>
      </w:tr>
      <w:tr>
        <w:trPr>
          <w:trHeight w:val="196"/>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27">
              <w:r>
                <w:rPr>
                  <w:rFonts w:ascii="Times New Roman" w:cs="Times New Roman" w:eastAsia="Times New Roman" w:hAnsi="Times New Roman"/>
                  <w:sz w:val="18"/>
                  <w:szCs w:val="18"/>
                  <w:color w:val="auto"/>
                </w:rPr>
                <w:t>year ended September 30, 2021, filed on November 22, 2021 (SEC File No. 333-211719), and incorporated by reference herein.</w:t>
              </w:r>
            </w:hyperlink>
          </w:p>
        </w:tc>
      </w:tr>
      <w:tr>
        <w:trPr>
          <w:trHeight w:val="57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tcBorders>
              <w:top w:val="single" w:sz="8" w:color="0000EE"/>
            </w:tcBorders>
            <w:gridSpan w:val="3"/>
          </w:tcPr>
          <w:p>
            <w:pPr>
              <w:ind w:left="360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10.42</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auto"/>
                </w:rPr>
                <w:t>Ashland Inc. Senior Leadership Severance Plan (effective as of September 19, 2022) filed as Exhibit 10.60 to Ashland's Form</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0">
              <w:r>
                <w:rPr>
                  <w:rFonts w:ascii="Times New Roman" w:cs="Times New Roman" w:eastAsia="Times New Roman" w:hAnsi="Times New Roman"/>
                  <w:sz w:val="18"/>
                  <w:szCs w:val="18"/>
                  <w:color w:val="auto"/>
                </w:rPr>
                <w:t>10-K for the fiscal year ended September 30, 2022, filed on November 21, 2022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8"/>
              </w:rPr>
            </w:pPr>
            <w:hyperlink r:id="rId130">
              <w:r>
                <w:rPr>
                  <w:rFonts w:ascii="Times New Roman" w:cs="Times New Roman" w:eastAsia="Times New Roman" w:hAnsi="Times New Roman"/>
                  <w:sz w:val="18"/>
                  <w:szCs w:val="18"/>
                  <w:color w:val="auto"/>
                  <w:w w:val="98"/>
                </w:rPr>
                <w:t>by reference herein.</w:t>
              </w:r>
            </w:hyperlink>
          </w:p>
        </w:tc>
        <w:tc>
          <w:tcPr>
            <w:tcW w:w="7840" w:type="dxa"/>
            <w:vAlign w:val="bottom"/>
            <w:gridSpan w:val="6"/>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10.43</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auto"/>
                </w:rPr>
                <w:t>Form of Stock-Settled Performance Unit Agreement for US Employees, effective as of September 19, 2022 under the Ashland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1">
              <w:r>
                <w:rPr>
                  <w:rFonts w:ascii="Times New Roman" w:cs="Times New Roman" w:eastAsia="Times New Roman" w:hAnsi="Times New Roman"/>
                  <w:sz w:val="18"/>
                  <w:szCs w:val="18"/>
                  <w:color w:val="auto"/>
                </w:rPr>
                <w:t>Global Holdings Inc. 2021 Omnibus Incentive Compensation Plan filed as Exhibit 10.61 to Ashland's Form 10-K for the fiscal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31">
              <w:r>
                <w:rPr>
                  <w:rFonts w:ascii="Times New Roman" w:cs="Times New Roman" w:eastAsia="Times New Roman" w:hAnsi="Times New Roman"/>
                  <w:sz w:val="18"/>
                  <w:szCs w:val="18"/>
                  <w:color w:val="auto"/>
                  <w:w w:val="99"/>
                </w:rPr>
                <w:t>year ended September 30, 2022, filed on November 21, 2022 (SEC File No. 333-211719), and incorporated by reference herein.</w:t>
              </w:r>
            </w:hyperlink>
          </w:p>
        </w:tc>
        <w:tc>
          <w:tcPr>
            <w:tcW w:w="80" w:type="dxa"/>
            <w:vAlign w:val="bottom"/>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10.44</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auto"/>
                </w:rPr>
                <w:t>Form of Cash-Settled Performance Unit (PSU) Award Agreement for Non-US Participants, effective as of September 19, 2022</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under the Ashland Global Holdings Inc. 2021 Omnibus Incentive Compensation Plan filed as Exhibit 10.62 to Ashland's Form</w:t>
              </w:r>
            </w:hyperlink>
          </w:p>
        </w:tc>
        <w:tc>
          <w:tcPr>
            <w:tcW w:w="80" w:type="dxa"/>
            <w:vAlign w:val="bottom"/>
            <w:tcBorders>
              <w:top w:val="single" w:sz="8" w:color="0000EE"/>
            </w:tcBorders>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2">
              <w:r>
                <w:rPr>
                  <w:rFonts w:ascii="Times New Roman" w:cs="Times New Roman" w:eastAsia="Times New Roman" w:hAnsi="Times New Roman"/>
                  <w:sz w:val="18"/>
                  <w:szCs w:val="18"/>
                  <w:color w:val="auto"/>
                </w:rPr>
                <w:t>10-K for the fiscal year ended September 30, 2022, filed on November 21, 2022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132">
              <w:r>
                <w:rPr>
                  <w:rFonts w:ascii="Times New Roman" w:cs="Times New Roman" w:eastAsia="Times New Roman" w:hAnsi="Times New Roman"/>
                  <w:sz w:val="18"/>
                  <w:szCs w:val="18"/>
                  <w:color w:val="auto"/>
                  <w:w w:val="97"/>
                </w:rPr>
                <w:t>by reference herein.</w:t>
              </w:r>
            </w:hyperlink>
          </w:p>
        </w:tc>
        <w:tc>
          <w:tcPr>
            <w:tcW w:w="7860" w:type="dxa"/>
            <w:vAlign w:val="bottom"/>
            <w:gridSpan w:val="7"/>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10.45</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auto"/>
                </w:rPr>
                <w:t>Form of Restricted Stock Unit (RSU) Award Agreement for US Participants, effective as of September 19, 2022 under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Ashland Global Holdings Inc. 2021 Omnibus Incentive Compensation Plan filed as Exhibit 10.63 to Ashland's Form 10-K for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the fiscal year ended September 30, 2022, filed on November 21, 2022 (SEC File No. 333-211719), and incorporated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9"/>
          </w:tcPr>
          <w:p>
            <w:pPr>
              <w:spacing w:after="0" w:line="196" w:lineRule="exact"/>
              <w:rPr>
                <w:rFonts w:ascii="Times New Roman" w:cs="Times New Roman" w:eastAsia="Times New Roman" w:hAnsi="Times New Roman"/>
                <w:sz w:val="18"/>
                <w:szCs w:val="18"/>
                <w:color w:val="auto"/>
              </w:rPr>
            </w:pPr>
            <w:hyperlink r:id="rId133">
              <w:r>
                <w:rPr>
                  <w:rFonts w:ascii="Times New Roman" w:cs="Times New Roman" w:eastAsia="Times New Roman" w:hAnsi="Times New Roman"/>
                  <w:sz w:val="18"/>
                  <w:szCs w:val="18"/>
                  <w:color w:val="auto"/>
                </w:rPr>
                <w:t>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10.46</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auto"/>
                </w:rPr>
                <w:t>Form of Cash-Settled Restricted Equivalent (RSE) Award Agreement for Non-US Participants, effective as of September 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2022 under the Ashland Global Holdings Inc. 2021 Omnibus Incentive Compensation Plan filed as Exhibit 10.64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Form 10-K for the fiscal year ended September 30, 2022, filed on November 21, 2022 (SEC File No. 333-211719), and</w:t>
              </w:r>
            </w:hyperlink>
          </w:p>
        </w:tc>
        <w:tc>
          <w:tcPr>
            <w:tcW w:w="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9"/>
          </w:tcPr>
          <w:p>
            <w:pPr>
              <w:spacing w:after="0" w:line="196" w:lineRule="exact"/>
              <w:rPr>
                <w:rFonts w:ascii="Times New Roman" w:cs="Times New Roman" w:eastAsia="Times New Roman" w:hAnsi="Times New Roman"/>
                <w:sz w:val="18"/>
                <w:szCs w:val="18"/>
                <w:color w:val="auto"/>
              </w:rPr>
            </w:pPr>
            <w:hyperlink r:id="rId134">
              <w:r>
                <w:rPr>
                  <w:rFonts w:ascii="Times New Roman" w:cs="Times New Roman" w:eastAsia="Times New Roman" w:hAnsi="Times New Roman"/>
                  <w:sz w:val="18"/>
                  <w:szCs w:val="18"/>
                  <w:color w:val="auto"/>
                </w:rPr>
                <w:t>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10.47</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auto"/>
                </w:rPr>
                <w:t>Amendment No. 1 effective as of November 17, 2022, to the Ashland Global Holdings Inc. Deferred Compensation Plan for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5">
              <w:r>
                <w:rPr>
                  <w:rFonts w:ascii="Times New Roman" w:cs="Times New Roman" w:eastAsia="Times New Roman" w:hAnsi="Times New Roman"/>
                  <w:sz w:val="18"/>
                  <w:szCs w:val="18"/>
                  <w:color w:val="auto"/>
                </w:rPr>
                <w:t>Non-Employee Directors (Amended and Restated as of May 2019) filed as Exhibit 10.65 to Ashland's Form 10-K for the fiscal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35">
              <w:r>
                <w:rPr>
                  <w:rFonts w:ascii="Times New Roman" w:cs="Times New Roman" w:eastAsia="Times New Roman" w:hAnsi="Times New Roman"/>
                  <w:sz w:val="18"/>
                  <w:szCs w:val="18"/>
                  <w:color w:val="auto"/>
                  <w:w w:val="99"/>
                </w:rPr>
                <w:t>year ended September 30, 2022, filed on November 21, 2022 (SEC File No. 333-211719), and incorporated by reference herein.</w:t>
              </w:r>
            </w:hyperlink>
          </w:p>
        </w:tc>
        <w:tc>
          <w:tcPr>
            <w:tcW w:w="80" w:type="dxa"/>
            <w:vAlign w:val="bottom"/>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10.48</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auto"/>
                </w:rPr>
                <w:t>Ashland Inc. Independent Director Deferred Compensation Program effective as of November 17, 2022 filed as Exhibit 10.66 to</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6">
              <w:r>
                <w:rPr>
                  <w:rFonts w:ascii="Times New Roman" w:cs="Times New Roman" w:eastAsia="Times New Roman" w:hAnsi="Times New Roman"/>
                  <w:sz w:val="18"/>
                  <w:szCs w:val="18"/>
                  <w:color w:val="auto"/>
                </w:rPr>
                <w:t>Ashland's Form 10-K for the fiscal year ended September 30, 2022, filed on November 21, 2022 (SEC File No. 333-211719),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8"/>
              </w:rPr>
            </w:pPr>
            <w:hyperlink r:id="rId136">
              <w:r>
                <w:rPr>
                  <w:rFonts w:ascii="Times New Roman" w:cs="Times New Roman" w:eastAsia="Times New Roman" w:hAnsi="Times New Roman"/>
                  <w:sz w:val="18"/>
                  <w:szCs w:val="18"/>
                  <w:color w:val="auto"/>
                  <w:w w:val="98"/>
                </w:rPr>
                <w:t>and incorporated by reference herein.</w:t>
              </w:r>
            </w:hyperlink>
          </w:p>
        </w:tc>
        <w:tc>
          <w:tcPr>
            <w:tcW w:w="6600" w:type="dxa"/>
            <w:vAlign w:val="bottom"/>
            <w:gridSpan w:val="3"/>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10.49</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color w:val="auto"/>
                </w:rPr>
                <w:t>Form of Restricted Stock Unit Agreement (Independent Directors), effective as of November 17, 2022 filed as Exhibit 10.67 to</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7">
              <w:r>
                <w:rPr>
                  <w:rFonts w:ascii="Times New Roman" w:cs="Times New Roman" w:eastAsia="Times New Roman" w:hAnsi="Times New Roman"/>
                  <w:sz w:val="18"/>
                  <w:szCs w:val="18"/>
                  <w:color w:val="auto"/>
                </w:rPr>
                <w:t>Ashland's Form 10-K for the fiscal year ended September 30, 2022, filed on November 21, 2022 (SEC File No. 333-211719),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8"/>
              </w:rPr>
            </w:pPr>
            <w:hyperlink r:id="rId137">
              <w:r>
                <w:rPr>
                  <w:rFonts w:ascii="Times New Roman" w:cs="Times New Roman" w:eastAsia="Times New Roman" w:hAnsi="Times New Roman"/>
                  <w:sz w:val="18"/>
                  <w:szCs w:val="18"/>
                  <w:color w:val="auto"/>
                  <w:w w:val="98"/>
                </w:rPr>
                <w:t>and incorporated by reference herein.</w:t>
              </w:r>
            </w:hyperlink>
          </w:p>
        </w:tc>
        <w:tc>
          <w:tcPr>
            <w:tcW w:w="6600" w:type="dxa"/>
            <w:vAlign w:val="bottom"/>
            <w:gridSpan w:val="3"/>
          </w:tcPr>
          <w:p>
            <w:pPr>
              <w:spacing w:after="0"/>
              <w:rPr>
                <w:sz w:val="17"/>
                <w:szCs w:val="17"/>
                <w:color w:val="auto"/>
              </w:rPr>
            </w:pPr>
          </w:p>
        </w:tc>
      </w:tr>
      <w:tr>
        <w:trPr>
          <w:trHeight w:val="31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10.50</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color w:val="auto"/>
                </w:rPr>
                <w:t>Credit Agreement dated as of January 10, 2020, among Ashland Global Holdings Inc., Ashland Chemco Inc., Ashland LLC,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38">
              <w:r>
                <w:rPr>
                  <w:rFonts w:ascii="Times New Roman" w:cs="Times New Roman" w:eastAsia="Times New Roman" w:hAnsi="Times New Roman"/>
                  <w:sz w:val="18"/>
                  <w:szCs w:val="18"/>
                  <w:color w:val="auto"/>
                  <w:w w:val="99"/>
                </w:rPr>
                <w:t>Ashland Services B.V., each lender from time to time party thereto, the Bank of Nova Scotia, as administrative agent, swing line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lender and a letter of credit issuer, each other letter of credit issuer from time to time party thereto and Citibank, N.A., as</w:t>
              </w:r>
            </w:hyperlink>
          </w:p>
        </w:tc>
        <w:tc>
          <w:tcPr>
            <w:tcW w:w="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syndication agent (filed as Exhibit 10.1 to Ashland’s Form 8-K filed on January 10, 2020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9"/>
          </w:tcPr>
          <w:p>
            <w:pPr>
              <w:spacing w:after="0" w:line="196" w:lineRule="exact"/>
              <w:rPr>
                <w:rFonts w:ascii="Times New Roman" w:cs="Times New Roman" w:eastAsia="Times New Roman" w:hAnsi="Times New Roman"/>
                <w:sz w:val="18"/>
                <w:szCs w:val="18"/>
                <w:color w:val="auto"/>
              </w:rPr>
            </w:pPr>
            <w:hyperlink r:id="rId138">
              <w:r>
                <w:rPr>
                  <w:rFonts w:ascii="Times New Roman" w:cs="Times New Roman" w:eastAsia="Times New Roman" w:hAnsi="Times New Roman"/>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3"/>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10.51</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color w:val="auto"/>
                </w:rPr>
                <w:t>Amended and Restated Credit Agreement dated as of July 22, 2022, among Ashland Global Holdings Inc., Ashland Chemco</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Inc., Ashland LLC, Ashland Services B.V., each lender from time to time party thereto, the Bank of Nova Scotia, Houston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39">
              <w:r>
                <w:rPr>
                  <w:rFonts w:ascii="Times New Roman" w:cs="Times New Roman" w:eastAsia="Times New Roman" w:hAnsi="Times New Roman"/>
                  <w:sz w:val="18"/>
                  <w:szCs w:val="18"/>
                  <w:color w:val="auto"/>
                  <w:w w:val="99"/>
                </w:rPr>
                <w:t>Branch, as administrative agent, swing line lender and a letter of credit issuer, each other letter of credit issuer from time to time</w:t>
              </w:r>
            </w:hyperlink>
          </w:p>
        </w:tc>
        <w:tc>
          <w:tcPr>
            <w:tcW w:w="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39">
              <w:r>
                <w:rPr>
                  <w:rFonts w:ascii="Times New Roman" w:cs="Times New Roman" w:eastAsia="Times New Roman" w:hAnsi="Times New Roman"/>
                  <w:sz w:val="18"/>
                  <w:szCs w:val="18"/>
                  <w:color w:val="auto"/>
                </w:rPr>
                <w:t>party thereto and Citibank, N.A., as syndication agent (filed as Exhibit 10.1 to Ashland’s Form 8-K filed on July 22, 2022 (SEC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8"/>
              </w:rPr>
            </w:pPr>
            <w:hyperlink r:id="rId139">
              <w:r>
                <w:rPr>
                  <w:rFonts w:ascii="Times New Roman" w:cs="Times New Roman" w:eastAsia="Times New Roman" w:hAnsi="Times New Roman"/>
                  <w:sz w:val="18"/>
                  <w:szCs w:val="18"/>
                  <w:color w:val="auto"/>
                  <w:w w:val="98"/>
                </w:rPr>
                <w:t>File No. 333-211719) and incorporated herein by reference).</w:t>
              </w:r>
            </w:hyperlink>
          </w:p>
        </w:tc>
        <w:tc>
          <w:tcPr>
            <w:tcW w:w="4940" w:type="dxa"/>
            <w:vAlign w:val="bottom"/>
            <w:gridSpan w:val="2"/>
          </w:tcPr>
          <w:p>
            <w:pPr>
              <w:spacing w:after="0"/>
              <w:rPr>
                <w:sz w:val="17"/>
                <w:szCs w:val="17"/>
                <w:color w:val="auto"/>
              </w:rPr>
            </w:pPr>
          </w:p>
        </w:tc>
      </w:tr>
      <w:tr>
        <w:trPr>
          <w:trHeight w:val="41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10.52</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color w:val="auto"/>
                </w:rPr>
                <w:t>Second Amended and Restated Purchase and Sale Agreement, dated March 17, 2021, by and among Ashland LLC and Ashland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Specialty Ingredients G.P., as originators, Ashland LLC, as initial servicer, and CVG Capital III LLC, as purchaser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9"/>
          </w:tcPr>
          <w:p>
            <w:pPr>
              <w:spacing w:after="0" w:line="196" w:lineRule="exact"/>
              <w:rPr>
                <w:rFonts w:ascii="Times New Roman" w:cs="Times New Roman" w:eastAsia="Times New Roman" w:hAnsi="Times New Roman"/>
                <w:sz w:val="18"/>
                <w:szCs w:val="18"/>
                <w:color w:val="auto"/>
              </w:rPr>
            </w:pPr>
            <w:hyperlink r:id="rId140">
              <w:r>
                <w:rPr>
                  <w:rFonts w:ascii="Times New Roman" w:cs="Times New Roman" w:eastAsia="Times New Roman" w:hAnsi="Times New Roman"/>
                  <w:sz w:val="18"/>
                  <w:szCs w:val="18"/>
                  <w:color w:val="auto"/>
                </w:rPr>
                <w:t>Exhibit 10.1 to Ashland’s Form 8-K filed on March 18, 2021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4340" w:type="dxa"/>
            <w:vAlign w:val="bottom"/>
            <w:gridSpan w:val="7"/>
            <w:shd w:val="clear" w:color="auto" w:fill="0000EE"/>
          </w:tcPr>
          <w:p>
            <w:pPr>
              <w:spacing w:after="0" w:line="20" w:lineRule="exact"/>
              <w:rPr>
                <w:sz w:val="1"/>
                <w:szCs w:val="1"/>
                <w:color w:val="auto"/>
              </w:rPr>
            </w:pPr>
          </w:p>
        </w:tc>
        <w:tc>
          <w:tcPr>
            <w:tcW w:w="4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10.53</w:t>
            </w:r>
          </w:p>
        </w:tc>
        <w:tc>
          <w:tcPr>
            <w:tcW w:w="10040" w:type="dxa"/>
            <w:vAlign w:val="bottom"/>
            <w:gridSpan w:val="10"/>
          </w:tcPr>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color w:val="auto"/>
                </w:rPr>
                <w:t>Receivables Purchasing Agreement, dated March 17, 2021, by and among CVG Capital III LLC, PNC Bank, National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41">
              <w:r>
                <w:rPr>
                  <w:rFonts w:ascii="Times New Roman" w:cs="Times New Roman" w:eastAsia="Times New Roman" w:hAnsi="Times New Roman"/>
                  <w:sz w:val="18"/>
                  <w:szCs w:val="18"/>
                  <w:color w:val="auto"/>
                  <w:w w:val="99"/>
                </w:rPr>
                <w:t>Association, as administrative agent, PNC Bank Capital Markets LLC, as structuring agent, Ashland LLC, as initial servicer,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8"/>
              </w:rPr>
            </w:pPr>
            <w:hyperlink r:id="rId141">
              <w:r>
                <w:rPr>
                  <w:rFonts w:ascii="Times New Roman" w:cs="Times New Roman" w:eastAsia="Times New Roman" w:hAnsi="Times New Roman"/>
                  <w:sz w:val="18"/>
                  <w:szCs w:val="18"/>
                  <w:color w:val="auto"/>
                  <w:w w:val="98"/>
                </w:rPr>
                <w:t>certain other persons from time to time party thereto (filed as Exhibit 10.2 to Ashland’s Form 8-K filed on March 18, 2021 (SEC</w:t>
              </w:r>
            </w:hyperlink>
          </w:p>
        </w:tc>
        <w:tc>
          <w:tcPr>
            <w:tcW w:w="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gridSpan w:val="9"/>
          </w:tcPr>
          <w:p>
            <w:pPr>
              <w:spacing w:after="0" w:line="196" w:lineRule="exact"/>
              <w:rPr>
                <w:rFonts w:ascii="Times New Roman" w:cs="Times New Roman" w:eastAsia="Times New Roman" w:hAnsi="Times New Roman"/>
                <w:sz w:val="18"/>
                <w:szCs w:val="18"/>
                <w:color w:val="auto"/>
              </w:rPr>
            </w:pPr>
            <w:hyperlink r:id="rId141">
              <w:r>
                <w:rPr>
                  <w:rFonts w:ascii="Times New Roman" w:cs="Times New Roman" w:eastAsia="Times New Roman" w:hAnsi="Times New Roman"/>
                  <w:sz w:val="18"/>
                  <w:szCs w:val="18"/>
                  <w:color w:val="auto"/>
                </w:rPr>
                <w:t>File No. 333-211719) and incorporated herein by reference).</w:t>
              </w:r>
            </w:hyperlink>
          </w:p>
        </w:tc>
      </w:tr>
      <w:tr>
        <w:trPr>
          <w:trHeight w:val="453"/>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40" w:type="dxa"/>
            <w:vAlign w:val="bottom"/>
            <w:tcBorders>
              <w:top w:val="single" w:sz="8" w:color="0000EE"/>
            </w:tcBorders>
            <w:gridSpan w:val="7"/>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10.54</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color w:val="auto"/>
                </w:rPr>
                <w:t>First Amendment as of February 22, 2022, to the Receivables Purchase Agreement dated March 17, 2021, by and among CVG</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Capital III LLC, PNC Bank, National Association, as administrative agent, Ashland LLC, as initial servicer, and certain other</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144">
              <w:r>
                <w:rPr>
                  <w:rFonts w:ascii="Times New Roman" w:cs="Times New Roman" w:eastAsia="Times New Roman" w:hAnsi="Times New Roman"/>
                  <w:sz w:val="18"/>
                  <w:szCs w:val="18"/>
                  <w:color w:val="auto"/>
                  <w:w w:val="99"/>
                </w:rPr>
                <w:t>persons identified as Purchasers, LC, LC Participants and Group Agents and other persons from time to time identified as parties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4">
              <w:r>
                <w:rPr>
                  <w:rFonts w:ascii="Times New Roman" w:cs="Times New Roman" w:eastAsia="Times New Roman" w:hAnsi="Times New Roman"/>
                  <w:sz w:val="18"/>
                  <w:szCs w:val="18"/>
                  <w:color w:val="auto"/>
                </w:rPr>
                <w:t>thereto (filed as Exhibit 10.1 to Ashland’s Form 8-K filed on February 28, 2022 (SEC File No. 333-211719) and incorporated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7"/>
              </w:rPr>
            </w:pPr>
            <w:hyperlink r:id="rId144">
              <w:r>
                <w:rPr>
                  <w:rFonts w:ascii="Times New Roman" w:cs="Times New Roman" w:eastAsia="Times New Roman" w:hAnsi="Times New Roman"/>
                  <w:sz w:val="18"/>
                  <w:szCs w:val="18"/>
                  <w:color w:val="auto"/>
                  <w:w w:val="97"/>
                </w:rPr>
                <w:t>herein by reference).</w:t>
              </w:r>
            </w:hyperlink>
          </w:p>
        </w:tc>
        <w:tc>
          <w:tcPr>
            <w:tcW w:w="7800" w:type="dxa"/>
            <w:vAlign w:val="bottom"/>
            <w:gridSpan w:val="8"/>
          </w:tcPr>
          <w:p>
            <w:pPr>
              <w:spacing w:after="0"/>
              <w:rPr>
                <w:sz w:val="17"/>
                <w:szCs w:val="17"/>
                <w:color w:val="auto"/>
              </w:rPr>
            </w:pPr>
          </w:p>
        </w:tc>
      </w:tr>
      <w:tr>
        <w:trPr>
          <w:trHeight w:val="41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10.55</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color w:val="auto"/>
                </w:rPr>
                <w:t>Assignment Agreement dated February 22, 2022, between CVG Capital III LLC and Ashland LLC (filed as Exhibit 10.2 to</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Ashland’s Form 8-K filed on February 28, 2022 (SEC File 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10.56</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color w:val="auto"/>
                </w:rPr>
                <w:t>First Amendment as of August 1, 2022, to the Second Amended and Restated Purchase and Sale Agreement, dated March 17,</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2021, by and among Ashland Inc. as an originator and servicer, and Ashland Specialty Ingredients G.P., as originator, and CVG</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Capital III LLC, as purchaser filed as Exhibit 10.74 to Ashland's Form 10-K for the fiscal year ended September 30, 2022, filed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146">
              <w:r>
                <w:rPr>
                  <w:rFonts w:ascii="Times New Roman" w:cs="Times New Roman" w:eastAsia="Times New Roman" w:hAnsi="Times New Roman"/>
                  <w:sz w:val="18"/>
                  <w:szCs w:val="18"/>
                  <w:color w:val="auto"/>
                  <w:w w:val="99"/>
                </w:rPr>
                <w:t>on November 21, 2022 (SEC File No. 333-211719), and incorporated by reference herein.</w:t>
              </w:r>
            </w:hyperlink>
          </w:p>
        </w:tc>
        <w:tc>
          <w:tcPr>
            <w:tcW w:w="2820" w:type="dxa"/>
            <w:vAlign w:val="bottom"/>
            <w:gridSpan w:val="4"/>
          </w:tcPr>
          <w:p>
            <w:pPr>
              <w:spacing w:after="0"/>
              <w:rPr>
                <w:sz w:val="17"/>
                <w:szCs w:val="17"/>
                <w:color w:val="auto"/>
              </w:rPr>
            </w:pPr>
          </w:p>
        </w:tc>
      </w:tr>
      <w:tr>
        <w:trPr>
          <w:trHeight w:val="41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10.57</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auto"/>
                </w:rPr>
                <w:t>Second Amendment as of August 1, 2022, to the Receivables Purchase Agreement dated March 17, 2021, by and among CVG</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Capital III LLC, PNC Bank, National Association, as administrative agent, Ashland Inc. in its individual capacity and as initial</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servicer, and certain other persons identified as Purchasers, LC, LC Participants and Group Agents and other persons from time</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47">
              <w:r>
                <w:rPr>
                  <w:rFonts w:ascii="Times New Roman" w:cs="Times New Roman" w:eastAsia="Times New Roman" w:hAnsi="Times New Roman"/>
                  <w:sz w:val="18"/>
                  <w:szCs w:val="18"/>
                  <w:color w:val="auto"/>
                </w:rPr>
                <w:t>to time identified as parties thereto filed as Exhibit 10.75 to Ashland's Form 10-K for the fiscal year ended September 30, 2022,</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147">
              <w:r>
                <w:rPr>
                  <w:rFonts w:ascii="Times New Roman" w:cs="Times New Roman" w:eastAsia="Times New Roman" w:hAnsi="Times New Roman"/>
                  <w:sz w:val="18"/>
                  <w:szCs w:val="18"/>
                  <w:color w:val="auto"/>
                  <w:w w:val="99"/>
                </w:rPr>
                <w:t>filed on November 21, 2022 (SEC File No. 333-211719), and incorporated by reference herein.</w:t>
              </w:r>
            </w:hyperlink>
          </w:p>
        </w:tc>
        <w:tc>
          <w:tcPr>
            <w:tcW w:w="2440" w:type="dxa"/>
            <w:vAlign w:val="bottom"/>
            <w:gridSpan w:val="3"/>
          </w:tcPr>
          <w:p>
            <w:pPr>
              <w:spacing w:after="0"/>
              <w:rPr>
                <w:sz w:val="17"/>
                <w:szCs w:val="17"/>
                <w:color w:val="auto"/>
              </w:rPr>
            </w:pPr>
          </w:p>
        </w:tc>
      </w:tr>
      <w:tr>
        <w:trPr>
          <w:trHeight w:val="41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10.58</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color w:val="auto"/>
                </w:rPr>
                <w:t>Assumption Agreement dated September 20, 2016, by and between Ashland Global Holdings Inc. and Ashland Inc. (filed as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Exhibit 10.1 to Ashland’s Form 8-K filed on September 20, 2016 (SEC File No. 333-211719), and incorporated herein by</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5"/>
              </w:rPr>
            </w:pPr>
            <w:hyperlink r:id="rId148">
              <w:r>
                <w:rPr>
                  <w:rFonts w:ascii="Times New Roman" w:cs="Times New Roman" w:eastAsia="Times New Roman" w:hAnsi="Times New Roman"/>
                  <w:sz w:val="18"/>
                  <w:szCs w:val="18"/>
                  <w:color w:val="auto"/>
                  <w:w w:val="95"/>
                </w:rPr>
                <w:t>reference).</w:t>
              </w:r>
            </w:hyperlink>
          </w:p>
        </w:tc>
        <w:tc>
          <w:tcPr>
            <w:tcW w:w="8520" w:type="dxa"/>
            <w:vAlign w:val="bottom"/>
            <w:gridSpan w:val="10"/>
          </w:tcPr>
          <w:p>
            <w:pPr>
              <w:spacing w:after="0"/>
              <w:rPr>
                <w:sz w:val="17"/>
                <w:szCs w:val="17"/>
                <w:color w:val="auto"/>
              </w:rPr>
            </w:pPr>
          </w:p>
        </w:tc>
      </w:tr>
      <w:tr>
        <w:trPr>
          <w:trHeight w:val="31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10.59</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color w:val="auto"/>
                </w:rPr>
                <w:t>Separation Agreement dated as of September 22, 2016, between and among Ashland Global Holdings Inc. and Valvoline Inc.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(filed as Exhibit 10.1 to Ashland’s Form 8-K filed on September 28, 2016 (SEC File No. 333-211719), and incorporated herein</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6"/>
              </w:rPr>
            </w:pPr>
            <w:hyperlink r:id="rId149">
              <w:r>
                <w:rPr>
                  <w:rFonts w:ascii="Times New Roman" w:cs="Times New Roman" w:eastAsia="Times New Roman" w:hAnsi="Times New Roman"/>
                  <w:sz w:val="18"/>
                  <w:szCs w:val="18"/>
                  <w:color w:val="auto"/>
                  <w:w w:val="96"/>
                </w:rPr>
                <w:t>by reference).</w:t>
              </w:r>
            </w:hyperlink>
          </w:p>
        </w:tc>
        <w:tc>
          <w:tcPr>
            <w:tcW w:w="8300" w:type="dxa"/>
            <w:vAlign w:val="bottom"/>
            <w:gridSpan w:val="9"/>
          </w:tcPr>
          <w:p>
            <w:pPr>
              <w:spacing w:after="0"/>
              <w:rPr>
                <w:sz w:val="17"/>
                <w:szCs w:val="17"/>
                <w:color w:val="auto"/>
              </w:rPr>
            </w:pPr>
          </w:p>
        </w:tc>
      </w:tr>
      <w:tr>
        <w:trPr>
          <w:trHeight w:val="31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10.60</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color w:val="auto"/>
                </w:rPr>
                <w:t>Tax Matters Agreement dated as of September 22, 2016, between and among Ashland Global Holdings Inc. and Valvoline Inc.</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(filed as Exhibit 10.4 to Ashland’s Form 8-K filed on September 28, 2016 (SEC File No. 333-211719), and incorporated herein</w:t>
              </w:r>
            </w:hyperlink>
          </w:p>
        </w:tc>
        <w:tc>
          <w:tcPr>
            <w:tcW w:w="20" w:type="dxa"/>
            <w:vAlign w:val="bottom"/>
            <w:tcBorders>
              <w:top w:val="single" w:sz="8" w:color="0000EE"/>
            </w:tcBorders>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6"/>
              </w:rPr>
            </w:pPr>
            <w:hyperlink r:id="rId150">
              <w:r>
                <w:rPr>
                  <w:rFonts w:ascii="Times New Roman" w:cs="Times New Roman" w:eastAsia="Times New Roman" w:hAnsi="Times New Roman"/>
                  <w:sz w:val="18"/>
                  <w:szCs w:val="18"/>
                  <w:color w:val="auto"/>
                  <w:w w:val="96"/>
                </w:rPr>
                <w:t>by reference).</w:t>
              </w:r>
            </w:hyperlink>
          </w:p>
        </w:tc>
        <w:tc>
          <w:tcPr>
            <w:tcW w:w="8300" w:type="dxa"/>
            <w:vAlign w:val="bottom"/>
            <w:gridSpan w:val="9"/>
          </w:tcPr>
          <w:p>
            <w:pPr>
              <w:spacing w:after="0"/>
              <w:rPr>
                <w:sz w:val="17"/>
                <w:szCs w:val="17"/>
                <w:color w:val="auto"/>
              </w:rPr>
            </w:pPr>
          </w:p>
        </w:tc>
      </w:tr>
      <w:tr>
        <w:trPr>
          <w:trHeight w:val="31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10.61</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color w:val="auto"/>
                </w:rPr>
                <w:t>Employee Matters Agreement dated as of September 22, 2016, between and among Ashland Global Holdings Inc. and Valvoline</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Inc. (filed as Exhibit 10.5 to Ashland’s Form 8-K filed on September 28, 2016 (SEC File No. 333-211719), and incorporated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7"/>
              </w:rPr>
            </w:pPr>
            <w:hyperlink r:id="rId151">
              <w:r>
                <w:rPr>
                  <w:rFonts w:ascii="Times New Roman" w:cs="Times New Roman" w:eastAsia="Times New Roman" w:hAnsi="Times New Roman"/>
                  <w:sz w:val="18"/>
                  <w:szCs w:val="18"/>
                  <w:color w:val="auto"/>
                  <w:w w:val="97"/>
                </w:rPr>
                <w:t>herein by reference).</w:t>
              </w:r>
            </w:hyperlink>
          </w:p>
        </w:tc>
        <w:tc>
          <w:tcPr>
            <w:tcW w:w="7800" w:type="dxa"/>
            <w:vAlign w:val="bottom"/>
            <w:gridSpan w:val="8"/>
          </w:tcPr>
          <w:p>
            <w:pPr>
              <w:spacing w:after="0"/>
              <w:rPr>
                <w:sz w:val="17"/>
                <w:szCs w:val="17"/>
                <w:color w:val="auto"/>
              </w:rPr>
            </w:pPr>
          </w:p>
        </w:tc>
      </w:tr>
      <w:tr>
        <w:trPr>
          <w:trHeight w:val="31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10.62</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auto"/>
                </w:rPr>
                <w:t>Master Confirmation - Uncollared Accelerated Share Repurchase, dated September 2, 2021, between Ashland Global Holdings</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Inc. and JPMorgan Chase Bank, National Association (filed as Exhibit 10.1 to Ashland’s Form 8-K filed on September 7, 2021</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52">
              <w:r>
                <w:rPr>
                  <w:rFonts w:ascii="Times New Roman" w:cs="Times New Roman" w:eastAsia="Times New Roman" w:hAnsi="Times New Roman"/>
                  <w:sz w:val="18"/>
                  <w:szCs w:val="18"/>
                  <w:color w:val="auto"/>
                </w:rPr>
                <w:t>(SEC File 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10.63</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auto"/>
                </w:rPr>
                <w:t>Amendment dated November 22, 2021 to the Master Confirmation (as supplemented by the Supplemental Confirmation) –</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Uncollared Accelerated Share Repurchase September 2, 2021, between Ashland Global Holdings Inc. and JPMorgan Chase</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Bank, National Association (filed as Exhibit 10.1 to Ashland’s Form 10-Q filed on February 3, 2022 (SEC File No. 333-</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153">
              <w:r>
                <w:rPr>
                  <w:rFonts w:ascii="Times New Roman" w:cs="Times New Roman" w:eastAsia="Times New Roman" w:hAnsi="Times New Roman"/>
                  <w:sz w:val="18"/>
                  <w:szCs w:val="18"/>
                  <w:color w:val="auto"/>
                  <w:w w:val="98"/>
                </w:rPr>
                <w:t>211719), and incorporated herein by reference).</w:t>
              </w:r>
            </w:hyperlink>
          </w:p>
        </w:tc>
        <w:tc>
          <w:tcPr>
            <w:tcW w:w="5860" w:type="dxa"/>
            <w:vAlign w:val="bottom"/>
            <w:gridSpan w:val="7"/>
          </w:tcPr>
          <w:p>
            <w:pPr>
              <w:spacing w:after="0"/>
              <w:rPr>
                <w:sz w:val="17"/>
                <w:szCs w:val="17"/>
                <w:color w:val="auto"/>
              </w:rPr>
            </w:pPr>
          </w:p>
        </w:tc>
      </w:tr>
      <w:tr>
        <w:trPr>
          <w:trHeight w:val="31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10.64</w:t>
            </w:r>
          </w:p>
        </w:tc>
        <w:tc>
          <w:tcPr>
            <w:tcW w:w="9940" w:type="dxa"/>
            <w:vAlign w:val="bottom"/>
            <w:gridSpan w:val="13"/>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color w:val="auto"/>
                </w:rPr>
                <w:t>Fourth Amendment to the Receivables Purchase Agreement dated as of September 13, 2024 by and among Ashland, Ashland</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Specialty Ingredients G.P., a Delaware general partnership, CVG Capital III LLC, a bankruptcy-remote special purpose entity</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and subsidiary of Ashland, PNC Bank, National Association, as administrative agent, PNC Capital Markets LLC, as structuring</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agent, Ashland, as initial servicer, and certain other persons from time to time named as parties thereto as purchasers, group</w:t>
              </w:r>
            </w:hyperlink>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agents, LC banks and LC participants (filed as Exhibit 10.1 to Ashland’s Form 8-K filed on September 16, 2024 (SEC File No.</w:t>
              </w:r>
            </w:hyperlink>
          </w:p>
        </w:tc>
        <w:tc>
          <w:tcPr>
            <w:tcW w:w="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gridSpan w:val="12"/>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r>
      <w:tr>
        <w:trPr>
          <w:trHeight w:val="318"/>
        </w:trPr>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10.65**</w:t>
            </w:r>
          </w:p>
        </w:tc>
        <w:tc>
          <w:tcPr>
            <w:tcW w:w="994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  Form of Restricted Stock Unit Agreement pursuant to Ashland Inc.’s 2021 Omnibus Incentive Compensation Plan, filed</w:t>
            </w:r>
          </w:p>
        </w:tc>
      </w:tr>
      <w:tr>
        <w:trPr>
          <w:trHeight w:val="196"/>
        </w:trPr>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herewith.</w:t>
            </w:r>
          </w:p>
        </w:tc>
      </w:tr>
      <w:tr>
        <w:trPr>
          <w:trHeight w:val="57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37</w:t>
            </w: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7" w:name="page38"/>
    <w:bookmarkEnd w:id="37"/>
    <w:tbl>
      <w:tblPr>
        <w:tblLayout w:type="fixed"/>
        <w:tblInd w:w="3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Form of Cash-Settled Restricted Stock Equivalent Agreement for Non-U.S. Participants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pursuant to Ashland Inc.’s 2021</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Omnibus Incentive Compensation Plan, filed herewith.</w:t>
            </w:r>
          </w:p>
        </w:tc>
        <w:tc>
          <w:tcPr>
            <w:tcW w:w="2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9840" w:type="dxa"/>
            <w:vAlign w:val="bottom"/>
            <w:gridSpan w:val="14"/>
          </w:tcPr>
          <w:p>
            <w:pPr>
              <w:ind w:left="280"/>
              <w:spacing w:after="0"/>
              <w:rPr>
                <w:sz w:val="20"/>
                <w:szCs w:val="20"/>
                <w:color w:val="auto"/>
              </w:rPr>
            </w:pPr>
            <w:r>
              <w:rPr>
                <w:rFonts w:ascii="Times New Roman" w:cs="Times New Roman" w:eastAsia="Times New Roman" w:hAnsi="Times New Roman"/>
                <w:sz w:val="18"/>
                <w:szCs w:val="18"/>
                <w:color w:val="auto"/>
              </w:rPr>
              <w:t>–  Form of Stock-Settled Performance Unit Agreement pursuant to Ashland Inc.’s 2021 Omnibus Incentive Compensation Plan,</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c>
          <w:tcPr>
            <w:tcW w:w="2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Form of Cash-Settled Performance Unit Agreement for Non-U.S. Participants pursuant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Ashland Inc.’s 2021 Omnibus</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Incentive Compensation Plan, filed herewith.</w:t>
            </w:r>
          </w:p>
        </w:tc>
        <w:tc>
          <w:tcPr>
            <w:tcW w:w="3480" w:type="dxa"/>
            <w:vAlign w:val="bottom"/>
            <w:tcBorders>
              <w:top w:val="single" w:sz="8" w:color="0000EE"/>
            </w:tcBorders>
            <w:gridSpan w:val="4"/>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Insider Trading Policy.</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List of Subsidiaries.</w:t>
            </w:r>
          </w:p>
        </w:tc>
        <w:tc>
          <w:tcPr>
            <w:tcW w:w="5100" w:type="dxa"/>
            <w:vAlign w:val="bottom"/>
            <w:gridSpan w:val="7"/>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Consent of Ernst &amp; Young LLP.</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Consent of Gnarus Advisors LLC.</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980" w:type="dxa"/>
            <w:vAlign w:val="bottom"/>
            <w:tcBorders>
              <w:top w:val="single" w:sz="8" w:color="0000EE"/>
            </w:tcBorders>
            <w:gridSpan w:val="3"/>
          </w:tcPr>
          <w:p>
            <w:pPr>
              <w:spacing w:after="0"/>
              <w:rPr>
                <w:sz w:val="24"/>
                <w:szCs w:val="24"/>
                <w:color w:val="auto"/>
              </w:rPr>
            </w:pPr>
          </w:p>
        </w:tc>
        <w:tc>
          <w:tcPr>
            <w:tcW w:w="4320" w:type="dxa"/>
            <w:vAlign w:val="bottom"/>
            <w:gridSpan w:val="5"/>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4"/>
          </w:tcPr>
          <w:p>
            <w:pPr>
              <w:ind w:left="280"/>
              <w:spacing w:after="0"/>
              <w:rPr>
                <w:sz w:val="20"/>
                <w:szCs w:val="20"/>
                <w:color w:val="auto"/>
              </w:rPr>
            </w:pPr>
            <w:r>
              <w:rPr>
                <w:rFonts w:ascii="Times New Roman" w:cs="Times New Roman" w:eastAsia="Times New Roman" w:hAnsi="Times New Roman"/>
                <w:sz w:val="18"/>
                <w:szCs w:val="18"/>
                <w:color w:val="auto"/>
              </w:rPr>
              <w:t>–  Certification of Guillermo Novo, Chief Executive Officer of Ashland, pursuant to Section 302 of the Sarbanes-Oxley Act of</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3"/>
              </w:rPr>
              <w:t>2002.</w:t>
            </w:r>
          </w:p>
        </w:tc>
        <w:tc>
          <w:tcPr>
            <w:tcW w:w="6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40" w:type="dxa"/>
            <w:vAlign w:val="bottom"/>
            <w:gridSpan w:val="14"/>
          </w:tcPr>
          <w:p>
            <w:pPr>
              <w:ind w:left="280"/>
              <w:spacing w:after="0"/>
              <w:rPr>
                <w:sz w:val="20"/>
                <w:szCs w:val="20"/>
                <w:color w:val="auto"/>
              </w:rPr>
            </w:pPr>
            <w:r>
              <w:rPr>
                <w:rFonts w:ascii="Times New Roman" w:cs="Times New Roman" w:eastAsia="Times New Roman" w:hAnsi="Times New Roman"/>
                <w:sz w:val="18"/>
                <w:szCs w:val="18"/>
                <w:color w:val="auto"/>
              </w:rPr>
              <w:t>–  Certification of J. Kevin Willis, Chief Financial Officer of Ashland,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40" w:type="dxa"/>
            <w:vAlign w:val="bottom"/>
            <w:gridSpan w:val="14"/>
          </w:tcPr>
          <w:p>
            <w:pPr>
              <w:ind w:left="280"/>
              <w:spacing w:after="0"/>
              <w:rPr>
                <w:sz w:val="20"/>
                <w:szCs w:val="20"/>
                <w:color w:val="auto"/>
              </w:rPr>
            </w:pPr>
            <w:r>
              <w:rPr>
                <w:rFonts w:ascii="Times New Roman" w:cs="Times New Roman" w:eastAsia="Times New Roman" w:hAnsi="Times New Roman"/>
                <w:sz w:val="18"/>
                <w:szCs w:val="18"/>
                <w:color w:val="auto"/>
              </w:rPr>
              <w:t>–  Certification of Guillermo Novo, Chief Executive Officer of Ashland, and J. Kevin Willis, Chief Financial Officer of Ashland,</w:t>
            </w:r>
          </w:p>
        </w:tc>
      </w:tr>
      <w:tr>
        <w:trPr>
          <w:trHeight w:val="196"/>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2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Ashland, Inc. Dodd-Frank Compensation Recoupment Policy.</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10"/>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Inline XBRL Instance Document.</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300" w:type="dxa"/>
            <w:vAlign w:val="bottom"/>
            <w:gridSpan w:val="12"/>
          </w:tcPr>
          <w:p>
            <w:pPr>
              <w:ind w:left="28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25" w:lineRule="exact"/>
        <w:rPr>
          <w:sz w:val="20"/>
          <w:szCs w:val="20"/>
          <w:color w:val="auto"/>
        </w:rPr>
      </w:pPr>
    </w:p>
    <w:p>
      <w:pPr>
        <w:ind w:left="1660" w:hanging="1315"/>
        <w:spacing w:after="0"/>
        <w:tabs>
          <w:tab w:leader="none" w:pos="1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and contained in Exhibit 101).</w:t>
      </w:r>
    </w:p>
    <w:p>
      <w:pPr>
        <w:spacing w:after="0" w:line="130" w:lineRule="exact"/>
        <w:rPr>
          <w:rFonts w:ascii="Times New Roman" w:cs="Times New Roman" w:eastAsia="Times New Roman" w:hAnsi="Times New Roman"/>
          <w:sz w:val="18"/>
          <w:szCs w:val="18"/>
          <w:color w:val="auto"/>
        </w:rPr>
      </w:pPr>
    </w:p>
    <w:p>
      <w:pPr>
        <w:ind w:left="300" w:hanging="28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Attached as Exhibit 101 to this report are the following documents formatted in XBRL (Extensible Business Reporting Language): (i) Statements of Consolidated Comprehensive Income (Loss) for years ended September 30, 2024, 2023 and 2022; (ii) Consolidated Balance Sheets at September 30, 2024 and 2023; (iii) Statements of Consolidated Equity at September 30, 2024, 2023 and 2022; (iv) Statements of Consolidated Cash Flows for years ended September 30, 2024, 2023 and 2022; and (v) Notes to Consolidated Financial Statements.</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5" w:lineRule="exact"/>
        <w:rPr>
          <w:rFonts w:ascii="Times New Roman" w:cs="Times New Roman" w:eastAsia="Times New Roman" w:hAnsi="Times New Roman"/>
          <w:sz w:val="18"/>
          <w:szCs w:val="18"/>
          <w:color w:val="auto"/>
        </w:rPr>
      </w:pPr>
    </w:p>
    <w:p>
      <w:pPr>
        <w:ind w:left="380" w:right="5380"/>
        <w:spacing w:after="0" w:line="3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Service mark, Ashland or its subsidiaries, registered in various countries. ™ Trademark, Ashland or its subsidiaries, registered in various countries.</w:t>
      </w: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owned by a third party.</w:t>
      </w:r>
    </w:p>
    <w:p>
      <w:pPr>
        <w:spacing w:after="0" w:line="54"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or oral request, a copy of the above exhibits will be furnished at cost.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ASHLAND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J. Kevin Willis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 November 18, 2024</w:t>
      </w:r>
    </w:p>
    <w:p>
      <w:pPr>
        <w:spacing w:after="0" w:line="1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 on November 18,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2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Guillermo Novo</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 of the Board, Chief Executive Officer and 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Guillermo Novo</w:t>
            </w:r>
          </w:p>
        </w:tc>
        <w:tc>
          <w:tcPr>
            <w:tcW w:w="43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 Kevin Willis</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J. Kevin Willis</w:t>
            </w:r>
          </w:p>
        </w:tc>
        <w:tc>
          <w:tcPr>
            <w:tcW w:w="43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Eric N. Boni</w:t>
            </w: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Vice President, Finance and Principal Accounting Officer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Eric N. Boni</w:t>
            </w:r>
          </w:p>
        </w:tc>
        <w:tc>
          <w:tcPr>
            <w:tcW w:w="43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Steven D. Bishop</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tcPr>
          <w:p>
            <w:pPr>
              <w:spacing w:after="0"/>
              <w:rPr>
                <w:sz w:val="22"/>
                <w:szCs w:val="22"/>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Sanat Chattopadhyay</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Suzan F. Harrison</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Wetteny Joseph</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312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tcPr>
          <w:p>
            <w:pPr>
              <w:spacing w:after="0"/>
              <w:rPr>
                <w:sz w:val="23"/>
                <w:szCs w:val="23"/>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Ashish K. Kulkarni</w:t>
            </w: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Susan L. Main</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Sergio Pedreiro</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Jerome A. Peribere</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Janice J. Teal</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2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21"/>
                <w:szCs w:val="21"/>
                <w:color w:val="auto"/>
              </w:rPr>
            </w:pPr>
          </w:p>
        </w:tc>
        <w:tc>
          <w:tcPr>
            <w:tcW w:w="4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Scott A. Tozier</w:t>
            </w:r>
          </w:p>
        </w:tc>
        <w:tc>
          <w:tcPr>
            <w:tcW w:w="2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Robin E. Lampkin</w:t>
            </w:r>
          </w:p>
        </w:tc>
      </w:tr>
      <w:tr>
        <w:trPr>
          <w:trHeight w:val="191"/>
        </w:trPr>
        <w:tc>
          <w:tcPr>
            <w:tcW w:w="660" w:type="dxa"/>
            <w:vAlign w:val="bottom"/>
          </w:tcPr>
          <w:p>
            <w:pPr>
              <w:spacing w:after="0"/>
              <w:rPr>
                <w:sz w:val="16"/>
                <w:szCs w:val="16"/>
                <w:color w:val="auto"/>
              </w:rPr>
            </w:pPr>
          </w:p>
        </w:tc>
        <w:tc>
          <w:tcPr>
            <w:tcW w:w="3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Robin E. Lampkin</w:t>
            </w:r>
          </w:p>
        </w:tc>
      </w:tr>
      <w:tr>
        <w:trPr>
          <w:trHeight w:val="234"/>
        </w:trPr>
        <w:tc>
          <w:tcPr>
            <w:tcW w:w="66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3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18, 2024</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accompanying Notes to Consolidated Financial Statements for the years ended September 30, 2024, 2023 and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Ashland profile</w:t>
      </w:r>
    </w:p>
    <w:p>
      <w:pPr>
        <w:spacing w:after="0" w:line="121"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Ashland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 beverage, personal care and pharmaceutical. With approximately 3,200 employees worldwide, Ashland serves customers in more than 100 countries.</w:t>
      </w:r>
    </w:p>
    <w:p>
      <w:pPr>
        <w:spacing w:after="0" w:line="68"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Ashland’s sales generated outside of North America were 69%, 69% and 68% in 2024, 2023 and 2022, respectively. Sales by region expressed as a percentage of total consolidated sales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by Geography</w:t>
            </w: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171"/>
        </w:trPr>
        <w:tc>
          <w:tcPr>
            <w:tcW w:w="6560" w:type="dxa"/>
            <w:vAlign w:val="bottom"/>
          </w:tcPr>
          <w:p>
            <w:pPr>
              <w:ind w:left="20"/>
              <w:spacing w:after="0" w:line="171" w:lineRule="exact"/>
              <w:rPr>
                <w:sz w:val="20"/>
                <w:szCs w:val="20"/>
                <w:color w:val="auto"/>
              </w:rPr>
            </w:pPr>
            <w:r>
              <w:rPr>
                <w:rFonts w:ascii="Times New Roman" w:cs="Times New Roman" w:eastAsia="Times New Roman" w:hAnsi="Times New Roman"/>
                <w:sz w:val="15"/>
                <w:szCs w:val="15"/>
                <w:color w:val="auto"/>
              </w:rPr>
              <w:t>North America</w:t>
            </w:r>
            <w:r>
              <w:rPr>
                <w:rFonts w:ascii="Times New Roman" w:cs="Times New Roman" w:eastAsia="Times New Roman" w:hAnsi="Times New Roman"/>
                <w:sz w:val="19"/>
                <w:szCs w:val="19"/>
                <w:color w:val="auto"/>
                <w:vertAlign w:val="superscript"/>
              </w:rPr>
              <w:t>(a)</w:t>
            </w:r>
          </w:p>
        </w:tc>
        <w:tc>
          <w:tcPr>
            <w:tcW w:w="1620" w:type="dxa"/>
            <w:vAlign w:val="bottom"/>
            <w:gridSpan w:val="2"/>
          </w:tcPr>
          <w:p>
            <w:pPr>
              <w:jc w:val="right"/>
              <w:ind w:right="80"/>
              <w:spacing w:after="0" w:line="171" w:lineRule="exact"/>
              <w:rPr>
                <w:sz w:val="20"/>
                <w:szCs w:val="20"/>
                <w:color w:val="auto"/>
              </w:rPr>
            </w:pPr>
            <w:r>
              <w:rPr>
                <w:rFonts w:ascii="Times New Roman" w:cs="Times New Roman" w:eastAsia="Times New Roman" w:hAnsi="Times New Roman"/>
                <w:sz w:val="18"/>
                <w:szCs w:val="18"/>
                <w:color w:val="auto"/>
              </w:rPr>
              <w:t>31 %</w:t>
            </w:r>
          </w:p>
        </w:tc>
        <w:tc>
          <w:tcPr>
            <w:tcW w:w="158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31 %</w:t>
            </w:r>
          </w:p>
        </w:tc>
        <w:tc>
          <w:tcPr>
            <w:tcW w:w="15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32 %</w:t>
            </w:r>
          </w:p>
        </w:tc>
      </w:tr>
      <w:tr>
        <w:trPr>
          <w:trHeight w:val="254"/>
        </w:trPr>
        <w:tc>
          <w:tcPr>
            <w:tcW w:w="656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4"/>
                <w:szCs w:val="24"/>
                <w:color w:val="auto"/>
                <w:vertAlign w:val="superscript"/>
              </w:rPr>
              <w:t>(a)</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 &amp; other</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65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5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6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600" w:hanging="592"/>
        <w:spacing w:after="0"/>
        <w:tabs>
          <w:tab w:leader="none" w:pos="6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includes only U.S. and Canada in its North American designation and includes Europe, the Middle East and Africa in its Europe designation.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year ended September 30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43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4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Care</w:t>
            </w:r>
          </w:p>
        </w:tc>
        <w:tc>
          <w:tcPr>
            <w:tcW w:w="4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Additives</w:t>
            </w:r>
          </w:p>
        </w:tc>
        <w:tc>
          <w:tcPr>
            <w:tcW w:w="4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Intermediates</w:t>
            </w:r>
          </w:p>
        </w:tc>
        <w:tc>
          <w:tcPr>
            <w:tcW w:w="28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3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
        </w:trPr>
        <w:tc>
          <w:tcPr>
            <w:tcW w:w="380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642"/>
        </w:trPr>
        <w:tc>
          <w:tcPr>
            <w:tcW w:w="3800" w:type="dxa"/>
            <w:vAlign w:val="bottom"/>
          </w:tcPr>
          <w:p>
            <w:pPr>
              <w:spacing w:after="0"/>
              <w:rPr>
                <w:sz w:val="24"/>
                <w:szCs w:val="24"/>
                <w:color w:val="auto"/>
              </w:rPr>
            </w:pPr>
          </w:p>
        </w:tc>
        <w:tc>
          <w:tcPr>
            <w:tcW w:w="4420" w:type="dxa"/>
            <w:vAlign w:val="bottom"/>
            <w:gridSpan w:val="3"/>
          </w:tcPr>
          <w:p>
            <w:pPr>
              <w:jc w:val="right"/>
              <w:ind w:right="2440"/>
              <w:spacing w:after="0"/>
              <w:rPr>
                <w:sz w:val="20"/>
                <w:szCs w:val="20"/>
                <w:color w:val="auto"/>
              </w:rPr>
            </w:pPr>
            <w:r>
              <w:rPr>
                <w:rFonts w:ascii="Times New Roman" w:cs="Times New Roman" w:eastAsia="Times New Roman" w:hAnsi="Times New Roman"/>
                <w:sz w:val="18"/>
                <w:szCs w:val="18"/>
                <w:color w:val="auto"/>
              </w:rPr>
              <w:t>M-1</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16"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relating to the ongoing Ukraine/Russia conflict and Israel/Hamas conflict</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Business disruptions, including those related to the ongoing conflicts between Ukraine/Russia or Israel/Hamas continue to impact businesses around the globe. While it is impossible to predict the effects of the conflicts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these situations and maintains business continuity plans that are intended to continue operations or mitigate the effects of events that could disrupt its business.</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consolidated sales and less than 1% of total consolidated assets (related to accounts receivable).</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does not have manufacturing operations in Israel. Sales to Israel represent approximately 1% of total consolidated sales and less than 1% of total consolidated assets (related to accounts receivable).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June 28, 2023, Ashland's board of directors authorized a new evergreen $1 billion common share repurchase program ("2023 Stock Repurchase Program"). The new authorization terminated and replaced the Company's 2022 Stock Repurchase Program, which had $200 million outstanding at the date of termination. As of September 30, 2024, $620 million remained available for repurchase under the 2023 Stock Repurchase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agreements</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During fiscal year 2024, under the 2023 Stock Repurchase Program, Ashland initiated and completed a number of Rule 10b5-1 trading plan agreements. Ashland paid a total of $380 million and repurchased a total of 4.3 million shares. During the most recent three fiscal years Ashland paid a total of $880 million and received a total of 10.2 million shares. See Note N for more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programs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previously disclosed, in November 2023, Ashland is taking portfolio optimization actions to further strengthen Ashland’s resilience and improve margins and returns. When completed, these portfolio actions are expected to result in improved Adjusted EBITDA margins of approximately 200 to 250 basis-points and returns on net assets of 150 to 200 basis-points. These actions are expected to reduce volatility, improve focus and decrease working capital and maintenance capital expenditures.</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continues to make progress on these portfolio optimization actions which include optimizing and consolidating CMC and MC production as well as rebalancing the global HEC production network. During fiscal year 2024, Ashland closed CMC production at Hopewell, Virginia. CMC levels continue to be drawn down while Ashland migrates select production volumes into Alizay, France. In addition, Ashland completed actions to optimize MC by consolidating production capacity in Doel, Belgium. Other actions to improve Ashland's HEC business continue to be assessed. Ashland also executed similar optimization actions at a Personal Care facility in Summerville, South Carolina.</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impact of these portfolio actions for the twelve months ended September 30, 2024, resulted in accelerated depreciation charges of $57 million and other plant optimization costs of $10 million recorded within the cost of sales caption of the Statements of Consolidated Comprehensive Income (Loss). In addition, severance of $25 million and other restructuring costs of $5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were recorded for the twelve months ended September 30, 2024, each respectively within the selling, general and administrative caption of the Statements of Consolidated Comprehensive Income (Loss). See Note D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Nutraceuticals business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August 30, 2024, Ashland completed the sale of its Nutraceuticals business to Turnspire Capital Partners LLC ("Turnspire"). Proceeds from the sale were approximately $26 million, net of transaction costs. Ashland recorded $107 million impairment charge and loss on sale within the income (loss) on acquisitions and divestitures, net caption of the Statements of Consolidated Comprehensive Income (Loss) for the twelve months ended September 30, 2024. See Note B of the Notes to the Consolidated Financial Statements for more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 REVIEW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financial results for 2024, 2023 and 2022 included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7"/>
              </w:rPr>
              <w:t>change</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09"/>
        </w:trPr>
        <w:tc>
          <w:tcPr>
            <w:tcW w:w="57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4"/>
                <w:szCs w:val="24"/>
                <w:color w:val="auto"/>
                <w:vertAlign w:val="superscript"/>
              </w:rPr>
              <w:t>(a)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(749 )</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net income</w:t>
            </w:r>
          </w:p>
        </w:tc>
        <w:tc>
          <w:tcPr>
            <w:tcW w:w="6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(13.10 )</w:t>
            </w: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6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income from continuing operations</w:t>
            </w:r>
          </w:p>
        </w:tc>
        <w:tc>
          <w:tcPr>
            <w:tcW w:w="6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16"/>
        </w:trPr>
        <w:tc>
          <w:tcPr>
            <w:tcW w:w="57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4"/>
                <w:szCs w:val="24"/>
                <w:color w:val="auto"/>
                <w:vertAlign w:val="superscript"/>
              </w:rPr>
              <w:t>(b)</w:t>
            </w:r>
          </w:p>
        </w:tc>
        <w:tc>
          <w:tcPr>
            <w:tcW w:w="60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(923 )</w:t>
            </w:r>
          </w:p>
        </w:tc>
      </w:tr>
      <w:tr>
        <w:trPr>
          <w:trHeight w:val="216"/>
        </w:trPr>
        <w:tc>
          <w:tcPr>
            <w:tcW w:w="57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(b)</w:t>
            </w:r>
          </w:p>
        </w:tc>
        <w:tc>
          <w:tcPr>
            <w:tcW w:w="6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178"/>
        </w:trPr>
        <w:tc>
          <w:tcPr>
            <w:tcW w:w="57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Adjusted Diluted EPS from Continuing Operations Excluding Intangibles</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17"/>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r>
              <w:rPr>
                <w:rFonts w:ascii="Times New Roman" w:cs="Times New Roman" w:eastAsia="Times New Roman" w:hAnsi="Times New Roman"/>
                <w:sz w:val="24"/>
                <w:szCs w:val="24"/>
                <w:color w:val="auto"/>
                <w:vertAlign w:val="superscript"/>
              </w:rPr>
              <w:t>(b)</w:t>
            </w:r>
          </w:p>
        </w:tc>
        <w:tc>
          <w:tcPr>
            <w:tcW w:w="60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600" w:hanging="592"/>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2022 includes a $726 million gain associated with the sale of the Performance Adhesives business.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are non-GAAP measures. See "Use of non-GAAP measures" section below for reconciliations to U.S. GAAP.</w:t>
      </w:r>
    </w:p>
    <w:p>
      <w:pPr>
        <w:spacing w:after="0" w:line="1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Ashland’s net income of $169 million ($3.36 diluted earnings per share) in 2024, $178 million ($3.31 diluted earnings per share) in 2023 and $927 million ($16.41 diluted earnings per share) in 2022 included a loss from discontinued operations of $30 million, ($0.59 diluted earnings per share) in 2024, income from discontinued operations of $10 million ($0.18 diluted earnings per share) in 2023, and $746 million ($13.21 diluted earnings per share) in 2022. Fiscal 2022 included a $726 million gain recorded in discontinued operations associated with the sale of the Performance Adhesives business in February of 2022 and was the largest impact on net income between periods.</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Results for Ashland’s continuing operations, diluted earnings per share from continuing operations and operating income (loss) for 2024, 2023 and 2022 included certain key items that were excluded to arrive at Adjusted EBITDA and are quantified in the “Use of non-GAAP measures” section of this Annual Report on Form 10-K. These pre-tax key items totaled expense of $227 million, $21 million and $96 million in 2024, 2023 and 2022, respectively, impacting continuing operations. Continuing operations was also impacted by favorable discrete tax items totaling $234 million, $44 million and $9 million in 2024, 2023 and 2022, respectively, for various tax specific key items for uncertain tax positions, valuation allowances, restructuring and separation activity and tax reform related activity. The pre-tax key items impacting operating income (loss) totaled expense of $273 million, $52 million, and $16 million in 2024, 2023 and 2022, respectively. Excluding these key items, continuing operations, diluted earnings per share from continuing operations and operating income (loss) increased from fiscal 2023 to 2024 primarily due to deflationary raw materials offset by unfavorable pricing and lower volume. The decrease in continuing operations, diluted earnings per share from continuing operations and operating income (loss) from fiscal 2022 to 2023 was primarily driven by lower sales volumes from customer de-stocking, partially offset by improved pricing associated with cost inflation pricing actions and favorable selling, general and administrative expense primarily driven by lower incentive compensation. In addition, diluted earnings per share from continuing operations was also impacted by common share reductions from repurchases of Ashland common stock in the amount of $380 million in 2024, $300 million in 2023 and $200 million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2022. These common stock repurchases reduced the number of weighted average shares from 56 million diluted shares in 2022 to 54 million diluted shares in 2023 and 50 million diluted shares in 2024.</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Ashland’s Adjusted EBITDA was $459 million for both 2024 and 2023 (see U.S. GAAP reconciliation under “Use of non-GAAP measures” below). Adjusted EBITDA remained consistent from fiscal 2023 to 2024 primarily due to deflationary raw materials, unfavorable product mix and favorable foreign exchange currency, offset by unfavorable pricing and lower volume in the Life Sciences segment. The $131 million decrease in Adjusted EBITDA from fiscal 2022 to 2023 was primarily driven by lower sales volumes from customer de-stocking, partially offset by improved pricing associated with cost inflation pricing actions and favorable selling, general and administrative expense primarily driven by lower incentive compensation. Adjusted Diluted EPS from Continuing Operations (non-GAAP) Excluding Intangibles Amortization Expense was also impacted by these key factors along with the impact of common share repurchases noted above.</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further information on the items reported above, see the discussion in the comparative Statements of Consolidated Comprehensive Income (Loss) caption review analysis.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Consolidated Comprehensive Income (Loss) – caption review</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comparative analysis of the Statements of Consolidated Comprehensive Income (Loss) by caption is provided as follows for the years ended September 30, 2024,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change</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2,113</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6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68"/>
        </w:trPr>
        <w:tc>
          <w:tcPr>
            <w:tcW w:w="7760" w:type="dxa"/>
            <w:vAlign w:val="bottom"/>
            <w:tcBorders>
              <w:bottom w:val="single" w:sz="8" w:color="auto"/>
            </w:tcBorders>
            <w:gridSpan w:val="6"/>
          </w:tcPr>
          <w:p>
            <w:pPr>
              <w:spacing w:after="0"/>
              <w:rPr>
                <w:sz w:val="5"/>
                <w:szCs w:val="5"/>
                <w:color w:val="auto"/>
              </w:rPr>
            </w:pPr>
          </w:p>
        </w:tc>
        <w:tc>
          <w:tcPr>
            <w:tcW w:w="1680" w:type="dxa"/>
            <w:vAlign w:val="bottom"/>
            <w:tcBorders>
              <w:bottom w:val="single" w:sz="8" w:color="auto"/>
            </w:tcBorders>
            <w:gridSpan w:val="3"/>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3"/>
          </w:tcPr>
          <w:p>
            <w:pPr>
              <w:spacing w:after="0"/>
              <w:rPr>
                <w:sz w:val="5"/>
                <w:szCs w:val="5"/>
                <w:color w:val="auto"/>
              </w:rPr>
            </w:pPr>
          </w:p>
        </w:tc>
      </w:tr>
      <w:tr>
        <w:trPr>
          <w:trHeight w:val="318"/>
        </w:trPr>
        <w:tc>
          <w:tcPr>
            <w:tcW w:w="11240" w:type="dxa"/>
            <w:vAlign w:val="bottom"/>
            <w:gridSpan w:val="13"/>
          </w:tcPr>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 in sales between fiscal years 2024 and 2023 and between fiscal years 2023 and 2022.</w:t>
            </w:r>
          </w:p>
        </w:tc>
      </w:tr>
      <w:tr>
        <w:trPr>
          <w:trHeight w:val="108"/>
        </w:trPr>
        <w:tc>
          <w:tcPr>
            <w:tcW w:w="36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2"/>
          </w:tcPr>
          <w:p>
            <w:pPr>
              <w:spacing w:after="0"/>
              <w:rPr>
                <w:sz w:val="9"/>
                <w:szCs w:val="9"/>
                <w:color w:val="auto"/>
              </w:rPr>
            </w:pPr>
          </w:p>
        </w:tc>
      </w:tr>
      <w:tr>
        <w:trPr>
          <w:trHeight w:val="21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2024 change</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2023 change</w:t>
            </w:r>
          </w:p>
        </w:tc>
      </w:tr>
      <w:tr>
        <w:trPr>
          <w:trHeight w:val="20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1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16"/>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1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(Divestiture)</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17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sales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r>
      <w:tr>
        <w:trPr>
          <w:trHeight w:val="20"/>
        </w:trPr>
        <w:tc>
          <w:tcPr>
            <w:tcW w:w="3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36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-222250</wp:posOffset>
            </wp:positionV>
            <wp:extent cx="102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Sales for 2024 decreased $78 million, or 4%, compared to 2023 primarily from unfavorable pricing. Pricing was softer as compared to the prior year in a moderately deflationary raw material environment. CMC and MC portfolio optimization initiatives and the Nutraceuticals business sale reduced sales by approximately $30 million during the current year.</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Sales for 2023 decreased $200 million, or 8%, compared to 2022. Lower sales volume of $354 million, primarily from customer de-stocking and the COVID-19 impact related to the China re-opening in the first half of fiscal 2023, and unfavorable foreign currency exchange of $21 million, were the main drivers of the decline. These declines were partially offset by favorable mix and favorable product pricing associated with cost inflation pricing actions, which increased sales by $178 million.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1,495</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1,561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1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
        </w:trPr>
        <w:tc>
          <w:tcPr>
            <w:tcW w:w="38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pacing w:after="0" w:line="9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Fluctuations in cost of sales are driven primarily by product line and plant optimization costs in the current year, the effects of challenges in shipping and logistics in the prior year, the impact of the COVID-19 pandemic in the prior periods, raw material prices and energy, volume and changes in product mix, currency exchange, acquisitions and divestitures and other certain charges incurred as a result of changes or events within the businesses or other restructuring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changes in cost of sales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 change</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 change</w:t>
            </w: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change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(Divestiture)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costs (plant)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4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cost of sales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r>
      <w:tr>
        <w:trPr>
          <w:trHeight w:val="48"/>
        </w:trPr>
        <w:tc>
          <w:tcPr>
            <w:tcW w:w="776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-76835</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-59055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Cost of sales for 2024 decreased $28 million compared to 2023. Favorable product price/mix was the primary factor for the decrease. This decrease was partially offset by higher operating costs driven by higher unit manufacturing costs associated with decreased plant loading to produce to demand in the first half of the year, $57 million of accelerated depreciation for product line optimization activities associated with two Specialty Additives manufacturing facilities and one Personal Care manufacturing facility, $10 million of other plant optimization costs, and higher volume compared to inventory control measures in the prior year. Gross profit as a percentage of sales decreased 1.3 percentage points primarily as a result of higher operating costs including higher unit manufacturing cost and product line optimization activities.</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Cost of sales for 2023 decreased $38 million compared to 2022. Lower volume primarily from customer de-stocking, including the divestiture in Specialty Additives, and unfavorable foreign currency exchange decreased cost of sales by $242 million and $9 million, respectively. This decrease was partially offset by higher operating costs, which includes costs associated with inventory control actions and inflation associated with plant manufacturing and shipping costs (as well as planned and unplanned plant shutdowns and maintenance), and higher price/mix associated with other cost inflation increased cost of sales by $183 million and $30 million, respectively. Gross profit as a percentage of sales decreased 4.2 percentage points primarily as a result of lower sales volume and higher operating costs.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1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
        </w:trPr>
        <w:tc>
          <w:tcPr>
            <w:tcW w:w="4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2024 increased $39 million compared to 2023, while expenses as a percent of sales increased 2.4 percentage points. Key drivers of the fluctuation in selling, general and administrative expense compared to 2023 were:</w:t>
      </w:r>
    </w:p>
    <w:p>
      <w:pPr>
        <w:spacing w:after="0" w:line="54"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of $30 million and $9 million comprised of key items for severance, lease abandonment and other restructuring costs during 2024 and 2023, respectively;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and $54 million in net environmental-related expenses during 2024 and 2023, respectively (see Note M for more information);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capital project impairment charge in 2024 and a $4 million impairment charge in 2023 associated with the sale of a Specialty Additives manufacturing facility;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gain associated with ICMS Brazil tax credit in 2023;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million charge associated with the impact of a currency devaluation in Argentina during 2024;</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 million legal settlement during 2024;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associated with the following:</w:t>
      </w:r>
    </w:p>
    <w:p>
      <w:pPr>
        <w:spacing w:after="0" w:line="117" w:lineRule="exact"/>
        <w:rPr>
          <w:sz w:val="20"/>
          <w:szCs w:val="20"/>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variable compensation expense, partially offset by lower stock based compensation;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salary, benefits and travel expenses of $10 million;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favorable foreign currency exchange of $5 million.</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for 2023 decreased $28 million compared to 2022, while expenses as a percent of sales increased 0.3 percentage points. Key drivers of the fluctuation in selling, general and administrative expense compared to 2022 were:</w:t>
      </w:r>
    </w:p>
    <w:p>
      <w:pPr>
        <w:spacing w:after="0" w:line="54" w:lineRule="exact"/>
        <w:rPr>
          <w:sz w:val="20"/>
          <w:szCs w:val="20"/>
          <w:color w:val="auto"/>
        </w:rPr>
      </w:pPr>
    </w:p>
    <w:p>
      <w:pPr>
        <w:ind w:left="760" w:right="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of $9 million and $5 million comprised of key items for severance, lease abandonment and other restructuring costs during 2023 and 2022, respectively;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and $53 million in net environmental-related expenses during 2023 and 2022, respectively (see Note M for more information);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impairment charge in 2023 associated with the sale of a Specialty Additives manufacturing facility;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gain associated with ICMS Brazil tax credit in 2023;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associated with the following:</w:t>
      </w:r>
    </w:p>
    <w:p>
      <w:pPr>
        <w:spacing w:after="0" w:line="117" w:lineRule="exact"/>
        <w:rPr>
          <w:sz w:val="20"/>
          <w:szCs w:val="20"/>
          <w:color w:val="auto"/>
        </w:rPr>
      </w:pPr>
    </w:p>
    <w:p>
      <w:pPr>
        <w:ind w:left="1540" w:hanging="514"/>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incentive pay of $33 million;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exchange of $6 million; and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salary, benefits and travel expenses of $5 million.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0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9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68"/>
        </w:trPr>
        <w:tc>
          <w:tcPr>
            <w:tcW w:w="39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$4 million in 2024 compared to 2023 primarily due to higher compensation costs. In 2023, the $4 million decrease compared to 2022 was primarily due to lower compensation costs.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1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68"/>
        </w:trPr>
        <w:tc>
          <w:tcPr>
            <w:tcW w:w="38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Amortization expense decreased $17 million in 2024 compared to 2023 primarily due to the impact of fully amortized intangibles in prior periods and $2 million from the impact of the held for sale treatment of the Nutraceuticals business divested during 2024, while amortization expense was primarily consistent in 2023 compared to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8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10"/>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24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68"/>
        </w:trPr>
        <w:tc>
          <w:tcPr>
            <w:tcW w:w="358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Equity and other income remained relatively consistent in 2024 compared to 2023. The $4 million increase in 2023 compared to 2022 was primarily related to the China financial cash subsidies.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change</w:t>
            </w: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on acquisitions and divestitures, net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(115 )  $</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  $</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68"/>
        </w:trPr>
        <w:tc>
          <w:tcPr>
            <w:tcW w:w="45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Income (loss) on acquisitions and divestitures, net during 2024 primarily relates to $107 million impairment charge and loss on sale associated with the divestiture of the Nutraceuticals business. In addition, a $7 million reserve for foreign VAT taxes was also recorded in 2024 associated with the sold Nutraceuticals legal entities. See Note B for more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ind w:left="380"/>
        <w:spacing w:after="0"/>
        <w:rPr>
          <w:sz w:val="20"/>
          <w:szCs w:val="20"/>
          <w:color w:val="auto"/>
        </w:rPr>
      </w:pPr>
      <w:r>
        <w:rPr>
          <w:rFonts w:ascii="Times New Roman" w:cs="Times New Roman" w:eastAsia="Times New Roman" w:hAnsi="Times New Roman"/>
          <w:sz w:val="18"/>
          <w:szCs w:val="18"/>
          <w:color w:val="auto"/>
        </w:rPr>
        <w:t>Income (loss) on acquisitions and divestitures, net during 2023 primarily relates to a $7 million gain on the sale of excess corporate real estate.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(loss) on acquisitions and divestitures, net during 2022 primarily relates to a $42 million gain on the sale of excess corporate real estate.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the accounts receivable sale programs</w:t>
            </w:r>
          </w:p>
        </w:tc>
        <w:tc>
          <w:tcPr>
            <w:tcW w:w="2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financing costs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9"/>
        </w:trPr>
        <w:tc>
          <w:tcPr>
            <w:tcW w:w="5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48"/>
        </w:trPr>
        <w:tc>
          <w:tcPr>
            <w:tcW w:w="520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-76835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-59690</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-76835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-59690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-76835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-59690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-76835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-59690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interest and other expense (income) decreased by $30 million in 2024 compared to 2023. Interest expense and interest income remained primarily consistent to the prior year. Restricted investments gains of $75 million and losses of $42 million included realized gains of $60 million compared to losses of $29 million for 2024 and 2023, respectively. See Note E for more information on the restricted investments.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Net interest and other expense (income) decreased by $143 million in 2023 compared to 2022. Interest expense decreased by $8 million primarily due to lower debt levels during 2023 compared to 2022. Interest income increased $8 million due to higher investment yields and higher cash balances. Restricted investments gains of $42 million and losses of $86 million included mark-to-market gains of $29 million compared to losses of $102 million for 2023 and 2022, respectively. See Note E for more information on the restricted investments.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change</w:t>
            </w: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net periodic benefit loss (income)</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68"/>
        </w:trPr>
        <w:tc>
          <w:tcPr>
            <w:tcW w:w="4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net periodic benefit expense during 2024 primarily included interest cost of $16 million and a $14 million loss on pension postretirement plan remeasurements offset by expected return on plan assets of $8 million.</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Other net periodic benefit income during 2023 primarily included interest cost of $15 million offset by expected return on plan assets of $7 million and a $2 million gain on pension and other postretirement plan remeasurements.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net periodic benefit expense during 2022 primarily included actuarial gains of $25 million and expected return on plan assets of $7 million, offset by interest cost of $10 million.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change</w:t>
            </w: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(223 )  $</w:t>
            </w:r>
          </w:p>
        </w:tc>
        <w:tc>
          <w:tcPr>
            <w:tcW w:w="12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(8 )  $</w:t>
            </w:r>
          </w:p>
        </w:tc>
        <w:tc>
          <w:tcPr>
            <w:tcW w:w="10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(215 )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70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929 %</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(5 )%</w:t>
            </w: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
        </w:trPr>
        <w:tc>
          <w:tcPr>
            <w:tcW w:w="37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2024 effective tax rate was impacted by jurisdictional income mix, as well as favorable discrete items of $231 million primarily related to changes in foreign tax activity and the tax impact of the Nutraceuticals business sale.</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2023 effective tax rate was impacted by jurisdictional income mix, as well as favorable discrete items of $49 million primarily related to uncertain tax positions.</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2022 effective tax rate was impacted by jurisdictional income mix, as well as favorable discrete items of $15 million primarily related to uncertain tax positions and restructuring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Adjusted income tax expense</w:t>
      </w:r>
    </w:p>
    <w:p>
      <w:pPr>
        <w:spacing w:after="0" w:line="119"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Key items are defined as the financial effects from significant transactions that may have caused short-term fluctuations in net income and/or operating income (loss)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tax rates during 2024, 2023 and 2022 were significantly impacted by the following tax specific key items:</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 – Includes the impact from the settlement of uncertain tax positions with various tax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 Includes the impact from the release of certain foreign tax credit valuation allowances;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separation activity – Includes the tax impact of the Nutraceuticals business sale and company-wide restructuring activities;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and tax reform related activity – Includes miscellaneous state and foreign statute adjustments.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is a calculation of the effective tax rate, excluding the impact of these key items: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Key items (pre-tax)</w:t>
            </w:r>
            <w:r>
              <w:rPr>
                <w:rFonts w:ascii="Times New Roman" w:cs="Times New Roman" w:eastAsia="Times New Roman" w:hAnsi="Times New Roman"/>
                <w:sz w:val="24"/>
                <w:szCs w:val="24"/>
                <w:color w:val="auto"/>
                <w:vertAlign w:val="superscript"/>
              </w:rPr>
              <w:t>(a)</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 before income taxes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rate adjustments: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Tax effect of key items</w:t>
            </w:r>
            <w:r>
              <w:rPr>
                <w:rFonts w:ascii="Times New Roman" w:cs="Times New Roman" w:eastAsia="Times New Roman" w:hAnsi="Times New Roman"/>
                <w:sz w:val="24"/>
                <w:szCs w:val="24"/>
                <w:color w:val="auto"/>
                <w:vertAlign w:val="superscript"/>
              </w:rPr>
              <w:t>(b)</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Tax specific key items:</w:t>
            </w:r>
            <w:r>
              <w:rPr>
                <w:rFonts w:ascii="Times New Roman" w:cs="Times New Roman" w:eastAsia="Times New Roman" w:hAnsi="Times New Roman"/>
                <w:sz w:val="24"/>
                <w:szCs w:val="24"/>
                <w:color w:val="auto"/>
                <w:vertAlign w:val="superscript"/>
              </w:rPr>
              <w:t>(c)</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and tax reform related activity</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rate adjustments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tax expense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Effective tax rate</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6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100"/>
              <w:spacing w:after="0" w:line="158" w:lineRule="exact"/>
              <w:rPr>
                <w:sz w:val="20"/>
                <w:szCs w:val="20"/>
                <w:color w:val="auto"/>
              </w:rPr>
            </w:pPr>
            <w:r>
              <w:rPr>
                <w:rFonts w:ascii="Times New Roman" w:cs="Times New Roman" w:eastAsia="Times New Roman" w:hAnsi="Times New Roman"/>
                <w:sz w:val="18"/>
                <w:szCs w:val="18"/>
                <w:color w:val="auto"/>
              </w:rPr>
              <w:t>929 %</w:t>
            </w:r>
          </w:p>
        </w:tc>
        <w:tc>
          <w:tcPr>
            <w:tcW w:w="300" w:type="dxa"/>
            <w:vAlign w:val="bottom"/>
          </w:tcPr>
          <w:p>
            <w:pPr>
              <w:spacing w:after="0"/>
              <w:rPr>
                <w:sz w:val="13"/>
                <w:szCs w:val="13"/>
                <w:color w:val="auto"/>
              </w:rPr>
            </w:pPr>
          </w:p>
        </w:tc>
        <w:tc>
          <w:tcPr>
            <w:tcW w:w="126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31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 Excluding Key Items (Non-GAAP)</w:t>
            </w:r>
            <w:r>
              <w:rPr>
                <w:rFonts w:ascii="Times New Roman" w:cs="Times New Roman" w:eastAsia="Times New Roman" w:hAnsi="Times New Roman"/>
                <w:sz w:val="24"/>
                <w:szCs w:val="24"/>
                <w:color w:val="auto"/>
                <w:vertAlign w:val="superscript"/>
              </w:rPr>
              <w:t>(d)</w:t>
            </w:r>
          </w:p>
        </w:tc>
        <w:tc>
          <w:tcPr>
            <w:tcW w:w="30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w:t>
            </w:r>
          </w:p>
        </w:tc>
        <w:tc>
          <w:tcPr>
            <w:tcW w:w="30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-1899285</wp:posOffset>
            </wp:positionV>
            <wp:extent cx="93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-1882140</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-1899285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-1882140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-1598930</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-1598930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-484505</wp:posOffset>
            </wp:positionV>
            <wp:extent cx="93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-484505</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ind w:left="600" w:right="60" w:hanging="592"/>
        <w:spacing w:after="0" w:line="251" w:lineRule="auto"/>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below in this Management, Discussion and Analysis of Financial Condition and Results of Operation for a summary of the key items, before tax.</w:t>
      </w:r>
    </w:p>
    <w:p>
      <w:pPr>
        <w:ind w:left="600" w:hanging="592"/>
        <w:spacing w:after="0"/>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rate specific to the jurisdiction in which the key item originates is used to calculate the tax effect of key items.</w:t>
      </w:r>
    </w:p>
    <w:p>
      <w:pPr>
        <w:spacing w:after="0" w:line="27" w:lineRule="exact"/>
        <w:rPr>
          <w:rFonts w:ascii="Times New Roman" w:cs="Times New Roman" w:eastAsia="Times New Roman" w:hAnsi="Times New Roman"/>
          <w:sz w:val="14"/>
          <w:szCs w:val="14"/>
          <w:color w:val="auto"/>
        </w:rPr>
      </w:pPr>
    </w:p>
    <w:p>
      <w:pPr>
        <w:ind w:left="600" w:right="60" w:hanging="592"/>
        <w:spacing w:after="0" w:line="242" w:lineRule="auto"/>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below in this Management Discussion and Analysis of Financial Condition and Results of Operation.</w:t>
      </w:r>
    </w:p>
    <w:p>
      <w:pPr>
        <w:ind w:left="600" w:hanging="592"/>
        <w:spacing w:after="0"/>
        <w:tabs>
          <w:tab w:leader="none" w:pos="6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18" w:right="279" w:bottom="1440" w:gutter="0" w:footer="0" w:header="0"/>
        </w:sectPr>
      </w:pPr>
    </w:p>
    <w:bookmarkStart w:id="48" w:name="page49"/>
    <w:bookmarkEnd w:id="48"/>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tax specific key items within the statutory federal income tax with the provision for income taxes summary disclosed in Note K of the Notes to Consolidated Financial Statements.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Tax effect of key items computed at applicable statutory rate</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difference on stock sale</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law changes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US Restructuring</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Deemed inclusions, foreign dividends and other restructuring</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0"/>
        </w:trPr>
        <w:tc>
          <w:tcPr>
            <w:tcW w:w="66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rate specific to the jurisdiction in which the key item originates is used to calculate the tax effect of key items.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income taxes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Composites/Marl Facility</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Water Technologies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Valvoline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(loss) on disposal of discontinued operations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Composites/Marl facility</w:t>
            </w:r>
          </w:p>
        </w:tc>
        <w:tc>
          <w:tcPr>
            <w:tcW w:w="2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Water Technologies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-222250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-222250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-222250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-222250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a result of the divestiture of the Performance Adhesives segment during 2022 the related operating results have been reflected as discontinued operations (net of income taxes) within the Statements of Consolidated Comprehensive Income (Loss). See Note B for more information on this transaction. In 2024, 2023 and 2022, the Performance Adhesives activity represents subsequent adjustments that were made in conjunction with the post-closing disputes. In 2022, the sales and pre-tax income included in discontinued operations were $171 million and $33 million, respectively, for the Performance Adhesives segment. In 2022, a $726 million gain on disposal was recorded associated with the February 28, 2022 closing of the Performance Adhesives business segment divestiture.</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Asbestos-related activity during 2024, 2023 and 2022 included after-tax net adjustments to the asbestos reserves and receivables of $18 million of expense, $5 million of expense and $14 million of expense, respectively, including the adjustments for the annual update for each of these years.</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Valvoline activity within 2024, 2023 and 2022 primarily represents subsequent adjustments that were made in conjunction with post-closing disputes and the Tax Matters Agreement.</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activity for Water Technologies and Distribution were primarily related to post-closing adjustments associated with environmental remediation reserves associated with these businesses.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C for more information related to discontinued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comparative analysis of the components of other comprehensive income (loss) is provided below for the last three fiscal years ended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0"/>
        </w:trPr>
        <w:tc>
          <w:tcPr>
            <w:tcW w:w="50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r>
      <w:tr>
        <w:trPr>
          <w:trHeight w:val="48"/>
        </w:trPr>
        <w:tc>
          <w:tcPr>
            <w:tcW w:w="504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-76200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-59055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-59055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-59055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-59055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 decreased $11 million in 2024 as compared to 2023 as a result of the following components:</w:t>
      </w:r>
    </w:p>
    <w:p>
      <w:pPr>
        <w:spacing w:after="0" w:line="117" w:lineRule="exact"/>
        <w:rPr>
          <w:sz w:val="20"/>
          <w:szCs w:val="20"/>
          <w:color w:val="auto"/>
        </w:rPr>
      </w:pPr>
    </w:p>
    <w:p>
      <w:pPr>
        <w:jc w:val="both"/>
        <w:ind w:left="7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change in unrealized gain (loss) from foreign currency translation adjustments resulted in a gain of $54 million, compared to a gain of $72 million during 2023. The fluctuations in unrealized translation gains and losses were primarily due to translating foreign subsidiary financial statements from local currencies to U.S. Dollars; and</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 $1 million unrealized gain on commodity hedges was recorded compared to a loss of $6 million during 2023. See Note E for more information.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Total other comprehensive income (loss), net of tax, increased $263 million in 2023 as compared to 2022 as a result of the following components:</w:t>
      </w:r>
    </w:p>
    <w:p>
      <w:pPr>
        <w:spacing w:after="0" w:line="117" w:lineRule="exact"/>
        <w:rPr>
          <w:sz w:val="20"/>
          <w:szCs w:val="20"/>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change in unrealized gain (loss) from foreign currency translation adjustments resulted in a gain of $72 million, compared to a loss of $197 million during 2022. The fluctuations in unrealized translation gains and losses were primarily due to translating foreign subsidiary financial statements from local currencies to U.S. Dollars;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 $6 million unrealized loss on commodity hedges was recorded compared to a loss of $1 million during 2022. See Note E for more information;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 $1 million pension and postretirement obligation adjustment was recorded. See Note L for more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measures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Adjusted EBITDA and Adjusted EBITDA Margin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EBITDA is defined as net income, plus income tax expense (benefit), net interest and other expense (income), and depreciation and amortization. Adjusted EBITDA is EBITDA adjusted for discontinued operations and key items (including remeasurement gains and losses related to pension and other postretirement plans). Adjusted EBITDA margin is Adjusted EBITDA divided by sales.</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(loss). The adjustments Ashland makes to derive the non-GAAP measures of EBITDA and Adjusted EBITDA exclude items which may cause short-term fluctuations in net income and operating income (loss)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provide consistency in our financial reporting, facilitate internal and external comparisons of Ashland’s historical operating performance and its segments and provide continuity to investors for comparability purposes.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Diluted Earnings Per Share (EPS)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Adjusted Diluted EPS is defined as income (loss) from continuing operations, adjusted for key items, net of tax, divided by the average outstanding diluted shares for the applicable period. 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Diluted Earnings Per Share (EPS) Excluding Intangibles Amortization Expense</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Adjusted Diluted EPS Excluding Intangible Amortization Expense is adjusted earnings per share adjusted for intangibles amortization expense net of tax, divided by the average outstanding diluted shares for the applicable period. 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Ongoing Free Cash Flow and Ongoing Free Cash Flow Conversion</w:t>
      </w:r>
    </w:p>
    <w:p>
      <w:pPr>
        <w:spacing w:after="0" w:line="11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Free Cash Flow is defined as operating cash flows less capital expenditures while Ongoing Free Cash Flow is operating cash flows less capital expenditures and certain other adjustments as applicable. Ongoing Free Cash Flow Conversion is Ongoing Free Cash Flow divided by Adjusted EBITDA. These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Ongoing Free Cash Flow, and Free Cash Flow Conversion are non-GAAP liquidity measures that Ashland believes provide useful information to management and investors about Ashland's ability to convert Adjusted EBITDA to Ongoing Free Cash Flow. These liquidity measures are used regularly by Ashland's stakeholders and industry peers to measure the efficiency at providing cash from regular business activity. Free Cash Flow, Ongoing Free Cash Flow, and Ongoing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disclosures on non-GAAP measures</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measures and are defined further in the sections that reference this metric.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1" w:name="page52"/>
    <w:bookmarkEnd w:id="51"/>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L of the Notes to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EBITDA totaled income of $142 million, $419 million and $1,342 million for 2024, 2023 and 2022, respectively. EBITDA and Adjusted EBITDA results in the following table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These operating key items for the applicable periods are summarized as follows:</w:t>
      </w:r>
    </w:p>
    <w:p>
      <w:pPr>
        <w:spacing w:after="0" w:line="117" w:lineRule="exact"/>
        <w:rPr>
          <w:sz w:val="20"/>
          <w:szCs w:val="20"/>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Nutraceuticals impairment and sale – During 2024, Ashland sold substantially all of the net assets of its Nutraceuticals business. As a result, Ashland recorded an impairment charge and loss on sale within the income (loss) on acquisitions and divestitures, net caption of the Statements of Consolidated Comprehensive Income (Loss) in 2024. See Note B of the Notes to Consolidated Financial Statements for more information;</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depreciation – As a result of product line optimization activities at two Specialty Additives manufacturing plants and a Personal Care manufacturing plant, Ashland recorded accelerated depreciation due to changes in the expected useful life of certain property, plant and equipment during 2024. See Note D of the Notes to Consolidated Financial Statements for more information;</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liabilities and receivables primarily related to previously divested businesses or non-operational sites. See Note M of the Notes to Consolidated Financial Statements for more information;</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separation and other costs – Ashland periodically implements company-wide and targeted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Consolidated Financial Statements for further information on the restructuring activities;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 Ashland recognized impairment charges to certain assets during 2024 and 2023. See Note D of the Notes to Consolidated Financial Statements for more information;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plant optimization costs – During 2024, Ashland incurred inventory adjustment and production costs associated with product line optimization 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Nutraceuticals VAT reserve – During 2024, Ashland incurred a Value-Added Tax ("VAT") reserve associated with the sale of the Nutraceuticals business;</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Argentina foreign currency devaluation – Following the enactment by the Argentina government of a 50% peso devaluation against the dollar, Ashland recorded a currency devaluation charge within the selling, general and administrative expense caption of the Statements of Consolidated Comprehensive Income (Loss) during 2024;</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settlement – During 2024, Ashland incurred $4 million in costs associated with a legal settlement;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on acquisitions and divestitures, net – Ashland recorded income of $6 million and $42 million during 2023 and 2022, respectively. The income was related to the pre-tax gains in connection with the sale of excess corporate property;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ICMS Brazil tax credit – In 2017, the Federal Supreme Court of Brazil ruled in a leading case that a Brazil value-added tax (ICMS) should not be included in the base used to calculate a taxpayer's federal contribution on total revenue known as PIS/COFINS (2017 Decision). Following favorable court rulings from lawsuits previously filed by two of Ashland's Brazilian subsidiaries challenging the inclusion of ICMS in Ashland's calculation of PIS/COFINS, Ashland received acknowledgment from the Brazilian tax authorities that allows Ashland to begin the process to recover the taxes. See Note M of the Notes to Consolidated Financial Statements for more information; and</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for sale depreciation and amortization – Represents the depreciation and amortization for the Nutraceuticals business held for sale assets during fiscal 2024. See Note B of the Notes to Consolidated Financial Statements for more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key items affecting EBITDA</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current and prior years, there were certain key items that were not included in operating income (loss) but were excluded to arrive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These non-operating key items for the applicable periods are summarized as follows:</w:t>
      </w:r>
    </w:p>
    <w:p>
      <w:pPr>
        <w:spacing w:after="0" w:line="99" w:lineRule="exact"/>
        <w:rPr>
          <w:sz w:val="20"/>
          <w:szCs w:val="20"/>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Gain/loss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L of the Notes to Consolidated Financial Statements for more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interest and other financing expense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6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1,342</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r>
      <w:tr>
        <w:trPr>
          <w:trHeight w:val="216"/>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Nutraceuticals impairment and sale</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Accelerated depreciation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6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Loss (gain) on pension and other postretirement plan remeasurements</w:t>
            </w:r>
            <w:r>
              <w:rPr>
                <w:rFonts w:ascii="Times New Roman" w:cs="Times New Roman" w:eastAsia="Times New Roman" w:hAnsi="Times New Roman"/>
                <w:sz w:val="24"/>
                <w:szCs w:val="24"/>
                <w:color w:val="auto"/>
                <w:vertAlign w:val="superscript"/>
              </w:rPr>
              <w:t>(b)</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Nutraceuticals VAT reserve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Argentina currency devaluation impact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Legal settlement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on acquisitions and divestitures, net</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ICMS Brazil tax credit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 for sale depreciation and amortization</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0"/>
        </w:trPr>
        <w:tc>
          <w:tcPr>
            <w:tcW w:w="66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-805180</wp:posOffset>
            </wp:positionV>
            <wp:extent cx="93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-805180</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jc w:val="both"/>
        <w:ind w:left="600" w:hanging="592"/>
        <w:spacing w:after="0" w:line="241" w:lineRule="auto"/>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accelerated depreciation of $2 million and $55 million for Personal Care and Specialty Additives for fiscal 2024, respectively, which is included as a key item within this table as a component of Adjusted EBITDA. Depreciation and amortization includes $3 million for Life Sciences associated with the Nutraceuticals business held for sale assets for fiscal 2024, which is included as a key item within this table as a component of Adjusted EBITDA.</w:t>
      </w:r>
    </w:p>
    <w:p>
      <w:pPr>
        <w:jc w:val="both"/>
        <w:ind w:left="600" w:hanging="592"/>
        <w:spacing w:after="0" w:line="234" w:lineRule="auto"/>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$12 million and $7 million during 2024, 2023 and 2022, respectively, of net periodic pension and other postretirement expense recognized ratably through the fiscal year. These expenses are comprised of service cost, interest cost, expected return on plan assets, and amortization of prior service credit and are disclosed in further detail in Note L of the Notes to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Diluted EPS and Adjusted Diluted EPS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(loss)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to the operating key items previously described, additional non-operating key items for the applicable periods are summarized as follows:</w:t>
      </w:r>
    </w:p>
    <w:p>
      <w:pPr>
        <w:spacing w:after="0" w:line="117" w:lineRule="exact"/>
        <w:rPr>
          <w:sz w:val="20"/>
          <w:szCs w:val="20"/>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 on securities – represents gains recognized on restricted investments related to the Asbestos trust and Environmental trust for each period. See Note E of the Notes to Consolidated Financial Statements for more information;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 – represents the impact from the settlement of uncertain tax positions with various tax authorities for fiscal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54" w:name="page55"/>
    <w:bookmarkEnd w:id="54"/>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 represents the impact from the release of certain foreign tax credit valuation allowances;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separation activity – represents the tax impact of the held for sale classification for the Nutraceuticals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and tax reform related activity – represents tax specific key items associated with foreign tax related activity for fiscal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10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items, before tax:</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Nutraceuticals impairment and sale</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depreciation</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(gain) on pension and other postretirement plan remeasurements</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Nutraceuticals VAT reserve</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Argentina currency devaluation impact</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settlement</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on acquisitions and divestitures, net</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ICMS Brazil tax credit</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 for sale depreciation and amortization</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Key items, before tax</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Tax effect of key items</w:t>
            </w:r>
            <w:r>
              <w:rPr>
                <w:rFonts w:ascii="Times New Roman" w:cs="Times New Roman" w:eastAsia="Times New Roman" w:hAnsi="Times New Roman"/>
                <w:sz w:val="24"/>
                <w:szCs w:val="24"/>
                <w:color w:val="auto"/>
                <w:vertAlign w:val="superscript"/>
              </w:rPr>
              <w:t>(a)</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Key items, after tax</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specific key items: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Uncertain tax positions</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tax reform related activity</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Tax specific key items</w:t>
            </w:r>
            <w:r>
              <w:rPr>
                <w:rFonts w:ascii="Times New Roman" w:cs="Times New Roman" w:eastAsia="Times New Roman" w:hAnsi="Times New Roman"/>
                <w:sz w:val="24"/>
                <w:szCs w:val="24"/>
                <w:color w:val="auto"/>
                <w:vertAlign w:val="superscript"/>
              </w:rPr>
              <w:t>(b)</w:t>
            </w: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key items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5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0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97"/>
        </w:trPr>
        <w:tc>
          <w:tcPr>
            <w:tcW w:w="6660" w:type="dxa"/>
            <w:vAlign w:val="bottom"/>
            <w:tcBorders>
              <w:top w:val="single" w:sz="8" w:color="CFF0FC"/>
            </w:tcBorders>
          </w:tcPr>
          <w:p>
            <w:pPr>
              <w:ind w:left="20"/>
              <w:spacing w:after="0" w:line="197" w:lineRule="exact"/>
              <w:rPr>
                <w:sz w:val="20"/>
                <w:szCs w:val="20"/>
                <w:color w:val="auto"/>
              </w:rPr>
            </w:pPr>
            <w:r>
              <w:rPr>
                <w:rFonts w:ascii="Times New Roman" w:cs="Times New Roman" w:eastAsia="Times New Roman" w:hAnsi="Times New Roman"/>
                <w:sz w:val="17"/>
                <w:szCs w:val="17"/>
                <w:color w:val="auto"/>
              </w:rPr>
              <w:t>Amortization expense adjustment (net of tax)</w:t>
            </w:r>
            <w:r>
              <w:rPr>
                <w:rFonts w:ascii="Times New Roman" w:cs="Times New Roman" w:eastAsia="Times New Roman" w:hAnsi="Times New Roman"/>
                <w:sz w:val="22"/>
                <w:szCs w:val="22"/>
                <w:color w:val="auto"/>
                <w:vertAlign w:val="superscript"/>
              </w:rPr>
              <w:t>(c)</w:t>
            </w:r>
          </w:p>
        </w:tc>
        <w:tc>
          <w:tcPr>
            <w:tcW w:w="9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top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1"/>
        </w:trPr>
        <w:tc>
          <w:tcPr>
            <w:tcW w:w="66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Adjusted Diluted EPS from Continuing Operations (non-GAAP) Excluding Intangibles</w:t>
            </w:r>
          </w:p>
        </w:tc>
        <w:tc>
          <w:tcPr>
            <w:tcW w:w="900" w:type="dxa"/>
            <w:vAlign w:val="bottom"/>
            <w:vMerge w:val="restart"/>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4.45</w:t>
            </w:r>
          </w:p>
        </w:tc>
        <w:tc>
          <w:tcPr>
            <w:tcW w:w="1020" w:type="dxa"/>
            <w:vAlign w:val="bottom"/>
            <w:gridSpan w:val="2"/>
            <w:vMerge w:val="restart"/>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4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4"/>
        </w:trPr>
        <w:tc>
          <w:tcPr>
            <w:tcW w:w="666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Amortization Expense</w:t>
            </w:r>
          </w:p>
        </w:tc>
        <w:tc>
          <w:tcPr>
            <w:tcW w:w="900" w:type="dxa"/>
            <w:vAlign w:val="bottom"/>
            <w:vMerge w:val="continue"/>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440" w:type="dxa"/>
            <w:vAlign w:val="bottom"/>
            <w:gridSpan w:val="2"/>
            <w:vMerge w:val="continue"/>
            <w:shd w:val="clear" w:color="auto" w:fill="CFF0FC"/>
          </w:tcPr>
          <w:p>
            <w:pPr>
              <w:spacing w:after="0"/>
              <w:rPr>
                <w:sz w:val="20"/>
                <w:szCs w:val="20"/>
                <w:color w:val="auto"/>
              </w:rPr>
            </w:pPr>
          </w:p>
        </w:tc>
        <w:tc>
          <w:tcPr>
            <w:tcW w:w="11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660" w:type="dxa"/>
            <w:vAlign w:val="bottom"/>
            <w:tcBorders>
              <w:top w:val="single" w:sz="8" w:color="CFF0FC"/>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8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-788035</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-788035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-496570</wp:posOffset>
            </wp:positionV>
            <wp:extent cx="93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-479425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-496570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-479425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-76200</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-59690</wp:posOffset>
            </wp:positionV>
            <wp:extent cx="93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-59690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00" w:hanging="592"/>
        <w:spacing w:after="0"/>
        <w:tabs>
          <w:tab w:leader="none" w:pos="6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previously identified above.</w:t>
      </w:r>
    </w:p>
    <w:p>
      <w:pPr>
        <w:spacing w:after="0" w:line="28" w:lineRule="exact"/>
        <w:rPr>
          <w:rFonts w:ascii="Times New Roman" w:cs="Times New Roman" w:eastAsia="Times New Roman" w:hAnsi="Times New Roman"/>
          <w:sz w:val="14"/>
          <w:szCs w:val="14"/>
          <w:color w:val="auto"/>
        </w:rPr>
      </w:pPr>
    </w:p>
    <w:p>
      <w:pPr>
        <w:ind w:left="600" w:right="20" w:hanging="592"/>
        <w:spacing w:after="0" w:line="250" w:lineRule="auto"/>
        <w:tabs>
          <w:tab w:leader="none" w:pos="6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spacing w:after="0" w:line="1"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20% for each of the years ended 2024, 2023 and 2022.</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RESULTS OF OPERATIONS – REPORTABLE SEGMENT REVIEW</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Ashland's reportable segments include Life Sciences, Personal Care, Specialty Additives, and Intermediates. Unallocated and Other includes corporate governance activities and certain legacy matters.</w:t>
      </w:r>
    </w:p>
    <w:p>
      <w:pPr>
        <w:spacing w:after="0" w:line="5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prior years for indirect corporate costs previously allocated to Performance Adhesives. These costs are reflected in Unallocated and Other for all periods presented.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6" w:name="page57"/>
    <w:bookmarkEnd w:id="56"/>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sales, operating income (loss), depreciation and amortization and EBITDA by reportable segment for each of the last three years ended September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34"/>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16"/>
        </w:trPr>
        <w:tc>
          <w:tcPr>
            <w:tcW w:w="40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Intersegment sales</w:t>
            </w:r>
            <w:r>
              <w:rPr>
                <w:rFonts w:ascii="Times New Roman" w:cs="Times New Roman" w:eastAsia="Times New Roman" w:hAnsi="Times New Roman"/>
                <w:sz w:val="24"/>
                <w:szCs w:val="24"/>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40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196"/>
        </w:trPr>
        <w:tc>
          <w:tcPr>
            <w:tcW w:w="40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0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Personal Care</w:t>
            </w:r>
            <w:r>
              <w:rPr>
                <w:rFonts w:ascii="Times New Roman" w:cs="Times New Roman" w:eastAsia="Times New Roman" w:hAnsi="Times New Roman"/>
                <w:sz w:val="24"/>
                <w:szCs w:val="24"/>
                <w:color w:val="auto"/>
                <w:vertAlign w:val="superscript"/>
              </w:rPr>
              <w:t>(b)</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40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Specialty Additives</w:t>
            </w:r>
            <w:r>
              <w:rPr>
                <w:rFonts w:ascii="Times New Roman" w:cs="Times New Roman" w:eastAsia="Times New Roman" w:hAnsi="Times New Roman"/>
                <w:sz w:val="24"/>
                <w:szCs w:val="24"/>
                <w:color w:val="auto"/>
                <w:vertAlign w:val="superscript"/>
              </w:rPr>
              <w:t>(b)</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4020" w:type="dxa"/>
            <w:vAlign w:val="bottom"/>
            <w:tcBorders>
              <w:bottom w:val="single" w:sz="8" w:color="CFF0FC"/>
            </w:tcBorders>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Unallocated and Other</w:t>
            </w:r>
            <w:r>
              <w:rPr>
                <w:rFonts w:ascii="Times New Roman" w:cs="Times New Roman" w:eastAsia="Times New Roman" w:hAnsi="Times New Roman"/>
                <w:sz w:val="24"/>
                <w:szCs w:val="24"/>
                <w:color w:val="auto"/>
                <w:vertAlign w:val="superscript"/>
              </w:rPr>
              <w:t>(b)</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0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0"/>
        </w:trPr>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expense</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Personal Care</w:t>
            </w:r>
            <w:r>
              <w:rPr>
                <w:rFonts w:ascii="Times New Roman" w:cs="Times New Roman" w:eastAsia="Times New Roman" w:hAnsi="Times New Roman"/>
                <w:sz w:val="24"/>
                <w:szCs w:val="24"/>
                <w:color w:val="auto"/>
                <w:vertAlign w:val="superscript"/>
              </w:rPr>
              <w:t>(c)</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Specialty Additives</w:t>
            </w:r>
            <w:r>
              <w:rPr>
                <w:rFonts w:ascii="Times New Roman" w:cs="Times New Roman" w:eastAsia="Times New Roman" w:hAnsi="Times New Roman"/>
                <w:sz w:val="24"/>
                <w:szCs w:val="24"/>
                <w:color w:val="auto"/>
                <w:vertAlign w:val="superscript"/>
              </w:rPr>
              <w:t>(d)</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 and 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197"/>
        </w:trPr>
        <w:tc>
          <w:tcPr>
            <w:tcW w:w="40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and Other</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4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02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22"/>
                <w:szCs w:val="22"/>
                <w:b w:val="1"/>
                <w:bCs w:val="1"/>
                <w:color w:val="auto"/>
                <w:vertAlign w:val="superscript"/>
              </w:rPr>
              <w:t>(e)</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16"/>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 and 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0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48"/>
        </w:trPr>
        <w:tc>
          <w:tcPr>
            <w:tcW w:w="402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-4053840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-4036695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-4053840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-4036695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-4053840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-4036695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-4053840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-4036695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-3205480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-3205480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-3205480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-3205480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-2065020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-2047875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-2065020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-2047875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-2065020</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-2047875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-2065020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-2047875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-1216660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-1216660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-1216660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-1216660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-59690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-59690</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-59690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5" w:lineRule="exact"/>
        <w:rPr>
          <w:sz w:val="20"/>
          <w:szCs w:val="20"/>
          <w:color w:val="auto"/>
        </w:rPr>
      </w:pPr>
    </w:p>
    <w:p>
      <w:pPr>
        <w:ind w:left="600" w:hanging="592"/>
        <w:spacing w:after="0"/>
        <w:tabs>
          <w:tab w:leader="none" w:pos="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sales are accounted for at cost.</w:t>
      </w:r>
    </w:p>
    <w:p>
      <w:pPr>
        <w:spacing w:after="0" w:line="28" w:lineRule="exact"/>
        <w:rPr>
          <w:rFonts w:ascii="Times New Roman" w:cs="Times New Roman" w:eastAsia="Times New Roman" w:hAnsi="Times New Roman"/>
          <w:sz w:val="14"/>
          <w:szCs w:val="14"/>
          <w:color w:val="auto"/>
        </w:rPr>
      </w:pPr>
    </w:p>
    <w:p>
      <w:pPr>
        <w:jc w:val="both"/>
        <w:ind w:left="600" w:hanging="592"/>
        <w:spacing w:after="0" w:line="242" w:lineRule="auto"/>
        <w:tabs>
          <w:tab w:leader="none" w:pos="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$99 million impairment charge and a $8 million loss on sale, both related to the divestiture of the Nutraceuticals business within the income (loss) on acquisitions and divestitures, net in 2024. Includes a capital project impairment charge of $11 million within Personal Care in 2024 and a $4 million impairment charge related to a Specialty Additives facility in 2023.</w:t>
      </w:r>
    </w:p>
    <w:p>
      <w:pPr>
        <w:spacing w:after="0" w:line="161"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$2 million for Personal Care in 2024.</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$55 million for Specialty Additives in 2024.</w:t>
      </w:r>
    </w:p>
    <w:p>
      <w:pPr>
        <w:spacing w:after="0" w:line="15" w:lineRule="exact"/>
        <w:rPr>
          <w:rFonts w:ascii="Times New Roman" w:cs="Times New Roman" w:eastAsia="Times New Roman" w:hAnsi="Times New Roman"/>
          <w:sz w:val="14"/>
          <w:szCs w:val="14"/>
          <w:color w:val="auto"/>
        </w:rPr>
      </w:pPr>
    </w:p>
    <w:p>
      <w:pPr>
        <w:ind w:left="600" w:hanging="592"/>
        <w:spacing w:after="0" w:line="261" w:lineRule="auto"/>
        <w:tabs>
          <w:tab w:leader="none" w:pos="6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and other net periodic benefit loss (income). See the Statement of Consolidated Comprehensive Income (Loss) for applicable amounts excluded.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Life Sciences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Life Sciences is comprised of pharmaceuticals, nutrition, agricultural chemicals, diagnostic films (formerly known as advanced materials) and fine chemicals. Pharmaceutical solutions include controlled release polymers, disintegrants, tablet coating, thickeners, solubilizers, and tablet binders. Nutrition solutions include thickeners, stabilizers, emulsifiers and additives for enhancing mouthfeel, controlling moisture migration, reducing oil uptake and binding structured foods. Customers include pharmaceutical, food, beverage, hospitals and radiologists and industrial manufacturers. The nutraceuticals business was sold in August 2024. See Note B of the the Notes to Consolidated Financial Statements for more information.</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sales for the Life Sciences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0"/>
        </w:trPr>
        <w:tc>
          <w:tcPr>
            <w:tcW w:w="66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48"/>
        </w:trPr>
        <w:tc>
          <w:tcPr>
            <w:tcW w:w="662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-76835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-59690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operating income for the Life Sciences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9"/>
        </w:trPr>
        <w:tc>
          <w:tcPr>
            <w:tcW w:w="66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-222250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as applicable), and Adjusted EBITDA margin (Adjusted EBITDA divided by sales). Ashland does not allocate items to each reportable segment below operating income (loss), such as interest expense and income taxes. As a result, reportable segment EBITDA and Adjusted EBITDA are reconciled directly to operating income (loss) since it is the most directly comparable Statements of Consolidated Comprehensive Income (Loss) caption.</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EBITDA presentation for the years ended September 30, 2024, 2023 and 2022, is provided as a means to enhance the understanding of financial measurements that Ashland has internally determined to be relevant measures of comparison for the results of Life Sciences. The key items during the year ended September 30, 2024 related to charges of $1 million for environmental reserve adjustments which is more than offset by $3 million held for sale reversal of depreciation and amortization. The key items during the year ended September 30, 2023 related to charges of $4 million for restructuring actions and $2 million for environmental reserve adjustments. Life Sciences had no key items for the year ended September 30, 2022.</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Restructuring and other costs</w:t>
            </w:r>
          </w:p>
        </w:tc>
        <w:tc>
          <w:tcPr>
            <w:tcW w:w="220" w:type="dxa"/>
            <w:vAlign w:val="bottom"/>
          </w:tcPr>
          <w:p>
            <w:pPr>
              <w:spacing w:after="0"/>
              <w:rPr>
                <w:sz w:val="17"/>
                <w:szCs w:val="17"/>
                <w:color w:val="auto"/>
              </w:rPr>
            </w:pPr>
          </w:p>
        </w:tc>
        <w:tc>
          <w:tcPr>
            <w:tcW w:w="114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sale depreciation and amortization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(17 )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20.7 %</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19.8 %</w:t>
            </w: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19.0 %</w:t>
            </w:r>
          </w:p>
        </w:tc>
        <w:tc>
          <w:tcPr>
            <w:tcW w:w="780" w:type="dxa"/>
            <w:vAlign w:val="bottom"/>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90 bps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rPr>
              <w:t>80 bps</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26.7 %</w:t>
            </w:r>
          </w:p>
        </w:tc>
        <w:tc>
          <w:tcPr>
            <w:tcW w:w="780" w:type="dxa"/>
            <w:vAlign w:val="bottom"/>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0 bps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99"/>
              </w:rPr>
              <w:t>170 bps</w:t>
            </w:r>
          </w:p>
        </w:tc>
      </w:tr>
      <w:tr>
        <w:trPr>
          <w:trHeight w:val="68"/>
        </w:trPr>
        <w:tc>
          <w:tcPr>
            <w:tcW w:w="4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-933450</wp:posOffset>
            </wp:positionV>
            <wp:extent cx="1289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-916305</wp:posOffset>
            </wp:positionV>
            <wp:extent cx="1289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-933450</wp:posOffset>
            </wp:positionV>
            <wp:extent cx="1289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-916305</wp:posOffset>
            </wp:positionV>
            <wp:extent cx="128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-933450</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-916305</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-933450</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-916305</wp:posOffset>
            </wp:positionV>
            <wp:extent cx="1200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-350520</wp:posOffset>
            </wp:positionV>
            <wp:extent cx="1289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-333375</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-350520</wp:posOffset>
            </wp:positionV>
            <wp:extent cx="128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-333375</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-350520</wp:posOffset>
            </wp:positionV>
            <wp:extent cx="1200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-333375</wp:posOffset>
            </wp:positionV>
            <wp:extent cx="1200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-350520</wp:posOffset>
            </wp:positionV>
            <wp:extent cx="1200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-333375</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600" w:hanging="592"/>
        <w:spacing w:after="0" w:line="261" w:lineRule="auto"/>
        <w:tabs>
          <w:tab w:leader="none" w:pos="6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includes $3 million for Life Sciences associated with the Nutraceuticals business held for sale assets for 2024 which is included as a key item within this table as a component of Adjusted EBITDA.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Life Sciences' sales decreased in 2024 due to lower volume and pricing, while operating income and Adjusted EBITDA decreased in 2024 due to lower volume partially offset by favorable product price/mix, deflationary raw materials, and favorable foreign currency exchange. The CMC portfolio optimization initiative and the Nutraceuticals business sale had an approximate $12 million negative sales impact during the year. Pharma and crop sales showed growth on stronger sales volumes partially offset by lower pricing.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Life Sciences' sales, operating income and Adjusted EBITDA increased in 2023 due to favorable price/mix actions, partially offset by higher costs associated with inflation, lower volumes and unfavorable foreign currency exchange. Life Sciences experienced a strong global demand for pharmaceutical ingredients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Care</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sales for the Personal Care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0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3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16"/>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0"/>
        </w:trPr>
        <w:tc>
          <w:tcPr>
            <w:tcW w:w="3440" w:type="dxa"/>
            <w:vAlign w:val="bottom"/>
            <w:tcBorders>
              <w:bottom w:val="single" w:sz="8" w:color="CFF0FC"/>
            </w:tcBorders>
            <w:shd w:val="clear" w:color="auto" w:fill="CFF0FC"/>
          </w:tcPr>
          <w:p>
            <w:pPr>
              <w:spacing w:after="0"/>
              <w:rPr>
                <w:sz w:val="21"/>
                <w:szCs w:val="21"/>
                <w:color w:val="auto"/>
              </w:rPr>
            </w:pPr>
          </w:p>
        </w:tc>
        <w:tc>
          <w:tcPr>
            <w:tcW w:w="3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48"/>
        </w:trPr>
        <w:tc>
          <w:tcPr>
            <w:tcW w:w="344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gridSpan w:val="2"/>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642"/>
        </w:trPr>
        <w:tc>
          <w:tcPr>
            <w:tcW w:w="3440" w:type="dxa"/>
            <w:vAlign w:val="bottom"/>
          </w:tcPr>
          <w:p>
            <w:pPr>
              <w:spacing w:after="0"/>
              <w:rPr>
                <w:sz w:val="24"/>
                <w:szCs w:val="24"/>
                <w:color w:val="auto"/>
              </w:rPr>
            </w:pPr>
          </w:p>
        </w:tc>
        <w:tc>
          <w:tcPr>
            <w:tcW w:w="35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M-19</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-985520</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-967740</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9" w:name="page60"/>
    <w:bookmarkEnd w:id="59"/>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operating income for the Personal Care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09"/>
        </w:trPr>
        <w:tc>
          <w:tcPr>
            <w:tcW w:w="66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-222250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2024, 2023 and 2022, is provided as a means to enhance the understanding of financial measurements that Ashland has internally determined to be relevant measures of comparison for the results of Personal Care. The key items during the year ended September 30, 2024 related to $11 million from a capital project impairment charge, $2 million of accelerated depreciation and $1 million from other plant optimization costs. Personal Care had no key items for the years ended September 30, 2023 and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top w:val="single" w:sz="8" w:color="auto"/>
            </w:tcBorders>
          </w:tcPr>
          <w:p>
            <w:pPr>
              <w:spacing w:after="0"/>
              <w:rPr>
                <w:sz w:val="18"/>
                <w:szCs w:val="18"/>
                <w:color w:val="auto"/>
              </w:rPr>
            </w:pPr>
          </w:p>
        </w:tc>
      </w:tr>
      <w:tr>
        <w:trPr>
          <w:trHeight w:val="23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(50 )</w:t>
            </w:r>
          </w:p>
        </w:tc>
      </w:tr>
      <w:tr>
        <w:trPr>
          <w:trHeight w:val="216"/>
        </w:trPr>
        <w:tc>
          <w:tcPr>
            <w:tcW w:w="4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(49 )</w:t>
            </w: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Accelerated depreciation</w:t>
            </w:r>
          </w:p>
        </w:tc>
        <w:tc>
          <w:tcPr>
            <w:tcW w:w="22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7"/>
                <w:szCs w:val="17"/>
                <w:color w:val="auto"/>
              </w:rPr>
            </w:pPr>
          </w:p>
        </w:tc>
        <w:tc>
          <w:tcPr>
            <w:tcW w:w="3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(49 )</w:t>
            </w: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11.5 %</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8.7 %</w:t>
            </w: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15.0 %</w:t>
            </w:r>
          </w:p>
        </w:tc>
        <w:tc>
          <w:tcPr>
            <w:tcW w:w="8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280 bps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-630 bps</w:t>
            </w:r>
          </w:p>
        </w:tc>
        <w:tc>
          <w:tcPr>
            <w:tcW w:w="360" w:type="dxa"/>
            <w:vAlign w:val="bottom"/>
          </w:tcPr>
          <w:p>
            <w:pPr>
              <w:spacing w:after="0"/>
              <w:rPr>
                <w:sz w:val="17"/>
                <w:szCs w:val="17"/>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22.9 %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27.4 %</w:t>
            </w:r>
          </w:p>
        </w:tc>
        <w:tc>
          <w:tcPr>
            <w:tcW w:w="8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300 bps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 bps</w:t>
            </w:r>
          </w:p>
        </w:tc>
        <w:tc>
          <w:tcPr>
            <w:tcW w:w="360" w:type="dxa"/>
            <w:vAlign w:val="bottom"/>
            <w:shd w:val="clear" w:color="auto" w:fill="CFF0FC"/>
          </w:tcPr>
          <w:p>
            <w:pPr>
              <w:spacing w:after="0"/>
              <w:rPr>
                <w:sz w:val="18"/>
                <w:szCs w:val="18"/>
                <w:color w:val="auto"/>
              </w:rPr>
            </w:pPr>
          </w:p>
        </w:tc>
      </w:tr>
      <w:tr>
        <w:trPr>
          <w:trHeight w:val="68"/>
        </w:trPr>
        <w:tc>
          <w:tcPr>
            <w:tcW w:w="4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-934085</wp:posOffset>
            </wp:positionV>
            <wp:extent cx="1289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-916305</wp:posOffset>
            </wp:positionV>
            <wp:extent cx="1289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-934085</wp:posOffset>
            </wp:positionV>
            <wp:extent cx="1289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-916305</wp:posOffset>
            </wp:positionV>
            <wp:extent cx="1289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-934085</wp:posOffset>
            </wp:positionV>
            <wp:extent cx="1200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-916305</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-934085</wp:posOffset>
            </wp:positionV>
            <wp:extent cx="1200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-916305</wp:posOffset>
            </wp:positionV>
            <wp:extent cx="1200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-350520</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-333375</wp:posOffset>
            </wp:positionV>
            <wp:extent cx="1289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-350520</wp:posOffset>
            </wp:positionV>
            <wp:extent cx="1289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-333375</wp:posOffset>
            </wp:positionV>
            <wp:extent cx="1289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-350520</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-333375</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-350520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-333375</wp:posOffset>
            </wp:positionV>
            <wp:extent cx="1200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ind w:left="600" w:hanging="592"/>
        <w:spacing w:after="0"/>
        <w:tabs>
          <w:tab w:leader="none" w:pos="6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accelerated depreciation of $2 million for Personal Care for 2024, which is included as a key item within this table as a component of Adjusted</w:t>
      </w:r>
    </w:p>
    <w:p>
      <w:pPr>
        <w:spacing w:after="0" w:line="3" w:lineRule="exact"/>
        <w:rPr>
          <w:rFonts w:ascii="Times New Roman" w:cs="Times New Roman" w:eastAsia="Times New Roman" w:hAnsi="Times New Roman"/>
          <w:sz w:val="14"/>
          <w:szCs w:val="14"/>
          <w:color w:val="auto"/>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Personal Care's sales increased in 2024 primarily due to higher volume partially offset by unfavorable pricing. Sales growth for Personal Care reflects improved demand in most regions for skin care and hair care. Personal Care’s globalization initiatives for biofunctionals and microbial protection also contributed to sales growth. As expected, oral care sales were adversely impacted by order timing with a key customer. Operating income and Adjusted EBITDA increased primarily due to higher volume, favorable product mix and foreign currency exchange, partially offset by higher cost including $11 million for a capital impairment charge and $2 million of accelerated depreciation for product line optimization activities associated with a manufacturing facility. The CMC portfolio optimization initiative had an approximate $7 million negative sales impact during the year. The performance impact for Avoca moderated near the end of the fiscal year.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Personal Care's sales, operating income and Adjusted EBITDA decreased in 2023 primarily due to lower volume, higher costs, and unfavorable foreign currency exchange, partially offset by favorable price/mix.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Additives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sales for the Specialty Additives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Divestiture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66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-222250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operating income for the Specialty Additives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Divestiture</w:t>
            </w:r>
          </w:p>
        </w:tc>
        <w:tc>
          <w:tcPr>
            <w:tcW w:w="3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9"/>
        </w:trPr>
        <w:tc>
          <w:tcPr>
            <w:tcW w:w="66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48"/>
        </w:trPr>
        <w:tc>
          <w:tcPr>
            <w:tcW w:w="662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-76835</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-59690</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2024, 2023 and 2022 below is provided as a means to enhance the understanding of financial measurements that Ashland has internally determined to be relevant measures of comparison for the results of Specialty Additives. The key items during 2024 included a $55 million charge for accelerated depreciation, $9 million of other plant optimization costs and $1 million related to environmental reserve adjustments within Specialty Additives, respectively. The key items during 2023 included a $4 million impairment charge associated with a manufacturing facility and $4 million related to environmental reserve adjustments within Specialty Additives, respectively. The key items during 2022 included $1 million related to environmental reserve adjustments within Specialty Additives.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18"/>
                <w:szCs w:val="18"/>
                <w:color w:val="auto"/>
              </w:rPr>
            </w:pPr>
          </w:p>
        </w:tc>
      </w:tr>
      <w:tr>
        <w:trPr>
          <w:trHeight w:val="23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360" w:type="dxa"/>
            <w:vAlign w:val="bottom"/>
            <w:tcBorders>
              <w:bottom w:val="single" w:sz="8" w:color="auto"/>
            </w:tcBorders>
          </w:tcPr>
          <w:p>
            <w:pPr>
              <w:spacing w:after="0"/>
              <w:rPr>
                <w:sz w:val="20"/>
                <w:szCs w:val="20"/>
                <w:color w:val="auto"/>
              </w:rPr>
            </w:pP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(42 )</w:t>
            </w:r>
          </w:p>
        </w:tc>
        <w:tc>
          <w:tcPr>
            <w:tcW w:w="9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(93 )</w:t>
            </w:r>
          </w:p>
        </w:tc>
      </w:tr>
      <w:tr>
        <w:trPr>
          <w:trHeight w:val="216"/>
        </w:trPr>
        <w:tc>
          <w:tcPr>
            <w:tcW w:w="4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(10 )</w:t>
            </w: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(52 )</w:t>
            </w:r>
          </w:p>
        </w:tc>
        <w:tc>
          <w:tcPr>
            <w:tcW w:w="1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(98 )</w:t>
            </w:r>
          </w:p>
        </w:tc>
      </w:tr>
      <w:tr>
        <w:trPr>
          <w:trHeight w:val="196"/>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Accelerated depreciation</w:t>
            </w:r>
          </w:p>
        </w:tc>
        <w:tc>
          <w:tcPr>
            <w:tcW w:w="22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7"/>
                <w:szCs w:val="17"/>
                <w:color w:val="auto"/>
              </w:rPr>
            </w:pPr>
          </w:p>
        </w:tc>
        <w:tc>
          <w:tcPr>
            <w:tcW w:w="3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plant optimization costs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(91 )</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-5.6 %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1.7 %</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14.3 %</w:t>
            </w:r>
          </w:p>
        </w:tc>
        <w:tc>
          <w:tcPr>
            <w:tcW w:w="78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rPr>
              <w:t>-730 bps</w:t>
            </w: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-1260 bps</w:t>
            </w:r>
          </w:p>
        </w:tc>
        <w:tc>
          <w:tcPr>
            <w:tcW w:w="360" w:type="dxa"/>
            <w:vAlign w:val="bottom"/>
            <w:shd w:val="clear" w:color="auto" w:fill="CFF0FC"/>
          </w:tcPr>
          <w:p>
            <w:pPr>
              <w:spacing w:after="0"/>
              <w:rPr>
                <w:sz w:val="17"/>
                <w:szCs w:val="17"/>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17.3 %</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15.7 %</w:t>
            </w: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25.7 %</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160 bps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bps</w:t>
            </w:r>
          </w:p>
        </w:tc>
        <w:tc>
          <w:tcPr>
            <w:tcW w:w="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-1033780</wp:posOffset>
            </wp:positionV>
            <wp:extent cx="1289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-1016635</wp:posOffset>
            </wp:positionV>
            <wp:extent cx="1289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-1033780</wp:posOffset>
            </wp:positionV>
            <wp:extent cx="1289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-1016635</wp:posOffset>
            </wp:positionV>
            <wp:extent cx="1289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-1033780</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-1016635</wp:posOffset>
            </wp:positionV>
            <wp:extent cx="1200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-1033780</wp:posOffset>
            </wp:positionV>
            <wp:extent cx="1200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-1016635</wp:posOffset>
            </wp:positionV>
            <wp:extent cx="1200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-459105</wp:posOffset>
            </wp:positionV>
            <wp:extent cx="1289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-459105</wp:posOffset>
            </wp:positionV>
            <wp:extent cx="128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-459105</wp:posOffset>
            </wp:positionV>
            <wp:extent cx="120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-459105</wp:posOffset>
            </wp:positionV>
            <wp:extent cx="1200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left="600" w:hanging="592"/>
        <w:spacing w:after="0" w:line="261" w:lineRule="auto"/>
        <w:tabs>
          <w:tab w:leader="none" w:pos="6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accelerated depreciation of $55 million for Specialty Additives for 2024, which is included as a key item within this table as a component of Adjusted EBITDA.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1" w:name="page62"/>
    <w:bookmarkEnd w:id="6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Specialty Additives' sales for 2024 decreased primarily due to unfavorable pricing, while operating income (loss) and Adjusted EBITDA decreased primarily due to higher costs, including $55 million of accelerated depreciation and $9 million of other costs for product line optimization activities associated with two Specialty Additives manufacturing facilities, and unfavorable price/mix partially offset by higher volume and favorable foreign currency exchange. The lower pricing was primarily in coatings with the largest impact related to China. The CMC and MC portfolio optimization initiatives had an approximate $11 million negative sales impact during the year.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Specialty Additives' sales, operating income (loss) and Adjusted EBITDA for 2023 decreased primarily due to lower volume, including the divestiture of a manufacturing facility, higher costs, and unfavorable foreign currency exchange, partially offset by favorable price/mix.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Intermediates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sales for the Intermediates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48"/>
        </w:trPr>
        <w:tc>
          <w:tcPr>
            <w:tcW w:w="662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860" w:type="dxa"/>
            <w:vAlign w:val="bottom"/>
            <w:tcBorders>
              <w:top w:val="single" w:sz="8" w:color="auto"/>
              <w:bottom w:val="single" w:sz="8" w:color="auto"/>
            </w:tcBorders>
          </w:tcPr>
          <w:p>
            <w:pPr>
              <w:spacing w:after="0"/>
              <w:rPr>
                <w:sz w:val="4"/>
                <w:szCs w:val="4"/>
                <w:color w:val="auto"/>
              </w:rPr>
            </w:pPr>
          </w:p>
        </w:tc>
        <w:tc>
          <w:tcPr>
            <w:tcW w:w="22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8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-76200</wp:posOffset>
            </wp:positionV>
            <wp:extent cx="137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-59055</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change in operating income for the Intermediates operating segment between fiscal years 2024 and 2023 and between fiscal years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 change</w:t>
            </w: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 change</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change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Price/mix</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Volume</w:t>
            </w: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w:t>
            </w:r>
          </w:p>
        </w:tc>
        <w:tc>
          <w:tcPr>
            <w:tcW w:w="36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6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66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-222250</wp:posOffset>
            </wp:positionV>
            <wp:extent cx="137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 reconciliation</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EBITDA presentation (as defined and described in the section above) for the years ended September 30, 2024, 2023 and 2022 is provided as a means to enhance the understanding of financial measurements that Ashland has internally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determined to be relevant measures of comparison for the results of Intermediates. Intermediates had no key items for the years ended September 30,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4"/>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change</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None</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196"/>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as a percent of sales</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20.1 %</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27.0 %</w:t>
            </w: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34.0 %</w:t>
            </w:r>
          </w:p>
        </w:tc>
        <w:tc>
          <w:tcPr>
            <w:tcW w:w="160" w:type="dxa"/>
            <w:vAlign w:val="bottom"/>
          </w:tcPr>
          <w:p>
            <w:pPr>
              <w:spacing w:after="0"/>
              <w:rPr>
                <w:sz w:val="17"/>
                <w:szCs w:val="17"/>
                <w:color w:val="auto"/>
              </w:rPr>
            </w:pPr>
          </w:p>
        </w:tc>
        <w:tc>
          <w:tcPr>
            <w:tcW w:w="98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9"/>
              </w:rPr>
              <w:t>-690 bps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-700 bps</w:t>
            </w: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 of sales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29.2 %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39.1 %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99"/>
              </w:rPr>
              <w:t>-490 bps</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rPr>
              <w:t>-500 bps</w:t>
            </w:r>
          </w:p>
        </w:tc>
      </w:tr>
      <w:tr>
        <w:trPr>
          <w:trHeight w:val="68"/>
        </w:trPr>
        <w:tc>
          <w:tcPr>
            <w:tcW w:w="4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-659765</wp:posOffset>
            </wp:positionV>
            <wp:extent cx="1289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-642620</wp:posOffset>
            </wp:positionV>
            <wp:extent cx="1289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-659765</wp:posOffset>
            </wp:positionV>
            <wp:extent cx="1289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-642620</wp:posOffset>
            </wp:positionV>
            <wp:extent cx="128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-659765</wp:posOffset>
            </wp:positionV>
            <wp:extent cx="1200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-642620</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-659765</wp:posOffset>
            </wp:positionV>
            <wp:extent cx="1200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-642620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-350520</wp:posOffset>
            </wp:positionV>
            <wp:extent cx="1289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-334010</wp:posOffset>
            </wp:positionV>
            <wp:extent cx="1289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-350520</wp:posOffset>
            </wp:positionV>
            <wp:extent cx="1289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-334010</wp:posOffset>
            </wp:positionV>
            <wp:extent cx="1289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-350520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-334010</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-350520</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-334010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sales, operating income and Adjusted EBITDA for 2024 decreased primarily due to unfavorable pricing and lower volume, partially offset by lower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Intermediates' sales, operating income and Adjusted EBITDA for 2023 decreased primarily due to lower volume, unfavorable price/mix, higher costs and unfavorable foreign currency exchange.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and other</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components of the Unallocated and other segment’s operating income (loss) for each of the last three years ended September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Unallocated and Other</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expenses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ICMS Brazil tax credit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on acquisitions and divestitures, net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Argentina currency devaluation impact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5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4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48"/>
        </w:trPr>
        <w:tc>
          <w:tcPr>
            <w:tcW w:w="666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-76200</wp:posOffset>
            </wp:positionV>
            <wp:extent cx="939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wp:posOffset>
            </wp:positionV>
            <wp:extent cx="939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-59055</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Unallocated and other recorded expense of $264 million, $112 million and $114 million for 2024, 2023 and 2022, respectively. The charges for restructuring activities of $30 million, $9 million and $14 million during 2024, 2023 and 2022, respectively, were primarily comprised of the following items:</w:t>
      </w:r>
    </w:p>
    <w:p>
      <w:pPr>
        <w:spacing w:after="0" w:line="68"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$9 million and $5 million of severance, lease abandonment and other restructuring costs related to company-wide cost reduction programs during 2024, 2023 and 2022, respectively;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of stranded divestiture costs during 2022.</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remaining items included: $43 million, $49 million and $51 million for environmental expenses in 2024, 2023 and 2022, respectively, expense of $5 million related to the devaluation of the currency in Argentina and loss of $115 million in 2024 (including a $107 million impairment charge and loss on sale associated with the Nutraceuticals business as well as a $7 million charge related to Nutraceutical VAT reserves) compared to income of $6 million and $42 million from acquisitions and divestitures in 2023 and 2022 related to excess corporate property sales, respectively, see income (loss) on acquisitions and divestitures, net caption review above for additional details, and income of $12 million for ICMS tax credits in Brazil in 2023 (see Note M for more information).</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Other expenses between periods were driven by increases and decreases in governance and legacy expenses associated with foreign currency, deferred compensation, stock compensation and incentive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had $300 million in cash and cash equivalents as of September 30, 2024, of which $282 million was held by foreign subsidiaries and had no significant limitations that would prohibit remitting the funds to satisfy corporate obligations. In certain circumstances, if such amounts were repatriated to the United States, additional withholding taxes might need to be accrued and paid depending on the source of the earnings remitted. Ashland currently has no plans to repatriate any amounts for which additional taxes would need to be accrued.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has taken actions and may continue to take actions intended to increase its cash position and preserve financial flexibility. At September 30, 2024, Ashland has total remaining borrowing capacity of $596 million available under the Revolving Credit Facility and foreign Accounts Receivable Securitization Facility. Ashland had no available liquidity under the U.S. and Foreign Accounts Receivable Sales Program, respectively, as of September 30, 2024. Ashland has no maturities related to revolving credit facilities or bonds until fiscal 2027.</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October 19, 2023, Ashland entered, through an Ireland based, wholly-owned, bankruptcy-remote consolidated special purpose entity (SPE), into a three-year agreement with a group of entities (buyers) to sell certain trade receivables, without recourse beyond the pledged receivables, of certain wholly-owned Ashland subsidiaries (Foreign Accounts Receivable Sales Program) primarily in Europe. Under the agreement, Ashland can transfer whole receivables up to a limit established by the buyer, which is currently set at a maximum of €125 million subject to other limitations as applicable. Ashland accounts for receivables transferred to buyers as part of this agreement as sales. See Note H for more information on the Foreign Accounts Receivables Sale Program.</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such suppliers. There were no changes to Ashland's standard payment terms with its suppliers in connection with this program. Ashland provides no guarantees to the third party under this program. As of September 30, 2024, the program is in systems implementation phase and has not yet been offered to suppliers.</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Ashland’s cash flows from operating, investing and financing activities, as reflected in the Statements of Consolidated Cash Flows,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(896 )</w:t>
            </w:r>
          </w:p>
        </w:tc>
      </w:tr>
      <w:tr>
        <w:trPr>
          <w:trHeight w:val="216"/>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50"/>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r>
      <w:tr>
        <w:trPr>
          <w:trHeight w:val="48"/>
        </w:trPr>
        <w:tc>
          <w:tcPr>
            <w:tcW w:w="694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-76200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-59055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paid income taxes of $53 million during 2024 compared to $63 million in 2023 (of which $16 million related to discontinued operations) and $406 million in 2022 (of which $339 million related to discounted operations). Cash receipts for interest income were $10 million in 2024, $12 million in 2023, and $4 million in 2022, respectively, while cash payments for interest expense amounted to $52 million in 2024, $53 million in 2023 and $56 million in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operating activities for 2024, 2023 and 2022,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(used) by operating activities from continuing operations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6"/>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(746 )</w:t>
            </w:r>
          </w:p>
        </w:tc>
      </w:tr>
      <w:tr>
        <w:trPr>
          <w:trHeight w:val="198"/>
        </w:trPr>
        <w:tc>
          <w:tcPr>
            <w:tcW w:w="76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Adjustments to reconcile income from continuing operations to cash flows from operating</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Original issue discount and debt issuance cost amortization</w:t>
            </w: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from sales of property and equipment</w:t>
            </w: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based compensation expense - Note O</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benefits on stock based compensation</w:t>
            </w: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(income) on acquisitions and divestitures, net - Notes B</w:t>
            </w: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Pension contributions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(gain) on pension and other postretirement plan remeasurements</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60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Change in operating assets and liabilities</w:t>
            </w:r>
            <w:r>
              <w:rPr>
                <w:rFonts w:ascii="Times New Roman" w:cs="Times New Roman" w:eastAsia="Times New Roman" w:hAnsi="Times New Roman"/>
                <w:sz w:val="24"/>
                <w:szCs w:val="24"/>
                <w:color w:val="auto"/>
                <w:vertAlign w:val="superscript"/>
              </w:rPr>
              <w:t>(a)</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4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flows provided by operating activities from continuing 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r>
      <w:tr>
        <w:trPr>
          <w:trHeight w:val="48"/>
        </w:trPr>
        <w:tc>
          <w:tcPr>
            <w:tcW w:w="7600" w:type="dxa"/>
            <w:vAlign w:val="bottom"/>
            <w:tcBorders>
              <w:top w:val="single" w:sz="8" w:color="CFF0FC"/>
              <w:bottom w:val="single" w:sz="8" w:color="auto"/>
            </w:tcBorders>
          </w:tcPr>
          <w:p>
            <w:pPr>
              <w:spacing w:after="0"/>
              <w:rPr>
                <w:sz w:val="4"/>
                <w:szCs w:val="4"/>
                <w:color w:val="auto"/>
              </w:rPr>
            </w:pPr>
          </w:p>
        </w:tc>
        <w:tc>
          <w:tcPr>
            <w:tcW w:w="22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-76835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-59055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-76835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-59055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600" w:hanging="592"/>
        <w:spacing w:after="0"/>
        <w:tabs>
          <w:tab w:leader="none" w:pos="6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changes resulting from operations acquired or sold.</w:t>
      </w:r>
    </w:p>
    <w:p>
      <w:pPr>
        <w:spacing w:after="0" w:line="1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from continuing operations, a major source of Ashland’s liquidity, amounted to $462 million in 2024, $294 million in 2023 and $193 million in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 Operating Assets and Liabilities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cash results during each year were primarily driven by net income, excluding discontinued operation results, adjusted for certain non-cash items including depreciation and amortization (including debt issuance cost amortization), income (loss) on acquisitions and divestitures, net as well as changes in working capital, which are fluctuations within accounts receivable, inventory, trade payables and accrued expenses.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certain changes in key operating assets and liabilities for 2024, 2023 and 2022,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6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Cash flows from assets and liabilities</w:t>
            </w:r>
            <w:r>
              <w:rPr>
                <w:rFonts w:ascii="Times New Roman" w:cs="Times New Roman" w:eastAsia="Times New Roman" w:hAnsi="Times New Roman"/>
                <w:sz w:val="24"/>
                <w:szCs w:val="24"/>
                <w:b w:val="1"/>
                <w:bCs w:val="1"/>
                <w:color w:val="auto"/>
                <w:vertAlign w:val="superscript"/>
              </w:rPr>
              <w:t>(a)</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operating assets and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-222250</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-222250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changes resulting from operations acquired or sold.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65" w:name="page66"/>
    <w:bookmarkEnd w:id="65"/>
    <w:p>
      <w:pPr>
        <w:ind w:firstLine="374"/>
        <w:spacing w:after="0" w:line="282" w:lineRule="auto"/>
        <w:rPr>
          <w:sz w:val="20"/>
          <w:szCs w:val="20"/>
          <w:color w:val="auto"/>
        </w:rPr>
      </w:pPr>
      <w:r>
        <w:rPr>
          <w:rFonts w:ascii="Times New Roman" w:cs="Times New Roman" w:eastAsia="Times New Roman" w:hAnsi="Times New Roman"/>
          <w:sz w:val="18"/>
          <w:szCs w:val="18"/>
          <w:color w:val="auto"/>
        </w:rPr>
        <w:t>Changes in net working capital accounted for inflows of $231 million in 2024, outflows of $61 million in 2023 and $130 million in 2022, and were driven by the following:</w:t>
      </w:r>
    </w:p>
    <w:p>
      <w:pPr>
        <w:spacing w:after="0" w:line="54" w:lineRule="exact"/>
        <w:rPr>
          <w:sz w:val="20"/>
          <w:szCs w:val="20"/>
          <w:color w:val="auto"/>
        </w:rPr>
      </w:pPr>
    </w:p>
    <w:p>
      <w:pPr>
        <w:jc w:val="both"/>
        <w:ind w:left="760" w:hanging="378"/>
        <w:spacing w:after="0" w:line="258"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 Changes in accounts receivable resulted in inflows of $96 million and $58 million, and outflows of $23 million in 2024, 2023 and 2022, respectively. The U.S. Accounts Receivable Sales Program contributed to inflows of $1 million, outflows of $40 million, and inflows of $17 million in 2024, 2023 and 2022, respectively. The Foreign Accounts Receivable Sales Program contributed to inflows of $104 million in 2024. Sales volumes in each period and activity from the U.S. and Foreign Accounts Receivable Sales Program were the main drivers of changes between periods.</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 Changes in inventory resulted in cash inflows of $79 million in 2024, outflows of $7 million in 2023 and outflows of $141 million in 2022 and were primarily driven by inventory production levels and volumes. Additionally, 2022 was impacted by cost inflation and management efforts to rebuild inventory levels globally in response to global supply-chain challenges.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 – Changes in trade and other payables resulted in cash inflows of $56 million in 2024, cash outflows of $112 million in 2023, and cash inflows of $34 million in 2022, respectively, and primarily related to the timing of certain payments, most notably incentive plan payments in 2023 for fiscal year 2022.</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remaining cash outflows of $4 million, inflows of $3 million, and outflows of $107 million in 2024, 2023 and 2022, respectively, were primarily due to income taxes paid or income tax refunds, interest paid, and adjustments to certain accruals and other long-term assets and liabilities such as payments associated with environmental remediation.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 - Other</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Operating cash flows for 2024 included income from continuing operations of $199 million and significant non-cash adjustments of $274 million for depreciation and amortization, $15 million for stock-based compensation expense, $74 million of gains from restricted investments, $14 million loss on pension and other postretirement plan remeasurements, $302 million for deferred taxes, and $107 million of loss on acquisitions and divestitures, net.</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cash flows for 2023 included income from continuing operations of $168 million and significant non-cash adjustments of $243 million for depreciation and amortization, $22 million for stock-based compensation expense, $43 million of gains from restricted investments, $2 million gain on pension and other postretirement plan remeasurements, $32 million for deferred taxes, and $7 million of income on acquisitions and divestitures, net.</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Operating cash flows for 2022 included income from continuing operations of $181 million and significant non-cash adjustments of $241 million for depreciation and amortization, $18 million for stock-based compensation expense, $86 million of losses from restricted investments, a $22 million gain on pension and other postretirement plan remeasurements, $35 million for deferred taxes, and $42 million of income on acquisitions and divestitures, net.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investing activities for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(used) by investing activities from continuing operations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or restructuring of operations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settlement of company-owned life insurance contracts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Company-owned life insurance payments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Funds restricted for specific transactions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Reimbursement from restricted investments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securities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investing cash flows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flows used by investing activities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was $51 million in 2024 compared to $109 million and $102 million in 2023 and 2022, respectively. The significant cash investing activities for the current year primarily related to cash outflows of $137 million for capital expenditures, $10 million for lease asset acquisition and $5 million restricted for investment trust purposes for environmental remediation. Additionally, there were inflows of $26 million from the sale of the Nutraceuticals business and reimbursements of $79 million from the restricted renewable annual investment trusts.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significant cash investing activities for 2023 primarily related to cash outflows of $170 million for capital expenditures and $9 million restricted for investment trust purposes for environmental remediation. Additionally, there were inflows of $11 million from the disposal of excess corporate property, which were used to provide additional funding to the environmental trust, and reimbursements of $58 million from the restricted renewable annual investment trusts.</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significant cash investing activities for 2022 primarily related to cash outflows of $113 million for capital expenditures and $74 million restricted for investment trust purposes for environmental remediation. Additionally, there were inflows of $51 million from the disposal of excess corporate property and reimbursements of $35 million from the restricted renewable annual investment trusts.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financing activities for 2024, 2023 and 2022,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(used) by financing activities from continuing operations</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16"/>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(repayment of) short-term debt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(365 )</w:t>
            </w:r>
          </w:p>
        </w:tc>
      </w:tr>
      <w:tr>
        <w:trPr>
          <w:trHeight w:val="216"/>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16"/>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16"/>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 employee withholding taxes paid in cash</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flows used by financing activities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(479 )  $</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(371 )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(896 )</w:t>
            </w:r>
          </w:p>
        </w:tc>
      </w:tr>
      <w:tr>
        <w:trPr>
          <w:trHeight w:val="20"/>
        </w:trPr>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-222250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-222250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used by financing activities was $479 million for 2024, $371 million for 2023, and $896 million for 2022. Significant cash financing activities for 2024 included outflows of $380 million for common stock repurchases, short-term debt repayment of $16 million, and cash dividends paid of $1.58 per share, for a total of $78 million. See Note N for additional information.</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Significant cash financing activities for 2023 included outflows of $300 million for common stock repurchases and cash dividends paid of $1.44 per share, for a total of $76 million. See Note N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67" w:name="page68"/>
    <w:bookmarkEnd w:id="67"/>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Significant cash financing activities for 2022 included outflows of $250 million for the full prepayment of the term loan A and short-term debt repayment of $365 million. See Note H for additional information. 2022 also included cash dividends paid of $1.27 per share, for a total of $70 million and common stock repurchases of $200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(used) by discontinued operations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discloses the cash flows associated with Ashland’s discontinued operations for 2024, 2023 and 2022,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(used) by discontinued operations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1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cash flows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1,658</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provided (used) by discontinued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Cash flows for discontinued operations in 2024, 2023 and 2022 primarily related to cash outflows of $4 million related to cash taxes paid, $39 million and $6 million related to asbestos and environmental payments, respectively, $2 million related to insurance payments partially offset by cash inflows of $2 million related to Valvoline in 2024; outflows of $16 million related to cash taxes paid partially offset by cash inflows of $15 million related to Valvoline in 2023; inflows of $1.3 billion (which includes net proceeds from the completed sale of the Performance Adhesives business segment of $1.7 billion in 2022) related to the divestiture of the Performance Adhesives business segment including $339 million in cash tax payments associated with the transaction in 2022. The remaining cash flows for discontinued operations for these years related to other previously divested businesses, including net payments of asbestos and environmental liabilities related to those divested businesses.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other liquidity resources</w:t>
      </w:r>
    </w:p>
    <w:p>
      <w:pPr>
        <w:spacing w:after="0" w:line="119" w:lineRule="exact"/>
        <w:rPr>
          <w:sz w:val="20"/>
          <w:szCs w:val="20"/>
          <w:color w:val="auto"/>
        </w:rPr>
      </w:pPr>
    </w:p>
    <w:p>
      <w:pPr>
        <w:jc w:val="both"/>
        <w:ind w:right="80" w:firstLine="374"/>
        <w:spacing w:after="0" w:line="282" w:lineRule="auto"/>
        <w:rPr>
          <w:sz w:val="20"/>
          <w:szCs w:val="20"/>
          <w:color w:val="auto"/>
        </w:rPr>
      </w:pPr>
      <w:r>
        <w:rPr>
          <w:rFonts w:ascii="Times New Roman" w:cs="Times New Roman" w:eastAsia="Times New Roman" w:hAnsi="Times New Roman"/>
          <w:sz w:val="18"/>
          <w:szCs w:val="18"/>
          <w:color w:val="auto"/>
        </w:rPr>
        <w:t>The following represents Ashland’s calculation of Free Cash Flow and Ongoing Free Cash Flow for the disclosed periods. Free Cash Flow does not reflect adjustments for certain non-discretionary cash flows such as mandatory debt repayments.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flows provided by operating activities from continuing operations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Cash (inflows) outflows from U.S. Accounts Receivable Sales Program</w:t>
            </w:r>
            <w:r>
              <w:rPr>
                <w:rFonts w:ascii="Times New Roman" w:cs="Times New Roman" w:eastAsia="Times New Roman" w:hAnsi="Times New Roman"/>
                <w:sz w:val="24"/>
                <w:szCs w:val="24"/>
                <w:color w:val="auto"/>
                <w:vertAlign w:val="superscript"/>
              </w:rPr>
              <w:t>(a)</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Cash (inflows) outflows from Foreign Accounts Receivable Sales Program</w:t>
            </w:r>
            <w:r>
              <w:rPr>
                <w:rFonts w:ascii="Times New Roman" w:cs="Times New Roman" w:eastAsia="Times New Roman" w:hAnsi="Times New Roman"/>
                <w:sz w:val="24"/>
                <w:szCs w:val="24"/>
                <w:color w:val="auto"/>
                <w:vertAlign w:val="superscript"/>
              </w:rPr>
              <w:t>(b)</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Restructuring-related payments</w:t>
            </w:r>
            <w:r>
              <w:rPr>
                <w:rFonts w:ascii="Times New Roman" w:cs="Times New Roman" w:eastAsia="Times New Roman" w:hAnsi="Times New Roman"/>
                <w:sz w:val="24"/>
                <w:szCs w:val="24"/>
                <w:color w:val="auto"/>
                <w:vertAlign w:val="superscript"/>
              </w:rPr>
              <w:t>(c)</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Environmental and related litigation payments</w:t>
            </w:r>
            <w:r>
              <w:rPr>
                <w:rFonts w:ascii="Times New Roman" w:cs="Times New Roman" w:eastAsia="Times New Roman" w:hAnsi="Times New Roman"/>
                <w:sz w:val="24"/>
                <w:szCs w:val="24"/>
                <w:color w:val="auto"/>
                <w:vertAlign w:val="superscript"/>
              </w:rPr>
              <w:t>(d)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Ongoing Free Cash Flow</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(e)</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280" w:type="dxa"/>
            <w:vAlign w:val="bottom"/>
          </w:tcPr>
          <w:p>
            <w:pPr>
              <w:ind w:left="20"/>
              <w:spacing w:after="0" w:line="178" w:lineRule="exact"/>
              <w:rPr>
                <w:sz w:val="20"/>
                <w:szCs w:val="20"/>
                <w:color w:val="auto"/>
              </w:rPr>
            </w:pPr>
            <w:r>
              <w:rPr>
                <w:rFonts w:ascii="Times New Roman" w:cs="Times New Roman" w:eastAsia="Times New Roman" w:hAnsi="Times New Roman"/>
                <w:sz w:val="15"/>
                <w:szCs w:val="15"/>
                <w:color w:val="auto"/>
              </w:rPr>
              <w:t>Operating Cash Flow Conversion</w:t>
            </w:r>
            <w:r>
              <w:rPr>
                <w:rFonts w:ascii="Times New Roman" w:cs="Times New Roman" w:eastAsia="Times New Roman" w:hAnsi="Times New Roman"/>
                <w:sz w:val="20"/>
                <w:szCs w:val="20"/>
                <w:color w:val="auto"/>
                <w:vertAlign w:val="superscript"/>
              </w:rPr>
              <w:t>(f)</w:t>
            </w:r>
          </w:p>
        </w:tc>
        <w:tc>
          <w:tcPr>
            <w:tcW w:w="240" w:type="dxa"/>
            <w:vAlign w:val="bottom"/>
          </w:tcPr>
          <w:p>
            <w:pPr>
              <w:spacing w:after="0"/>
              <w:rPr>
                <w:sz w:val="15"/>
                <w:szCs w:val="15"/>
                <w:color w:val="auto"/>
              </w:rPr>
            </w:pPr>
          </w:p>
        </w:tc>
        <w:tc>
          <w:tcPr>
            <w:tcW w:w="1160" w:type="dxa"/>
            <w:vAlign w:val="bottom"/>
            <w:gridSpan w:val="2"/>
          </w:tcPr>
          <w:p>
            <w:pPr>
              <w:jc w:val="right"/>
              <w:ind w:right="80"/>
              <w:spacing w:after="0" w:line="177" w:lineRule="exact"/>
              <w:rPr>
                <w:sz w:val="20"/>
                <w:szCs w:val="20"/>
                <w:color w:val="auto"/>
              </w:rPr>
            </w:pPr>
            <w:r>
              <w:rPr>
                <w:rFonts w:ascii="Times New Roman" w:cs="Times New Roman" w:eastAsia="Times New Roman" w:hAnsi="Times New Roman"/>
                <w:sz w:val="18"/>
                <w:szCs w:val="18"/>
                <w:color w:val="auto"/>
              </w:rPr>
              <w:t>273 %</w:t>
            </w:r>
          </w:p>
        </w:tc>
        <w:tc>
          <w:tcPr>
            <w:tcW w:w="240" w:type="dxa"/>
            <w:vAlign w:val="bottom"/>
          </w:tcPr>
          <w:p>
            <w:pPr>
              <w:spacing w:after="0"/>
              <w:rPr>
                <w:sz w:val="15"/>
                <w:szCs w:val="15"/>
                <w:color w:val="auto"/>
              </w:rPr>
            </w:pPr>
          </w:p>
        </w:tc>
        <w:tc>
          <w:tcPr>
            <w:tcW w:w="110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8"/>
                <w:szCs w:val="18"/>
                <w:color w:val="auto"/>
              </w:rPr>
              <w:t>165 %</w:t>
            </w:r>
          </w:p>
        </w:tc>
        <w:tc>
          <w:tcPr>
            <w:tcW w:w="240" w:type="dxa"/>
            <w:vAlign w:val="bottom"/>
          </w:tcPr>
          <w:p>
            <w:pPr>
              <w:spacing w:after="0"/>
              <w:rPr>
                <w:sz w:val="15"/>
                <w:szCs w:val="15"/>
                <w:color w:val="auto"/>
              </w:rPr>
            </w:pPr>
          </w:p>
        </w:tc>
        <w:tc>
          <w:tcPr>
            <w:tcW w:w="10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4"/>
        </w:trPr>
        <w:tc>
          <w:tcPr>
            <w:tcW w:w="7280" w:type="dxa"/>
            <w:vAlign w:val="bottom"/>
          </w:tcPr>
          <w:p>
            <w:pPr>
              <w:ind w:left="20"/>
              <w:spacing w:after="0" w:line="255" w:lineRule="exact"/>
              <w:rPr>
                <w:sz w:val="20"/>
                <w:szCs w:val="20"/>
                <w:color w:val="auto"/>
              </w:rPr>
            </w:pPr>
            <w:r>
              <w:rPr>
                <w:rFonts w:ascii="Times New Roman" w:cs="Times New Roman" w:eastAsia="Times New Roman" w:hAnsi="Times New Roman"/>
                <w:sz w:val="18"/>
                <w:szCs w:val="18"/>
                <w:color w:val="auto"/>
              </w:rPr>
              <w:t>Ongoing Free Cash Flow Conversion</w:t>
            </w:r>
            <w:r>
              <w:rPr>
                <w:rFonts w:ascii="Times New Roman" w:cs="Times New Roman" w:eastAsia="Times New Roman" w:hAnsi="Times New Roman"/>
                <w:sz w:val="24"/>
                <w:szCs w:val="24"/>
                <w:color w:val="auto"/>
                <w:vertAlign w:val="superscript"/>
              </w:rPr>
              <w:t>(g)</w:t>
            </w:r>
          </w:p>
        </w:tc>
        <w:tc>
          <w:tcPr>
            <w:tcW w:w="24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59 %</w:t>
            </w:r>
          </w:p>
        </w:tc>
        <w:tc>
          <w:tcPr>
            <w:tcW w:w="24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24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-1687830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-1687830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-847725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-830580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-847725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-830580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9" w:lineRule="exact"/>
        <w:rPr>
          <w:sz w:val="20"/>
          <w:szCs w:val="20"/>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U.S. Accounts Receivable Sales Program impacting each period presented.</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Foreign Accounts Receivable Sales Program impacting each period presented.</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payments incurred during each period.</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outflows associated with environmental and related litigation payments which will be reimbursed by the environmental trust.</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Cash Flow Conversion is defined as Cash flows provided by operating activities from continuing operations divided by Net income.</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Free Cash Flow Conversion is defined as Ongoing Free Cash Flow divided by Adjusted EBITDA.</w:t>
      </w:r>
    </w:p>
    <w:p>
      <w:pPr>
        <w:spacing w:after="0" w:line="100"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Working capital (current assets minus current liabilities, excluding long-term debt due within one year) amounted to $705 million and $1,050 million as of September 30, 2024 and September 30, 2023, respectively. The $345 million decrease in working capital was driven by a reduction in cash and cash equivalents, primarily associated with repurchases of common stock and lower</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trade working capital (accounts receivable and inventories minus trade and other payables and accrued expenses and other liabilities), including sales of foreign accounts receivables under the new Foreign Accounts Receivable Sales Program, partially offset by an increase in refundable income taxes. The $53 million increase in Ongoing Free Cash Flows between periods was primarily a result of reduced trade working capital compared to the prior year. Liquid assets (cash, cash equivalents and accounts receivable) amounted to 111% and 166% of current liabilities (excluding current liabilities held for sale) as of September 30, 2024 and September 30, 2023, respectively.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summary reflects Ashland’s cash, investment securities and unused borrowing capacity as of September 30,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300</w:t>
            </w: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368</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367</w:t>
            </w: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Unused borrowing capacity</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2018 accounts receivable securitization (foreign)</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Accounts Receivable Sales Program</w:t>
            </w:r>
          </w:p>
        </w:tc>
        <w:tc>
          <w:tcPr>
            <w:tcW w:w="9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Accounts Receivable Sales Program</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80" w:type="dxa"/>
            <w:vAlign w:val="bottom"/>
            <w:tcBorders>
              <w:bottom w:val="single" w:sz="8" w:color="auto"/>
            </w:tcBorders>
          </w:tcPr>
          <w:p>
            <w:pPr>
              <w:spacing w:after="0"/>
              <w:rPr>
                <w:sz w:val="5"/>
                <w:szCs w:val="5"/>
                <w:color w:val="auto"/>
              </w:rPr>
            </w:pPr>
          </w:p>
        </w:tc>
        <w:tc>
          <w:tcPr>
            <w:tcW w:w="8720" w:type="dxa"/>
            <w:vAlign w:val="bottom"/>
            <w:tcBorders>
              <w:bottom w:val="single" w:sz="8" w:color="auto"/>
            </w:tcBorders>
            <w:gridSpan w:val="4"/>
          </w:tcPr>
          <w:p>
            <w:pPr>
              <w:spacing w:after="0"/>
              <w:rPr>
                <w:sz w:val="5"/>
                <w:szCs w:val="5"/>
                <w:color w:val="auto"/>
              </w:rPr>
            </w:pPr>
          </w:p>
        </w:tc>
        <w:tc>
          <w:tcPr>
            <w:tcW w:w="214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(a)</w:t>
            </w:r>
          </w:p>
        </w:tc>
        <w:tc>
          <w:tcPr>
            <w:tcW w:w="8720" w:type="dxa"/>
            <w:vAlign w:val="bottom"/>
            <w:gridSpan w:val="4"/>
          </w:tcPr>
          <w:p>
            <w:pPr>
              <w:ind w:left="220"/>
              <w:spacing w:after="0" w:line="160" w:lineRule="exact"/>
              <w:rPr>
                <w:sz w:val="20"/>
                <w:szCs w:val="20"/>
                <w:color w:val="auto"/>
              </w:rPr>
            </w:pPr>
            <w:r>
              <w:rPr>
                <w:rFonts w:ascii="Times New Roman" w:cs="Times New Roman" w:eastAsia="Times New Roman" w:hAnsi="Times New Roman"/>
                <w:sz w:val="14"/>
                <w:szCs w:val="14"/>
                <w:color w:val="auto"/>
              </w:rPr>
              <w:t>Includes $248 million, $243 million and $245 million related to the Asbestos trust and $120 million, $124 million and $129 million related to the</w:t>
            </w:r>
          </w:p>
        </w:tc>
        <w:tc>
          <w:tcPr>
            <w:tcW w:w="21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4"/>
                <w:szCs w:val="14"/>
                <w:color w:val="auto"/>
              </w:rPr>
              <w:t>Environmental trust as of September</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6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30, 2024, 2023 and 2022 respectively.</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borrowing capacity remaining under the 2022 Credit Agreement was $596 million, which reflects the full $600 million Revolving Credit Facility less a reduction of $4 million for letters of credit outstanding at September 30, 2024. In total, Ashland’s available liquidity position, which includes cash, the revolving credit facility, and accounts receivable securitization facilities, was $896 million at September 30, 2024 as compared to $1,115 million at September 30, 2023 and $1,326 million at September 30, 2022. Ashland had zero available liquidity under the U.S. and Foreign Accounts Receivable Sales Program, respectively, as of September 30, 2024. Ashland also maintained $368 million of restricted investments to pay for future asbestos claims and environmental remediation and related litigation.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summary reflects Ashland’s debt as of September 30,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September 30</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Long-term debt (less debt issuance cost discounts)</w:t>
            </w:r>
            <w:r>
              <w:rPr>
                <w:rFonts w:ascii="Times New Roman" w:cs="Times New Roman" w:eastAsia="Times New Roman" w:hAnsi="Times New Roman"/>
                <w:sz w:val="24"/>
                <w:szCs w:val="24"/>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1,349</w:t>
            </w:r>
          </w:p>
        </w:tc>
        <w:tc>
          <w:tcPr>
            <w:tcW w:w="6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48"/>
        </w:trPr>
        <w:tc>
          <w:tcPr>
            <w:tcW w:w="772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-76835</wp:posOffset>
            </wp:positionV>
            <wp:extent cx="1028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-59690</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600" w:hanging="592"/>
        <w:spacing w:after="0" w:line="261" w:lineRule="auto"/>
        <w:tabs>
          <w:tab w:leader="none" w:pos="6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and $13 million of debt issuance cost discounts as of September 30, 2024 and 2023, respectively. The current portion of long-term debt was zero for both September 30, 2024 and 2023.</w:t>
      </w:r>
    </w:p>
    <w:p>
      <w:pPr>
        <w:spacing w:after="0" w:line="5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continues to maintain the 2022 Credit Agreement which provides for a $600 million five-year revolving credit facility. Proceeds of borrowings under the 2022 Revolving Credit Facility provide ongoing working capital and are used for other general corporate purposes.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Debt as a percent of capital employed was 32% at September 30, 2024 and 30% at September 30, 2023. At September 30, 2024, Ashland’s total debt had an outstanding principal balance of $1,390 million, discounts of $29 million and debt issuance costs of $12 million. Ashland had no long-term debt (excluding debt issuance costs) maturing within the next 2 years, $4 million due in fiscal 2027 and $558 million due in fiscal 2028.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Credit Agreements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w:t>
      </w:r>
    </w:p>
    <w:p>
      <w:pPr>
        <w:spacing w:after="0" w:line="6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At Ashland’s option, loans issued under the 2022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2022 Credit Agreement) at such time. Term SOFR borrowings are subject to a credit spread adjustment of 0.10% per annum. In addition, the Company will initially be required to pay fees of 0.125% per annum on the daily unused amount of the 2022 Revolving Credit Facility through and including the date of delivery of a quarterly compliance certificate, and thereafter the fee rate will fluctuate between 0.125% and 0.275% per annum, based upon the Consolidated Net Leverage Ratio. Borrowings under the 2022 Credit Agreement may be prepaid at any time without premiums.</w:t>
      </w:r>
    </w:p>
    <w:p>
      <w:pPr>
        <w:spacing w:after="0" w:line="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a result of the amendment of the 2020 Credit Agreement, Ashland recognized a $1 million charge for accelerated amortization of previously capitalized debt issuance costs during 2022, which is included in the net interest and other expense (income) caption of the Statements of Consolidated Comprehensive Income (Loss). Ashland also incurred $2 million of new debt issuance costs in connection with the 2022 Credit Agreement, of which $1 million was expensed immediately during 2022 within the net interest and other expense (income) caption of the Statements of Consolidated Comprehensive Income (Loss). The remaining balance is amortized using the straight-line method.</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financial covenants for leverage and interest coverage ratios akin to those in effect under the 2020 Credit Agreement. The 2022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repatriation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2024 and 2023, Ashland repatriated approximately $305 million and $92 million, respectively, in cash.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prepaid its Term loan A principal balance of $250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repaid the outstanding balance on its European short-term loan facility for $23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facilities and 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accounts receivable sales program</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March 17, 2021, a wholly-owned, bankruptcy-remote special purpose entity and consolidated Ashland subsidiary (SPE) entered into an agreement with a group of entities (buyers) to sell certain trade receivables, without recourse beyond the pledged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18"/>
          <w:szCs w:val="18"/>
          <w:color w:val="auto"/>
        </w:rPr>
        <w:t>receivables, of two other U.S. based Ashland subsidiaries. On April 14, 2023, Ashland entered into Second and Third Amendments associated with this current program, whereby the scheduled termination date was extended to April 14, 2025 and the buyer's limits were reduced to allow for transfer of whole receivables up to a limit set at $115 million between February and October of each year and up to $100 million all other times. On September 13, 2024, Ashland entered into a Fourth Amendment associated with this current program, whereby the scheduled termination date was extended to September 11, 2026 and the buyer's limits were reduced to allow for transfer of whole receivables up to a limit set at $80 million between September 13, 2024 to (and including) December 31, 2024 and up to $70 million from January 1, 2025 through the termination date of the agreement. Ashland’s continuing involvement is limited to servicing the receivables, including billing, collections and remittance of payments to the buyers as well as a limited guarantee on over-collateralization.</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recognized a $3 million, a $3 million and a $1 million loss within the Statements of Consolidated Comprehensive Income (Loss) for 2024, 2023 and 2022, respectively, within the net interest and other expense (income) caption associated with sales under the program. Ashland has recorded $71 million of sales against the buyer’s limit, which was $71 million at September 30, 2024, compared to $86 million of sales against the buyer's limit, which was $86 million at September 30, 2023. Ashland transferred $85 million and $106 million in receivables to the SPE as of September 30, 2024 and 2023, respectively. Ashland recorded liabilities related to its service obligations and limited guarantee as of September 30, 2024 and 2023 of less than $1 million. As of September 30, 2024 and 2023, the year-to-date gross cash proceeds received for receivables transferred and derecognized were $323 million and $217 million, respectively, of which $322 million and $241 million were collected by Ashland in our capacity as a servicer of the receivables and remitted to the buyer. The difference between receivables transferred and derecognized versus collected of $1 million and $24 million for the periods ended September 30, 2024 and 2023, respectively, represents the impact of a net increase and a net reduction in account receivable sales volume during each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foreign accounts receivable securitization</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2023, Ashland terminated its 2018 Foreign Accounts Receivable Securitization Facility. The program had no outstanding borrowings at its termination. This program did not meet criteria for sale accounting and was reported as secured borrowing under ASC 860. At September 30, 2023, the outstanding amount of accounts receivable transferred by Ashland to the purchaser was $124 million. The weighted-average interest rate for this instrument was 0.5% for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Accounts Receivable Sales Program</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October 19, 2023, Ashland entered, through an Ireland based, wholly-owned, bankruptcy-remote consolidated special purpose entity (the "SPE"), into a three-year agreement with a group of entities (buyers) to sell certain trade receivables, without recourse beyond the pledged receivables, of certain wholly-owned Ashland subsidiaries (Foreign Accounts Receivable Sales Program) primarily in Europe. Under the agreement, Ashland can transfer whole receivables up to a limit established by the buyer, which is currently set at €125 million. Ashland’s continuing involvement is limited to servicing the receivables, including billing, collections and remittance of payments to the buyers as well as a limited guarantee on over-collateralization.</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determined that any receivables transferred under this agreement are put presumptively beyond the reach of Ashland and its creditors, even in bankruptcy or other receivership. Ashland received true sale at law and non-consolidation opinions from independent qualified legal advisors in the jurisdiction of each originating subsidiary to support the legal isolation of these receivables. Consequently, Ashland accounts for receivables transferred to buyers as part of this agreement as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1" w:name="page72"/>
    <w:bookmarkEnd w:id="71"/>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Through September 30, 2024, Ashland has sold $104 million in receivables under this agreement. Accordingly, Ashland recognized a loss of $3 million within the net interest and other expense (income) caption of the Statements of Consolidated Income (Loss) for the twelve months ended September 30, 2024. Ashland recorded $104 million in sales and gross proceeds received against the buyer's limit, which was $104 million at September 30, 2024. Ashland transferred $155 million in receivables to the SPE as of September 30, 2024. Ashland recorded less than $1 million in liabilities related to its service obligations and limited guarantee as of September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such Suppliers. There were no changes to Ashland's standard payment terms with its suppliers in connection with this program. Ashland provides no guarantees to JP Morgan under this program. As of September 30, 2024, the program has not yet been offered to suppliers for utilization.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2024 and 2023, Ashland held other debt totaling $71 million and $83 million, respectively, comprised primarily of the 6.50% notes due 2029 and other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borrowing capacity and liquidity</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borrowing capacity remaining under the $600 million 2022 Revolving Credit Facility was $596 million due to a reduction of $4 million for letters of credit outstanding at September 30, 2024. Ashland's total borrowing capacity at September 30, 2024 was $596 million.</w:t>
      </w:r>
    </w:p>
    <w:p>
      <w:pPr>
        <w:spacing w:after="0" w:line="54" w:lineRule="exact"/>
        <w:rPr>
          <w:sz w:val="20"/>
          <w:szCs w:val="20"/>
          <w:color w:val="auto"/>
        </w:rPr>
      </w:pPr>
    </w:p>
    <w:p>
      <w:pPr>
        <w:ind w:right="2200" w:firstLine="374"/>
        <w:spacing w:after="0" w:line="375" w:lineRule="auto"/>
        <w:rPr>
          <w:sz w:val="20"/>
          <w:szCs w:val="20"/>
          <w:color w:val="auto"/>
        </w:rPr>
      </w:pPr>
      <w:r>
        <w:rPr>
          <w:rFonts w:ascii="Times New Roman" w:cs="Times New Roman" w:eastAsia="Times New Roman" w:hAnsi="Times New Roman"/>
          <w:sz w:val="18"/>
          <w:szCs w:val="18"/>
          <w:color w:val="auto"/>
        </w:rPr>
        <w:t xml:space="preserve">Additionally, Ashland has no available liquidity under its current U.S. and Foreign Accounts Receivable Sales Program. </w:t>
      </w:r>
      <w:r>
        <w:rPr>
          <w:rFonts w:ascii="Times New Roman" w:cs="Times New Roman" w:eastAsia="Times New Roman" w:hAnsi="Times New Roman"/>
          <w:sz w:val="18"/>
          <w:szCs w:val="18"/>
          <w:b w:val="1"/>
          <w:bCs w:val="1"/>
          <w:color w:val="auto"/>
        </w:rPr>
        <w:t>Covenants related to current Ashland debt agreements</w:t>
      </w:r>
    </w:p>
    <w:p>
      <w:pPr>
        <w:spacing w:after="0" w:line="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2024, Ashland was in compliance with all debt agreement covenant restrictions.</w:t>
      </w:r>
    </w:p>
    <w:p>
      <w:pPr>
        <w:spacing w:after="0" w:line="7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in the "Use of non-GAAP measures" section. In general, consolidated indebtedness includes debt plus all purchase money indebtedness, banker’s acceptances and bank guaranties, deferred purchase price of property or services, attributable indebtedness and guarantees. At September 30, 2024, Ashland’s calculation of the consolidated net leverage ratio was 2.3.</w:t>
      </w:r>
    </w:p>
    <w:p>
      <w:pPr>
        <w:spacing w:after="0" w:line="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2024, Ashland’s calculation of the consolidated interest coverage ratio was 7.8.</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change in Covenant Adjusted EBITDA of $100 million would have an approximate 0.4x effect on the consolidated net leverage ratio and a 1.7x effect on the consolidated interest coverage ratio. Any change in consolidated indebtedness of $100 million would affect the consolidated net leverage ratio by approximately 0.2x.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Ashland credit ratings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Ashland’s corporate credit ratings remained unchanged at BB+ by Standard &amp; Poor’s and Ba1 by Moody’s Investor Services. As of September 30, 2024, both Moody’s Investor Services and Standard &amp; Poor’s outlook remained at stable. Subsequent changes to these ratings or outlook may have an effect on Ashland’s borrowing rate or ability to access capital markets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cash projection</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expects the following material cash funding requirements from known contractual obligations at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Less than</w:t>
            </w: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 year</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 year</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Material Cash Funding Requirements Contractual obligations</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Raw material and service contract purchase obligations</w:t>
            </w:r>
            <w:r>
              <w:rPr>
                <w:rFonts w:ascii="Times New Roman" w:cs="Times New Roman" w:eastAsia="Times New Roman" w:hAnsi="Times New Roman"/>
                <w:sz w:val="24"/>
                <w:szCs w:val="24"/>
                <w:color w:val="auto"/>
                <w:vertAlign w:val="superscript"/>
              </w:rPr>
              <w:t>(a)</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Employee benefit obligations</w:t>
            </w:r>
            <w:r>
              <w:rPr>
                <w:rFonts w:ascii="Times New Roman" w:cs="Times New Roman" w:eastAsia="Times New Roman" w:hAnsi="Times New Roman"/>
                <w:sz w:val="24"/>
                <w:szCs w:val="24"/>
                <w:color w:val="auto"/>
                <w:vertAlign w:val="superscript"/>
              </w:rPr>
              <w:t>(b)</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(c)</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4"/>
                <w:szCs w:val="24"/>
                <w:color w:val="auto"/>
                <w:vertAlign w:val="superscript"/>
              </w:rPr>
              <w:t>(d)</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Unrecognized tax benefits</w:t>
            </w:r>
            <w:r>
              <w:rPr>
                <w:rFonts w:ascii="Times New Roman" w:cs="Times New Roman" w:eastAsia="Times New Roman" w:hAnsi="Times New Roman"/>
                <w:sz w:val="24"/>
                <w:szCs w:val="24"/>
                <w:color w:val="auto"/>
                <w:vertAlign w:val="superscript"/>
              </w:rPr>
              <w:t>(e)</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6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One-time transition tax</w:t>
            </w:r>
            <w:r>
              <w:rPr>
                <w:rFonts w:ascii="Times New Roman" w:cs="Times New Roman" w:eastAsia="Times New Roman" w:hAnsi="Times New Roman"/>
                <w:sz w:val="24"/>
                <w:szCs w:val="24"/>
                <w:color w:val="auto"/>
                <w:vertAlign w:val="superscript"/>
              </w:rPr>
              <w:t>(f)</w:t>
            </w: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w:t>
            </w:r>
          </w:p>
        </w:tc>
      </w:tr>
      <w:tr>
        <w:trPr>
          <w:trHeight w:val="20"/>
        </w:trPr>
        <w:tc>
          <w:tcPr>
            <w:tcW w:w="6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commitments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24"/>
                <w:szCs w:val="24"/>
                <w:color w:val="auto"/>
                <w:vertAlign w:val="superscript"/>
              </w:rPr>
              <w:t>(g)</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66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-633730</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-633730</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raw material and service contracts where minimal committed quantities and prices are fixed.</w:t>
      </w:r>
    </w:p>
    <w:p>
      <w:pPr>
        <w:spacing w:after="0" w:line="3" w:lineRule="exact"/>
        <w:rPr>
          <w:rFonts w:ascii="Times New Roman" w:cs="Times New Roman" w:eastAsia="Times New Roman" w:hAnsi="Times New Roman"/>
          <w:sz w:val="14"/>
          <w:szCs w:val="14"/>
          <w:color w:val="auto"/>
        </w:rPr>
      </w:pPr>
    </w:p>
    <w:p>
      <w:pPr>
        <w:jc w:val="both"/>
        <w:ind w:left="600" w:hanging="592"/>
        <w:spacing w:after="0"/>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funding of Ashland’s qualified U.S. and non-U.S. pension plans for 2024 as well as projected benefit payments through 2031 under Ashland’s unfunded pension and other postretirement benefit plans. Excludes the benefit payments from the pension plan trust funds. See Note L of the Notes to Consolidated Financial Statements for additional information.</w:t>
      </w:r>
    </w:p>
    <w:p>
      <w:pPr>
        <w:spacing w:after="0" w:line="123" w:lineRule="exact"/>
        <w:rPr>
          <w:rFonts w:ascii="Times New Roman" w:cs="Times New Roman" w:eastAsia="Times New Roman" w:hAnsi="Times New Roman"/>
          <w:sz w:val="14"/>
          <w:szCs w:val="14"/>
          <w:color w:val="auto"/>
        </w:rPr>
      </w:pPr>
    </w:p>
    <w:p>
      <w:pPr>
        <w:ind w:left="600" w:right="20" w:hanging="592"/>
        <w:spacing w:after="0" w:line="221" w:lineRule="auto"/>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leases for office buildings, transportation equipment, warehouses and storage facilities and other equipment. For further information, see Note J of the Notes to Consolidated Financial Statements.</w:t>
      </w:r>
    </w:p>
    <w:p>
      <w:pPr>
        <w:ind w:left="600" w:right="20" w:hanging="592"/>
        <w:spacing w:after="0" w:line="221" w:lineRule="auto"/>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expense on both variable and fixed rate debt assuming no prepayments. Variable interest rates have been assumed to remain constant through the end of the term at rates that existed as of September 30, 2024.</w:t>
      </w:r>
    </w:p>
    <w:p>
      <w:pPr>
        <w:ind w:left="600" w:right="20" w:hanging="592"/>
        <w:spacing w:after="0" w:line="221" w:lineRule="auto"/>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1 year” column.</w:t>
      </w:r>
    </w:p>
    <w:p>
      <w:pPr>
        <w:ind w:left="600" w:right="20" w:hanging="592"/>
        <w:spacing w:after="0"/>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Tax Act enacted during fiscal year 2017, Ashland has currently recorded a $29 million liability for the one-time transition tax. This liability will be payable over two years.</w:t>
      </w:r>
    </w:p>
    <w:p>
      <w:pPr>
        <w:spacing w:after="0" w:line="136"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issues various types of letters of credit as part of its normal course of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Equity</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Total equity was $2,868 million and $3,097 million at September 30, 2024 and September 30, 2023, respectively. During 2024, there were increases of $169 million for net income, $54 million for deferred translation gains, $9 million for common shares issued under stock incentive plans, and $1 million increase for unrealized gains on commodity hedges. The increases were more than offset by decreases of $79 million for dividends paid during 2024, and $383 million for repurchases of common stock (which includes $3 million in excise tax on stock repurchases).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2023 Stock repurchase program</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June 28, 2023, Ashland's board of directors authorized a new evergreen $1 billion common share repurchase program ("2023 Stock Repurchase Program"). The new authorization terminated and replaced the 2022 Stock Repurchase Program, which had $200 million outstanding at the date of termination. In 2022, the 2022 Stock Repurchase Program replaced and terminated the 2018 $1 billion share repurchase program, which had $150 million outstanding at its date of termination on May 22, 2022. As of September 30, 2024, $620 million remained available for repurchase under the 2023 Repurchase Program.</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the stock repurchase activity for fiscal years 2024, 2023, and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7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78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shd w:val="clear" w:color="auto" w:fill="CFF0FC"/>
          </w:tcPr>
          <w:p>
            <w:pPr>
              <w:spacing w:after="0"/>
              <w:rPr>
                <w:sz w:val="18"/>
                <w:szCs w:val="18"/>
                <w:color w:val="auto"/>
              </w:rPr>
            </w:pPr>
          </w:p>
        </w:tc>
        <w:tc>
          <w:tcPr>
            <w:tcW w:w="21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35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Weighted-average price per share</w:t>
            </w:r>
            <w:r>
              <w:rPr>
                <w:rFonts w:ascii="Times New Roman" w:cs="Times New Roman" w:eastAsia="Times New Roman" w:hAnsi="Times New Roman"/>
                <w:sz w:val="24"/>
                <w:szCs w:val="24"/>
                <w:color w:val="auto"/>
                <w:vertAlign w:val="superscript"/>
              </w:rPr>
              <w: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88.70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97.33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70.09</w:t>
            </w:r>
          </w:p>
        </w:tc>
      </w:tr>
      <w:tr>
        <w:trPr>
          <w:trHeight w:val="216"/>
        </w:trPr>
        <w:tc>
          <w:tcPr>
            <w:tcW w:w="35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4"/>
                <w:szCs w:val="24"/>
                <w:color w:val="auto"/>
                <w:vertAlign w:val="superscript"/>
              </w:rPr>
              <w:t>(a)</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198"/>
        </w:trPr>
        <w:tc>
          <w:tcPr>
            <w:tcW w:w="3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Program</w:t>
            </w:r>
          </w:p>
        </w:tc>
        <w:tc>
          <w:tcPr>
            <w:tcW w:w="780" w:type="dxa"/>
            <w:vAlign w:val="bottom"/>
          </w:tcPr>
          <w:p>
            <w:pPr>
              <w:spacing w:after="0"/>
              <w:rPr>
                <w:sz w:val="17"/>
                <w:szCs w:val="17"/>
                <w:color w:val="auto"/>
              </w:rPr>
            </w:pPr>
          </w:p>
        </w:tc>
        <w:tc>
          <w:tcPr>
            <w:tcW w:w="2140" w:type="dxa"/>
            <w:vAlign w:val="bottom"/>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w w:val="99"/>
              </w:rPr>
              <w:t>2023 Stock Repurchase</w:t>
            </w:r>
          </w:p>
        </w:tc>
        <w:tc>
          <w:tcPr>
            <w:tcW w:w="340" w:type="dxa"/>
            <w:vAlign w:val="bottom"/>
          </w:tcPr>
          <w:p>
            <w:pPr>
              <w:spacing w:after="0"/>
              <w:rPr>
                <w:sz w:val="17"/>
                <w:szCs w:val="17"/>
                <w:color w:val="auto"/>
              </w:rPr>
            </w:pPr>
          </w:p>
        </w:tc>
        <w:tc>
          <w:tcPr>
            <w:tcW w:w="212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color w:val="auto"/>
                <w:w w:val="99"/>
              </w:rPr>
              <w:t>2022 Stock Repurchase</w:t>
            </w:r>
          </w:p>
        </w:tc>
        <w:tc>
          <w:tcPr>
            <w:tcW w:w="340" w:type="dxa"/>
            <w:vAlign w:val="bottom"/>
          </w:tcPr>
          <w:p>
            <w:pPr>
              <w:spacing w:after="0"/>
              <w:rPr>
                <w:sz w:val="17"/>
                <w:szCs w:val="17"/>
                <w:color w:val="auto"/>
              </w:rPr>
            </w:pPr>
          </w:p>
        </w:tc>
        <w:tc>
          <w:tcPr>
            <w:tcW w:w="200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w w:val="99"/>
              </w:rPr>
              <w:t>2018 Stock Repurchase</w:t>
            </w:r>
          </w:p>
        </w:tc>
      </w:tr>
      <w:tr>
        <w:trPr>
          <w:trHeight w:val="234"/>
        </w:trPr>
        <w:tc>
          <w:tcPr>
            <w:tcW w:w="3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Program</w:t>
            </w:r>
          </w:p>
        </w:tc>
        <w:tc>
          <w:tcPr>
            <w:tcW w:w="340" w:type="dxa"/>
            <w:vAlign w:val="bottom"/>
          </w:tcPr>
          <w:p>
            <w:pPr>
              <w:spacing w:after="0"/>
              <w:rPr>
                <w:sz w:val="20"/>
                <w:szCs w:val="20"/>
                <w:color w:val="auto"/>
              </w:rPr>
            </w:pPr>
          </w:p>
        </w:tc>
        <w:tc>
          <w:tcPr>
            <w:tcW w:w="21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Program</w:t>
            </w:r>
          </w:p>
        </w:tc>
        <w:tc>
          <w:tcPr>
            <w:tcW w:w="340" w:type="dxa"/>
            <w:vAlign w:val="bottom"/>
          </w:tcPr>
          <w:p>
            <w:pPr>
              <w:spacing w:after="0"/>
              <w:rPr>
                <w:sz w:val="20"/>
                <w:szCs w:val="20"/>
                <w:color w:val="auto"/>
              </w:rPr>
            </w:pPr>
          </w:p>
        </w:tc>
        <w:tc>
          <w:tcPr>
            <w:tcW w:w="2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p>
      <w:pPr>
        <w:ind w:left="600" w:hanging="592"/>
        <w:spacing w:after="0"/>
        <w:tabs>
          <w:tab w:leader="none" w:pos="6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transactions costs.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dividends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paid dividends per common share of $1.58, $1.44 and $1.27 during 2024, 2023 and 2022, respectively.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2024, the Board of Directors of Ashland announced a quarterly cash dividend of 40.5 cents per share to eligible stockholders at record, which represented an increase from the previous quarterly cash dividend of 38.5 cents per share. The dividend was paid in the third and fourth quarter of fiscal 2024.</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2023, the Board of Directors of Ashland announced a quarterly cash dividend of 38.5 cents per share to eligible stockholders at record, which represented an increase from the previous quarterly cash dividend of 33.5 cents per share. The dividend was paid in the third and fourth quarter of fiscal 2023.</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2022, the Board of Directors of Ashland announced a quarterly cash dividend of 33.5 cents per share to eligible stockholders at record, which represented an increase from the previous quarterly cash dividend of 30.0 cents per share. This dividend was paid in the third and fourth quarters of fiscal 2022 and the first and second quarters of fiscal 2023.</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2021, the Board of Directors of Ashland announced a quarterly cash dividend of 30.0 cents per share to eligible stockholders at record, which represented an increase from the previous quarterly cash dividend of 27.5 cents per share. This dividend was paid in the third and fourth quarters of fiscal 2021 and the first and second quarters of fiscal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Capital expenditures were $137 million for 2024 and averaged $140 million during the last three years. Ashland expects capital expenditures over the next three years to average approximately $123 million per year. A summary of capital expenditures by reportable segment during 2024, 2023 and 2022 follow.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9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32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Care</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 Additives</w:t>
            </w:r>
          </w:p>
        </w:tc>
        <w:tc>
          <w:tcPr>
            <w:tcW w:w="2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Intermediates</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and Other</w:t>
            </w:r>
          </w:p>
        </w:tc>
        <w:tc>
          <w:tcPr>
            <w:tcW w:w="2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9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3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642"/>
        </w:trPr>
        <w:tc>
          <w:tcPr>
            <w:tcW w:w="3740" w:type="dxa"/>
            <w:vAlign w:val="bottom"/>
          </w:tcPr>
          <w:p>
            <w:pPr>
              <w:spacing w:after="0"/>
              <w:rPr>
                <w:sz w:val="24"/>
                <w:szCs w:val="24"/>
                <w:color w:val="auto"/>
              </w:rPr>
            </w:pPr>
          </w:p>
        </w:tc>
        <w:tc>
          <w:tcPr>
            <w:tcW w:w="32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M-34</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-1130935</wp:posOffset>
            </wp:positionV>
            <wp:extent cx="93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-1130935</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4" w:name="page75"/>
    <w:bookmarkEnd w:id="74"/>
    <w:p>
      <w:pPr>
        <w:ind w:firstLine="374"/>
        <w:spacing w:after="0" w:line="282" w:lineRule="auto"/>
        <w:rPr>
          <w:sz w:val="20"/>
          <w:szCs w:val="20"/>
          <w:color w:val="auto"/>
        </w:rPr>
      </w:pPr>
      <w:r>
        <w:rPr>
          <w:rFonts w:ascii="Times New Roman" w:cs="Times New Roman" w:eastAsia="Times New Roman" w:hAnsi="Times New Roman"/>
          <w:sz w:val="18"/>
          <w:szCs w:val="18"/>
          <w:color w:val="auto"/>
        </w:rPr>
        <w:t>A summary of the capital employed in Ashland’s current operations, which is calculated by adding equity to capital investment, as of the end of the last two years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6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Capital employed</w:t>
            </w:r>
            <w:r>
              <w:rPr>
                <w:rFonts w:ascii="Times New Roman" w:cs="Times New Roman" w:eastAsia="Times New Roman" w:hAnsi="Times New Roman"/>
                <w:sz w:val="24"/>
                <w:szCs w:val="24"/>
                <w:b w:val="1"/>
                <w:bCs w:val="1"/>
                <w:color w:val="auto"/>
                <w:vertAlign w:val="superscript"/>
              </w:rPr>
              <w:t>(a)</w:t>
            </w:r>
          </w:p>
        </w:tc>
        <w:tc>
          <w:tcPr>
            <w:tcW w:w="3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Life Sciences</w:t>
            </w:r>
          </w:p>
        </w:tc>
        <w:tc>
          <w:tcPr>
            <w:tcW w:w="3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1,696</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w:t>
            </w:r>
          </w:p>
        </w:tc>
      </w:tr>
      <w:tr>
        <w:trPr>
          <w:trHeight w:val="21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3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882</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Additives</w:t>
            </w:r>
          </w:p>
        </w:tc>
        <w:tc>
          <w:tcPr>
            <w:tcW w:w="34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1,351</w:t>
            </w:r>
          </w:p>
        </w:tc>
        <w:tc>
          <w:tcPr>
            <w:tcW w:w="48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Intermediates</w:t>
            </w:r>
          </w:p>
        </w:tc>
        <w:tc>
          <w:tcPr>
            <w:tcW w:w="3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r>
      <w:tr>
        <w:trPr>
          <w:trHeight w:val="68"/>
        </w:trPr>
        <w:tc>
          <w:tcPr>
            <w:tcW w:w="4680" w:type="dxa"/>
            <w:vAlign w:val="bottom"/>
            <w:tcBorders>
              <w:bottom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bl>
    <w:p>
      <w:pPr>
        <w:spacing w:after="0" w:line="18" w:lineRule="exact"/>
        <w:rPr>
          <w:sz w:val="20"/>
          <w:szCs w:val="20"/>
          <w:color w:val="auto"/>
        </w:rPr>
      </w:pPr>
    </w:p>
    <w:p>
      <w:pPr>
        <w:ind w:left="600" w:right="20" w:hanging="592"/>
        <w:spacing w:after="0" w:line="261" w:lineRule="auto"/>
        <w:tabs>
          <w:tab w:leader="none" w:pos="6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assets and liabilities classified within unallocated and other which primarily includes debt and other long-term liabilities such as asbestos and pension. The net liability in unallocated and other was $1,162 million and $1,190 million as of September 30, 2024 and 2023,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The fair value of these guarantees is not 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 discussion and analysis of recently issued accounting pronouncements and its impact on Ashland, see Note A of the Notes to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and asset retirement obligations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is subject to various federal, state and local environmental laws and regulations that require environmental assessment or remediation efforts (collectively environmental remediation) at multiple locations. At September 30, 2024, such locations included 53 sites where Ashland has been identified as a potentially responsible party under Superfund or similar state laws, 108 current and former operating facilities and about 1,225 service station properties, of which 14 are being actively remediated. See Note N of the Notes to Consolidated Financial Statements for additional information.</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reserves for environmental remediation and related environmental litigation amounted to $221 million at September 30, 2024 compared to $214 million at September 30, 2023 of which $164 million at September 30, 2024 and $165 million at September 30, 2023 were classified in other noncurrent liabilities on the Consolidated Balance Sheets. The remaining reserves were classified in accrued expenses and other liabilities on the Consolidated Balance Sheets.</w:t>
      </w:r>
    </w:p>
    <w:p>
      <w:pPr>
        <w:spacing w:after="0" w:line="7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2024 and 2023, Ashland’s recorded receivable for these probable insurance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recoveries was $13 million and $17 million, respectively, of which $11 million and $15 million was classified in other noncurrent assets in the respective Consolidated Balance Sheets.</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2024, 2023 and 2022, Ashland recognized $54 million, $56 million and $66 million of expense, respectively, for certain environmental liabilities related to normal ongoing remediation cost estimate updates for sites, which is consistent with Ashland’s historical environmental accounting policy.</w:t>
      </w:r>
    </w:p>
    <w:p>
      <w:pPr>
        <w:spacing w:after="0" w:line="6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$485 million. The largest reserve for any site is 21% of the remediation reserve as of September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litigation</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Advisors, LLC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 See Note M of the Notes to Consolidated Financial Statements for additional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liability</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most recent update completed during 2024, it was determined that the liability for Ashland asbestos-related claims should be increased by $24 million. Total reserves for asbestos claims were $274 million at September 30, 2024 compared to $281 million at September 30,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receivables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September 30, 2024, Ashland’s receivable for recoveries of litigation defense and claim settlement costs from insurers amounted to $97 million (excluding the Hercules receivable for asbestos claims). Receivables from insurers amounted to $95 million at September 30, 2023. During 2024, the annual update of the model used for purposes of valuing the asbestos reserve and its impact on valuation of future recoveries from insurers, was completed. This model update resulted in a $11 million increase in the receivable for probable insurance recoveries.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liability</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2024, it was determined that the liability for Hercules asbestos-related claims should be increased by $14 million. Total reserves for asbestos claims were $185 million at September 30, 2024 compared to $191 million at September 30,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receivables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2024 and 2023, the receivables from insurers amounted to $50 million and $47 million, respectively. During 2024, the annual update of the model used for purposes of valuing the asbestos reserve and its impact on valuation of future recoveries from insurers was completed. This model update resulted in a $6 million increase in the receivable for probable insurance recoveries.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 cost projection</w:t>
      </w:r>
    </w:p>
    <w:p>
      <w:pPr>
        <w:spacing w:after="0" w:line="11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$410 million for the Ashland asbestos-related litigation (current reserve of $274 million) and approximately $276 million for the Hercules asbestos-related litigation (current reserve of $185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within all periods presented. If actual experience is worse than projected, relative to the number of claims filed, the severity of alleged disease associated with those claims or costs incurred to resolve those claims, or actuarial refinement 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to the assumptions used within these models are initiated, Ashland may need to further increase the estimates of the costs associated with asbestos claims and these increases could be material over time.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goodwill and other indefinite-lived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accounts for goodwill and other intangible assets acquired in a business combination in conformity with current accounting guidance which does not allow for goodwill and indefinite-lived intangible assets to be amortized.</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reviews goodwill for impairment annually as of July 1 or when events and circumstances indicate an impairment may have occurred. Ashland tests goodwill for impairment by comparing the estimated fair value of the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the business management. Ashland determined that its reporting units are Life Sciences, Personal Care, Specialty Additives and Intermediates.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reliant on various assumptions, including projected business 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w:t>
      </w:r>
    </w:p>
    <w:p>
      <w:pPr>
        <w:spacing w:after="0" w:line="8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performed its annual goodwill impairment using the quantitative approach as of July 1, 2024, and concluded that all reporting units had fair values in excess of its respective carrying amounts. The fair values of Life Sciences, Personal Care, and Specialty Additives exceeded their carrying values by 15%, 82%, and 22%, respectively. The Intermediates reporting unit has no associated goodwill. Ashland concluded there was no impairment as of July 1, 2024. Ashland compared the total fair values of the reporting units to Ashland’s market capitalization at July 1, 2024, to determine if the fair values are reasonable. Ashland's market capitalization exceeded the aggregate fair value of each reporting unit at the annual assessment date by approximately 10%. A discount of 10% implies a high level of conservatism in Ashland's impairment assessment as recent comparable market transactions would imply control premiums of approximately 20% at the median (i.e., the premium of an offer price over the closing stock price immediately preceding an announced transaction).</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Assumptions inherent in the valuation methodologies include estimates of future projected business results (principally revenue and EBITDA), long-term growth rates, and the weighted-average cost of capital. Ashland performed sensitivity analyses by using a range of inputs to confirm the reasonableness of long-term growth rate and weighted average cost of capital estimates. Significant assumptions utilized in the impairment analysis included the weighted-average cost of capital, ranging between 11.25% and 12.50%, and terminal growth rate, ranging between 2.0% and 4.0% depending on the reporting unit. Based on sensitivity analysis performed on two key assumptions in the discounted cash flow model at July 1, 2024, a 1% decrease in the long-term growth factor assumption or a 1% increase in the weighted average cost of capital assumption across each of Ashland’s reporting units would not have resulted in a fair value below the respective reporting units carrying value. For further information, see Note G of Notes to the Consolidated 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indefinite-lived intangible assets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written down to its fair value and the amount of the write down is the impairment charge. Similar to its annual assessment for goodwill, Ashland performs a quantitative test for impairment.</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tested these assets using a “relief-from-royalty” valuation method to determine the fair value. Assumptions inherent in the valuation methodologies include, but are not limited to, future projected business results, growth rates, the weighted-average cost of capital for a market participant, and royalty rates. In conjunction with the July 1 annual assessment of indefinite-lived intangible assets, Ashland’s quantitative approach models did not indicate any impairment, as each indefinite-lived intangible asset’s fair value exceeded its carrying values.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affect the previously mentioned assumptions. Assumptions inherent in the valuation methodologies include, but are not limited to, such estimates as future projected business results, growth rates, the weighted average cost of capital for a market participant, and royalty rates. For further information, see Note G of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 of Consolidated Comprehensive Income (Loss) and Consolidated Balance Sheets.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8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EFFECTS OF INFLATION AND CHANGING PRICES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Ashland’s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2024, Ashland’s monetary assets exceed its monetary liabilities, leaving it currently more exposed to the effects of future inflation. While inflation rose significantly during 2022, it began to gradually decrease in fiscal 2023 and fiscal 2024. See Item 1A - Risk Factors for additional information.</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Portfolio-optimization actions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is taking the following actions to offset the impact of portfolio optimization and to further strengthen the company’s core:</w:t>
      </w:r>
    </w:p>
    <w:p>
      <w:pPr>
        <w:spacing w:after="0" w:line="117"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strategic alternatives for Avoca business line;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share buyback program of $150 million to offset the annual adjusted earnings per share impact from the divestiture of nutraceuticals and the potential future exit of Avoca;</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$30 million restructuring plan to offset impact from the nutraceuticals sale and other portfolio optimization actions, with 50 percent realization in fiscal year 2025 and 50 percent in fiscal year 2026;</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 multi-year manufacturing optimization restructuring plan to improve operational cost and strengthen the competitive position of HEC and VP&amp;D which is expected to generate pre-tax savings of $60 million once fully achieved, including savings of $5 million in fiscal year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Outlook</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fiscal year 2025, Ashland’s outlook is based on the following assumptions:</w:t>
      </w:r>
    </w:p>
    <w:p>
      <w:pPr>
        <w:spacing w:after="0" w:line="117"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geopolitical and economic uncertainty results in lower overall growth in most regions;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economy will remain challenged for the fiscal year, especially the property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intensity in China and several export markets result in volume growth being partially offset by additional price erosion;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in improved first-half absorption when compared to inventory actions in fiscal 2024;</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 realized cost reduction 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stable raw material environment;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from reduced earnings and stranded costs from our nutraceuticals sale and other portfolio optimization 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 negative price carryover from fiscal year 2024;</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Avoca, Ashland exited an unprofitable tolling operation and will sell or close the remaining sclareolide business; ($15) million year-over-year EBITDA erosion;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 variable incentive reset.</w:t>
      </w:r>
    </w:p>
    <w:p>
      <w:pPr>
        <w:spacing w:after="0" w:line="11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fiscal year 2025, Ashland expects sales to be in the range of $1.90 billion to $2.05 billion, and Adjusted EBITDA to be in the range of $430 million to $470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1" w:name="page82"/>
    <w:bookmarkEnd w:id="81"/>
    <w:p>
      <w:pPr>
        <w:jc w:val="both"/>
        <w:spacing w:after="0" w:line="252" w:lineRule="auto"/>
        <w:rPr>
          <w:sz w:val="20"/>
          <w:szCs w:val="20"/>
          <w:color w:val="auto"/>
        </w:rPr>
      </w:pPr>
      <w:r>
        <w:rPr>
          <w:rFonts w:ascii="Times New Roman" w:cs="Times New Roman" w:eastAsia="Times New Roman" w:hAnsi="Times New Roman"/>
          <w:sz w:val="18"/>
          <w:szCs w:val="18"/>
          <w:color w:val="auto"/>
        </w:rPr>
        <w:t>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cyber events and legal proceedings and claims (including product recalls, environmental and asbestos matters); the ongoing Ukraine/Russia and Israel/Hamas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this Annual Report Form 10-K.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Form 10-K whether as a result of new information, future events or otherwise. Information on Ashland’s website is not incorporated into or a part of this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September 30, 2024 and 2023,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have any significant open hedging contracts with respect to commodities or any related raw material requirements as of and for the year ended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Page</w:t>
            </w:r>
          </w:p>
        </w:tc>
      </w:tr>
      <w:tr>
        <w:trPr>
          <w:trHeight w:val="223"/>
        </w:trPr>
        <w:tc>
          <w:tcPr>
            <w:tcW w:w="4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Management's report on internal control over financial reporting</w:t>
            </w:r>
          </w:p>
        </w:tc>
        <w:tc>
          <w:tcPr>
            <w:tcW w:w="5520" w:type="dxa"/>
            <w:vAlign w:val="bottom"/>
            <w:gridSpan w:val="3"/>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50"/>
        </w:trPr>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(Ernst &amp; Young LLP; PCAOB ID: 42)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561"/>
        </w:trPr>
        <w:tc>
          <w:tcPr>
            <w:tcW w:w="6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1040" w:type="dxa"/>
            <w:vAlign w:val="bottom"/>
          </w:tcPr>
          <w:p>
            <w:pPr>
              <w:spacing w:after="0"/>
              <w:rPr>
                <w:sz w:val="19"/>
                <w:szCs w:val="19"/>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Consolidated Comprehensive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50"/>
        </w:trPr>
        <w:tc>
          <w:tcPr>
            <w:tcW w:w="1040" w:type="dxa"/>
            <w:vAlign w:val="bottom"/>
          </w:tcPr>
          <w:p>
            <w:pPr>
              <w:spacing w:after="0"/>
              <w:rPr>
                <w:sz w:val="21"/>
                <w:szCs w:val="21"/>
                <w:color w:val="auto"/>
              </w:rPr>
            </w:pPr>
          </w:p>
        </w:tc>
        <w:tc>
          <w:tcPr>
            <w:tcW w:w="42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880" w:type="dxa"/>
            <w:vAlign w:val="bottom"/>
            <w:gridSpan w:val="2"/>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10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Consolidated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104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Statements of Consolidated Cash Flows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20"/>
        </w:trPr>
        <w:tc>
          <w:tcPr>
            <w:tcW w:w="10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0"/>
        </w:trPr>
        <w:tc>
          <w:tcPr>
            <w:tcW w:w="10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7"/>
          <w:szCs w:val="17"/>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78"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7"/>
          <w:szCs w:val="17"/>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83"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7"/>
          <w:szCs w:val="17"/>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Audit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2025 Annual Meeting.</w:t>
      </w:r>
    </w:p>
    <w:p>
      <w:pPr>
        <w:spacing w:after="0" w:line="77"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7"/>
          <w:szCs w:val="17"/>
          <w:color w:val="auto"/>
        </w:rPr>
        <w:t xml:space="preserve">Management assessed the effectiveness of Ashland’s internal control over financial reporting as of September 30, 2024. Management conducted its assessment utilizing the framework described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(2013 framework). Based on this assessment, management believes that Ashland maintained effective internal control over financial reporting as of September 30, 2024.</w:t>
      </w:r>
    </w:p>
    <w:p>
      <w:pPr>
        <w:spacing w:after="0" w:line="74"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7"/>
          <w:szCs w:val="17"/>
          <w:color w:val="auto"/>
        </w:rPr>
        <w:t>Ernst &amp; Young LLP, an independent registered public accounting firm, has audited and reported on the Consolidated Financial Statements of Ashland Inc. and Consolidated Subsidiaries as of and for the year ended September 30, 2024, and the effectiveness of Ashland’s internal control over financial reporting as of September 30, 2024. The reports of the independent registered public accounting firm are contained in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Guillermo Novo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Guillermo Novo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of the Board and Chief Executive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 Kevin Willis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Kevin Willis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18,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84" w:name="page85"/>
    <w:bookmarkEnd w:id="8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Ashland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Ashland Inc. and Consolidated Subsidiaries’ internal control over financial reporting as of September 30, 2024, based on criteria established in Internal Control—Integrated Framework issued by the Committee of Sponsoring Organizations of the Treadway Commission (2013 framework), (the COSO criteria). In our opinion, Ashland Inc. and Consolidated Subsidiaries (the Company) maintained, in all material respects, effective internal control over financial reporting as of September 30, 2024,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2024 and 2023, the related consolidated statements of comprehensive income (loss), equity and cash flows for each of the three years in the period ended September 30, 2024, and the related notes and our report dated November 18,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ind w:right="3580" w:firstLine="1497"/>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Ashland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Ashland Inc. and Consolidated Subsidiaries (the Company) as of September 30, 2024 and 2023, the related statements of consolidated comprehensive income (loss), equity and cash flows for each of the three years in the period ended September 30, 2024, and the related notes (collectively referred to as the “consolidated financial statements”). In our opinion, the consolidated financial statements present fairly, in all material respects, the financial position of the Company at September 30, 2024 and 2023, and the results of its operations and its cash flows for each of the three years in the period ended September 30, 2024,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2024, based on criteria established in Internal Control-Integrated Framework issued by the Committee of Sponsoring Organizations of the Treadway Commission (2013 framework), and our report dated November 18,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Valuation of Environmental Remediation Reserves</w:t>
      </w:r>
    </w:p>
    <w:p>
      <w:pPr>
        <w:spacing w:after="0" w:line="119"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September 30, 2024, the reserves for environmental remediation amounted to $221 million. As discussed within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 M of the consolidated financial statements, the reserves for environmental remediation reflect Ashland’s estimates</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the most likely costs that will be incurred over an extended period to remediate identified conditions for which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are reasonably estimable and probable of being incurred, without regard to any third-party recoveries.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uses engineering studies, historical experience and other factors to identify and evaluate remediation</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alternatives and their related costs in determining the estimated reserves for environmental remediation. Ashland</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regularly adjusts its reserves as environmental remediation continues.</w:t>
            </w:r>
          </w:p>
        </w:tc>
      </w:tr>
      <w:tr>
        <w:trPr>
          <w:trHeight w:val="306"/>
        </w:trPr>
        <w:tc>
          <w:tcPr>
            <w:tcW w:w="1360" w:type="dxa"/>
            <w:vAlign w:val="bottom"/>
          </w:tcPr>
          <w:p>
            <w:pPr>
              <w:spacing w:after="0"/>
              <w:rPr>
                <w:sz w:val="24"/>
                <w:szCs w:val="24"/>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Auditing the environmental remediation reserve was complex due to inherent uncertainties that affect Ashland’s ability</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estimate probable costs. Such uncertainties include the nature and extent of contamination at each site, and the</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nature and extent of required cleanup efforts.</w:t>
            </w:r>
          </w:p>
        </w:tc>
      </w:tr>
      <w:tr>
        <w:trPr>
          <w:trHeight w:val="30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relevant controls over</w:t>
            </w:r>
          </w:p>
        </w:tc>
      </w:tr>
      <w:tr>
        <w:trPr>
          <w:trHeight w:val="21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Ashland’s environmental remediation reserves process. For example, we tested controls over the Company’s annual</w:t>
            </w:r>
          </w:p>
        </w:tc>
      </w:tr>
      <w:tr>
        <w:trPr>
          <w:trHeight w:val="21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  setting  training  process,  management’s  monitoring  of  sites,  and  management’s  development  of  the</w:t>
            </w:r>
          </w:p>
        </w:tc>
      </w:tr>
      <w:tr>
        <w:trPr>
          <w:trHeight w:val="218"/>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reserve estimates. We also tested management’s controls over the completeness and accuracy of the</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underlying data used in the reserve estimates.</w:t>
            </w:r>
          </w:p>
        </w:tc>
      </w:tr>
      <w:tr>
        <w:trPr>
          <w:trHeight w:val="306"/>
        </w:trPr>
        <w:tc>
          <w:tcPr>
            <w:tcW w:w="1360" w:type="dxa"/>
            <w:vAlign w:val="bottom"/>
          </w:tcPr>
          <w:p>
            <w:pPr>
              <w:spacing w:after="0"/>
              <w:rPr>
                <w:sz w:val="24"/>
                <w:szCs w:val="24"/>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test the environmental reserves, we performed audit procedures that included, among others: assessing the</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appropriateness of Ashland’s policies and procedures and testing management’s development of the environmental</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 estimates. We obtained an understanding of the nature and extent of contamination at each site, the nature and</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extent of required cleanup efforts, and the corresponding environmental remediation reserves through discussions with</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Ashland’s remediation project managers. We also involved our environmental reserve subject matter specialists to</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evaluate the reasonableness of management’s reserve estimates, including consideration of information available on</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regulatory databases in the public domain that was assessed for possible contrary evidence.  With the support of our</w:t>
            </w:r>
          </w:p>
        </w:tc>
      </w:tr>
      <w:tr>
        <w:trPr>
          <w:trHeight w:val="216"/>
        </w:trPr>
        <w:tc>
          <w:tcPr>
            <w:tcW w:w="1360" w:type="dxa"/>
            <w:vAlign w:val="bottom"/>
          </w:tcPr>
          <w:p>
            <w:pPr>
              <w:spacing w:after="0"/>
              <w:rPr>
                <w:sz w:val="18"/>
                <w:szCs w:val="18"/>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environmental reserve subject matter specialists, we evaluated whether the environmental reserve estimates were</w:t>
            </w:r>
          </w:p>
        </w:tc>
      </w:tr>
      <w:tr>
        <w:trPr>
          <w:trHeight w:val="234"/>
        </w:trPr>
        <w:tc>
          <w:tcPr>
            <w:tcW w:w="1360" w:type="dxa"/>
            <w:vAlign w:val="bottom"/>
          </w:tcPr>
          <w:p>
            <w:pPr>
              <w:spacing w:after="0"/>
              <w:rPr>
                <w:sz w:val="20"/>
                <w:szCs w:val="20"/>
                <w:color w:val="auto"/>
              </w:rPr>
            </w:pPr>
          </w:p>
        </w:tc>
        <w:tc>
          <w:tcPr>
            <w:tcW w:w="9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appropriate based on engineering studies and historical experience.</w:t>
            </w:r>
          </w:p>
        </w:tc>
      </w:tr>
      <w:tr>
        <w:trPr>
          <w:trHeight w:val="648"/>
        </w:trPr>
        <w:tc>
          <w:tcPr>
            <w:tcW w:w="136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F-5</w:t>
            </w:r>
          </w:p>
        </w:tc>
      </w:tr>
      <w:tr>
        <w:trPr>
          <w:trHeight w:val="763"/>
        </w:trPr>
        <w:tc>
          <w:tcPr>
            <w:tcW w:w="136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Valuation of Asbestos Litigation Reserves</w:t>
      </w:r>
    </w:p>
    <w:p>
      <w:pPr>
        <w:spacing w:after="0" w:line="119"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September 30, 2024, the reserves for asbestos litigation amounted to $459 million. As discussed within Note M of</w:t>
      </w:r>
    </w:p>
    <w:p>
      <w:pPr>
        <w:sectPr>
          <w:pgSz w:w="11900" w:h="16838" w:orient="portrait"/>
          <w:cols w:equalWidth="0" w:num="1">
            <w:col w:w="10240"/>
          </w:cols>
          <w:pgMar w:left="320" w:top="1089" w:right="1339" w:bottom="1440" w:gutter="0" w:footer="0" w:header="0"/>
        </w:sectPr>
      </w:pP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consolidated financial statements, Ashland has liabilities from claims alleging personal injury caused by exposure to asbestos. Ashland retained third-party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open claims and litigation defense costs. Further, the claim experience identified is compared to the results of previously conducted third-party epidemiological studies estimating the number of people likely to develop asbestos-related diseases. Using that information, the Company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developed with the assistance of the Company’s third-party actuarial experts.</w:t>
      </w:r>
    </w:p>
    <w:p>
      <w:pPr>
        <w:spacing w:after="0" w:line="84" w:lineRule="exact"/>
        <w:rPr>
          <w:sz w:val="20"/>
          <w:szCs w:val="20"/>
          <w:color w:val="auto"/>
        </w:rPr>
      </w:pPr>
    </w:p>
    <w:p>
      <w:pPr>
        <w:sectPr>
          <w:pgSz w:w="11900" w:h="16838" w:orient="portrait"/>
          <w:cols w:equalWidth="0" w:num="2">
            <w:col w:w="900" w:space="720"/>
            <w:col w:w="8620"/>
          </w:cols>
          <w:pgMar w:left="320" w:top="1089" w:right="1339" w:bottom="1440" w:gutter="0" w:footer="0" w:header="0"/>
          <w:type w:val="continuous"/>
        </w:sectPr>
      </w:pPr>
    </w:p>
    <w:p>
      <w:pPr>
        <w:jc w:val="both"/>
        <w:ind w:left="1620"/>
        <w:spacing w:after="0" w:line="258" w:lineRule="auto"/>
        <w:rPr>
          <w:sz w:val="20"/>
          <w:szCs w:val="20"/>
          <w:color w:val="auto"/>
        </w:rPr>
      </w:pPr>
      <w:r>
        <w:rPr>
          <w:rFonts w:ascii="Times New Roman" w:cs="Times New Roman" w:eastAsia="Times New Roman" w:hAnsi="Times New Roman"/>
          <w:sz w:val="18"/>
          <w:szCs w:val="18"/>
          <w:color w:val="auto"/>
        </w:rPr>
        <w:t>Auditing the Company’s asbestos litigation reserve was complex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and the dismissal rates. These assumptions have a significant effect on the asbestos litigation reserve.</w:t>
      </w:r>
    </w:p>
    <w:p>
      <w:pPr>
        <w:sectPr>
          <w:pgSz w:w="11900" w:h="16838" w:orient="portrait"/>
          <w:cols w:equalWidth="0" w:num="1">
            <w:col w:w="10240"/>
          </w:cols>
          <w:pgMar w:left="320" w:top="1089" w:right="1339" w:bottom="1440" w:gutter="0" w:footer="0" w:header="0"/>
          <w:type w:val="continuous"/>
        </w:sectPr>
      </w:pPr>
    </w:p>
    <w:p>
      <w:pPr>
        <w:spacing w:after="0" w:line="73"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asbestos litigation reserves process. These include controls over management's assessment of the assumptions utilized within the estimate, management’s oversight of asbestos trends including claims movement and costs incurred, and the completeness and accuracy of the underlying claims data utilized to project future costs.</w:t>
      </w:r>
    </w:p>
    <w:p>
      <w:pPr>
        <w:spacing w:after="0" w:line="72" w:lineRule="exact"/>
        <w:rPr>
          <w:sz w:val="20"/>
          <w:szCs w:val="20"/>
          <w:color w:val="auto"/>
        </w:rPr>
      </w:pPr>
    </w:p>
    <w:p>
      <w:pPr>
        <w:sectPr>
          <w:pgSz w:w="11900" w:h="16838" w:orient="portrait"/>
          <w:cols w:equalWidth="0" w:num="2">
            <w:col w:w="1120" w:space="500"/>
            <w:col w:w="8620"/>
          </w:cols>
          <w:pgMar w:left="320" w:top="1089" w:right="1339" w:bottom="1440" w:gutter="0" w:footer="0" w:header="0"/>
          <w:type w:val="continuous"/>
        </w:sectPr>
      </w:pPr>
    </w:p>
    <w:p>
      <w:pPr>
        <w:jc w:val="both"/>
        <w:ind w:left="1620"/>
        <w:spacing w:after="0" w:line="255" w:lineRule="auto"/>
        <w:rPr>
          <w:sz w:val="20"/>
          <w:szCs w:val="20"/>
          <w:color w:val="auto"/>
        </w:rPr>
      </w:pPr>
      <w:r>
        <w:rPr>
          <w:rFonts w:ascii="Times New Roman" w:cs="Times New Roman" w:eastAsia="Times New Roman" w:hAnsi="Times New Roman"/>
          <w:sz w:val="18"/>
          <w:szCs w:val="18"/>
          <w:color w:val="auto"/>
        </w:rPr>
        <w:t>To evaluate the reasonableness of the reserve for asbestos litigation, our audit procedures included testing the completeness and accuracy of the underlying claims data provided to management's actuarial experts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experts as described above to determine the appropriateness of the asbestos litigation reserve, and to independently prepare an estimated range of the liability. We then assessed the reasonableness of the Company's recorded reserve against our independently calculated range.</w:t>
      </w:r>
    </w:p>
    <w:p>
      <w:pPr>
        <w:sectPr>
          <w:pgSz w:w="11900" w:h="16838" w:orient="portrait"/>
          <w:cols w:equalWidth="0" w:num="1">
            <w:col w:w="10240"/>
          </w:cols>
          <w:pgMar w:left="320" w:top="1089" w:right="1339" w:bottom="1440" w:gutter="0" w:footer="0" w:header="0"/>
          <w:type w:val="continuous"/>
        </w:sect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2024</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089" w:right="1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2,113</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2,391</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r>
      <w:tr>
        <w:trPr>
          <w:trHeight w:val="210"/>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 amortization expense - Note G</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income</w:t>
            </w: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on acquisitions and divestitures, net - Note B</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6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and other expense (income) - Note H</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 periodic benefit loss (income) - Note L</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 - Note K</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 - Note C</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 - NOTE A</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13.45</w:t>
            </w:r>
          </w:p>
        </w:tc>
      </w:tr>
      <w:tr>
        <w:trPr>
          <w:trHeight w:val="210"/>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16.71</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r>
      <w:tr>
        <w:trPr>
          <w:trHeight w:val="249"/>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16.41</w:t>
            </w:r>
          </w:p>
        </w:tc>
      </w:tr>
      <w:tr>
        <w:trPr>
          <w:trHeight w:val="197"/>
        </w:trPr>
        <w:tc>
          <w:tcPr>
            <w:tcW w:w="69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6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r>
      <w:tr>
        <w:trPr>
          <w:trHeight w:val="20"/>
        </w:trPr>
        <w:tc>
          <w:tcPr>
            <w:tcW w:w="6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-4199890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-4199890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-3642360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-3642360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-3359785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-3359785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-3076575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-3076575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-2219325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-2219325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-1353820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-1336675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-1353820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-1336675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-222250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-222250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rPr>
              <w:t>2023</w:t>
            </w: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7"/>
                <w:szCs w:val="17"/>
                <w:b w:val="1"/>
                <w:bCs w:val="1"/>
                <w:color w:val="auto"/>
                <w:w w:val="97"/>
              </w:rPr>
              <w:t>ASSETS</w:t>
            </w:r>
          </w:p>
        </w:tc>
        <w:tc>
          <w:tcPr>
            <w:tcW w:w="7100" w:type="dxa"/>
            <w:vAlign w:val="bottom"/>
            <w:tcBorders>
              <w:bottom w:val="single" w:sz="8" w:color="CFF0FC"/>
            </w:tcBorders>
            <w:gridSpan w:val="2"/>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r>
      <w:tr>
        <w:trPr>
          <w:trHeight w:val="181"/>
        </w:trPr>
        <w:tc>
          <w:tcPr>
            <w:tcW w:w="77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Current assets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8"/>
        </w:trPr>
        <w:tc>
          <w:tcPr>
            <w:tcW w:w="776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tcPr>
          <w:p>
            <w:pPr>
              <w:jc w:val="right"/>
              <w:ind w:right="175"/>
              <w:spacing w:after="0" w:line="178" w:lineRule="exact"/>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55"/>
              <w:spacing w:after="0" w:line="178" w:lineRule="exact"/>
              <w:rPr>
                <w:sz w:val="20"/>
                <w:szCs w:val="20"/>
                <w:color w:val="auto"/>
              </w:rPr>
            </w:pPr>
            <w:r>
              <w:rPr>
                <w:rFonts w:ascii="Times New Roman" w:cs="Times New Roman" w:eastAsia="Times New Roman" w:hAnsi="Times New Roman"/>
                <w:sz w:val="17"/>
                <w:szCs w:val="17"/>
                <w:color w:val="auto"/>
              </w:rPr>
              <w:t>300</w:t>
            </w:r>
          </w:p>
        </w:tc>
        <w:tc>
          <w:tcPr>
            <w:tcW w:w="500" w:type="dxa"/>
            <w:vAlign w:val="bottom"/>
            <w:gridSpan w:val="2"/>
          </w:tcPr>
          <w:p>
            <w:pPr>
              <w:jc w:val="right"/>
              <w:ind w:right="240"/>
              <w:spacing w:after="0" w:line="178"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5"/>
              <w:spacing w:after="0" w:line="178" w:lineRule="exact"/>
              <w:rPr>
                <w:sz w:val="20"/>
                <w:szCs w:val="20"/>
                <w:color w:val="auto"/>
              </w:rPr>
            </w:pPr>
            <w:r>
              <w:rPr>
                <w:rFonts w:ascii="Times New Roman" w:cs="Times New Roman" w:eastAsia="Times New Roman" w:hAnsi="Times New Roman"/>
                <w:sz w:val="17"/>
                <w:szCs w:val="17"/>
                <w:color w:val="auto"/>
              </w:rPr>
              <w:t>417</w:t>
            </w:r>
          </w:p>
        </w:tc>
      </w:tr>
      <w:tr>
        <w:trPr>
          <w:trHeight w:val="249"/>
        </w:trPr>
        <w:tc>
          <w:tcPr>
            <w:tcW w:w="7760" w:type="dxa"/>
            <w:vAlign w:val="bottom"/>
            <w:gridSpan w:val="4"/>
          </w:tcPr>
          <w:p>
            <w:pPr>
              <w:ind w:left="20"/>
              <w:spacing w:after="0" w:line="249" w:lineRule="exact"/>
              <w:rPr>
                <w:sz w:val="20"/>
                <w:szCs w:val="20"/>
                <w:color w:val="auto"/>
              </w:rPr>
            </w:pPr>
            <w:r>
              <w:rPr>
                <w:rFonts w:ascii="Times New Roman" w:cs="Times New Roman" w:eastAsia="Times New Roman" w:hAnsi="Times New Roman"/>
                <w:sz w:val="17"/>
                <w:szCs w:val="17"/>
                <w:color w:val="auto"/>
              </w:rPr>
              <w:t>Accounts receivable</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 xml:space="preserve"> - Notes A and H</w:t>
            </w:r>
          </w:p>
        </w:tc>
        <w:tc>
          <w:tcPr>
            <w:tcW w:w="3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243</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338</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Inventories - Note A</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545</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626</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107</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125</w:t>
            </w:r>
          </w:p>
        </w:tc>
      </w:tr>
      <w:tr>
        <w:trPr>
          <w:trHeight w:val="196"/>
        </w:trPr>
        <w:tc>
          <w:tcPr>
            <w:tcW w:w="20" w:type="dxa"/>
            <w:vAlign w:val="bottom"/>
            <w:shd w:val="clear" w:color="auto" w:fill="CFF0FC"/>
          </w:tcPr>
          <w:p>
            <w:pPr>
              <w:spacing w:after="0"/>
              <w:rPr>
                <w:sz w:val="17"/>
                <w:szCs w:val="17"/>
                <w:color w:val="auto"/>
              </w:rPr>
            </w:pPr>
          </w:p>
        </w:tc>
        <w:tc>
          <w:tcPr>
            <w:tcW w:w="77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1,195</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1,506</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 Note F</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3,316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3,211</w:t>
            </w:r>
          </w:p>
        </w:tc>
      </w:tr>
      <w:tr>
        <w:trPr>
          <w:trHeight w:val="203"/>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2,013</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1,838</w:t>
            </w:r>
          </w:p>
        </w:tc>
      </w:tr>
      <w:tr>
        <w:trPr>
          <w:trHeight w:val="196"/>
        </w:trPr>
        <w:tc>
          <w:tcPr>
            <w:tcW w:w="20" w:type="dxa"/>
            <w:vAlign w:val="bottom"/>
          </w:tcPr>
          <w:p>
            <w:pPr>
              <w:spacing w:after="0"/>
              <w:rPr>
                <w:sz w:val="17"/>
                <w:szCs w:val="17"/>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1,303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1,373</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Goodwill - Note G</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1,381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1,362</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Intangibles - Note G</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751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886</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assets, net - Note J</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114</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122</w:t>
            </w:r>
          </w:p>
        </w:tc>
      </w:tr>
      <w:tr>
        <w:trPr>
          <w:trHeight w:val="156"/>
        </w:trPr>
        <w:tc>
          <w:tcPr>
            <w:tcW w:w="776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7"/>
                <w:szCs w:val="17"/>
                <w:color w:val="auto"/>
              </w:rPr>
              <w:t>Restricted investments - Note E</w:t>
            </w:r>
          </w:p>
        </w:tc>
        <w:tc>
          <w:tcPr>
            <w:tcW w:w="360" w:type="dxa"/>
            <w:vAlign w:val="bottom"/>
          </w:tcPr>
          <w:p>
            <w:pPr>
              <w:spacing w:after="0"/>
              <w:rPr>
                <w:sz w:val="13"/>
                <w:szCs w:val="13"/>
                <w:color w:val="auto"/>
              </w:rPr>
            </w:pPr>
          </w:p>
        </w:tc>
        <w:tc>
          <w:tcPr>
            <w:tcW w:w="1320" w:type="dxa"/>
            <w:vAlign w:val="bottom"/>
          </w:tcPr>
          <w:p>
            <w:pPr>
              <w:jc w:val="right"/>
              <w:ind w:right="55"/>
              <w:spacing w:after="0" w:line="156" w:lineRule="exact"/>
              <w:rPr>
                <w:sz w:val="20"/>
                <w:szCs w:val="20"/>
                <w:color w:val="auto"/>
              </w:rPr>
            </w:pPr>
            <w:r>
              <w:rPr>
                <w:rFonts w:ascii="Times New Roman" w:cs="Times New Roman" w:eastAsia="Times New Roman" w:hAnsi="Times New Roman"/>
                <w:sz w:val="17"/>
                <w:szCs w:val="17"/>
                <w:color w:val="auto"/>
              </w:rPr>
              <w:t>295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jc w:val="right"/>
              <w:ind w:right="35"/>
              <w:spacing w:after="0" w:line="156" w:lineRule="exact"/>
              <w:rPr>
                <w:sz w:val="20"/>
                <w:szCs w:val="20"/>
                <w:color w:val="auto"/>
              </w:rPr>
            </w:pPr>
            <w:r>
              <w:rPr>
                <w:rFonts w:ascii="Times New Roman" w:cs="Times New Roman" w:eastAsia="Times New Roman" w:hAnsi="Times New Roman"/>
                <w:sz w:val="17"/>
                <w:szCs w:val="17"/>
                <w:color w:val="auto"/>
              </w:rPr>
              <w:t>290</w:t>
            </w:r>
          </w:p>
        </w:tc>
      </w:tr>
      <w:tr>
        <w:trPr>
          <w:trHeight w:val="227"/>
        </w:trPr>
        <w:tc>
          <w:tcPr>
            <w:tcW w:w="7760" w:type="dxa"/>
            <w:vAlign w:val="bottom"/>
            <w:gridSpan w:val="4"/>
          </w:tcPr>
          <w:p>
            <w:pPr>
              <w:ind w:left="20"/>
              <w:spacing w:after="0" w:line="227" w:lineRule="exact"/>
              <w:rPr>
                <w:sz w:val="20"/>
                <w:szCs w:val="20"/>
                <w:color w:val="auto"/>
              </w:rPr>
            </w:pPr>
            <w:r>
              <w:rPr>
                <w:rFonts w:ascii="Times New Roman" w:cs="Times New Roman" w:eastAsia="Times New Roman" w:hAnsi="Times New Roman"/>
                <w:sz w:val="17"/>
                <w:szCs w:val="17"/>
                <w:color w:val="auto"/>
              </w:rPr>
              <w:t>Asbestos insurance receivable</w:t>
            </w:r>
            <w:r>
              <w:rPr>
                <w:rFonts w:ascii="Times New Roman" w:cs="Times New Roman" w:eastAsia="Times New Roman" w:hAnsi="Times New Roman"/>
                <w:sz w:val="22"/>
                <w:szCs w:val="22"/>
                <w:color w:val="auto"/>
                <w:vertAlign w:val="superscript"/>
              </w:rPr>
              <w:t>(b)</w:t>
            </w:r>
            <w:r>
              <w:rPr>
                <w:rFonts w:ascii="Times New Roman" w:cs="Times New Roman" w:eastAsia="Times New Roman" w:hAnsi="Times New Roman"/>
                <w:sz w:val="17"/>
                <w:szCs w:val="17"/>
                <w:color w:val="auto"/>
              </w:rPr>
              <w:t xml:space="preserve"> - Notes A and M</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127</w:t>
            </w:r>
          </w:p>
        </w:tc>
      </w:tr>
      <w:tr>
        <w:trPr>
          <w:trHeight w:val="22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Deferred income taxes - Note K</w:t>
            </w:r>
          </w:p>
        </w:tc>
        <w:tc>
          <w:tcPr>
            <w:tcW w:w="36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r>
      <w:tr>
        <w:trPr>
          <w:trHeight w:val="203"/>
        </w:trPr>
        <w:tc>
          <w:tcPr>
            <w:tcW w:w="77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assets - Note I</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251</w:t>
            </w:r>
          </w:p>
        </w:tc>
      </w:tr>
      <w:tr>
        <w:trPr>
          <w:trHeight w:val="196"/>
        </w:trPr>
        <w:tc>
          <w:tcPr>
            <w:tcW w:w="20" w:type="dxa"/>
            <w:vAlign w:val="bottom"/>
          </w:tcPr>
          <w:p>
            <w:pPr>
              <w:spacing w:after="0"/>
              <w:rPr>
                <w:sz w:val="17"/>
                <w:szCs w:val="17"/>
                <w:color w:val="auto"/>
              </w:rPr>
            </w:pPr>
          </w:p>
        </w:tc>
        <w:tc>
          <w:tcPr>
            <w:tcW w:w="77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 noncurrent assets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4,450</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4,433</w:t>
            </w:r>
          </w:p>
        </w:tc>
      </w:tr>
      <w:tr>
        <w:trPr>
          <w:trHeight w:val="236"/>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5,645</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5,939</w:t>
            </w:r>
          </w:p>
        </w:tc>
      </w:tr>
      <w:tr>
        <w:trPr>
          <w:trHeight w:val="183"/>
        </w:trPr>
        <w:tc>
          <w:tcPr>
            <w:tcW w:w="20" w:type="dxa"/>
            <w:vAlign w:val="bottom"/>
            <w:tcBorders>
              <w:top w:val="single" w:sz="8" w:color="CFF0FC"/>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1540" w:type="dxa"/>
            <w:vAlign w:val="bottom"/>
            <w:tcBorders>
              <w:top w:val="single" w:sz="8" w:color="CFF0FC"/>
            </w:tcBorders>
          </w:tcPr>
          <w:p>
            <w:pPr>
              <w:spacing w:after="0"/>
              <w:rPr>
                <w:sz w:val="15"/>
                <w:szCs w:val="15"/>
                <w:color w:val="auto"/>
              </w:rPr>
            </w:pPr>
          </w:p>
        </w:tc>
        <w:tc>
          <w:tcPr>
            <w:tcW w:w="55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77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556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Short-term debt - Note H</w:t>
            </w:r>
          </w:p>
        </w:tc>
        <w:tc>
          <w:tcPr>
            <w:tcW w:w="36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Trade and other payables</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210</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256</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208</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Current operating lease obligations - Note J</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r>
      <w:tr>
        <w:trPr>
          <w:trHeight w:val="196"/>
        </w:trPr>
        <w:tc>
          <w:tcPr>
            <w:tcW w:w="20" w:type="dxa"/>
            <w:vAlign w:val="bottom"/>
            <w:shd w:val="clear" w:color="auto" w:fill="CFF0FC"/>
          </w:tcPr>
          <w:p>
            <w:pPr>
              <w:spacing w:after="0"/>
              <w:rPr>
                <w:sz w:val="17"/>
                <w:szCs w:val="17"/>
                <w:color w:val="auto"/>
              </w:rPr>
            </w:pPr>
          </w:p>
        </w:tc>
        <w:tc>
          <w:tcPr>
            <w:tcW w:w="77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490</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456</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Long-term debt - Note H</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1,349</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1,314</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Asbestos litigation reserve - Note M</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414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427</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Deferred income taxes - Note K</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148</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Employee benefit obligations - Note L</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obligations - Note J</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99</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106</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liabilities - Note I</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286</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291</w:t>
            </w:r>
          </w:p>
        </w:tc>
      </w:tr>
      <w:tr>
        <w:trPr>
          <w:trHeight w:val="196"/>
        </w:trPr>
        <w:tc>
          <w:tcPr>
            <w:tcW w:w="20" w:type="dxa"/>
            <w:vAlign w:val="bottom"/>
            <w:shd w:val="clear" w:color="auto" w:fill="CFF0FC"/>
          </w:tcPr>
          <w:p>
            <w:pPr>
              <w:spacing w:after="0"/>
              <w:rPr>
                <w:sz w:val="17"/>
                <w:szCs w:val="17"/>
                <w:color w:val="auto"/>
              </w:rPr>
            </w:pPr>
          </w:p>
        </w:tc>
        <w:tc>
          <w:tcPr>
            <w:tcW w:w="77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2,287</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2,386</w:t>
            </w:r>
          </w:p>
        </w:tc>
      </w:tr>
      <w:tr>
        <w:trPr>
          <w:trHeight w:val="202"/>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 Notes J and M</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color w:val="auto"/>
              </w:rPr>
              <w:t>- Notes N and O</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Common stock, par value $.01 per share, 200 million shares authorized</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r>
      <w:tr>
        <w:trPr>
          <w:trHeight w:val="203"/>
        </w:trPr>
        <w:tc>
          <w:tcPr>
            <w:tcW w:w="20" w:type="dxa"/>
            <w:vAlign w:val="bottom"/>
            <w:shd w:val="clear" w:color="auto" w:fill="CFF0FC"/>
          </w:tcPr>
          <w:p>
            <w:pPr>
              <w:spacing w:after="0"/>
              <w:rPr>
                <w:sz w:val="17"/>
                <w:szCs w:val="17"/>
                <w:color w:val="auto"/>
              </w:rPr>
            </w:pPr>
          </w:p>
        </w:tc>
        <w:tc>
          <w:tcPr>
            <w:tcW w:w="77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Issued 47 million and 51 million shares in 2024 and 2023</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Paid-in capital</w:t>
            </w:r>
          </w:p>
        </w:tc>
        <w:tc>
          <w:tcPr>
            <w:tcW w:w="360" w:type="dxa"/>
            <w:vAlign w:val="bottom"/>
          </w:tcPr>
          <w:p>
            <w:pPr>
              <w:spacing w:after="0"/>
              <w:rPr>
                <w:sz w:val="17"/>
                <w:szCs w:val="17"/>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r>
      <w:tr>
        <w:trPr>
          <w:trHeight w:val="203"/>
        </w:trPr>
        <w:tc>
          <w:tcPr>
            <w:tcW w:w="77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3,315</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3,595</w:t>
            </w:r>
          </w:p>
        </w:tc>
      </w:tr>
      <w:tr>
        <w:trPr>
          <w:trHeight w:val="203"/>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(448 )</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(503 )</w:t>
            </w: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774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equity</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2,868</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3,097</w:t>
            </w:r>
          </w:p>
        </w:tc>
      </w:tr>
      <w:tr>
        <w:trPr>
          <w:trHeight w:val="196"/>
        </w:trPr>
        <w:tc>
          <w:tcPr>
            <w:tcW w:w="77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5,645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5,939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5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-5828665</wp:posOffset>
            </wp:positionV>
            <wp:extent cx="713232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-4662805</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-3625215</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-3350895</wp:posOffset>
            </wp:positionV>
            <wp:extent cx="10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-3334385</wp:posOffset>
            </wp:positionV>
            <wp:extent cx="1028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-213995</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600" w:hanging="592"/>
        <w:spacing w:after="0"/>
        <w:tabs>
          <w:tab w:leader="none" w:pos="6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includes an allowance for credit losses of $2 million and $3 million at September 30, 2024 and 2023, respectively.</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Asbestos insurance receivable includes an allowance for credit losses of $2 million at both September 30, 2024 and 2023.</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Equity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
              <w:spacing w:after="0"/>
              <w:rPr>
                <w:sz w:val="20"/>
                <w:szCs w:val="20"/>
                <w:color w:val="auto"/>
              </w:rPr>
            </w:pPr>
            <w:r>
              <w:rPr>
                <w:rFonts w:ascii="Times New Roman" w:cs="Times New Roman" w:eastAsia="Times New Roman" w:hAnsi="Times New Roman"/>
                <w:sz w:val="16"/>
                <w:szCs w:val="16"/>
                <w:color w:val="auto"/>
              </w:rPr>
              <w:t>Accumulated</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Common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Paid-in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7"/>
                <w:szCs w:val="17"/>
                <w:color w:val="auto"/>
              </w:rPr>
            </w:pPr>
          </w:p>
        </w:tc>
        <w:tc>
          <w:tcPr>
            <w:tcW w:w="1120" w:type="dxa"/>
            <w:vAlign w:val="bottom"/>
            <w:gridSpan w:val="2"/>
          </w:tcPr>
          <w:p>
            <w:pPr>
              <w:jc w:val="center"/>
              <w:ind w:right="22"/>
              <w:spacing w:after="0"/>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 millions)</w:t>
            </w: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4"/>
                <w:szCs w:val="14"/>
                <w:color w:val="auto"/>
              </w:rPr>
            </w:pPr>
          </w:p>
        </w:tc>
        <w:tc>
          <w:tcPr>
            <w:tcW w:w="1120" w:type="dxa"/>
            <w:vAlign w:val="bottom"/>
            <w:gridSpan w:val="2"/>
          </w:tcPr>
          <w:p>
            <w:pPr>
              <w:jc w:val="center"/>
              <w:ind w:right="2"/>
              <w:spacing w:after="0" w:line="162" w:lineRule="exact"/>
              <w:rPr>
                <w:sz w:val="20"/>
                <w:szCs w:val="20"/>
                <w:color w:val="auto"/>
              </w:rPr>
            </w:pPr>
            <w:r>
              <w:rPr>
                <w:rFonts w:ascii="Times New Roman" w:cs="Times New Roman" w:eastAsia="Times New Roman" w:hAnsi="Times New Roman"/>
                <w:sz w:val="16"/>
                <w:szCs w:val="16"/>
                <w:color w:val="auto"/>
              </w:rPr>
              <w:t>income (loss)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1"/>
                <w:szCs w:val="11"/>
                <w:color w:val="auto"/>
                <w:w w:val="97"/>
              </w:rPr>
              <w:t>(a)</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2,796</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2,752</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F0FC"/>
          </w:tcPr>
          <w:p>
            <w:pPr>
              <w:spacing w:after="0"/>
              <w:rPr>
                <w:sz w:val="17"/>
                <w:szCs w:val="17"/>
                <w:color w:val="auto"/>
              </w:rPr>
            </w:pPr>
          </w:p>
        </w:tc>
        <w:tc>
          <w:tcPr>
            <w:tcW w:w="260" w:type="dxa"/>
            <w:vAlign w:val="bottom"/>
            <w:shd w:val="clear" w:color="auto" w:fill="CCF0FC"/>
          </w:tcPr>
          <w:p>
            <w:pPr>
              <w:spacing w:after="0"/>
              <w:rPr>
                <w:sz w:val="17"/>
                <w:szCs w:val="17"/>
                <w:color w:val="auto"/>
              </w:rPr>
            </w:pPr>
          </w:p>
        </w:tc>
        <w:tc>
          <w:tcPr>
            <w:tcW w:w="120" w:type="dxa"/>
            <w:vAlign w:val="bottom"/>
            <w:shd w:val="clear" w:color="auto" w:fill="CCF0FC"/>
          </w:tcPr>
          <w:p>
            <w:pPr>
              <w:spacing w:after="0"/>
              <w:rPr>
                <w:sz w:val="17"/>
                <w:szCs w:val="17"/>
                <w:color w:val="auto"/>
              </w:rPr>
            </w:pPr>
          </w:p>
        </w:tc>
        <w:tc>
          <w:tcPr>
            <w:tcW w:w="160" w:type="dxa"/>
            <w:vAlign w:val="bottom"/>
            <w:shd w:val="clear" w:color="auto" w:fill="CCF0FC"/>
          </w:tcPr>
          <w:p>
            <w:pPr>
              <w:spacing w:after="0"/>
              <w:rPr>
                <w:sz w:val="17"/>
                <w:szCs w:val="17"/>
                <w:color w:val="auto"/>
              </w:rPr>
            </w:pPr>
          </w:p>
        </w:tc>
        <w:tc>
          <w:tcPr>
            <w:tcW w:w="880" w:type="dxa"/>
            <w:vAlign w:val="bottom"/>
            <w:shd w:val="clear" w:color="auto" w:fill="CCF0FC"/>
          </w:tcPr>
          <w:p>
            <w:pPr>
              <w:spacing w:after="0"/>
              <w:rPr>
                <w:sz w:val="17"/>
                <w:szCs w:val="17"/>
                <w:color w:val="auto"/>
              </w:rPr>
            </w:pPr>
          </w:p>
        </w:tc>
        <w:tc>
          <w:tcPr>
            <w:tcW w:w="100" w:type="dxa"/>
            <w:vAlign w:val="bottom"/>
            <w:shd w:val="clear" w:color="auto" w:fill="CCF0FC"/>
          </w:tcPr>
          <w:p>
            <w:pPr>
              <w:spacing w:after="0"/>
              <w:rPr>
                <w:sz w:val="17"/>
                <w:szCs w:val="17"/>
                <w:color w:val="auto"/>
              </w:rPr>
            </w:pPr>
          </w:p>
        </w:tc>
        <w:tc>
          <w:tcPr>
            <w:tcW w:w="140" w:type="dxa"/>
            <w:vAlign w:val="bottom"/>
            <w:shd w:val="clear" w:color="auto" w:fill="CCF0FC"/>
          </w:tcPr>
          <w:p>
            <w:pPr>
              <w:spacing w:after="0"/>
              <w:rPr>
                <w:sz w:val="17"/>
                <w:szCs w:val="17"/>
                <w:color w:val="auto"/>
              </w:rPr>
            </w:pPr>
          </w:p>
        </w:tc>
        <w:tc>
          <w:tcPr>
            <w:tcW w:w="880" w:type="dxa"/>
            <w:vAlign w:val="bottom"/>
            <w:shd w:val="clear" w:color="auto" w:fill="CCF0FC"/>
          </w:tcPr>
          <w:p>
            <w:pPr>
              <w:jc w:val="right"/>
              <w:ind w:right="39"/>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F0FC"/>
          </w:tcPr>
          <w:p>
            <w:pPr>
              <w:spacing w:after="0"/>
              <w:rPr>
                <w:sz w:val="17"/>
                <w:szCs w:val="17"/>
                <w:color w:val="auto"/>
              </w:rPr>
            </w:pPr>
          </w:p>
        </w:tc>
        <w:tc>
          <w:tcPr>
            <w:tcW w:w="220" w:type="dxa"/>
            <w:vAlign w:val="bottom"/>
            <w:shd w:val="clear" w:color="auto" w:fill="CCF0FC"/>
          </w:tcPr>
          <w:p>
            <w:pPr>
              <w:spacing w:after="0"/>
              <w:rPr>
                <w:sz w:val="17"/>
                <w:szCs w:val="17"/>
                <w:color w:val="auto"/>
              </w:rPr>
            </w:pPr>
          </w:p>
        </w:tc>
        <w:tc>
          <w:tcPr>
            <w:tcW w:w="900" w:type="dxa"/>
            <w:vAlign w:val="bottom"/>
            <w:shd w:val="clear" w:color="auto" w:fill="CCF0FC"/>
          </w:tcPr>
          <w:p>
            <w:pPr>
              <w:spacing w:after="0"/>
              <w:rPr>
                <w:sz w:val="17"/>
                <w:szCs w:val="17"/>
                <w:color w:val="auto"/>
              </w:rPr>
            </w:pPr>
          </w:p>
        </w:tc>
        <w:tc>
          <w:tcPr>
            <w:tcW w:w="120" w:type="dxa"/>
            <w:vAlign w:val="bottom"/>
            <w:shd w:val="clear" w:color="auto" w:fill="CCF0FC"/>
          </w:tcPr>
          <w:p>
            <w:pPr>
              <w:spacing w:after="0"/>
              <w:rPr>
                <w:sz w:val="17"/>
                <w:szCs w:val="17"/>
                <w:color w:val="auto"/>
              </w:rPr>
            </w:pPr>
          </w:p>
        </w:tc>
        <w:tc>
          <w:tcPr>
            <w:tcW w:w="180" w:type="dxa"/>
            <w:vAlign w:val="bottom"/>
            <w:shd w:val="clear" w:color="auto" w:fill="CCF0FC"/>
          </w:tcPr>
          <w:p>
            <w:pPr>
              <w:spacing w:after="0"/>
              <w:rPr>
                <w:sz w:val="17"/>
                <w:szCs w:val="17"/>
                <w:color w:val="auto"/>
              </w:rPr>
            </w:pPr>
          </w:p>
        </w:tc>
        <w:tc>
          <w:tcPr>
            <w:tcW w:w="840" w:type="dxa"/>
            <w:vAlign w:val="bottom"/>
            <w:shd w:val="clear" w:color="auto" w:fill="CCF0FC"/>
          </w:tcPr>
          <w:p>
            <w:pPr>
              <w:jc w:val="right"/>
              <w:ind w:right="39"/>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03"/>
        </w:trPr>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r>
        <w:trPr>
          <w:trHeight w:val="203"/>
        </w:trPr>
        <w:tc>
          <w:tcPr>
            <w:tcW w:w="552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6"/>
                <w:szCs w:val="16"/>
                <w:color w:val="auto"/>
              </w:rPr>
              <w:t>Dividends, $1.27 per common share</w:t>
            </w:r>
          </w:p>
        </w:tc>
        <w:tc>
          <w:tcPr>
            <w:tcW w:w="820" w:type="dxa"/>
            <w:vAlign w:val="bottom"/>
            <w:shd w:val="clear" w:color="auto" w:fill="CCF0FC"/>
          </w:tcPr>
          <w:p>
            <w:pPr>
              <w:spacing w:after="0"/>
              <w:rPr>
                <w:sz w:val="17"/>
                <w:szCs w:val="17"/>
                <w:color w:val="auto"/>
              </w:rPr>
            </w:pPr>
          </w:p>
        </w:tc>
        <w:tc>
          <w:tcPr>
            <w:tcW w:w="260" w:type="dxa"/>
            <w:vAlign w:val="bottom"/>
            <w:shd w:val="clear" w:color="auto" w:fill="CCF0FC"/>
          </w:tcPr>
          <w:p>
            <w:pPr>
              <w:spacing w:after="0"/>
              <w:rPr>
                <w:sz w:val="17"/>
                <w:szCs w:val="17"/>
                <w:color w:val="auto"/>
              </w:rPr>
            </w:pPr>
          </w:p>
        </w:tc>
        <w:tc>
          <w:tcPr>
            <w:tcW w:w="120" w:type="dxa"/>
            <w:vAlign w:val="bottom"/>
            <w:shd w:val="clear" w:color="auto" w:fill="CCF0FC"/>
          </w:tcPr>
          <w:p>
            <w:pPr>
              <w:spacing w:after="0"/>
              <w:rPr>
                <w:sz w:val="17"/>
                <w:szCs w:val="17"/>
                <w:color w:val="auto"/>
              </w:rPr>
            </w:pPr>
          </w:p>
        </w:tc>
        <w:tc>
          <w:tcPr>
            <w:tcW w:w="160" w:type="dxa"/>
            <w:vAlign w:val="bottom"/>
            <w:shd w:val="clear" w:color="auto" w:fill="CCF0FC"/>
          </w:tcPr>
          <w:p>
            <w:pPr>
              <w:spacing w:after="0"/>
              <w:rPr>
                <w:sz w:val="17"/>
                <w:szCs w:val="17"/>
                <w:color w:val="auto"/>
              </w:rPr>
            </w:pPr>
          </w:p>
        </w:tc>
        <w:tc>
          <w:tcPr>
            <w:tcW w:w="880" w:type="dxa"/>
            <w:vAlign w:val="bottom"/>
            <w:shd w:val="clear" w:color="auto" w:fill="CCF0FC"/>
          </w:tcPr>
          <w:p>
            <w:pPr>
              <w:spacing w:after="0"/>
              <w:rPr>
                <w:sz w:val="17"/>
                <w:szCs w:val="17"/>
                <w:color w:val="auto"/>
              </w:rPr>
            </w:pPr>
          </w:p>
        </w:tc>
        <w:tc>
          <w:tcPr>
            <w:tcW w:w="100" w:type="dxa"/>
            <w:vAlign w:val="bottom"/>
            <w:shd w:val="clear" w:color="auto" w:fill="CCF0FC"/>
          </w:tcPr>
          <w:p>
            <w:pPr>
              <w:spacing w:after="0"/>
              <w:rPr>
                <w:sz w:val="17"/>
                <w:szCs w:val="17"/>
                <w:color w:val="auto"/>
              </w:rPr>
            </w:pPr>
          </w:p>
        </w:tc>
        <w:tc>
          <w:tcPr>
            <w:tcW w:w="140" w:type="dxa"/>
            <w:vAlign w:val="bottom"/>
            <w:shd w:val="clear" w:color="auto" w:fill="CCF0FC"/>
          </w:tcPr>
          <w:p>
            <w:pPr>
              <w:spacing w:after="0"/>
              <w:rPr>
                <w:sz w:val="17"/>
                <w:szCs w:val="17"/>
                <w:color w:val="auto"/>
              </w:rPr>
            </w:pPr>
          </w:p>
        </w:tc>
        <w:tc>
          <w:tcPr>
            <w:tcW w:w="8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F0FC"/>
          </w:tcPr>
          <w:p>
            <w:pPr>
              <w:spacing w:after="0"/>
              <w:rPr>
                <w:sz w:val="17"/>
                <w:szCs w:val="17"/>
                <w:color w:val="auto"/>
              </w:rPr>
            </w:pPr>
          </w:p>
        </w:tc>
        <w:tc>
          <w:tcPr>
            <w:tcW w:w="220" w:type="dxa"/>
            <w:vAlign w:val="bottom"/>
            <w:shd w:val="clear" w:color="auto" w:fill="CCF0FC"/>
          </w:tcPr>
          <w:p>
            <w:pPr>
              <w:spacing w:after="0"/>
              <w:rPr>
                <w:sz w:val="17"/>
                <w:szCs w:val="17"/>
                <w:color w:val="auto"/>
              </w:rPr>
            </w:pPr>
          </w:p>
        </w:tc>
        <w:tc>
          <w:tcPr>
            <w:tcW w:w="900" w:type="dxa"/>
            <w:vAlign w:val="bottom"/>
            <w:shd w:val="clear" w:color="auto" w:fill="CCF0FC"/>
          </w:tcPr>
          <w:p>
            <w:pPr>
              <w:spacing w:after="0"/>
              <w:rPr>
                <w:sz w:val="17"/>
                <w:szCs w:val="17"/>
                <w:color w:val="auto"/>
              </w:rPr>
            </w:pPr>
          </w:p>
        </w:tc>
        <w:tc>
          <w:tcPr>
            <w:tcW w:w="120" w:type="dxa"/>
            <w:vAlign w:val="bottom"/>
            <w:shd w:val="clear" w:color="auto" w:fill="CCF0FC"/>
          </w:tcPr>
          <w:p>
            <w:pPr>
              <w:spacing w:after="0"/>
              <w:rPr>
                <w:sz w:val="17"/>
                <w:szCs w:val="17"/>
                <w:color w:val="auto"/>
              </w:rPr>
            </w:pPr>
          </w:p>
        </w:tc>
        <w:tc>
          <w:tcPr>
            <w:tcW w:w="180" w:type="dxa"/>
            <w:vAlign w:val="bottom"/>
            <w:shd w:val="clear" w:color="auto" w:fill="CCF0FC"/>
          </w:tcPr>
          <w:p>
            <w:pPr>
              <w:spacing w:after="0"/>
              <w:rPr>
                <w:sz w:val="17"/>
                <w:szCs w:val="17"/>
                <w:color w:val="auto"/>
              </w:rPr>
            </w:pPr>
          </w:p>
        </w:tc>
        <w:tc>
          <w:tcPr>
            <w:tcW w:w="8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Compensation expense and common shares issued under stock incentive and other</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plans</w:t>
            </w:r>
            <w:r>
              <w:rPr>
                <w:rFonts w:ascii="Times New Roman" w:cs="Times New Roman" w:eastAsia="Times New Roman" w:hAnsi="Times New Roman"/>
                <w:sz w:val="10"/>
                <w:szCs w:val="10"/>
                <w:color w:val="auto"/>
              </w:rPr>
              <w:t>(b)(c)</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1"/>
                <w:szCs w:val="21"/>
                <w:color w:val="auto"/>
                <w:vertAlign w:val="superscript"/>
              </w:rPr>
              <w:t>(d)</w:t>
            </w: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19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82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3,220</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$1.44 per common share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175"/>
        </w:trPr>
        <w:tc>
          <w:tcPr>
            <w:tcW w:w="55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Compensation expense and common shares issued under stock incentive and other</w:t>
            </w: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plans</w:t>
            </w:r>
            <w:r>
              <w:rPr>
                <w:rFonts w:ascii="Times New Roman" w:cs="Times New Roman" w:eastAsia="Times New Roman" w:hAnsi="Times New Roman"/>
                <w:sz w:val="10"/>
                <w:szCs w:val="10"/>
                <w:color w:val="auto"/>
              </w:rPr>
              <w:t>(b)(c)</w:t>
            </w: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1"/>
                <w:szCs w:val="21"/>
                <w:color w:val="auto"/>
                <w:vertAlign w:val="superscript"/>
              </w:rPr>
              <w:t>(d)(e)</w:t>
            </w: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0" w:type="dxa"/>
            <w:vAlign w:val="bottom"/>
          </w:tcPr>
          <w:p>
            <w:pPr>
              <w:spacing w:after="0"/>
              <w:rPr>
                <w:sz w:val="1"/>
                <w:szCs w:val="1"/>
                <w:color w:val="auto"/>
              </w:rPr>
            </w:pPr>
          </w:p>
        </w:tc>
      </w:tr>
      <w:tr>
        <w:trPr>
          <w:trHeight w:val="19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3"/>
        </w:trPr>
        <w:tc>
          <w:tcPr>
            <w:tcW w:w="5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$1.58 per common share</w:t>
            </w: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Compensation expense and common shares issued under stock incentive and other</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plans</w:t>
            </w:r>
            <w:r>
              <w:rPr>
                <w:rFonts w:ascii="Times New Roman" w:cs="Times New Roman" w:eastAsia="Times New Roman" w:hAnsi="Times New Roman"/>
                <w:sz w:val="10"/>
                <w:szCs w:val="10"/>
                <w:color w:val="auto"/>
              </w:rPr>
              <w:t>(b)(c)</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5520" w:type="dxa"/>
            <w:vAlign w:val="bottom"/>
            <w:tcBorders>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1"/>
                <w:szCs w:val="21"/>
                <w:color w:val="auto"/>
                <w:vertAlign w:val="superscript"/>
              </w:rPr>
              <w:t>(d)(e)</w:t>
            </w: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0" w:type="dxa"/>
            <w:vAlign w:val="bottom"/>
          </w:tcPr>
          <w:p>
            <w:pPr>
              <w:spacing w:after="0"/>
              <w:rPr>
                <w:sz w:val="1"/>
                <w:szCs w:val="1"/>
                <w:color w:val="auto"/>
              </w:rPr>
            </w:pPr>
          </w:p>
        </w:tc>
      </w:tr>
      <w:tr>
        <w:trPr>
          <w:trHeight w:val="19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3,315</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-2287905</wp:posOffset>
            </wp:positionV>
            <wp:extent cx="774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-2287905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-2287905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-2287905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-213995</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-213995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-213995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-213995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jc w:val="both"/>
        <w:ind w:left="600" w:hanging="592"/>
        <w:spacing w:after="0" w:line="241" w:lineRule="auto"/>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2024 and 2023, the net of tax accumulated other comprehensive loss of $448 million and $503 million, respectively, was comprised of net unrealized translation losses of $445 million and $499 million, respectively, unrecognized prior service costs as a result of certain employee benefit plan amendments of $1 million and $1 million, respectively, and net unrealized losses on commodity hedges of $2 million and $3 million, respectively.</w:t>
      </w:r>
    </w:p>
    <w:p>
      <w:pPr>
        <w:spacing w:after="0" w:line="1"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of $5 million, $11 million and $9 million for stock based compensation employee withholding taxes paid in cash for 2024, 2023 and 2022, respectively,</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137,799, 193,767, and 168,270 for 2024, 2023 and 2022, respectively.</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4,285,194, 3,082,928, and 2,853,312 for 2024, 2023 and 2022, respectively.</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 million of accrued excise taxes on stock repurchases for 2024 and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Ashland Inc. and Consolidated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Consolidated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 millions)</w:t>
            </w: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color w:val="auto"/>
              </w:rPr>
              <w:t>2022</w:t>
            </w:r>
          </w:p>
        </w:tc>
      </w:tr>
      <w:tr>
        <w:trPr>
          <w:trHeight w:val="142"/>
        </w:trPr>
        <w:tc>
          <w:tcPr>
            <w:tcW w:w="78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PROVIDED (USED) BY OPERATING ACTIVITIES FROM CONTINUING OPERATIONS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169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927</w:t>
            </w:r>
          </w:p>
        </w:tc>
      </w:tr>
      <w:tr>
        <w:trPr>
          <w:trHeight w:val="148"/>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Loss (income) from discontinued operations, net of income taxes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income from continuing operations to cash flows from operating activities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243</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241</w:t>
            </w:r>
          </w:p>
        </w:tc>
      </w:tr>
      <w:tr>
        <w:trPr>
          <w:trHeight w:val="148"/>
        </w:trPr>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Original issue discount and debt issuance cost amortization</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r>
      <w:tr>
        <w:trPr>
          <w:trHeight w:val="149"/>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income taxes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(302 )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148"/>
        </w:trPr>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Gain from sales of property and equipment</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880" w:type="dxa"/>
            <w:vAlign w:val="bottom"/>
            <w:shd w:val="clear" w:color="auto" w:fill="CCF0FC"/>
          </w:tcPr>
          <w:p>
            <w:pPr>
              <w:ind w:left="200"/>
              <w:spacing w:after="0"/>
              <w:rPr>
                <w:sz w:val="20"/>
                <w:szCs w:val="20"/>
                <w:color w:val="auto"/>
              </w:rPr>
            </w:pPr>
            <w:r>
              <w:rPr>
                <w:rFonts w:ascii="Times New Roman" w:cs="Times New Roman" w:eastAsia="Times New Roman" w:hAnsi="Times New Roman"/>
                <w:sz w:val="13"/>
                <w:szCs w:val="13"/>
                <w:color w:val="auto"/>
              </w:rPr>
              <w:t>Stock based compensation expense - Note O</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18</w:t>
            </w:r>
          </w:p>
        </w:tc>
      </w:tr>
      <w:tr>
        <w:trPr>
          <w:trHeight w:val="148"/>
        </w:trPr>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Excess tax benefits on stock based compensation</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r>
      <w:tr>
        <w:trPr>
          <w:trHeight w:val="148"/>
        </w:trPr>
        <w:tc>
          <w:tcPr>
            <w:tcW w:w="7880" w:type="dxa"/>
            <w:vAlign w:val="bottom"/>
            <w:shd w:val="clear" w:color="auto" w:fill="CCF0FC"/>
          </w:tcPr>
          <w:p>
            <w:pPr>
              <w:ind w:left="200"/>
              <w:spacing w:after="0"/>
              <w:rPr>
                <w:sz w:val="20"/>
                <w:szCs w:val="20"/>
                <w:color w:val="auto"/>
              </w:rPr>
            </w:pPr>
            <w:r>
              <w:rPr>
                <w:rFonts w:ascii="Times New Roman" w:cs="Times New Roman" w:eastAsia="Times New Roman" w:hAnsi="Times New Roman"/>
                <w:sz w:val="13"/>
                <w:szCs w:val="13"/>
                <w:color w:val="auto"/>
              </w:rPr>
              <w:t>Loss (income) from restricted investments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13"/>
              <w:spacing w:after="0"/>
              <w:rPr>
                <w:sz w:val="20"/>
                <w:szCs w:val="20"/>
                <w:color w:val="auto"/>
              </w:rPr>
            </w:pPr>
            <w:r>
              <w:rPr>
                <w:rFonts w:ascii="Times New Roman" w:cs="Times New Roman" w:eastAsia="Times New Roman" w:hAnsi="Times New Roman"/>
                <w:sz w:val="13"/>
                <w:szCs w:val="13"/>
                <w:color w:val="auto"/>
              </w:rPr>
              <w:t>(74 )</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86</w:t>
            </w:r>
          </w:p>
        </w:tc>
      </w:tr>
      <w:tr>
        <w:trPr>
          <w:trHeight w:val="149"/>
        </w:trPr>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(income) on acquisitions and divestitures, net - Notes B</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r>
      <w:tr>
        <w:trPr>
          <w:trHeight w:val="148"/>
        </w:trPr>
        <w:tc>
          <w:tcPr>
            <w:tcW w:w="7880" w:type="dxa"/>
            <w:vAlign w:val="bottom"/>
            <w:shd w:val="clear" w:color="auto" w:fill="CCF0FC"/>
          </w:tcPr>
          <w:p>
            <w:pPr>
              <w:ind w:left="200"/>
              <w:spacing w:after="0"/>
              <w:rPr>
                <w:sz w:val="20"/>
                <w:szCs w:val="20"/>
                <w:color w:val="auto"/>
              </w:rPr>
            </w:pPr>
            <w:r>
              <w:rPr>
                <w:rFonts w:ascii="Times New Roman" w:cs="Times New Roman" w:eastAsia="Times New Roman" w:hAnsi="Times New Roman"/>
                <w:sz w:val="13"/>
                <w:szCs w:val="13"/>
                <w:color w:val="auto"/>
              </w:rPr>
              <w:t>Asset impairments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Pension contributions</w:t>
            </w:r>
          </w:p>
        </w:tc>
        <w:tc>
          <w:tcPr>
            <w:tcW w:w="220" w:type="dxa"/>
            <w:vAlign w:val="bottom"/>
          </w:tcPr>
          <w:p>
            <w:pPr>
              <w:spacing w:after="0"/>
              <w:rPr>
                <w:sz w:val="12"/>
                <w:szCs w:val="12"/>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(15 )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48"/>
        </w:trPr>
        <w:tc>
          <w:tcPr>
            <w:tcW w:w="7880" w:type="dxa"/>
            <w:vAlign w:val="bottom"/>
            <w:shd w:val="clear" w:color="auto" w:fill="CCF0FC"/>
          </w:tcPr>
          <w:p>
            <w:pPr>
              <w:ind w:left="200"/>
              <w:spacing w:after="0"/>
              <w:rPr>
                <w:sz w:val="20"/>
                <w:szCs w:val="20"/>
                <w:color w:val="auto"/>
              </w:rPr>
            </w:pPr>
            <w:r>
              <w:rPr>
                <w:rFonts w:ascii="Times New Roman" w:cs="Times New Roman" w:eastAsia="Times New Roman" w:hAnsi="Times New Roman"/>
                <w:sz w:val="13"/>
                <w:szCs w:val="13"/>
                <w:color w:val="auto"/>
              </w:rPr>
              <w:t>Loss (gain) on pension and other postretirement plan remeasurements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48"/>
        </w:trPr>
        <w:tc>
          <w:tcPr>
            <w:tcW w:w="7880" w:type="dxa"/>
            <w:vAlign w:val="bottom"/>
          </w:tcPr>
          <w:p>
            <w:pPr>
              <w:ind w:left="200"/>
              <w:spacing w:after="0" w:line="149" w:lineRule="exact"/>
              <w:rPr>
                <w:sz w:val="20"/>
                <w:szCs w:val="20"/>
                <w:color w:val="auto"/>
              </w:rPr>
            </w:pPr>
            <w:r>
              <w:rPr>
                <w:rFonts w:ascii="Times New Roman" w:cs="Times New Roman" w:eastAsia="Times New Roman" w:hAnsi="Times New Roman"/>
                <w:sz w:val="13"/>
                <w:szCs w:val="13"/>
                <w:color w:val="auto"/>
              </w:rPr>
              <w:t>Change in operating assets and liabilities</w:t>
            </w:r>
            <w:r>
              <w:rPr>
                <w:rFonts w:ascii="Times New Roman" w:cs="Times New Roman" w:eastAsia="Times New Roman" w:hAnsi="Times New Roman"/>
                <w:sz w:val="17"/>
                <w:szCs w:val="17"/>
                <w:color w:val="auto"/>
                <w:vertAlign w:val="superscript"/>
              </w:rPr>
              <w:t>(a)</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(237 )</w:t>
            </w:r>
          </w:p>
        </w:tc>
      </w:tr>
      <w:tr>
        <w:trPr>
          <w:trHeight w:val="142"/>
        </w:trPr>
        <w:tc>
          <w:tcPr>
            <w:tcW w:w="7880" w:type="dxa"/>
            <w:vAlign w:val="bottom"/>
            <w:shd w:val="clear" w:color="auto" w:fill="CCF0FC"/>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cash flows provided by operating activities from continuing operations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462</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294</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193</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(USED) BY INVESTING ACTIVITIES FROM CONTINUING OPERATIONS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13"/>
              <w:spacing w:after="0"/>
              <w:rPr>
                <w:sz w:val="20"/>
                <w:szCs w:val="20"/>
                <w:color w:val="auto"/>
              </w:rPr>
            </w:pPr>
            <w:r>
              <w:rPr>
                <w:rFonts w:ascii="Times New Roman" w:cs="Times New Roman" w:eastAsia="Times New Roman" w:hAnsi="Times New Roman"/>
                <w:sz w:val="13"/>
                <w:szCs w:val="13"/>
                <w:color w:val="auto"/>
              </w:rPr>
              <w:t>(137 )</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(113 )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disposal of property, plant and equipment</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51</w:t>
            </w:r>
          </w:p>
        </w:tc>
      </w:tr>
      <w:tr>
        <w:trPr>
          <w:trHeight w:val="148"/>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 or restructuring of operations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settlement of company-owned life insurance contracts</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r>
      <w:tr>
        <w:trPr>
          <w:trHeight w:val="148"/>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Company-owned life insurance payments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Funds restricted for specific transactions</w:t>
            </w:r>
          </w:p>
        </w:tc>
        <w:tc>
          <w:tcPr>
            <w:tcW w:w="220" w:type="dxa"/>
            <w:vAlign w:val="bottom"/>
          </w:tcPr>
          <w:p>
            <w:pPr>
              <w:spacing w:after="0"/>
              <w:rPr>
                <w:sz w:val="12"/>
                <w:szCs w:val="12"/>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(74 )</w:t>
            </w:r>
          </w:p>
        </w:tc>
      </w:tr>
      <w:tr>
        <w:trPr>
          <w:trHeight w:val="148"/>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Reimbursement from restricted investments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35</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securities</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87</w:t>
            </w:r>
          </w:p>
        </w:tc>
      </w:tr>
      <w:tr>
        <w:trPr>
          <w:trHeight w:val="14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of securities</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(53 )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investing cash flows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(10 )</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7880" w:type="dxa"/>
            <w:vAlign w:val="bottom"/>
            <w:shd w:val="clear" w:color="auto" w:fill="CCF0FC"/>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cash flows used by investing activities from continuing operations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(51 )</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(109 )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PROVIDED (USED) BY FINANCING ACTIVITIES FROM CONTINUING OPERATIONS</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(250 )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(repayment of) short-term debt</w:t>
            </w:r>
          </w:p>
        </w:tc>
        <w:tc>
          <w:tcPr>
            <w:tcW w:w="220" w:type="dxa"/>
            <w:vAlign w:val="bottom"/>
          </w:tcPr>
          <w:p>
            <w:pPr>
              <w:spacing w:after="0"/>
              <w:rPr>
                <w:sz w:val="12"/>
                <w:szCs w:val="12"/>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w:t>
            </w:r>
          </w:p>
        </w:tc>
      </w:tr>
      <w:tr>
        <w:trPr>
          <w:trHeight w:val="149"/>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13"/>
              <w:spacing w:after="0"/>
              <w:rPr>
                <w:sz w:val="20"/>
                <w:szCs w:val="20"/>
                <w:color w:val="auto"/>
              </w:rPr>
            </w:pPr>
            <w:r>
              <w:rPr>
                <w:rFonts w:ascii="Times New Roman" w:cs="Times New Roman" w:eastAsia="Times New Roman" w:hAnsi="Times New Roman"/>
                <w:sz w:val="13"/>
                <w:szCs w:val="13"/>
                <w:color w:val="auto"/>
              </w:rPr>
              <w:t>(380 )</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(300 )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(200 )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49"/>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Cash dividends paid</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13"/>
              <w:spacing w:after="0"/>
              <w:rPr>
                <w:sz w:val="20"/>
                <w:szCs w:val="20"/>
                <w:color w:val="auto"/>
              </w:rPr>
            </w:pPr>
            <w:r>
              <w:rPr>
                <w:rFonts w:ascii="Times New Roman" w:cs="Times New Roman" w:eastAsia="Times New Roman" w:hAnsi="Times New Roman"/>
                <w:sz w:val="13"/>
                <w:szCs w:val="13"/>
                <w:color w:val="auto"/>
              </w:rPr>
              <w:t>(78 )</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(70 )</w:t>
            </w: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 employee withholding taxes paid in cash</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42"/>
        </w:trPr>
        <w:tc>
          <w:tcPr>
            <w:tcW w:w="7880" w:type="dxa"/>
            <w:vAlign w:val="bottom"/>
            <w:tcBorders>
              <w:bottom w:val="single" w:sz="8" w:color="CCF0FC"/>
            </w:tcBorders>
            <w:shd w:val="clear" w:color="auto" w:fill="CCF0FC"/>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cash flows used by financing activities from continuing operations</w:t>
            </w:r>
          </w:p>
        </w:tc>
        <w:tc>
          <w:tcPr>
            <w:tcW w:w="220" w:type="dxa"/>
            <w:vAlign w:val="bottom"/>
            <w:tcBorders>
              <w:bottom w:val="single" w:sz="8" w:color="auto"/>
            </w:tcBorders>
            <w:shd w:val="clear" w:color="auto" w:fill="CCF0FC"/>
          </w:tcPr>
          <w:p>
            <w:pPr>
              <w:spacing w:after="0"/>
              <w:rPr>
                <w:sz w:val="12"/>
                <w:szCs w:val="12"/>
                <w:color w:val="auto"/>
              </w:rPr>
            </w:pPr>
          </w:p>
        </w:tc>
        <w:tc>
          <w:tcPr>
            <w:tcW w:w="880" w:type="dxa"/>
            <w:vAlign w:val="bottom"/>
            <w:tcBorders>
              <w:bottom w:val="single" w:sz="8" w:color="auto"/>
            </w:tcBorders>
            <w:shd w:val="clear" w:color="auto" w:fill="CC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(479 )</w:t>
            </w:r>
          </w:p>
        </w:tc>
        <w:tc>
          <w:tcPr>
            <w:tcW w:w="12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(371 )</w:t>
            </w:r>
          </w:p>
        </w:tc>
        <w:tc>
          <w:tcPr>
            <w:tcW w:w="14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(896 )</w:t>
            </w:r>
          </w:p>
        </w:tc>
      </w:tr>
      <w:tr>
        <w:trPr>
          <w:trHeight w:val="142"/>
        </w:trPr>
        <w:tc>
          <w:tcPr>
            <w:tcW w:w="7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USED BY CONTINUING OPERATIONS</w:t>
            </w:r>
          </w:p>
        </w:tc>
        <w:tc>
          <w:tcPr>
            <w:tcW w:w="220" w:type="dxa"/>
            <w:vAlign w:val="bottom"/>
          </w:tcPr>
          <w:p>
            <w:pPr>
              <w:spacing w:after="0"/>
              <w:rPr>
                <w:sz w:val="12"/>
                <w:szCs w:val="12"/>
                <w:color w:val="auto"/>
              </w:rPr>
            </w:pPr>
          </w:p>
        </w:tc>
        <w:tc>
          <w:tcPr>
            <w:tcW w:w="8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(68 )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(186 )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(805 )</w:t>
            </w:r>
          </w:p>
        </w:tc>
      </w:tr>
      <w:tr>
        <w:trPr>
          <w:trHeight w:val="149"/>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Cash provided (used) by discontinued operations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spacing w:after="0"/>
              <w:rPr>
                <w:sz w:val="12"/>
                <w:szCs w:val="12"/>
                <w:color w:val="auto"/>
              </w:rPr>
            </w:pP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spacing w:after="0"/>
              <w:rPr>
                <w:sz w:val="12"/>
                <w:szCs w:val="12"/>
                <w:color w:val="auto"/>
              </w:rPr>
            </w:pPr>
          </w:p>
        </w:tc>
      </w:tr>
      <w:tr>
        <w:trPr>
          <w:trHeight w:val="148"/>
        </w:trPr>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Operating cash flows</w:t>
            </w:r>
          </w:p>
        </w:tc>
        <w:tc>
          <w:tcPr>
            <w:tcW w:w="220" w:type="dxa"/>
            <w:vAlign w:val="bottom"/>
          </w:tcPr>
          <w:p>
            <w:pPr>
              <w:spacing w:after="0"/>
              <w:rPr>
                <w:sz w:val="12"/>
                <w:szCs w:val="12"/>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(406 )</w:t>
            </w:r>
          </w:p>
        </w:tc>
      </w:tr>
      <w:tr>
        <w:trPr>
          <w:trHeight w:val="149"/>
        </w:trPr>
        <w:tc>
          <w:tcPr>
            <w:tcW w:w="7880" w:type="dxa"/>
            <w:vAlign w:val="bottom"/>
            <w:tcBorders>
              <w:bottom w:val="single" w:sz="8" w:color="CCF0FC"/>
            </w:tcBorders>
            <w:shd w:val="clear" w:color="auto" w:fill="CCF0FC"/>
          </w:tcPr>
          <w:p>
            <w:pPr>
              <w:ind w:left="200"/>
              <w:spacing w:after="0"/>
              <w:rPr>
                <w:sz w:val="20"/>
                <w:szCs w:val="20"/>
                <w:color w:val="auto"/>
              </w:rPr>
            </w:pPr>
            <w:r>
              <w:rPr>
                <w:rFonts w:ascii="Times New Roman" w:cs="Times New Roman" w:eastAsia="Times New Roman" w:hAnsi="Times New Roman"/>
                <w:sz w:val="13"/>
                <w:szCs w:val="13"/>
                <w:color w:val="auto"/>
              </w:rPr>
              <w:t>Investing cash flows</w:t>
            </w:r>
          </w:p>
        </w:tc>
        <w:tc>
          <w:tcPr>
            <w:tcW w:w="220" w:type="dxa"/>
            <w:vAlign w:val="bottom"/>
            <w:tcBorders>
              <w:bottom w:val="single" w:sz="8" w:color="auto"/>
            </w:tcBorders>
            <w:shd w:val="clear" w:color="auto" w:fill="CCF0FC"/>
          </w:tcPr>
          <w:p>
            <w:pPr>
              <w:spacing w:after="0"/>
              <w:rPr>
                <w:sz w:val="12"/>
                <w:szCs w:val="12"/>
                <w:color w:val="auto"/>
              </w:rPr>
            </w:pPr>
          </w:p>
        </w:tc>
        <w:tc>
          <w:tcPr>
            <w:tcW w:w="880" w:type="dxa"/>
            <w:vAlign w:val="bottom"/>
            <w:tcBorders>
              <w:bottom w:val="single" w:sz="8" w:color="auto"/>
            </w:tcBorders>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1,658</w:t>
            </w:r>
          </w:p>
        </w:tc>
      </w:tr>
      <w:tr>
        <w:trPr>
          <w:trHeight w:val="142"/>
        </w:trPr>
        <w:tc>
          <w:tcPr>
            <w:tcW w:w="7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cash provided (used) by discontinued operations</w:t>
            </w:r>
          </w:p>
        </w:tc>
        <w:tc>
          <w:tcPr>
            <w:tcW w:w="220" w:type="dxa"/>
            <w:vAlign w:val="bottom"/>
          </w:tcPr>
          <w:p>
            <w:pPr>
              <w:spacing w:after="0"/>
              <w:rPr>
                <w:sz w:val="12"/>
                <w:szCs w:val="12"/>
                <w:color w:val="auto"/>
              </w:rPr>
            </w:pPr>
          </w:p>
        </w:tc>
        <w:tc>
          <w:tcPr>
            <w:tcW w:w="8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(51 )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(51 )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1,252</w:t>
            </w:r>
          </w:p>
        </w:tc>
      </w:tr>
      <w:tr>
        <w:trPr>
          <w:trHeight w:val="149"/>
        </w:trPr>
        <w:tc>
          <w:tcPr>
            <w:tcW w:w="7880" w:type="dxa"/>
            <w:vAlign w:val="bottom"/>
            <w:tcBorders>
              <w:bottom w:val="single" w:sz="8" w:color="CCF0FC"/>
            </w:tcBorders>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Effect of currency exchange rate changes on cash and cash equivalents</w:t>
            </w:r>
          </w:p>
        </w:tc>
        <w:tc>
          <w:tcPr>
            <w:tcW w:w="220" w:type="dxa"/>
            <w:vAlign w:val="bottom"/>
            <w:tcBorders>
              <w:bottom w:val="single" w:sz="8" w:color="auto"/>
            </w:tcBorders>
            <w:shd w:val="clear" w:color="auto" w:fill="CCF0FC"/>
          </w:tcPr>
          <w:p>
            <w:pPr>
              <w:spacing w:after="0"/>
              <w:rPr>
                <w:sz w:val="12"/>
                <w:szCs w:val="12"/>
                <w:color w:val="auto"/>
              </w:rPr>
            </w:pPr>
          </w:p>
        </w:tc>
        <w:tc>
          <w:tcPr>
            <w:tcW w:w="880" w:type="dxa"/>
            <w:vAlign w:val="bottom"/>
            <w:tcBorders>
              <w:bottom w:val="single" w:sz="8" w:color="auto"/>
            </w:tcBorders>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42"/>
        </w:trPr>
        <w:tc>
          <w:tcPr>
            <w:tcW w:w="7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INCREASE (DECREASE) IN CASH AND CASH EQUIVALENTS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(117 )</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(229 )</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436</w:t>
            </w:r>
          </w:p>
        </w:tc>
      </w:tr>
      <w:tr>
        <w:trPr>
          <w:trHeight w:val="142"/>
        </w:trPr>
        <w:tc>
          <w:tcPr>
            <w:tcW w:w="7880" w:type="dxa"/>
            <w:vAlign w:val="bottom"/>
            <w:tcBorders>
              <w:bottom w:val="single" w:sz="8" w:color="CCF0FC"/>
            </w:tcBorders>
            <w:shd w:val="clear" w:color="auto" w:fill="CC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 BEGINNING OF YEAR</w:t>
            </w:r>
          </w:p>
        </w:tc>
        <w:tc>
          <w:tcPr>
            <w:tcW w:w="220" w:type="dxa"/>
            <w:vAlign w:val="bottom"/>
            <w:tcBorders>
              <w:bottom w:val="single" w:sz="8" w:color="auto"/>
            </w:tcBorders>
            <w:shd w:val="clear" w:color="auto" w:fill="CCF0FC"/>
          </w:tcPr>
          <w:p>
            <w:pPr>
              <w:spacing w:after="0"/>
              <w:rPr>
                <w:sz w:val="12"/>
                <w:szCs w:val="12"/>
                <w:color w:val="auto"/>
              </w:rPr>
            </w:pPr>
          </w:p>
        </w:tc>
        <w:tc>
          <w:tcPr>
            <w:tcW w:w="880" w:type="dxa"/>
            <w:vAlign w:val="bottom"/>
            <w:tcBorders>
              <w:bottom w:val="single" w:sz="8" w:color="auto"/>
            </w:tcBorders>
            <w:shd w:val="clear" w:color="auto" w:fill="CCF0FC"/>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417</w:t>
            </w:r>
          </w:p>
        </w:tc>
        <w:tc>
          <w:tcPr>
            <w:tcW w:w="12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646</w:t>
            </w:r>
          </w:p>
        </w:tc>
        <w:tc>
          <w:tcPr>
            <w:tcW w:w="14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210</w:t>
            </w:r>
          </w:p>
        </w:tc>
      </w:tr>
      <w:tr>
        <w:trPr>
          <w:trHeight w:val="142"/>
        </w:trPr>
        <w:tc>
          <w:tcPr>
            <w:tcW w:w="7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AND CASH EQUIVALENTS - END OF YEAR</w:t>
            </w:r>
          </w:p>
        </w:tc>
        <w:tc>
          <w:tcPr>
            <w:tcW w:w="2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300</w:t>
            </w:r>
          </w:p>
        </w:tc>
        <w:tc>
          <w:tcPr>
            <w:tcW w:w="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417</w:t>
            </w:r>
          </w:p>
        </w:tc>
        <w:tc>
          <w:tcPr>
            <w:tcW w:w="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646</w:t>
            </w:r>
          </w:p>
        </w:tc>
      </w:tr>
      <w:tr>
        <w:trPr>
          <w:trHeight w:val="20"/>
        </w:trPr>
        <w:tc>
          <w:tcPr>
            <w:tcW w:w="7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880" w:type="dxa"/>
            <w:vAlign w:val="bottom"/>
            <w:shd w:val="clear" w:color="auto" w:fill="CCF0FC"/>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CHANGES IN ASSETS AND LIABILITIES</w:t>
            </w:r>
            <w:r>
              <w:rPr>
                <w:rFonts w:ascii="Times New Roman" w:cs="Times New Roman" w:eastAsia="Times New Roman" w:hAnsi="Times New Roman"/>
                <w:sz w:val="14"/>
                <w:szCs w:val="14"/>
                <w:b w:val="1"/>
                <w:bCs w:val="1"/>
                <w:color w:val="auto"/>
                <w:vertAlign w:val="superscript"/>
              </w:rPr>
              <w:t>(a)</w:t>
            </w:r>
          </w:p>
        </w:tc>
        <w:tc>
          <w:tcPr>
            <w:tcW w:w="220" w:type="dxa"/>
            <w:vAlign w:val="bottom"/>
            <w:shd w:val="clear" w:color="auto" w:fill="CCF0FC"/>
          </w:tcPr>
          <w:p>
            <w:pPr>
              <w:spacing w:after="0"/>
              <w:rPr>
                <w:sz w:val="11"/>
                <w:szCs w:val="11"/>
                <w:color w:val="auto"/>
              </w:rPr>
            </w:pPr>
          </w:p>
        </w:tc>
        <w:tc>
          <w:tcPr>
            <w:tcW w:w="8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200" w:type="dxa"/>
            <w:vAlign w:val="bottom"/>
            <w:shd w:val="clear" w:color="auto" w:fill="CCF0FC"/>
          </w:tcPr>
          <w:p>
            <w:pPr>
              <w:spacing w:after="0"/>
              <w:rPr>
                <w:sz w:val="11"/>
                <w:szCs w:val="11"/>
                <w:color w:val="auto"/>
              </w:rPr>
            </w:pPr>
          </w:p>
        </w:tc>
        <w:tc>
          <w:tcPr>
            <w:tcW w:w="80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200" w:type="dxa"/>
            <w:vAlign w:val="bottom"/>
            <w:shd w:val="clear" w:color="auto" w:fill="CCF0FC"/>
          </w:tcPr>
          <w:p>
            <w:pPr>
              <w:spacing w:after="0"/>
              <w:rPr>
                <w:sz w:val="11"/>
                <w:szCs w:val="11"/>
                <w:color w:val="auto"/>
              </w:rPr>
            </w:pPr>
          </w:p>
        </w:tc>
        <w:tc>
          <w:tcPr>
            <w:tcW w:w="800" w:type="dxa"/>
            <w:vAlign w:val="bottom"/>
            <w:shd w:val="clear" w:color="auto" w:fill="CCF0FC"/>
          </w:tcPr>
          <w:p>
            <w:pPr>
              <w:spacing w:after="0"/>
              <w:rPr>
                <w:sz w:val="11"/>
                <w:szCs w:val="11"/>
                <w:color w:val="auto"/>
              </w:rPr>
            </w:pPr>
          </w:p>
        </w:tc>
      </w:tr>
      <w:tr>
        <w:trPr>
          <w:trHeight w:val="14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96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48"/>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(141 )</w:t>
            </w:r>
          </w:p>
        </w:tc>
      </w:tr>
      <w:tr>
        <w:trPr>
          <w:trHeight w:val="149"/>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 and other payables</w:t>
            </w:r>
          </w:p>
        </w:tc>
        <w:tc>
          <w:tcPr>
            <w:tcW w:w="220" w:type="dxa"/>
            <w:vAlign w:val="bottom"/>
          </w:tcPr>
          <w:p>
            <w:pPr>
              <w:spacing w:after="0"/>
              <w:rPr>
                <w:sz w:val="12"/>
                <w:szCs w:val="1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34</w:t>
            </w:r>
          </w:p>
        </w:tc>
      </w:tr>
      <w:tr>
        <w:trPr>
          <w:trHeight w:val="148"/>
        </w:trPr>
        <w:tc>
          <w:tcPr>
            <w:tcW w:w="7880" w:type="dxa"/>
            <w:vAlign w:val="bottom"/>
            <w:tcBorders>
              <w:bottom w:val="single" w:sz="8" w:color="CCF0FC"/>
            </w:tcBorders>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220" w:type="dxa"/>
            <w:vAlign w:val="bottom"/>
            <w:tcBorders>
              <w:bottom w:val="single" w:sz="8" w:color="auto"/>
            </w:tcBorders>
            <w:shd w:val="clear" w:color="auto" w:fill="CCF0FC"/>
          </w:tcPr>
          <w:p>
            <w:pPr>
              <w:spacing w:after="0"/>
              <w:rPr>
                <w:sz w:val="12"/>
                <w:szCs w:val="12"/>
                <w:color w:val="auto"/>
              </w:rPr>
            </w:pPr>
          </w:p>
        </w:tc>
        <w:tc>
          <w:tcPr>
            <w:tcW w:w="880" w:type="dxa"/>
            <w:vAlign w:val="bottom"/>
            <w:tcBorders>
              <w:bottom w:val="single" w:sz="8" w:color="auto"/>
            </w:tcBorders>
            <w:shd w:val="clear" w:color="auto" w:fill="CCF0FC"/>
          </w:tcPr>
          <w:p>
            <w:pPr>
              <w:jc w:val="right"/>
              <w:ind w:right="13"/>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CCF0FC"/>
            </w:tcBorders>
            <w:shd w:val="clear" w:color="auto" w:fill="CCF0FC"/>
          </w:tcPr>
          <w:p>
            <w:pPr>
              <w:spacing w:after="0"/>
              <w:rPr>
                <w:sz w:val="12"/>
                <w:szCs w:val="12"/>
                <w:color w:val="auto"/>
              </w:rPr>
            </w:pPr>
          </w:p>
        </w:tc>
        <w:tc>
          <w:tcPr>
            <w:tcW w:w="200" w:type="dxa"/>
            <w:vAlign w:val="bottom"/>
            <w:tcBorders>
              <w:bottom w:val="single" w:sz="8" w:color="auto"/>
            </w:tcBorders>
            <w:shd w:val="clear" w:color="auto" w:fill="CCF0FC"/>
          </w:tcPr>
          <w:p>
            <w:pPr>
              <w:spacing w:after="0"/>
              <w:rPr>
                <w:sz w:val="12"/>
                <w:szCs w:val="12"/>
                <w:color w:val="auto"/>
              </w:rPr>
            </w:pPr>
          </w:p>
        </w:tc>
        <w:tc>
          <w:tcPr>
            <w:tcW w:w="8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(107 )</w:t>
            </w:r>
          </w:p>
        </w:tc>
      </w:tr>
      <w:tr>
        <w:trPr>
          <w:trHeight w:val="142"/>
        </w:trPr>
        <w:tc>
          <w:tcPr>
            <w:tcW w:w="78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CHANGE IN OPERATING ASSETS AND LIABILITIES</w:t>
            </w:r>
          </w:p>
        </w:tc>
        <w:tc>
          <w:tcPr>
            <w:tcW w:w="2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227</w:t>
            </w:r>
          </w:p>
        </w:tc>
        <w:tc>
          <w:tcPr>
            <w:tcW w:w="3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(58 )</w:t>
            </w:r>
          </w:p>
        </w:tc>
        <w:tc>
          <w:tcPr>
            <w:tcW w:w="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(237 )</w:t>
            </w:r>
          </w:p>
        </w:tc>
      </w:tr>
      <w:tr>
        <w:trPr>
          <w:trHeight w:val="20"/>
        </w:trPr>
        <w:tc>
          <w:tcPr>
            <w:tcW w:w="7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880" w:type="dxa"/>
            <w:vAlign w:val="bottom"/>
            <w:shd w:val="clear" w:color="auto" w:fill="CC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220" w:type="dxa"/>
            <w:vAlign w:val="bottom"/>
            <w:shd w:val="clear" w:color="auto" w:fill="CCF0FC"/>
          </w:tcPr>
          <w:p>
            <w:pPr>
              <w:spacing w:after="0"/>
              <w:rPr>
                <w:sz w:val="11"/>
                <w:szCs w:val="11"/>
                <w:color w:val="auto"/>
              </w:rPr>
            </w:pPr>
          </w:p>
        </w:tc>
        <w:tc>
          <w:tcPr>
            <w:tcW w:w="880" w:type="dxa"/>
            <w:vAlign w:val="bottom"/>
            <w:shd w:val="clear" w:color="auto" w:fill="CCF0FC"/>
          </w:tcPr>
          <w:p>
            <w:pPr>
              <w:spacing w:after="0"/>
              <w:rPr>
                <w:sz w:val="11"/>
                <w:szCs w:val="11"/>
                <w:color w:val="auto"/>
              </w:rPr>
            </w:pPr>
          </w:p>
        </w:tc>
        <w:tc>
          <w:tcPr>
            <w:tcW w:w="120" w:type="dxa"/>
            <w:vAlign w:val="bottom"/>
            <w:shd w:val="clear" w:color="auto" w:fill="CCF0FC"/>
          </w:tcPr>
          <w:p>
            <w:pPr>
              <w:spacing w:after="0"/>
              <w:rPr>
                <w:sz w:val="11"/>
                <w:szCs w:val="11"/>
                <w:color w:val="auto"/>
              </w:rPr>
            </w:pPr>
          </w:p>
        </w:tc>
        <w:tc>
          <w:tcPr>
            <w:tcW w:w="200" w:type="dxa"/>
            <w:vAlign w:val="bottom"/>
            <w:shd w:val="clear" w:color="auto" w:fill="CCF0FC"/>
          </w:tcPr>
          <w:p>
            <w:pPr>
              <w:spacing w:after="0"/>
              <w:rPr>
                <w:sz w:val="11"/>
                <w:szCs w:val="11"/>
                <w:color w:val="auto"/>
              </w:rPr>
            </w:pPr>
          </w:p>
        </w:tc>
        <w:tc>
          <w:tcPr>
            <w:tcW w:w="800" w:type="dxa"/>
            <w:vAlign w:val="bottom"/>
            <w:shd w:val="clear" w:color="auto" w:fill="CCF0FC"/>
          </w:tcPr>
          <w:p>
            <w:pPr>
              <w:spacing w:after="0"/>
              <w:rPr>
                <w:sz w:val="11"/>
                <w:szCs w:val="11"/>
                <w:color w:val="auto"/>
              </w:rPr>
            </w:pPr>
          </w:p>
        </w:tc>
        <w:tc>
          <w:tcPr>
            <w:tcW w:w="140" w:type="dxa"/>
            <w:vAlign w:val="bottom"/>
            <w:shd w:val="clear" w:color="auto" w:fill="CCF0FC"/>
          </w:tcPr>
          <w:p>
            <w:pPr>
              <w:spacing w:after="0"/>
              <w:rPr>
                <w:sz w:val="11"/>
                <w:szCs w:val="11"/>
                <w:color w:val="auto"/>
              </w:rPr>
            </w:pPr>
          </w:p>
        </w:tc>
        <w:tc>
          <w:tcPr>
            <w:tcW w:w="200" w:type="dxa"/>
            <w:vAlign w:val="bottom"/>
            <w:shd w:val="clear" w:color="auto" w:fill="CCF0FC"/>
          </w:tcPr>
          <w:p>
            <w:pPr>
              <w:spacing w:after="0"/>
              <w:rPr>
                <w:sz w:val="11"/>
                <w:szCs w:val="11"/>
                <w:color w:val="auto"/>
              </w:rPr>
            </w:pPr>
          </w:p>
        </w:tc>
        <w:tc>
          <w:tcPr>
            <w:tcW w:w="800" w:type="dxa"/>
            <w:vAlign w:val="bottom"/>
            <w:shd w:val="clear" w:color="auto" w:fill="CCF0FC"/>
          </w:tcPr>
          <w:p>
            <w:pPr>
              <w:spacing w:after="0"/>
              <w:rPr>
                <w:sz w:val="11"/>
                <w:szCs w:val="11"/>
                <w:color w:val="auto"/>
              </w:rPr>
            </w:pPr>
          </w:p>
        </w:tc>
      </w:tr>
      <w:tr>
        <w:trPr>
          <w:trHeight w:val="149"/>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56</w:t>
            </w:r>
          </w:p>
        </w:tc>
      </w:tr>
      <w:tr>
        <w:trPr>
          <w:trHeight w:val="148"/>
        </w:trPr>
        <w:tc>
          <w:tcPr>
            <w:tcW w:w="7880" w:type="dxa"/>
            <w:vAlign w:val="bottom"/>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rPr>
              <w:t>Income taxes paid (including discontinued operations)</w:t>
            </w:r>
          </w:p>
        </w:tc>
        <w:tc>
          <w:tcPr>
            <w:tcW w:w="220" w:type="dxa"/>
            <w:vAlign w:val="bottom"/>
            <w:shd w:val="clear" w:color="auto" w:fill="CCF0FC"/>
          </w:tcPr>
          <w:p>
            <w:pPr>
              <w:spacing w:after="0"/>
              <w:rPr>
                <w:sz w:val="12"/>
                <w:szCs w:val="12"/>
                <w:color w:val="auto"/>
              </w:rPr>
            </w:pPr>
          </w:p>
        </w:tc>
        <w:tc>
          <w:tcPr>
            <w:tcW w:w="880" w:type="dxa"/>
            <w:vAlign w:val="bottom"/>
            <w:shd w:val="clear" w:color="auto" w:fill="CCF0FC"/>
          </w:tcPr>
          <w:p>
            <w:pPr>
              <w:jc w:val="right"/>
              <w:ind w:right="73"/>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shd w:val="clear" w:color="auto" w:fill="CCF0FC"/>
          </w:tcPr>
          <w:p>
            <w:pPr>
              <w:spacing w:after="0"/>
              <w:rPr>
                <w:sz w:val="12"/>
                <w:szCs w:val="12"/>
                <w:color w:val="auto"/>
              </w:rPr>
            </w:pPr>
          </w:p>
        </w:tc>
        <w:tc>
          <w:tcPr>
            <w:tcW w:w="200" w:type="dxa"/>
            <w:vAlign w:val="bottom"/>
            <w:shd w:val="clear" w:color="auto" w:fill="CCF0FC"/>
          </w:tcPr>
          <w:p>
            <w:pPr>
              <w:spacing w:after="0"/>
              <w:rPr>
                <w:sz w:val="12"/>
                <w:szCs w:val="12"/>
                <w:color w:val="auto"/>
              </w:rPr>
            </w:pPr>
          </w:p>
        </w:tc>
        <w:tc>
          <w:tcPr>
            <w:tcW w:w="800" w:type="dxa"/>
            <w:vAlign w:val="bottom"/>
            <w:shd w:val="clear" w:color="auto" w:fill="CCF0FC"/>
          </w:tcPr>
          <w:p>
            <w:pPr>
              <w:jc w:val="right"/>
              <w:ind w:right="53"/>
              <w:spacing w:after="0"/>
              <w:rPr>
                <w:sz w:val="20"/>
                <w:szCs w:val="20"/>
                <w:color w:val="auto"/>
              </w:rPr>
            </w:pPr>
            <w:r>
              <w:rPr>
                <w:rFonts w:ascii="Times New Roman" w:cs="Times New Roman" w:eastAsia="Times New Roman" w:hAnsi="Times New Roman"/>
                <w:sz w:val="13"/>
                <w:szCs w:val="13"/>
                <w:color w:val="auto"/>
              </w:rPr>
              <w:t>406</w:t>
            </w:r>
          </w:p>
        </w:tc>
      </w:tr>
      <w:tr>
        <w:trPr>
          <w:trHeight w:val="68"/>
        </w:trPr>
        <w:tc>
          <w:tcPr>
            <w:tcW w:w="7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-1851025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-1851025</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-1464945</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-1464945</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-1268095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-1268095</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-1062355</wp:posOffset>
            </wp:positionV>
            <wp:extent cx="857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-1062355</wp:posOffset>
            </wp:positionV>
            <wp:extent cx="857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-462280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-462280</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Excludes changes resulting from operations acquired or sold.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U.S. Securities and Exchange Commission ("SEC") regulations. The Consolidated Financial Statements include the accounts of Ashland Inc. ("Ashland") and its majority owned subsidiaries and, when applicable, entities for which Ashland has a controlling financial interest or is the primary beneficiary. Investments in joint ventures and 20% to 50% owned affiliates where Ashland has the ability to exert significant influence are accounted for under the equity method. Ashland had no significant equity method investments for any of the periods presented. All intercompany transactions and balances have been eliminated.</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is comprised of the following reportable segments: Life Sciences, Personal Care, Specialty Additives and Intermediates. Unallocated and Other includes corporate governance activities and certain legacy matters. See Note Q for more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risks and uncertainties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the accounting for goodwill and other indefinite-lived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income taxes or other matters.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and cash equivalents include cash on hand and highly liquid investments maturing within three months after purchase.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records an allowance for credit losses using the expected credit loss model.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No significant credit losses were incurred in 2024, 2023 and 2022.</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allowance for credit losses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beginning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8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Adjustments to allowances for credit losses</w:t>
            </w:r>
            <w:r>
              <w:rPr>
                <w:rFonts w:ascii="Times New Roman" w:cs="Times New Roman" w:eastAsia="Times New Roman" w:hAnsi="Times New Roman"/>
                <w:sz w:val="24"/>
                <w:szCs w:val="24"/>
                <w:color w:val="auto"/>
                <w:vertAlign w:val="superscript"/>
              </w:rPr>
              <w:t>(a)</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utilized</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end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-222250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-222250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allowances for credit loses were less than $1 million for fiscal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Ashland’s inventories as of the Consolidated Balance Sheet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supplies and work in process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49"/>
        </w:trPr>
        <w:tc>
          <w:tcPr>
            <w:tcW w:w="78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545</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626</w:t>
            </w:r>
          </w:p>
        </w:tc>
      </w:tr>
      <w:tr>
        <w:trPr>
          <w:trHeight w:val="48"/>
        </w:trPr>
        <w:tc>
          <w:tcPr>
            <w:tcW w:w="786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-76835</wp:posOffset>
            </wp:positionV>
            <wp:extent cx="939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-59055</wp:posOffset>
            </wp:positionV>
            <wp:extent cx="939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progression of activity in the inventory reserves for obsolete and slow moving inventories, which reduce the amounts of finished products and raw materials, supplies and work in process reported, is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reserves - beginning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inventory reserves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utilized</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reserves - end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-222250</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-222250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 See Note F for additional information related to property, plant and equipment.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arrangements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determines if an arrangement contains a lease at inception based on whether or not it has the right to control the asset during the contract period and other facts and circumstances.</w:t>
      </w:r>
    </w:p>
    <w:p>
      <w:pPr>
        <w:spacing w:after="0" w:line="5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Operating lease right-of-use assets represent Ashland’s right to use an underlying asset for the lease term and lease liabilities represent Ashland’s obligation to make lease payments arising from the lease, both of which are recognized based on the present value of the future minimum lease payments over the lease term at the commencement date. Leases with a lease term of 12 months or less at inception are not recorded within the Consolidated Balance Sheet and are expensed on a straight-line basis over the lease term within the Statements of Consolidated Comprehensive Income (Loss). The lease term is determined by assuming the exercise of renewal options that are reasonably certain. As most leases do not provide an implicit interest rate, Ashland used its incremental borrowing rate based on the information available at commencement date in determining the present value of future payments. When contracts contain lease and non-lease components, Ashland generally accounts for both components as a single lease component. For additional information on leasing arrangements, see Note J.</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Ashland determined that its reporting units are Life Sciences, Personal Care, Specialty Additives and Intermediates. Ashland tests goodwill for impairment by comparing the carrying value to the estimated fair value of its reporting units. If the fair value of the reporting unit is lower than its carrying amount, goodwill is written down for the amount by which the carrying amount exceeds the fair value. However, the loss recognized cannot exceed the carrying amount of goodwill.</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Using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reliant on various assumptions, including projected business results, long-term growth factors and weighted-average cost of capital. Management judgment is involved in estimating these variables, and they include uncertainties since they are forecasting future events. Ashland performs sensitivity analyses by using a range of inputs to confirm the reasonableness of the long-term growth rate and weighted average cost of capital. Additionally, Ashland compares the indicated equity value to Ashland’s market capitalization and evaluates the resulting implied control premium/discount to determine if the estimated enterprise value is reasonable.</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tests at least annually its indefinite-lived intangible assets, principally trademarks and trade names. If the carrying value of an individual indefinite-lived intangible asset exceeds its fair value, such individual indefinite-lived intangible asset is written down by an amount equal to such excess. Ashland performs a quantitative impairment test for the trademarks and trade names during which, trademarks and trade names are valued using a “relief-from-royalty” valuation method compared to the carrying value. Assumptions inherent in the valuation methodologies include, but are not limited to, such estimates as future projected business results, growth rates, the weighted-average cost of capital for a market participant, and royalty rates.</w:t>
      </w:r>
    </w:p>
    <w:p>
      <w:pPr>
        <w:spacing w:after="0" w:line="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20 years, intellectual property over 3 to 20 years and customer and supplier relationships over 10 to 24 years. Ashland reviews finite-lived intangible assets for impairment whenever events or changes in circumstances indicate the carrying amount of an asset may not be recoverable. Ashland monitors these changes and events on at least a quarterly basis. The intangibles amortization expense caption within the Statement of Consolidated Comprehensive Income (Loss) includes amortization expense related to trademarks and trade names, intellectual property and customer and supplier relationships. Intangible assets classified as finite are amortized on a straight-line basis over their estimated useful lives. For further information on goodwill and other intangible assets, see Note 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regularly uses derivative instruments to manage its exposure to fluctuations in foreign currencies and certain commodities. All derivative instruments are recognized as either assets or liabilities on the balance sheet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income and subsequently recognized in the Statements of Consolidated Comprehensive Income (Loss) when the hedged item affects net income. For additional information on derivative instruments, see Note 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2015, Ashland placed $335 million of insurance proceeds into a renewable annual trust for asbestos (Asbestos trust) that Ashland determined is restricted for the purpose of paying ongoing and future litigation defense and claim settlement costs incurred in conjunction with asbestos claims. As of September 30, 2024 and 2023, the funds within the Asbestos trust had a balance of $248 million and $243 million, respectively, and were primarily invested in public equity, U.S. government bonds and investment grade corporate bond investments with a portion maintained in demand deposits. These funds are presented primarily as noncurrent assets within the restricted investments caption of the Consolidated Balance Sheets, with $36 million and $37 million classified within other current assets in the Consolidated Balance Sheets as of September 30, 2024 and 2023, respectively.</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2021, Ashland established a renewable annual trust for environmental remediation (Environmental trust) that Ashland determined is restricted for ongoing and future environmental remediation and related litigation costs. As of September 30, 2024 and 2023, the funds within the Environmental trust had a balance of $120 million and $124 million, respectively, and were primarily invested in public equity, U.S. government bonds and investment grade corporate bond investments with a portion maintained in demand deposits. These funds are presented primarily as noncurrent assets within the restricted investments caption of the Consolidated Balance Sheets, with $37 million and $40 million classified within other current assets in the Consolidated Balance Sheets as of September 30, 2024 and 2023, respectively.</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funds within these trusts are classified as investment securities reported at fair value. Interest income and gains and losses (realized and unrealized) on the investment securities are reported in the net interest and other expense (income) caption in the Statements of Consolidated Comprehensive Income (Loss). See Note E for additional information regarding the fair value of these investments within the trusts.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Ashland’s revenue is measured as the amount of consideration it expects to receive in exchange for transferring goods and is recognized when performance obligations are satisfied under the terms of contracts or purchase orders with customers. Ashland generally utilizes standardized language for the terms of contracts or purchase orders.</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performance obligation is deemed to be satisfied by Ashland when control of the product or service is transferred to the customer. The transaction price of a contract or purchase order, or the amount Ashland expects to receive upon satisfaction of all performance obligations, is determined by reference to the applicable terms. Ashland generally collects the cash from its customers within 60 days of the product delivery date. Sales and other similar taxes collected from customers on behalf of third parties are excluded from the contract price.</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of Ashland’s revenue is derived from contracts or purchase orders with customers, and nearly all contracts or purchase orders with customers contain a single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Costs incurred to obtain contracts with customers are not significant and are expensed immediately as the period of performance is generally one year or less. Ashland records credit losses in specific situations when it is determined that the customer is unable to meet its financial obligation.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recognition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Cost of sales include material and production costs, as well as the costs of inbound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($1 million in 2024, $2 million in 2023 and $2 million in 2022) and research and development costs ($55 million in 2024, $51 million in 2023 and $55 million in 2022)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Ashland is subject to income taxes in the United States and numerous foreign jurisdictions.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Taxes due on Global Intangible Low-Taxed Income ("GILTI") inclusions in U.S. are recognized as a current period expense when incurred. Valuation allowances are established when necessary on a jurisdictional basis to reduce deferred tax assets to the amounts expected to be realized. In the event that the actual outcome of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K.</w:t>
      </w:r>
    </w:p>
    <w:p>
      <w:pPr>
        <w:spacing w:after="0" w:line="8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introduced Global Anti-Base Erosion and Profit Shifting (“BEPS”) Pillar 2 rules under which multi-national entities would pay a minimum level of tax. Numerous countries, including European Union member states, have enacted or are expected to enact legislation to effectuate the new rules. In addition, several non-EU countries have proposed and/or adopted legislation consistent with the global minimum tax framework. Important details of these minimum tax developments are still to be determined and, in some cases, enactment and timing remain uncertain. Based on current legislation and available guidance, these rules will be effective for Ashland in its fiscal year beginning October 1, 2024. Ashland plans to treat the Pillar Two global minimum tax as a period cost. Currently, Ashland expects these Pillar Two minimum tax rules will result in an increase in Ashland’s effective tax rate, but the overall impact will not have a material impact on Ashland’s financial condition, results of operations, or cash flows in the fiscal year ending September 30, 2025.</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6" w:name="page97"/>
    <w:bookmarkEnd w:id="96"/>
    <w:p>
      <w:pPr>
        <w:ind w:left="380"/>
        <w:spacing w:after="0"/>
        <w:rPr>
          <w:sz w:val="20"/>
          <w:szCs w:val="20"/>
          <w:color w:val="auto"/>
        </w:rPr>
      </w:pPr>
      <w:r>
        <w:rPr>
          <w:rFonts w:ascii="Times New Roman" w:cs="Times New Roman" w:eastAsia="Times New Roman" w:hAnsi="Times New Roman"/>
          <w:sz w:val="18"/>
          <w:szCs w:val="18"/>
          <w:color w:val="auto"/>
        </w:rPr>
        <w:t>A progression of activity in the tax valuation allowances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valuation allowances - beginning of year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valuation allowances</w:t>
            </w:r>
          </w:p>
        </w:tc>
        <w:tc>
          <w:tcPr>
            <w:tcW w:w="2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Reserves utilized</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valuation allowances - end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-222250</wp:posOffset>
            </wp:positionV>
            <wp:extent cx="857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-222250</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Asbestos-related litigation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retained Gnarus Advisors LLC ("Gnarus") to assist in developing and annually updating independent reserve estimates for future asbestos claims and related costs given various assumptions. The methodology used to project future asbestos costs is based largely on Ashland’s recent experience, including claim-filing and settlement rates, disease mix,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Ashland records the amount it believes to be the best estimate of future payments for litigation defense and claim settlement costs using the results of a non-inflated, non-discounted approximate 40-year model. For additional information on asbestos-related litigation, see Note 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Accruals for environmental remediation reflect Ashland's estimates of the most likely costs that will be incurred over an extended period of time to remediate identified conditions for which costs are reasonably estimatible and probable of being incurred, without regard to any third-party recoveries, and are regularly adjusted as environmental assessments and remediation efforts continue. For additional information on environmental remediation, see Note 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assumptions that require judgment, including, but not limited to, estimates of discount rates,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L.</w:t>
      </w:r>
    </w:p>
    <w:p>
      <w:pPr>
        <w:spacing w:after="0" w:line="8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benefits costs is allocated to each reportable segment; while the remaining components of pension and other postretirement benefits costs are recorded within the other net periodic benefit loss (income) caption on the Statements of Consolidated Comprehensive Income (Loss).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Subsidiaries outside the United States primarily use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Adjustments to translate assets and liabilities into U.S. dollars are recorded in the stockholders’ equity section of the Consolidated Balance Sheets as a component of accumulated other comprehensive income (loss) and are included in net earnings only upon sale or substantial liquidation of the underlying foreign subsidiary or affiliated company.</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2024, following the enactment by the Argentina government of a 50% peso devaluation against the dollar, Ashland recorded a $5 million currency devaluation charge within the selling, general and administrative expense caption of the Statements of Consolidated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recognizes compensation expense for stock incentive plans awarded to key employees and directors over the requisite service period based upon the grant-date fair value. Stock incentive awards are primarily in the form of restricted stock and restricted stock units, performance shares and other non-vested stock awards. Ashland utilizes several industry accepted valuation models to determine grant-date fair value. For further information concerning stock incentive plans, see Note 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is the computation of basic and diluted earnings per share ("EPS") from continuing operations attributable to Ashland. Earnings per share are reported under the treasury stock method. Stock Appreciation Rights ("SARs") and warrants for each reported year whose grant price was greater than the market price of Ashland Common Stock at the end of each fiscal year were not included in the computation of earnings per share from continuing operations per diluted share because the effect of these instruments would be antidilutive. The total number of these shares outstanding was 1.2 million for 2024, 2023 and 2022. The majority of these shares are for warrants with a strike price of $128.66.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 - Income from continuing operations, net of tax</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awards convertible to common shares</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EPS - Adjusted weighted - average shares and assumed conversions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r>
      <w:tr>
        <w:trPr>
          <w:trHeight w:val="68"/>
        </w:trPr>
        <w:tc>
          <w:tcPr>
            <w:tcW w:w="8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-633730</wp:posOffset>
            </wp:positionV>
            <wp:extent cx="1028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-633730</wp:posOffset>
            </wp:positionV>
            <wp:extent cx="939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pronouncements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Disclosures." The ASU was issued to improve transparency and disclosure requirements for the rate reconciliation, income taxes paid and other tax disclosures. The amendments in ASU 2023-09 are effective for fiscal years beginning after December 15, 2024, with early adoption permitted, and may be applied either prospectively or retrospectively. The Company is currently evaluating the impact of adopting this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Reporting Segment Disclosures." The ASU was issued to improve reportable segment disclosure requirements, primarily through enhanced disclosures of significant segment expenses that are regularly provided to the chief operating decision maker and included within segment profit and loss. This guidance is effective for fiscal years beginning after December 15, 2023, and interim periods within fiscal years beginning after December 15, 2024, with early adoption permitted, and applied retrospectively to all prior periods presented in the financial statements. The Company is currently evaluating the impact of adopting this guidance.</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No. 2023-06 "Disclosure Improvements: Codification Amendments in Response to the SEC's Disclosure Update and Simplification Initiative." The amendments in this ASU represent changes to clarify or improve disclosures and presentation requirements of a variety of topics by aligning them with the SEC's regulations. The amendments to the various topics should be applied prospectively, and the effective date will be determined for each individual disclosure based on the effective date of the SEC's removal of the related disclosure. If the SEC has not removed the applicable requirements from Regulation S-X or Regulation S-K by June 30, 2027, then this ASU will not become effective. Early adoption is prohibited. The Company does not expect the amendments in this ASU to have a material impact on the Ashland's Consolidated Financial Statements.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December 2022, the Financial Accounting Standards Board ("FASB") issued ASU No. 2022-06 "Reference Rate Reform (Topic 848): Deferral of the Sunset Date of Topic 848." The ASU was issued to provide an update on ASU 2020-04 and ASU 2021-01 that were issued in March 2020 and January 2021, respectively, which provided practical expedients simplifying the U.S. GAAP treatment of certain reference rate related contract modifications including hedging relationships and other agreements. Specifically, the guidance eased the accounting burden of the modification of the reference rate of contracts where the underlying reference rate was the London Interbank Offered Rate ("LIBOR"). With the issuance of ASU 2022-06, the sunset date of Topic 848 has been deferred from December 31, 2022 to December 31, 2024, after which entities will no longer be permitted to apply the relief in Topic 848. This amendment did not have a material impact on Ashland's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Nutraceuticals business sale</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August 30, 2024, Ashland completed the sale of its Nutraceuticals business to Turnspire Capital Partners LLC ("Turnspire"). Proceeds from the sale were approximately $26 million, net of transaction costs. Ashland recorded a $99 million impairment charge primarily related to allocated goodwill, intangibles and property, plant and equipment within the income (loss) on acquisitions and divestitures, net caption of the Statements of Consolidated Comprehensive Income (Loss) for the twelve months ended September 30, 2024. The impairment charge includes the impact of the related inside tax basis differences associated with the impaired assets. The tax benefit associated with the expected disposition is included within the income tax expense (benefit) caption of the Statements of Consolidated Comprehensive Income (Loss). See Note K for additional details. Ashland also recorded a pre-tax loss on sale of $8 million following the completion of this divestiture, mainly related to working capital movements, within the income (loss) on acquisitions and divestitures, net caption of Statements of Consolidated Comprehensive Income (Loss) for the twelve months ended September 30, 2024. The income (loss) on acquisitions and divestitures, net caption also includes a reserve of $7 million for foreign VAT taxes associated with the entities transferred within the Statements of Consolidated Comprehensive Income (Loss) for the twelve months ended September 30, 2024.</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Nutraceuticals business was included within Ashland's Life Sciences segment and served the broader nutrition market.</w:t>
      </w:r>
    </w:p>
    <w:p>
      <w:pPr>
        <w:spacing w:after="0" w:line="11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determined this transaction did not qualify for discontinued operations treatment since it neither represented a strategic shift nor did it have a major effect on Ashland's operations and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Adhesives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On February 28, 2022, Ashland completed the sale of its Performance Adhesives business to Arkema, a French société anonyme. Proceeds from the sale were approximately $1.7 billion, net of transaction costs. Ashland recognized a $726 million after-tax gain on sale within the income (loss) from discontinued operations caption of the Statements of Consolidated Comprehensive Income (Loss) for the twelve months ended September 30, 2022.</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transaction represented a strategic shift in Ashland’s business and had a major effect on Ashland’s operations and financial results. Accordingly, the operating results and cash flows related to Performance Adhesives have been reflected as discontinued operations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9" w:name="page100"/>
    <w:bookmarkEnd w:id="99"/>
    <w:p>
      <w:pPr>
        <w:jc w:val="both"/>
        <w:spacing w:after="0" w:line="266" w:lineRule="auto"/>
        <w:rPr>
          <w:sz w:val="20"/>
          <w:szCs w:val="20"/>
          <w:color w:val="auto"/>
        </w:rPr>
      </w:pPr>
      <w:r>
        <w:rPr>
          <w:rFonts w:ascii="Times New Roman" w:cs="Times New Roman" w:eastAsia="Times New Roman" w:hAnsi="Times New Roman"/>
          <w:sz w:val="18"/>
          <w:szCs w:val="18"/>
          <w:color w:val="auto"/>
        </w:rPr>
        <w:t>Statements of Consolidated Comprehensive Income (Loss) and Statements of Consolidated Cash Flows, while the assets and liabilities that were sold have been classified within the Consolidated Balance Sheets as held for sale in periods preceding the sale. See Note C for the results of operations for Performance Adhesives for all periods presented.</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$9 million during the twelve months ended September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manufacturing facility sales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2023, Ashland entered into and completed a definitive sale agreement to sell a Specialty Additives manufacturing facility for less than $1 million. The net asset value related to this site was $4 million at September 30, 2022. Ashland recorded a $4 million impairment charge within the selling, general and administrative expense caption of the Statements of Consolidated Comprehensive Income (Loss) during the twelve months ended September 30, 2023 related to this site.</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determined this transaction did not qualify for discontinued operations treatment since it neither represented a strategic shift nor did it have a major effect on Ashland’s operations and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assets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2023, Ashland completed the sale of two excess land properties with a net book value of $2 million. Ashland received net proceeds of approximately $9 million and recorded a pre-tax gain of $7 million within the income (loss) on acquisitions and divestitures caption within the Statement of Consolidated Comprehensive Income (Loss) for 2023.</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2022, Ashland completed the sale of two excess land properties with a net book value of $8 million as of September 30, 2021. Ashland received net proceeds of approximately $50 million and recorded pre-tax gain of $42 million within the income (loss) on acquisitions and divestitures caption within the Statement of Consolidated Comprehensive Income (Loss) for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DISCONTINUED OPERATIONS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w:t>
      </w:r>
    </w:p>
    <w:p>
      <w:pPr>
        <w:spacing w:after="0" w:line="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divested businesses represent disposal groups that qualified as discontinued operations in previous periods and impacted discontinued operations:</w:t>
      </w:r>
    </w:p>
    <w:p>
      <w:pPr>
        <w:spacing w:after="0" w:line="54"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Adhesives business divested in 2022;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Composites business and Marl facility (Composites/Marl facility) divested in 2019;</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of Valvoline Inc. (Valvoline) business divested in 2017;</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Ashland Water Technologies (Water Technologies) business divested in 2014;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Ashland Distribution (Distribution) business divested in 2011.</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Additionally, 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an indirect wholly-owned subsidiary of Ashland. Adjustments to the recorded litigation reserves and related insurance receivables are recorded within the discontinued operations caption. See Note M for more information related to the adjustments on asbestos liabilities and receivables.</w:t>
      </w:r>
    </w:p>
    <w:p>
      <w:pPr>
        <w:spacing w:after="0" w:line="7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Components of amounts reflected in the Statements of Consolidated Comprehensive Income (Loss) related to discontinued operations are presented in the following table for each of the years ended September 30.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Adhesives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Composites/Marl facility</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Valvoline</w:t>
            </w:r>
          </w:p>
        </w:tc>
        <w:tc>
          <w:tcPr>
            <w:tcW w:w="5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Water Technologies</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on disposal of discontinued operations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Adhesives</w:t>
            </w:r>
          </w:p>
        </w:tc>
        <w:tc>
          <w:tcPr>
            <w:tcW w:w="5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taxes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(expense) related to income (loss) from discontinued operations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Composites/Marl facility</w:t>
            </w:r>
          </w:p>
        </w:tc>
        <w:tc>
          <w:tcPr>
            <w:tcW w:w="5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Valvoline</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Water Technologies</w:t>
            </w:r>
          </w:p>
        </w:tc>
        <w:tc>
          <w:tcPr>
            <w:tcW w:w="5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Asbestos-related litigation</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 related to gain on disposal of discontinued operations</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Adhesives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4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net of income taxes</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r>
      <w:tr>
        <w:trPr>
          <w:trHeight w:val="48"/>
        </w:trPr>
        <w:tc>
          <w:tcPr>
            <w:tcW w:w="6660" w:type="dxa"/>
            <w:vAlign w:val="bottom"/>
            <w:tcBorders>
              <w:top w:val="single" w:sz="8" w:color="CFF0FC"/>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9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-1748155</wp:posOffset>
            </wp:positionV>
            <wp:extent cx="939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-1748155</wp:posOffset>
            </wp:positionV>
            <wp:extent cx="85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-76835</wp:posOffset>
            </wp:positionV>
            <wp:extent cx="939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wp:posOffset>
            </wp:positionV>
            <wp:extent cx="939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-76835</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-59055</wp:posOffset>
            </wp:positionV>
            <wp:extent cx="857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Adhesives divestiture</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captions within Ashland’s Statements of Consolidated Income (Loss) for the income from discontinued operations attributable to the Performance Adhesives segment for the year ended September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attributable to Performance Adhesives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Pretax operating income of discontinued operations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 periodic benefit loss (income)</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48"/>
        </w:trPr>
        <w:tc>
          <w:tcPr>
            <w:tcW w:w="9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activities</w:t>
      </w:r>
    </w:p>
    <w:p>
      <w:pPr>
        <w:spacing w:after="0" w:line="121"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Ashland periodically implements company-wide and targeted restructuring programs related to acquisitions, divestitures and other cost reduction programs in order to enhance profitability through streamlined operations and an improved overall cost structure.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2024 and 2023 restructuring costs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fiscal 2023, Ashland implemented targeted organizational restructuring actions to reduce costs. This program continued into fiscal 2024. Ashland recorded severance expense of $25 million and $5 million during 2024 and 2023, respectively, within the selling, general and administrative expense caption of the Statements of Consolidated Comprehensive Income (Loss). As of September 30, 2024, the severance reserve associated with this program was $18 million and is recorded within accrued expenses and other liabilities in the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01" w:name="page102"/>
    <w:bookmarkEnd w:id="101"/>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details at September 30, 2024, the amount of restructuring severance reserves related to this program. The severance reserves were primarily recorded within accrued expenses and other liabilities in the Consolidated Balance Sheet as of September 30,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Severance costs</w:t>
            </w:r>
          </w:p>
        </w:tc>
      </w:tr>
      <w:tr>
        <w:trPr>
          <w:trHeight w:val="210"/>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24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Utilization (cash paid)</w:t>
            </w: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8"/>
        </w:trPr>
        <w:tc>
          <w:tcPr>
            <w:tcW w:w="9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Life Sciences restructuring program</w:t>
      </w:r>
    </w:p>
    <w:p>
      <w:pPr>
        <w:spacing w:after="0" w:line="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During 2023, Ashland implemented a restructuring program within the Nutraceuticals business of the Life Sciences segment. Ashland recorded severance expense of $1 million during 2023 within the selling, general and administrative expense caption of the Statements of Consolidated Comprehensive Income (Loss). As of September 30, 2024, the severance reserve associated with this program was zero.</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 restructuring costs</w:t>
      </w:r>
    </w:p>
    <w:p>
      <w:pPr>
        <w:spacing w:after="0" w:line="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During 2022, Ashland realized severance income of $2 million attributable to executive management changes and business management changes within the organization initiated in fiscal 2020 within the selling, general and administrative expense caption of the Statements of Consolidated Comprehensive Income (Loss). As of September 30, 2024, the severance reserve associated with this transition was zero.</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Plant optimization actions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2024, Ashland incurred $55 million of accelerated depreciation for product line optimization activities associated with two Specialty Additives manufacturing facilities, which was recorded within the cost of sales caption of the Statements of Consolidated Comprehensive Income (Loss). Ashland's portfolio optimization actions include the consolidation of Ashland's carboxymethylcellulose (CMC) and industrial methylcellulose (MC) capacity and rebalancing of the hydroxyethylcellulose (HEC) network.</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2024, Ashland incurred $2 million of accelerated depreciation for product line optimization activities associated with a Personal Care manufacturing facility in Summerville, South Carolina, which was recorded within the cost of sales caption of the Statements of Consolidated Comprehensive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FAIR VALUE MEASUREMENTS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 Observable inputs such as unadjusted quoted prices in active markets for identical assets or liabilities.</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2" w:name="page103"/>
    <w:bookmarkEnd w:id="102"/>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instruments subject to recurring fair value measurements as of September 30, 2024. For additional information on fair value hierarchy measurements of pension plan asset holdings, see Note L.</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Quoted prices</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 fair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(a)(b)</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Investments of captive insurance company</w:t>
            </w:r>
            <w:r>
              <w:rPr>
                <w:rFonts w:ascii="Times New Roman" w:cs="Times New Roman" w:eastAsia="Times New Roman" w:hAnsi="Times New Roman"/>
                <w:sz w:val="24"/>
                <w:szCs w:val="24"/>
                <w:color w:val="auto"/>
                <w:vertAlign w:val="superscript"/>
              </w:rPr>
              <w:t>(c)</w:t>
            </w:r>
          </w:p>
        </w:tc>
        <w:tc>
          <w:tcPr>
            <w:tcW w:w="1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(d)</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676</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0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-942340</wp:posOffset>
            </wp:positionV>
            <wp:extent cx="857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-942340</wp:posOffset>
            </wp:positionV>
            <wp:extent cx="768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-942340</wp:posOffset>
            </wp:positionV>
            <wp:extent cx="77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-942340</wp:posOffset>
            </wp:positionV>
            <wp:extent cx="774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-76835</wp:posOffset>
            </wp:positionV>
            <wp:extent cx="857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-59055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-76835</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-59055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-76835</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-59055</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-76835</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-59055</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600" w:hanging="592"/>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$295 million within restricted investments and $73 million within other current assets in the Consolidated Balance Sheets.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$248 million related to the Asbestos trust and $120 million related to the Environmental trust. See Note A for additional details.</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Consolidated Balance Sheets.</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Consolidated Balance Sheets.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3" w:name="page104"/>
    <w:bookmarkEnd w:id="103"/>
    <w:p>
      <w:pPr>
        <w:ind w:left="380"/>
        <w:spacing w:after="0"/>
        <w:rPr>
          <w:sz w:val="20"/>
          <w:szCs w:val="20"/>
          <w:color w:val="auto"/>
        </w:rPr>
      </w:pPr>
      <w:r>
        <w:rPr>
          <w:rFonts w:ascii="Times New Roman" w:cs="Times New Roman" w:eastAsia="Times New Roman" w:hAnsi="Times New Roman"/>
          <w:sz w:val="18"/>
          <w:szCs w:val="18"/>
          <w:color w:val="auto"/>
        </w:rPr>
        <w:t>The following table summarizes financial instruments subject to recurring fair value measurements as of September 30,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Quoted prices</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 fair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Restricted investments</w:t>
            </w:r>
            <w:r>
              <w:rPr>
                <w:rFonts w:ascii="Times New Roman" w:cs="Times New Roman" w:eastAsia="Times New Roman" w:hAnsi="Times New Roman"/>
                <w:sz w:val="24"/>
                <w:szCs w:val="24"/>
                <w:color w:val="auto"/>
                <w:vertAlign w:val="superscript"/>
              </w:rPr>
              <w:t>(a)(b)</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Investments of captive insurance company</w:t>
            </w:r>
            <w:r>
              <w:rPr>
                <w:rFonts w:ascii="Times New Roman" w:cs="Times New Roman" w:eastAsia="Times New Roman" w:hAnsi="Times New Roman"/>
                <w:sz w:val="24"/>
                <w:szCs w:val="24"/>
                <w:color w:val="auto"/>
                <w:vertAlign w:val="superscript"/>
              </w:rPr>
              <w:t>(c)</w:t>
            </w:r>
          </w:p>
        </w:tc>
        <w:tc>
          <w:tcPr>
            <w:tcW w:w="1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(d)</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currency derivatives</w:t>
            </w:r>
            <w:r>
              <w:rPr>
                <w:rFonts w:ascii="Times New Roman" w:cs="Times New Roman" w:eastAsia="Times New Roman" w:hAnsi="Times New Roman"/>
                <w:sz w:val="24"/>
                <w:szCs w:val="24"/>
                <w:color w:val="auto"/>
                <w:vertAlign w:val="superscript"/>
              </w:rPr>
              <w: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Commodity derivatives</w:t>
            </w:r>
            <w:r>
              <w:rPr>
                <w:rFonts w:ascii="Times New Roman" w:cs="Times New Roman" w:eastAsia="Times New Roman" w:hAnsi="Times New Roman"/>
                <w:sz w:val="24"/>
                <w:szCs w:val="24"/>
                <w:color w:val="auto"/>
                <w:vertAlign w:val="superscript"/>
              </w:rPr>
              <w:t>(e)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0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-942340</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-942340</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-942340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-942340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-76835</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-59055</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-76835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-59055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-76835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-59055</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-76835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-59055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600" w:hanging="592"/>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$290 million within restricted investments and $77 million within other current assets in the Consolidated Balance Sheets.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$243 million related to the Asbestos trust and $124 million related to the Environmental trust. See Note A for additional details.</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Consolidated Balance Sheets.</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Consolidated Balance Sheets.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Consolidated Balance Sheets.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investments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discussed in Note A, Ashland maintains certain investments in a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securities were classified primarily as noncurrent restricted investment assets, with $73 million and $77 million classified within other current assets, in the Consolidated Balance Sheets for the periods ended in September 30, 2024, and 2023, respectively.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gross unrealized gains and losses for the restricted securities as of September 30,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Gross</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4"/>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Adjusted Cost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Unrealized Gain</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mutual fund</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mutual fund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24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r>
      <w:tr>
        <w:trPr>
          <w:trHeight w:val="197"/>
        </w:trPr>
        <w:tc>
          <w:tcPr>
            <w:tcW w:w="45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 deposit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mutual fund</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mutual fund</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5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r>
      <w:tr>
        <w:trPr>
          <w:trHeight w:val="48"/>
        </w:trPr>
        <w:tc>
          <w:tcPr>
            <w:tcW w:w="452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24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6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6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r>
      <w:tr>
        <w:trPr>
          <w:trHeight w:val="642"/>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-1842770</wp:posOffset>
            </wp:positionV>
            <wp:extent cx="1028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-1824990</wp:posOffset>
            </wp:positionV>
            <wp:extent cx="1028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-1842770</wp:posOffset>
            </wp:positionV>
            <wp:extent cx="939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-1824990</wp:posOffset>
            </wp:positionV>
            <wp:extent cx="939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-1842770</wp:posOffset>
            </wp:positionV>
            <wp:extent cx="946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-1824990</wp:posOffset>
            </wp:positionV>
            <wp:extent cx="9461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-985520</wp:posOffset>
            </wp:positionV>
            <wp:extent cx="10287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-967740</wp:posOffset>
            </wp:positionV>
            <wp:extent cx="1028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-985520</wp:posOffset>
            </wp:positionV>
            <wp:extent cx="939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-967740</wp:posOffset>
            </wp:positionV>
            <wp:extent cx="939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-985520</wp:posOffset>
            </wp:positionV>
            <wp:extent cx="946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-967740</wp:posOffset>
            </wp:positionV>
            <wp:extent cx="946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4" w:name="page105"/>
    <w:bookmarkEnd w:id="104"/>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investment income, net gains and losses realized, funds restricted for specific transactions, and disbursements related to the investments within the restricted investments portfolio during 2024,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0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Investment income</w:t>
            </w:r>
            <w:r>
              <w:rPr>
                <w:rFonts w:ascii="Times New Roman" w:cs="Times New Roman" w:eastAsia="Times New Roman" w:hAnsi="Times New Roman"/>
                <w:sz w:val="24"/>
                <w:szCs w:val="24"/>
                <w:color w:val="auto"/>
                <w:vertAlign w:val="superscript"/>
              </w:rPr>
              <w:t>(a)</w:t>
            </w:r>
          </w:p>
        </w:tc>
        <w:tc>
          <w:tcPr>
            <w:tcW w:w="21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0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Net gains (losses)</w:t>
            </w:r>
            <w:r>
              <w:rPr>
                <w:rFonts w:ascii="Times New Roman" w:cs="Times New Roman" w:eastAsia="Times New Roman" w:hAnsi="Times New Roman"/>
                <w:sz w:val="24"/>
                <w:szCs w:val="24"/>
                <w:color w:val="auto"/>
                <w:vertAlign w:val="superscript"/>
              </w:rPr>
              <w:t>(a)</w:t>
            </w:r>
          </w:p>
        </w:tc>
        <w:tc>
          <w:tcPr>
            <w:tcW w:w="216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15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Funds restricted for specific transactions</w:t>
            </w:r>
          </w:p>
        </w:tc>
        <w:tc>
          <w:tcPr>
            <w:tcW w:w="21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5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Disbursements</w:t>
            </w:r>
          </w:p>
        </w:tc>
        <w:tc>
          <w:tcPr>
            <w:tcW w:w="21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(79 )</w:t>
            </w:r>
          </w:p>
        </w:tc>
        <w:tc>
          <w:tcPr>
            <w:tcW w:w="15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(58 )</w:t>
            </w:r>
          </w:p>
        </w:tc>
        <w:tc>
          <w:tcPr>
            <w:tcW w:w="5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ind w:left="600" w:hanging="592"/>
        <w:spacing w:after="0"/>
        <w:tabs>
          <w:tab w:leader="none" w:pos="6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net interest and other expense (income) caption within the Statements of Consolidated Comprehensive Income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derivatives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recognized during 2024, 2023 and 2022 within the Statements of Consolidated Comprehensive Income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1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derivative gains (losses)</w:t>
            </w:r>
          </w:p>
        </w:tc>
        <w:tc>
          <w:tcPr>
            <w:tcW w:w="218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62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68"/>
        </w:trPr>
        <w:tc>
          <w:tcPr>
            <w:tcW w:w="41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the outstanding foreign currency derivatives as of September 30, 2024, and 2023 included in accounts receivable and accrued expenses and other liabilities of the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23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2300" w:type="dxa"/>
            <w:vAlign w:val="bottom"/>
          </w:tcPr>
          <w:p>
            <w:pPr>
              <w:spacing w:after="0"/>
              <w:rPr>
                <w:sz w:val="18"/>
                <w:szCs w:val="18"/>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7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62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2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2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c>
          <w:tcPr>
            <w:tcW w:w="7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68"/>
        </w:trPr>
        <w:tc>
          <w:tcPr>
            <w:tcW w:w="46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derivatives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To manage its exposure to the market price volatility of natural gas consumed by its U.S. plants during the manufacturing process, Ashland regularly enters into forward contracts that are designated as cash flow hedges. See Note A for more information.</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recognized during 2024, 2023, 2022 within the cost of sales caption of the Statements of Consolidated Comprehensive Income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2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Commodity derivative gains (losses)</w:t>
            </w:r>
          </w:p>
        </w:tc>
        <w:tc>
          <w:tcPr>
            <w:tcW w:w="234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(6 )   $</w:t>
            </w:r>
          </w:p>
        </w:tc>
        <w:tc>
          <w:tcPr>
            <w:tcW w:w="122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(3 )   $</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68"/>
        </w:trPr>
        <w:tc>
          <w:tcPr>
            <w:tcW w:w="394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the outstanding commodity derivatives as of September 30, 2024 and 2023 included in accounts receivable and accrued expenses and other liabilities of the Consolidated Balance Sheets.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Commodity derivative assets</w:t>
            </w:r>
          </w:p>
        </w:tc>
        <w:tc>
          <w:tcPr>
            <w:tcW w:w="30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3020" w:type="dxa"/>
            <w:vAlign w:val="bottom"/>
          </w:tcPr>
          <w:p>
            <w:pPr>
              <w:spacing w:after="0"/>
              <w:rPr>
                <w:sz w:val="18"/>
                <w:szCs w:val="18"/>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0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3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Notional contract values</w:t>
            </w:r>
          </w:p>
        </w:tc>
        <w:tc>
          <w:tcPr>
            <w:tcW w:w="30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68"/>
        </w:trPr>
        <w:tc>
          <w:tcPr>
            <w:tcW w:w="390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641"/>
        </w:trPr>
        <w:tc>
          <w:tcPr>
            <w:tcW w:w="3900" w:type="dxa"/>
            <w:vAlign w:val="bottom"/>
          </w:tcPr>
          <w:p>
            <w:pPr>
              <w:spacing w:after="0"/>
              <w:rPr>
                <w:sz w:val="24"/>
                <w:szCs w:val="24"/>
                <w:color w:val="auto"/>
              </w:rPr>
            </w:pPr>
          </w:p>
        </w:tc>
        <w:tc>
          <w:tcPr>
            <w:tcW w:w="30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F-23</w:t>
            </w: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2024 and 2023, Ashland’s long-term debt (including the current portion and excluding debt issuance cost discounts) had carrying values of $1,361 million and $1,327 million, respectively, compared to a fair value of $1,327 million and $1,160 million, respectively. The fair values of long-term debt are based on quoted market prices.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PROPERTY, PLANT AND EQUIPMENT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describes the various components of property, plant and equipment within the Consolidated Balance Sheets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7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Land</w:t>
            </w:r>
            <w:r>
              <w:rPr>
                <w:rFonts w:ascii="Times New Roman" w:cs="Times New Roman" w:eastAsia="Times New Roman" w:hAnsi="Times New Roman"/>
                <w:sz w:val="24"/>
                <w:szCs w:val="24"/>
                <w:color w:val="auto"/>
                <w:vertAlign w:val="superscript"/>
              </w:rPr>
              <w:t>(a)</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2,513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r>
      <w:tr>
        <w:trPr>
          <w:trHeight w:val="209"/>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3,316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3,211</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(2,013 )</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(1,838 )</w:t>
            </w:r>
          </w:p>
        </w:tc>
      </w:tr>
      <w:tr>
        <w:trPr>
          <w:trHeight w:val="249"/>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1,303</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r>
      <w:tr>
        <w:trPr>
          <w:trHeight w:val="48"/>
        </w:trPr>
        <w:tc>
          <w:tcPr>
            <w:tcW w:w="776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-76835</wp:posOffset>
            </wp:positionV>
            <wp:extent cx="1028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-59690</wp:posOffset>
            </wp:positionV>
            <wp:extent cx="1028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600" w:hanging="592"/>
        <w:spacing w:after="0"/>
        <w:tabs>
          <w:tab w:leader="none" w:pos="6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 million of finance lease asset as of September 30, 2024.</w:t>
      </w:r>
    </w:p>
    <w:p>
      <w:pPr>
        <w:spacing w:after="0" w:line="100"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various property, plant and equipment charges recognized during 2024, 2023, 2022 within the Statements of Consolidated Comprehensive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9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04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24"/>
                <w:szCs w:val="24"/>
                <w:color w:val="auto"/>
                <w:vertAlign w:val="superscript"/>
              </w:rPr>
              <w:t>(a)</w:t>
            </w:r>
          </w:p>
        </w:tc>
        <w:tc>
          <w:tcPr>
            <w:tcW w:w="29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9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 w:lineRule="exact"/>
        <w:rPr>
          <w:sz w:val="20"/>
          <w:szCs w:val="20"/>
          <w:color w:val="auto"/>
        </w:rPr>
      </w:pPr>
    </w:p>
    <w:p>
      <w:pPr>
        <w:ind w:left="600" w:hanging="592"/>
        <w:spacing w:after="0"/>
        <w:tabs>
          <w:tab w:leader="none" w:pos="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$57 million of accelerated depreciation during 2024 related to plant optimization actions. See Note D for additional details.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GOODWILL AND OTHER INTANGIBLES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performed its annual goodwill impairment test using the quantitative approach as of July 1, 2024, and concluded that the reporting unit fair values for all reporting units exceeded their carrying values. No impairment existed as of that date and no subsequent impairment indicators have been identified.</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progression of goodwill by reportable segment for the years ended September 30,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0"/>
              <w:spacing w:after="0" w:line="177" w:lineRule="exact"/>
              <w:rPr>
                <w:sz w:val="20"/>
                <w:szCs w:val="20"/>
                <w:color w:val="auto"/>
              </w:rPr>
            </w:pPr>
            <w:r>
              <w:rPr>
                <w:rFonts w:ascii="Times New Roman" w:cs="Times New Roman" w:eastAsia="Times New Roman" w:hAnsi="Times New Roman"/>
                <w:sz w:val="18"/>
                <w:szCs w:val="18"/>
                <w:color w:val="auto"/>
              </w:rPr>
              <w:t>Life</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90"/>
              <w:spacing w:after="0" w:line="177" w:lineRule="exact"/>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6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Sciences</w:t>
            </w: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50"/>
              <w:spacing w:after="0" w:line="267" w:lineRule="exact"/>
              <w:rPr>
                <w:sz w:val="20"/>
                <w:szCs w:val="20"/>
                <w:color w:val="auto"/>
              </w:rPr>
            </w:pPr>
            <w:r>
              <w:rPr>
                <w:rFonts w:ascii="Times New Roman" w:cs="Times New Roman" w:eastAsia="Times New Roman" w:hAnsi="Times New Roman"/>
                <w:sz w:val="18"/>
                <w:szCs w:val="18"/>
                <w:color w:val="auto"/>
                <w:w w:val="94"/>
              </w:rPr>
              <w:t>Personal Care</w:t>
            </w:r>
            <w:r>
              <w:rPr>
                <w:rFonts w:ascii="Times New Roman" w:cs="Times New Roman" w:eastAsia="Times New Roman" w:hAnsi="Times New Roman"/>
                <w:sz w:val="24"/>
                <w:szCs w:val="24"/>
                <w:color w:val="auto"/>
                <w:w w:val="94"/>
                <w:vertAlign w:val="superscript"/>
              </w:rPr>
              <w:t>(a)</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10"/>
              <w:spacing w:after="0" w:line="267" w:lineRule="exact"/>
              <w:rPr>
                <w:sz w:val="20"/>
                <w:szCs w:val="20"/>
                <w:color w:val="auto"/>
              </w:rPr>
            </w:pPr>
            <w:r>
              <w:rPr>
                <w:rFonts w:ascii="Times New Roman" w:cs="Times New Roman" w:eastAsia="Times New Roman" w:hAnsi="Times New Roman"/>
                <w:sz w:val="18"/>
                <w:szCs w:val="18"/>
                <w:color w:val="auto"/>
              </w:rPr>
              <w:t>Additives</w:t>
            </w:r>
            <w:r>
              <w:rPr>
                <w:rFonts w:ascii="Times New Roman" w:cs="Times New Roman" w:eastAsia="Times New Roman" w:hAnsi="Times New Roman"/>
                <w:sz w:val="24"/>
                <w:szCs w:val="24"/>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ind w:left="80"/>
              <w:spacing w:after="0" w:line="267" w:lineRule="exact"/>
              <w:rPr>
                <w:sz w:val="20"/>
                <w:szCs w:val="20"/>
                <w:color w:val="auto"/>
              </w:rPr>
            </w:pPr>
            <w:r>
              <w:rPr>
                <w:rFonts w:ascii="Times New Roman" w:cs="Times New Roman" w:eastAsia="Times New Roman" w:hAnsi="Times New Roman"/>
                <w:sz w:val="18"/>
                <w:szCs w:val="18"/>
                <w:color w:val="auto"/>
              </w:rPr>
              <w:t>Intermediates</w:t>
            </w:r>
            <w:r>
              <w:rPr>
                <w:rFonts w:ascii="Times New Roman" w:cs="Times New Roman" w:eastAsia="Times New Roman" w:hAnsi="Times New Roman"/>
                <w:sz w:val="24"/>
                <w:szCs w:val="24"/>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80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1,362</w:t>
            </w:r>
          </w:p>
        </w:tc>
      </w:tr>
      <w:tr>
        <w:trPr>
          <w:trHeight w:val="164"/>
        </w:trPr>
        <w:tc>
          <w:tcPr>
            <w:tcW w:w="38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Currency translation and other</w:t>
            </w:r>
          </w:p>
        </w:tc>
        <w:tc>
          <w:tcPr>
            <w:tcW w:w="140" w:type="dxa"/>
            <w:vAlign w:val="bottom"/>
          </w:tcPr>
          <w:p>
            <w:pPr>
              <w:spacing w:after="0"/>
              <w:rPr>
                <w:sz w:val="14"/>
                <w:szCs w:val="14"/>
                <w:color w:val="auto"/>
              </w:rPr>
            </w:pPr>
          </w:p>
        </w:tc>
        <w:tc>
          <w:tcPr>
            <w:tcW w:w="1000" w:type="dxa"/>
            <w:vAlign w:val="bottom"/>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ind w:left="4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36</w:t>
            </w:r>
          </w:p>
        </w:tc>
      </w:tr>
      <w:tr>
        <w:trPr>
          <w:trHeight w:val="268"/>
        </w:trPr>
        <w:tc>
          <w:tcPr>
            <w:tcW w:w="386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Nutraceuticals divestiture</w:t>
            </w:r>
            <w:r>
              <w:rPr>
                <w:rFonts w:ascii="Times New Roman" w:cs="Times New Roman" w:eastAsia="Times New Roman" w:hAnsi="Times New Roman"/>
                <w:sz w:val="24"/>
                <w:szCs w:val="24"/>
                <w:color w:val="auto"/>
                <w:vertAlign w:val="superscript"/>
              </w:rPr>
              <w:t>(b)</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1,381</w:t>
            </w: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3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460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600" w:hanging="592"/>
        <w:spacing w:after="0" w:line="251" w:lineRule="auto"/>
        <w:tabs>
          <w:tab w:leader="none" w:pos="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and 2023, there were accumulated impairments of $356 million, $174 million, and $90 million related to the Personal Care, Specialty Additives and Intermediates reportable segments, respectively.</w:t>
      </w:r>
    </w:p>
    <w:p>
      <w:pPr>
        <w:ind w:left="600" w:hanging="592"/>
        <w:spacing w:after="0"/>
        <w:tabs>
          <w:tab w:leader="none" w:pos="6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allocated $17 million to the Nutraceuticals disposal group during 2024. See Note B for additional details.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20 years, intellectual property over 3 to 20 years, and customer and supplier relationships over 10 to 24 years.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performed its annual impairment test for other indefinite lived intangible assets using the quantitative approach as of July 1, 2024 and concluded that the assets fair values exceeded their carrying values. No impairment existed as of that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6" w:name="page107"/>
    <w:bookmarkEnd w:id="106"/>
    <w:p>
      <w:pPr>
        <w:ind w:left="380"/>
        <w:spacing w:after="0"/>
        <w:rPr>
          <w:sz w:val="20"/>
          <w:szCs w:val="20"/>
          <w:color w:val="auto"/>
        </w:rPr>
      </w:pPr>
      <w:r>
        <w:rPr>
          <w:rFonts w:ascii="Times New Roman" w:cs="Times New Roman" w:eastAsia="Times New Roman" w:hAnsi="Times New Roman"/>
          <w:sz w:val="18"/>
          <w:szCs w:val="18"/>
          <w:color w:val="auto"/>
        </w:rPr>
        <w:t>Other intangible assets were comprised of the following as of September 30,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9"/>
              </w:rPr>
              <w:t>2024</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r>
      <w:tr>
        <w:trPr>
          <w:trHeight w:val="182"/>
        </w:trPr>
        <w:tc>
          <w:tcPr>
            <w:tcW w:w="3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179"/>
              <w:spacing w:after="0" w:line="182" w:lineRule="exact"/>
              <w:rPr>
                <w:sz w:val="20"/>
                <w:szCs w:val="20"/>
                <w:color w:val="auto"/>
              </w:rPr>
            </w:pPr>
            <w:r>
              <w:rPr>
                <w:rFonts w:ascii="Times New Roman" w:cs="Times New Roman" w:eastAsia="Times New Roman" w:hAnsi="Times New Roman"/>
                <w:sz w:val="16"/>
                <w:szCs w:val="16"/>
                <w:color w:val="auto"/>
              </w:rPr>
              <w:t>Gross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79"/>
              <w:spacing w:after="0" w:line="182" w:lineRule="exact"/>
              <w:rPr>
                <w:sz w:val="20"/>
                <w:szCs w:val="20"/>
                <w:color w:val="auto"/>
              </w:rPr>
            </w:pPr>
            <w:r>
              <w:rPr>
                <w:rFonts w:ascii="Times New Roman" w:cs="Times New Roman" w:eastAsia="Times New Roman" w:hAnsi="Times New Roman"/>
                <w:sz w:val="16"/>
                <w:szCs w:val="16"/>
                <w:color w:val="auto"/>
              </w:rPr>
              <w:t>Net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219"/>
              <w:spacing w:after="0" w:line="182" w:lineRule="exact"/>
              <w:rPr>
                <w:sz w:val="20"/>
                <w:szCs w:val="20"/>
                <w:color w:val="auto"/>
              </w:rPr>
            </w:pPr>
            <w:r>
              <w:rPr>
                <w:rFonts w:ascii="Times New Roman" w:cs="Times New Roman" w:eastAsia="Times New Roman" w:hAnsi="Times New Roman"/>
                <w:sz w:val="16"/>
                <w:szCs w:val="16"/>
                <w:color w:val="auto"/>
                <w:w w:val="96"/>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39"/>
              <w:spacing w:after="0" w:line="182" w:lineRule="exact"/>
              <w:rPr>
                <w:sz w:val="20"/>
                <w:szCs w:val="20"/>
                <w:color w:val="auto"/>
              </w:rPr>
            </w:pPr>
            <w:r>
              <w:rPr>
                <w:rFonts w:ascii="Times New Roman" w:cs="Times New Roman" w:eastAsia="Times New Roman" w:hAnsi="Times New Roman"/>
                <w:sz w:val="16"/>
                <w:szCs w:val="16"/>
                <w:color w:val="auto"/>
              </w:rPr>
              <w:t>Net</w:t>
            </w:r>
          </w:p>
        </w:tc>
      </w:tr>
      <w:tr>
        <w:trPr>
          <w:trHeight w:val="203"/>
        </w:trPr>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carrying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carrying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rPr>
              <w:t>carrying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Accumulated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carrying</w:t>
            </w:r>
          </w:p>
        </w:tc>
      </w:tr>
      <w:tr>
        <w:trPr>
          <w:trHeight w:val="21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w w:val="99"/>
              </w:rPr>
              <w:t>amount</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99"/>
              </w:rPr>
              <w:t>amount</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color w:val="auto"/>
                <w:w w:val="99"/>
              </w:rPr>
              <w:t>amount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r>
      <w:tr>
        <w:trPr>
          <w:trHeight w:val="199"/>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3"/>
        </w:trPr>
        <w:tc>
          <w:tcPr>
            <w:tcW w:w="3420" w:type="dxa"/>
            <w:vAlign w:val="bottom"/>
          </w:tcPr>
          <w:p>
            <w:pPr>
              <w:ind w:left="200"/>
              <w:spacing w:after="0" w:line="203" w:lineRule="exact"/>
              <w:rPr>
                <w:sz w:val="20"/>
                <w:szCs w:val="20"/>
                <w:color w:val="auto"/>
              </w:rPr>
            </w:pPr>
            <w:r>
              <w:rPr>
                <w:rFonts w:ascii="Times New Roman" w:cs="Times New Roman" w:eastAsia="Times New Roman" w:hAnsi="Times New Roman"/>
                <w:sz w:val="16"/>
                <w:szCs w:val="16"/>
                <w:color w:val="auto"/>
              </w:rPr>
              <w:t>Trademarks and trade names</w:t>
            </w:r>
            <w:r>
              <w:rPr>
                <w:rFonts w:ascii="Times New Roman" w:cs="Times New Roman" w:eastAsia="Times New Roman" w:hAnsi="Times New Roman"/>
                <w:sz w:val="21"/>
                <w:szCs w:val="21"/>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r>
      <w:tr>
        <w:trPr>
          <w:trHeight w:val="203"/>
        </w:trPr>
        <w:tc>
          <w:tcPr>
            <w:tcW w:w="3420" w:type="dxa"/>
            <w:vAlign w:val="bottom"/>
            <w:shd w:val="clear" w:color="auto" w:fill="CFF0FC"/>
          </w:tcPr>
          <w:p>
            <w:pPr>
              <w:ind w:left="200"/>
              <w:spacing w:after="0" w:line="203" w:lineRule="exact"/>
              <w:rPr>
                <w:sz w:val="20"/>
                <w:szCs w:val="20"/>
                <w:color w:val="auto"/>
              </w:rPr>
            </w:pPr>
            <w:r>
              <w:rPr>
                <w:rFonts w:ascii="Times New Roman" w:cs="Times New Roman" w:eastAsia="Times New Roman" w:hAnsi="Times New Roman"/>
                <w:sz w:val="16"/>
                <w:szCs w:val="16"/>
                <w:color w:val="auto"/>
              </w:rPr>
              <w:t>Intellectual property</w:t>
            </w:r>
            <w:r>
              <w:rPr>
                <w:rFonts w:ascii="Times New Roman" w:cs="Times New Roman" w:eastAsia="Times New Roman" w:hAnsi="Times New Roman"/>
                <w:sz w:val="21"/>
                <w:szCs w:val="21"/>
                <w:color w:val="auto"/>
                <w:vertAlign w:val="superscript"/>
              </w:rPr>
              <w:t>(b)</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(613 )</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(581 )</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3420" w:type="dxa"/>
            <w:vAlign w:val="bottom"/>
          </w:tcPr>
          <w:p>
            <w:pPr>
              <w:ind w:left="200"/>
              <w:spacing w:after="0" w:line="203" w:lineRule="exact"/>
              <w:rPr>
                <w:sz w:val="20"/>
                <w:szCs w:val="20"/>
                <w:color w:val="auto"/>
              </w:rPr>
            </w:pPr>
            <w:r>
              <w:rPr>
                <w:rFonts w:ascii="Times New Roman" w:cs="Times New Roman" w:eastAsia="Times New Roman" w:hAnsi="Times New Roman"/>
                <w:sz w:val="16"/>
                <w:szCs w:val="16"/>
                <w:color w:val="auto"/>
              </w:rPr>
              <w:t>Customer and supplier relationships</w:t>
            </w:r>
            <w:r>
              <w:rPr>
                <w:rFonts w:ascii="Times New Roman" w:cs="Times New Roman" w:eastAsia="Times New Roman" w:hAnsi="Times New Roman"/>
                <w:sz w:val="21"/>
                <w:szCs w:val="21"/>
                <w:color w:val="auto"/>
                <w:vertAlign w:val="superscript"/>
              </w:rPr>
              <w:t>(c)</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759</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(433 )</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404</w:t>
            </w:r>
          </w:p>
        </w:tc>
      </w:tr>
      <w:tr>
        <w:trPr>
          <w:trHeight w:val="19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(1,088 )</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(1,041 )</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r>
      <w:tr>
        <w:trPr>
          <w:trHeight w:val="196"/>
        </w:trPr>
        <w:tc>
          <w:tcPr>
            <w:tcW w:w="3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03"/>
        </w:trPr>
        <w:tc>
          <w:tcPr>
            <w:tcW w:w="3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1,839</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(1,088 )</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1,927</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(1,041 )</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-556260</wp:posOffset>
            </wp:positionV>
            <wp:extent cx="12890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-556260</wp:posOffset>
            </wp:positionV>
            <wp:extent cx="1289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-556260</wp:posOffset>
            </wp:positionV>
            <wp:extent cx="1200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-556260</wp:posOffset>
            </wp:positionV>
            <wp:extent cx="1200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-556260</wp:posOffset>
            </wp:positionV>
            <wp:extent cx="1714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1289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1289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1289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1289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1200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1200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1200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20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17145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1714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4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ind w:left="600" w:hanging="592"/>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allocated $7 million to the Nutraceuticals disposal group during 2024. See Note B for additional details.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allocated $17 million to the Nutraceuticals disposal group during 2024. See Note B for additional details.</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Ashland allocated $45 million to the Nutraceuticals disposal group during 2024. See Note B for additional details.</w:t>
      </w:r>
    </w:p>
    <w:p>
      <w:pPr>
        <w:spacing w:after="0" w:line="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Amortization expense recognized on intangible assets was $76 million for 2024, $93 million for 2023 and $94 million for 2022, and is included in the intangibles amortization expense caption of the Statements of Consolidated Comprehensive Income (Loss). As of September 30, 2024, all of Ashland’s intangible assets that had a carrying value were being amortized except for certain trademarks and trade names that have been determined to have indefinite lives. Estimated amortization expense for future periods is $70 million in 2025, $68 million in 2026, $47 million in 2027, $44 million in 2028 and $39 million in 2029.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DEBT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Ashland’s current and long-term debt at September 30,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450</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6.875% notes, due 2043</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7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(a)</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1,330</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debt issuance 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1,314</w:t>
            </w: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-505460</wp:posOffset>
            </wp:positionV>
            <wp:extent cx="1028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-222250</wp:posOffset>
            </wp:positionV>
            <wp:extent cx="1028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4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600" w:hanging="592"/>
        <w:spacing w:after="0" w:line="261" w:lineRule="auto"/>
        <w:tabs>
          <w:tab w:leader="none" w:pos="6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$12 million and $13 million of debt issuance costs as of September 30, 2024 and 2023, respectively. The current portion of the long-term debt was zero for both September 30, 2024 and 2023.</w:t>
      </w:r>
    </w:p>
    <w:p>
      <w:pPr>
        <w:spacing w:after="0" w:line="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September 30, 2024, Ashland’s total debt had an outstanding principal balance of $1,390 million, discounts of $29 million and debt issuance costs of $12 million. As of September 30, 2024, Ashland had no long-term debt (excluding debt issuance costs) maturing within the next 2 years, $4 million due in fiscal 2027 and $558 million in 2028.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Credit Agreements and Refinancing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During July 2022, Ashland, through two of its subsidiaries, enacted an amendment to the 2020 credit agreement. The amended credit agreement (the 2022 Credit Agreement) provides for a $600 million five-year revolving credit facility (the 2022 Revolving Credit Facility). The 2022 Credit Agreement and the obligations of Ashland Services B.V. under the 2022 Revolving Credit Facility are guaranteed by Ashland. The borrowing capacity remaining under the 2022 Credit Agreement was $596 million, which reflects the full $600 million Revolving Credit Facility less a reduction of $4 million for letters of credit outstanding at September 30, 2024.</w:t>
      </w:r>
    </w:p>
    <w:p>
      <w:pPr>
        <w:spacing w:after="0" w:line="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At Ashland’s option, loans issued under the 2022 Credit Agreement will bear interest at (a) in the case of loans denominated in U.S. dollars, either Term SOFR or an alternate base rate and (b) in the case of loans denominated in Euros, EURIBOR, in each case plus the applicable interest rate margin. Loans will initially bear interest at Term SOFR or EURIBOR plus 1.250% per annum, in the case of Term SOFR borrowings or EURIBOR borrowings, respectively, or at the alternate base rate plus 0.250% per annum, in the case of alternate base rate borrowings, through and including the date of delivery of a quarterly compliance certificate and thereafter the interest rate will fluctuate between Term SOFR or EURIBOR plus 1.250% per annum and Term SOFR or EURIBOR plus 1.750% per annum (or between the alternate base rate plus 0.250% per annum and the alternate base rate plus 0.750% per annum), based upon the Consolidated Net Leverage Ratio (as defined in the 2022 Credit Agreement) at such time. Term SOFR borrowings are subject to a credit spread adjustment of 0.10% per annum. In addition, the Company will initially be required to pay fees of 0.125% per annum on the daily unused amount of the 2022 Revolving Credit Facility through and including the date of delivery of a quarterly compliance certificate, and thereafter the fee rate will fluctuate between 0.125% and 0.275% per annum, based upon the Consolidated Net Leverage Ratio. Borrowings under the 2022 Credit Agreement may be prepaid at any time without premiums.</w:t>
      </w:r>
    </w:p>
    <w:p>
      <w:pPr>
        <w:spacing w:after="0" w:line="84"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amendment of the 2020 Credit Agreement, Ashland recognized a $1 million charge for accelerated amortization of previously capitalized debt issuance costs during 2022, which is included in the net interest and other expense (income) caption of the Statements of Consolidated Comprehensive Income (Loss). Ashland also incurred $2 million of new debt issuance costs in connection with the 2022 Credit Agreement, of which $1 million was expensed immediately during 2022 within the net interest and other expense (income) caption of the Statements of Consolidated Comprehensive Income (Loss). The remaining balance is amortized using the straight-line method.</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2022 Credit Agreement contains financial covenants for leverage and interest coverage ratios akin to those in effect under the 2020 Credit Agreement. The 2022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repatriation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2024 and 2023, Ashland repatriated approximately $305 million and $92 million, respectively, in cash.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Debt repayments and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prepaid its Term loan A principal balance of $250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2022, Ashland repaid the outstanding balance on its European short-term loan facility for $23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facilities and off-balance sheet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Accounts Receivable Sales Program</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March 17, 2021, a wholly-owned, bankruptcy-remote special purpose entity and consolidated Ashland subsidiary (SPE) entered into an agreement with a group of entities (buyers) to sell certain trade receivables, without recourse beyond the pledged receivables, of two other U.S. based Ashland subsidiaries. Under the agreement, Ashland can transfer whole receivables up to a limit established by the buyer, which was set at $125 million between February and October of each year and up to $100 million all other times. Ashland’s continuing involvement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is limited to servicing the receivables, including billing, collections and remittance of payments to the buyers as well as a limited guarantee on over-collateralization. The arrangement was set to terminate on May 31, 2023.</w:t>
      </w:r>
    </w:p>
    <w:p>
      <w:pPr>
        <w:spacing w:after="0" w:line="54"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On April 14, 2023, Ashland entered into a Second and Third Amendments associated with this current program. As part of this amendment the buyer's limit was reduced to $115 million between April and October of each year, and up to $100 million at all other times. Additionally, the scheduled termination date was extended from May 31, 2023 to April 14, 2025.</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September 13, 2024, Ashland entered into a Fourth Amendment associated with this current program. As part of this amendment the buyer's limits were reduced to $80 million between September 13, 2024 to (and including) December 31, 2024 and up to $70 million from January 1, 2025 through the termination date of the agreement. Additionally, the scheduled termination date was extended from April 14, 2025 to September 11, 2026.</w:t>
      </w:r>
    </w:p>
    <w:p>
      <w:pPr>
        <w:spacing w:after="0" w:line="6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recognized a $3 million loss within the Statements of Consolidated Comprehensive Income (Loss) for 2024 and 2023, respectively, within the net interest and other expense (income) caption associated with sales under the program. Ashland has recorded $71 million of sales against the buyer’s limit, which was $71 million at September 30, 2024, compared to $86 million of sales against the buyer's limit, which was $86 million at September 30, 2023. Ashland transferred $85 million and $106 million in receivables to the SPE as of September 30, 2024 and 2023, respectively. Ashland recorded liabilities related to its service obligations and limited guarantee as of September 30, 2024 and 2023 of less than $1 million.</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September 30, 2024 and 2023, the year-to-date gross cash proceeds received for receivables transferred and derecognized were $323 million and $217 million, respectively, of which $322 million and $241 million were collected by Ashland in our capacity as a servicer of the receivables and remitted to the buyer. The difference between receivables transferred and derecognized versus collected of $1 million and $24 million for the periods ended September 30, 2024 and 2023, respectively, represents the impact of a net increase and a net reduction in account receivable sales volume during each year,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foreign accounts receivable securitization</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2023, Ashland terminated its 2018 Foreign Accounts Receivable Securitization Facility. The program had no outstanding borrowings at its termination. This program did not meet criteria for sale accounting and was reported as secured borrowing under ASC 860. At September 30, 2023, the outstanding amount of accounts receivable transferred by Ashland to the purchaser was $124 million. The weighted-average interest rate for this instrument was 0.5% for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Accounts Receivable Sales Program</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October 19, 2023, Ashland entered, through an Ireland based, wholly-owned, bankruptcy-remote consolidated special purpose entity (the "SPE"), into a three-year agreement with a group of entities (buyers) to sell certain trade receivables, without recourse beyond the pledged receivables, of certain wholly-owned Ashland subsidiaries (Foreign Accounts Receivable Sales Program) primarily in Europe. Under the agreement, Ashland can transfer whole receivables up to a limit established by the buyer, which is currently set at €125 million. Ashland’s continuing involvement is limited to servicing the receivables, including billing, collections and remittance of payments to the buyers as well as a limited guarantee on over-collateralization.</w:t>
      </w:r>
    </w:p>
    <w:p>
      <w:pPr>
        <w:spacing w:after="0" w:line="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determined that any receivables transferred under this agreement are put presumptively beyond the reach of Ashland and its creditors, even in bankruptcy or other receivership. Ashland received true sale at law and non-consolidation opinions from independent qualified legal advisors in the jurisdiction of each originating subsidiary to support the legal isolation of these receivables. Consequently, Ashland accounts for receivables transferred to buyers as part of this agreement as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9" w:name="page110"/>
    <w:bookmarkEnd w:id="109"/>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Through September 30, 2024, Ashland has sold $104 million in receivables under this agreement. Accordingly, Ashland recognized a loss of $3 million within the net interest and other expense (income) caption of the Statements of Consolidated Income (Loss) for the twelve months ended September 30, 2024. Ashland recorded $104 million in sales and gross proceeds received against the buyer's limit, which was $104 million at September 30, 2024. Ashland transferred $155 million in receivables to the SPE as of September 30, 2024. Ashland recorded less than $1 million in liabilities related to its service obligations and limited guarantee as of September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April 2024, Ashland authorized a financing program offered through JP Morgan and Taulia Alliance. Under this program, JP Morgan and its affiliates may purchase certain confirmed receivables directly from suppliers pursuant to the terms of a separate arrangement entered into between JPMorgan and such Suppliers. There were no changes to Ashland's standard payment terms with its suppliers in connection with this program. Ashland provides no guarantees to JP Morgan under this program. As of September 30, 2024, the program has not yet been offered to suppliers for utilization.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2024 and 2023, Ashland held other debt totaling $71 million and $83 million, respectively, comprised primarily of the 6.50% notes due 2029 and other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related to current Ashland debt agreements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2024, Ashland was in compliance with all debt agreement covenant restrictions.</w:t>
      </w:r>
    </w:p>
    <w:p>
      <w:pPr>
        <w:spacing w:after="0" w:line="7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maximum consolidated net leverage ratio permitted under Ashland’s most recent credit agreement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certain environmental charges, non-cash stock and equity compensation expense, and any other nonrecurring expenses or losses that do not represent a cash item in such period or any future period; less any non-cash gains or other items increasing net income. In general, consolidated indebtedness includes debt plus all purchase money indebtedness, banker’s acceptances and bank guaranties, deferred purchase price of property or services, attributable indebtedness and guarantees. At September 30, 2024, Ashland’s calculation of the consolidated net leverage ratio was 2.3.</w:t>
      </w:r>
    </w:p>
    <w:p>
      <w:pPr>
        <w:spacing w:after="0" w:line="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September 30, 2024, Ashland’s calculation of the consolidated interest coverage ratio was 7.8.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66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the accounts receivables sale programs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Investment securities loss (income)</w:t>
            </w:r>
            <w:r>
              <w:rPr>
                <w:rFonts w:ascii="Times New Roman" w:cs="Times New Roman" w:eastAsia="Times New Roman" w:hAnsi="Times New Roman"/>
                <w:sz w:val="24"/>
                <w:szCs w:val="24"/>
                <w:color w:val="auto"/>
                <w:vertAlign w:val="superscript"/>
              </w:rPr>
              <w:t>(b)</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financing costs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6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5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8" w:lineRule="exact"/>
        <w:rPr>
          <w:sz w:val="20"/>
          <w:szCs w:val="20"/>
          <w:color w:val="auto"/>
        </w:rPr>
      </w:pPr>
    </w:p>
    <w:p>
      <w:pPr>
        <w:ind w:left="600" w:hanging="592"/>
        <w:spacing w:after="0"/>
        <w:tabs>
          <w:tab w:leader="none" w:pos="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accelerated accretion and/or amortization for original issue discounts and debt issuance costs during 2022.</w:t>
      </w:r>
    </w:p>
    <w:p>
      <w:pPr>
        <w:spacing w:after="0" w:line="5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 loss (income) related to the restricted investments discussed in Note 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0" w:name="page111"/>
    <w:bookmarkEnd w:id="110"/>
    <w:p>
      <w:pPr>
        <w:ind w:left="380"/>
        <w:spacing w:after="0"/>
        <w:rPr>
          <w:sz w:val="20"/>
          <w:szCs w:val="20"/>
          <w:color w:val="auto"/>
        </w:rPr>
      </w:pPr>
      <w:r>
        <w:rPr>
          <w:rFonts w:ascii="Times New Roman" w:cs="Times New Roman" w:eastAsia="Times New Roman" w:hAnsi="Times New Roman"/>
          <w:sz w:val="18"/>
          <w:szCs w:val="18"/>
          <w:color w:val="auto"/>
        </w:rPr>
        <w:t>The following table details the debt issuance cost and original issue discount amortization included in interest expense during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Normal amortization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Accelerated amortization</w:t>
            </w:r>
            <w:r>
              <w:rPr>
                <w:rFonts w:ascii="Times New Roman" w:cs="Times New Roman" w:eastAsia="Times New Roman" w:hAnsi="Times New Roman"/>
                <w:sz w:val="24"/>
                <w:szCs w:val="24"/>
                <w:color w:val="auto"/>
                <w:vertAlign w:val="superscript"/>
              </w:rPr>
              <w:t>(a)</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48"/>
        </w:trPr>
        <w:tc>
          <w:tcPr>
            <w:tcW w:w="666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-76835</wp:posOffset>
            </wp:positionV>
            <wp:extent cx="939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wp:posOffset>
            </wp:positionV>
            <wp:extent cx="939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-76835</wp:posOffset>
            </wp:positionV>
            <wp:extent cx="857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-59055</wp:posOffset>
            </wp:positionV>
            <wp:extent cx="857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2022 includes $1 million of accelerated debt issuance costs for the 2020 credit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OTHER NONCURRENT ASSETS AND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assets in the Consolidated Balance Sheets as of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and tax indemnity receivables</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Life insurance policies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catalyst supplies</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Defined benefit plan assets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unconsolidated investments</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insurance receivables</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77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48"/>
        </w:trPr>
        <w:tc>
          <w:tcPr>
            <w:tcW w:w="774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-76835</wp:posOffset>
            </wp:positionV>
            <wp:extent cx="939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-59690</wp:posOffset>
            </wp:positionV>
            <wp:extent cx="939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investments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These investments had gains of $8 million and $5 million during 2024 and 2023, respectively, and losses of $2 million during 2022. These cash inflows exclude company-owned life insurance death benefits of $1 million, $6 million and $3 million for 2024, 2023 and 2022, respectively.</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the components of other noncurrent liabilities in the Consolidated Balance Sheets as of September 30.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7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40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reserves</w:t>
            </w:r>
          </w:p>
        </w:tc>
        <w:tc>
          <w:tcPr>
            <w:tcW w:w="3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3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49"/>
        </w:trPr>
        <w:tc>
          <w:tcPr>
            <w:tcW w:w="4040" w:type="dxa"/>
            <w:vAlign w:val="bottom"/>
            <w:tcBorders>
              <w:bottom w:val="single" w:sz="8" w:color="CFF0FC"/>
            </w:tcBorders>
            <w:shd w:val="clear" w:color="auto" w:fill="CFF0FC"/>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r>
      <w:tr>
        <w:trPr>
          <w:trHeight w:val="48"/>
        </w:trPr>
        <w:tc>
          <w:tcPr>
            <w:tcW w:w="404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gridSpan w:val="2"/>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642"/>
        </w:trPr>
        <w:tc>
          <w:tcPr>
            <w:tcW w:w="4040" w:type="dxa"/>
            <w:vAlign w:val="bottom"/>
          </w:tcPr>
          <w:p>
            <w:pPr>
              <w:spacing w:after="0"/>
              <w:rPr>
                <w:sz w:val="24"/>
                <w:szCs w:val="24"/>
                <w:color w:val="auto"/>
              </w:rPr>
            </w:pPr>
          </w:p>
        </w:tc>
        <w:tc>
          <w:tcPr>
            <w:tcW w:w="408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F-29</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-985520</wp:posOffset>
            </wp:positionV>
            <wp:extent cx="1028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-967740</wp:posOffset>
            </wp:positionV>
            <wp:extent cx="1028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NOTE J – LEASING ARRANGEMENTS</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Ashland leases certain office buildings, transportation equipment, warehouses and storage facilities, and equipment. Substantially all of Ashland’s leases are operating leases or short-term leases. Real estate leases represented over 85% of the total lease liability at September 30, 2024 and 2023, respectively. See Note A for additional information related to Ashland’s leasing policies.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lease cost recognized within the Statements of Consolidated Comprehensive Income (Loss)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98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Location</w:t>
            </w:r>
          </w:p>
        </w:tc>
        <w:tc>
          <w:tcPr>
            <w:tcW w:w="3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3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leases</w:t>
            </w:r>
          </w:p>
        </w:tc>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20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Total lease cost</w:t>
            </w:r>
            <w:r>
              <w:rPr>
                <w:rFonts w:ascii="Times New Roman" w:cs="Times New Roman" w:eastAsia="Times New Roman" w:hAnsi="Times New Roman"/>
                <w:sz w:val="24"/>
                <w:szCs w:val="24"/>
                <w:b w:val="1"/>
                <w:bCs w:val="1"/>
                <w:color w:val="auto"/>
                <w:vertAlign w:val="superscript"/>
              </w:rPr>
              <w:t>(a)</w:t>
            </w:r>
          </w:p>
        </w:tc>
        <w:tc>
          <w:tcPr>
            <w:tcW w:w="398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48"/>
        </w:trPr>
        <w:tc>
          <w:tcPr>
            <w:tcW w:w="2060" w:type="dxa"/>
            <w:vAlign w:val="bottom"/>
            <w:tcBorders>
              <w:top w:val="single" w:sz="8" w:color="CFF0FC"/>
              <w:bottom w:val="single" w:sz="8" w:color="auto"/>
            </w:tcBorders>
          </w:tcPr>
          <w:p>
            <w:pPr>
              <w:spacing w:after="0"/>
              <w:rPr>
                <w:sz w:val="4"/>
                <w:szCs w:val="4"/>
                <w:color w:val="auto"/>
              </w:rPr>
            </w:pPr>
          </w:p>
        </w:tc>
        <w:tc>
          <w:tcPr>
            <w:tcW w:w="3980" w:type="dxa"/>
            <w:vAlign w:val="bottom"/>
            <w:tcBorders>
              <w:top w:val="single" w:sz="8" w:color="CFF0FC"/>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40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-76200</wp:posOffset>
            </wp:positionV>
            <wp:extent cx="85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-59055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-76200</wp:posOffset>
            </wp:positionV>
            <wp:extent cx="857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-59055</wp:posOffset>
            </wp:positionV>
            <wp:extent cx="857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 million lease termination fee in fiscal 2022.</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Ashland’s lease assets and liabilities as presented in the Consolidated Balance Sheet at September 30: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24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6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r>
      <w:tr>
        <w:trPr>
          <w:trHeight w:val="197"/>
        </w:trPr>
        <w:tc>
          <w:tcPr>
            <w:tcW w:w="706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4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7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-796290</wp:posOffset>
            </wp:positionV>
            <wp:extent cx="1028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-779780</wp:posOffset>
            </wp:positionV>
            <wp:extent cx="1028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-222250</wp:posOffset>
            </wp:positionV>
            <wp:extent cx="1028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September 30, 2024 and 2023 was approximately 19 years and 17 years, respectively.</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September 30, 2024 and 2023 was 3.8% and 3.5%, respectively. There are no leases that have not yet commenced but that create significant rights and obligations for Ashland.</w:t>
      </w:r>
    </w:p>
    <w:p>
      <w:pPr>
        <w:spacing w:after="0" w:line="8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Right-of-use assets exchanged for new operating lease obligations was $6 million and $32 million for the twelve months ended September 30, 2024 and 2023, respectively. During the second quarter of fiscal 2024, Ashland acquired a favorable lease asset for $10 million, which was recorded in the property, plant and equipment caption of the Consolidated Balance Sheet at September 30, 2024.</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cash paid for amounts included in the measurement of operating lease liabilities for during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1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flows from finance lease</w:t>
            </w:r>
          </w:p>
        </w:tc>
        <w:tc>
          <w:tcPr>
            <w:tcW w:w="2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43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641"/>
        </w:trPr>
        <w:tc>
          <w:tcPr>
            <w:tcW w:w="4300" w:type="dxa"/>
            <w:vAlign w:val="bottom"/>
          </w:tcPr>
          <w:p>
            <w:pPr>
              <w:spacing w:after="0"/>
              <w:rPr>
                <w:sz w:val="24"/>
                <w:szCs w:val="24"/>
                <w:color w:val="auto"/>
              </w:rPr>
            </w:pPr>
          </w:p>
        </w:tc>
        <w:tc>
          <w:tcPr>
            <w:tcW w:w="21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F-30</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12" w:name="page113"/>
    <w:bookmarkEnd w:id="112"/>
    <w:p>
      <w:pPr>
        <w:ind w:left="380"/>
        <w:spacing w:after="0"/>
        <w:rPr>
          <w:sz w:val="20"/>
          <w:szCs w:val="20"/>
          <w:color w:val="auto"/>
        </w:rPr>
      </w:pPr>
      <w:r>
        <w:rPr>
          <w:rFonts w:ascii="Times New Roman" w:cs="Times New Roman" w:eastAsia="Times New Roman" w:hAnsi="Times New Roman"/>
          <w:sz w:val="18"/>
          <w:szCs w:val="18"/>
          <w:color w:val="auto"/>
        </w:rPr>
        <w:t>The following table summarizes Ashland's maturities of lease liabilities as of September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6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0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6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 representing interest</w:t>
            </w:r>
          </w:p>
        </w:tc>
        <w:tc>
          <w:tcPr>
            <w:tcW w:w="560" w:type="dxa"/>
            <w:vAlign w:val="bottom"/>
            <w:tcBorders>
              <w:bottom w:val="single" w:sz="8" w:color="auto"/>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48"/>
        </w:trPr>
        <w:tc>
          <w:tcPr>
            <w:tcW w:w="8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provision for income taxes related to continuing operations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6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5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48"/>
        </w:trPr>
        <w:tc>
          <w:tcPr>
            <w:tcW w:w="666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-76200</wp:posOffset>
            </wp:positionV>
            <wp:extent cx="939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-59690</wp:posOffset>
            </wp:positionV>
            <wp:extent cx="939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-76200</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-59690</wp:posOffset>
            </wp:positionV>
            <wp:extent cx="8572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Temporary differences that give rise to significant deferred tax assets and liabilities as of September 30 are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net operating loss carryforwards</w:t>
            </w:r>
            <w:r>
              <w:rPr>
                <w:rFonts w:ascii="Times New Roman" w:cs="Times New Roman" w:eastAsia="Times New Roman" w:hAnsi="Times New Roman"/>
                <w:sz w:val="24"/>
                <w:szCs w:val="24"/>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self-insurance and litigation reserves (net of receivables)</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7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State net operating loss carryforwards (net of unrecognized tax benefits)</w:t>
            </w:r>
            <w:r>
              <w:rPr>
                <w:rFonts w:ascii="Times New Roman" w:cs="Times New Roman" w:eastAsia="Times New Roman" w:hAnsi="Times New Roman"/>
                <w:sz w:val="24"/>
                <w:szCs w:val="24"/>
                <w:color w:val="auto"/>
                <w:vertAlign w:val="superscript"/>
              </w:rPr>
              <w:t>(b)</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loss carryback/carryforward</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accruals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Credit carryforwards (net of unrecognized tax benefits)</w:t>
            </w:r>
            <w:r>
              <w:rPr>
                <w:rFonts w:ascii="Times New Roman" w:cs="Times New Roman" w:eastAsia="Times New Roman" w:hAnsi="Times New Roman"/>
                <w:sz w:val="24"/>
                <w:szCs w:val="24"/>
                <w:color w:val="auto"/>
                <w:vertAlign w:val="superscript"/>
              </w:rPr>
              <w:t>(c)</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lease liability</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7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Goodwill and other intangibles</w:t>
            </w:r>
            <w:r>
              <w:rPr>
                <w:rFonts w:ascii="Times New Roman" w:cs="Times New Roman" w:eastAsia="Times New Roman" w:hAnsi="Times New Roman"/>
                <w:sz w:val="24"/>
                <w:szCs w:val="24"/>
                <w:color w:val="auto"/>
                <w:vertAlign w:val="superscript"/>
              </w:rPr>
              <w:t>(e)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Valuation allowances</w:t>
            </w:r>
            <w:r>
              <w:rPr>
                <w:rFonts w:ascii="Times New Roman" w:cs="Times New Roman" w:eastAsia="Times New Roman" w:hAnsi="Times New Roman"/>
                <w:sz w:val="24"/>
                <w:szCs w:val="24"/>
                <w:color w:val="auto"/>
                <w:vertAlign w:val="superscript"/>
              </w:rPr>
              <w:t>(d)</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Goodwill and other intangibles</w:t>
            </w:r>
            <w:r>
              <w:rPr>
                <w:rFonts w:ascii="Times New Roman" w:cs="Times New Roman" w:eastAsia="Times New Roman" w:hAnsi="Times New Roman"/>
                <w:sz w:val="24"/>
                <w:szCs w:val="24"/>
                <w:color w:val="auto"/>
                <w:vertAlign w:val="superscript"/>
              </w:rPr>
              <w:t>(e)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r>
      <w:tr>
        <w:trPr>
          <w:trHeight w:val="25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48"/>
        </w:trPr>
        <w:tc>
          <w:tcPr>
            <w:tcW w:w="776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CFF0FC"/>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-925195</wp:posOffset>
            </wp:positionV>
            <wp:extent cx="1028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-368300</wp:posOffset>
            </wp:positionV>
            <wp:extent cx="10287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-76200</wp:posOffset>
            </wp:positionV>
            <wp:extent cx="1028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-59055</wp:posOffset>
            </wp:positionV>
            <wp:extent cx="1028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8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600" w:hanging="592"/>
        <w:spacing w:after="0"/>
        <w:tabs>
          <w:tab w:leader="none" w:pos="6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net operating loss carryforwards of $97 million will expire in future years beyond 2025 or have no expiration, and primarily relate to European and Asian subsidiaries.</w:t>
      </w:r>
    </w:p>
    <w:p>
      <w:pPr>
        <w:spacing w:after="0" w:line="28" w:lineRule="exact"/>
        <w:rPr>
          <w:rFonts w:ascii="Times New Roman" w:cs="Times New Roman" w:eastAsia="Times New Roman" w:hAnsi="Times New Roman"/>
          <w:sz w:val="14"/>
          <w:szCs w:val="14"/>
          <w:color w:val="auto"/>
        </w:rPr>
      </w:pPr>
    </w:p>
    <w:p>
      <w:pPr>
        <w:ind w:left="600" w:hanging="592"/>
        <w:spacing w:after="0" w:line="250" w:lineRule="auto"/>
        <w:tabs>
          <w:tab w:leader="none" w:pos="6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Apportioned net operating loss carryforwards generated of $473 million will expire in future years as follows: $53 million in 2025, $42 million in 2026 and the remaining balance in other future years.</w:t>
      </w:r>
    </w:p>
    <w:p>
      <w:pPr>
        <w:spacing w:after="0" w:line="1"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carryforwards consist primarily of foreign tax credits of $15 million expiring in future years, and state tax credits of $2 million that will expire in 2026 and other future years.</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allowances primarily relate to certain state and foreign net operating loss carryforwards and certain federal credit carryforwards.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gross amount of goodwill as of September 30, 2024 expected to be deductible for tax purposes is $36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3" w:name="page114"/>
    <w:bookmarkEnd w:id="113"/>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U.S. and foreign components of income (loss) from continuing operations before income taxes and a reconciliation of the statutory federal income tax with the provision for income taxes follow. The foreign components of income from continuing operations disclosed in the following table exclude any allocations of certain corporate expenses incurred in the U.S.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1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computed at U.S. statutory rate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amount computed resulting from</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law changes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 U.S. restructuring</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666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Deemed inclusions, foreign dividends and other restructuring</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tax credits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666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Valuation allowance changes</w:t>
            </w:r>
            <w:r>
              <w:rPr>
                <w:rFonts w:ascii="Times New Roman" w:cs="Times New Roman" w:eastAsia="Times New Roman" w:hAnsi="Times New Roman"/>
                <w:sz w:val="24"/>
                <w:szCs w:val="24"/>
                <w:color w:val="auto"/>
                <w:vertAlign w:val="superscript"/>
              </w:rPr>
              <w:t>(b)</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taxes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rate differential</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Basis difference on stock sale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4"/>
                <w:szCs w:val="24"/>
                <w:color w:val="auto"/>
                <w:vertAlign w:val="superscript"/>
              </w:rPr>
              <w:t>(c)</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4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48"/>
        </w:trPr>
        <w:tc>
          <w:tcPr>
            <w:tcW w:w="666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-2313940</wp:posOffset>
            </wp:positionV>
            <wp:extent cx="939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-2313940</wp:posOffset>
            </wp:positionV>
            <wp:extent cx="857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-76835</wp:posOffset>
            </wp:positionV>
            <wp:extent cx="939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-59055</wp:posOffset>
            </wp:positionV>
            <wp:extent cx="939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-76835</wp:posOffset>
            </wp:positionV>
            <wp:extent cx="8572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-59055</wp:posOffset>
            </wp:positionV>
            <wp:extent cx="857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line="251" w:lineRule="auto"/>
        <w:tabs>
          <w:tab w:leader="none" w:pos="6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includes $17 million related to GILTI permanent adjustments and $11 million related to Subpart F. 2023 includes $19 million related to GILTI permanent adjustment and $12 million related to Subpart F. 2022 includes $31 million primarily related to GILTI permanent adjustments.</w:t>
      </w:r>
    </w:p>
    <w:p>
      <w:pPr>
        <w:ind w:left="600" w:hanging="592"/>
        <w:spacing w:after="0" w:line="250" w:lineRule="auto"/>
        <w:tabs>
          <w:tab w:leader="none" w:pos="6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includes net $10 million related to state NOL's, deferred taxes and foreign tax credits. 2023 includes net $2 million related to deferred taxes and foreign tax credits. 2022 includes $4 million related to state NOL's.</w:t>
      </w:r>
    </w:p>
    <w:p>
      <w:pPr>
        <w:spacing w:after="0" w:line="1"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includes miscellaneous items of $6 million. 2023 includes miscellaneous items of $1 million. 2022 includes $8 million related to withholding tax.</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$65 million and $59 million of unrecognized tax benefits at September 30, 2024 and 2023, respectively, recorded within other noncurrent liabilities. As of September 30, 2024, the total amount of unrecognized tax benefits that, if recognized, would affect the tax rate for continuing and discontinued operations was $57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recognizes interest and penalties related to uncertain tax positions as a component of income tax expense (benefit) in the Statements of Consolidated Comprehensive Income (Loss). Such interest and penalties totaled $3 million expense in 2024, $1 million benefit in 2023 and $3 million expense in 2022. Ashland had $14 million in interest and penalties related to unrecognized tax benefits accrued as of September 30, 2024 and $10 million as of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4" w:name="page115"/>
    <w:bookmarkEnd w:id="114"/>
    <w:p>
      <w:pPr>
        <w:ind w:left="380"/>
        <w:spacing w:after="0"/>
        <w:rPr>
          <w:sz w:val="20"/>
          <w:szCs w:val="20"/>
          <w:color w:val="auto"/>
        </w:rPr>
      </w:pPr>
      <w:r>
        <w:rPr>
          <w:rFonts w:ascii="Times New Roman" w:cs="Times New Roman" w:eastAsia="Times New Roman" w:hAnsi="Times New Roman"/>
          <w:sz w:val="18"/>
          <w:szCs w:val="18"/>
          <w:color w:val="auto"/>
        </w:rPr>
        <w:t>Changes in unrecognized tax benefits were as follows: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8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8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in the prior year</w:t>
            </w:r>
          </w:p>
        </w:tc>
        <w:tc>
          <w:tcPr>
            <w:tcW w:w="8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8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8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related to positions taken in the prior year</w:t>
            </w:r>
          </w:p>
        </w:tc>
        <w:tc>
          <w:tcPr>
            <w:tcW w:w="8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9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8"/>
        </w:trPr>
        <w:tc>
          <w:tcPr>
            <w:tcW w:w="9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9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a combination of statute expirations and audit settlements in the next twelve months, Ashland expects a decrease in the amount of accrual for uncertain tax positions of between $2 million and $5 million for continuing operations. For the remaining balance as of September 30, 2024,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Ashland or one of its subsidiaries files income tax returns in the U.S. federal jurisdiction and various state and foreign jurisdictions. Foreign taxing jurisdictions significant to Ashland include Belgium, Brazil, China, Germany, India, Italy, Mexico, Netherlands, Spain, Switzerland and the United Kingdom. Ashland is subject to U.S. federal income tax examinations by tax authorities for periods after September 30, 2021 and U.S. state income tax examinations by tax authorities for periods after September 30, 2017. With respect to countries outside of the United States, with certain exceptions, Ashland’s foreign subsidiaries are subject to income tax audits for years after 2018.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7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Benefits for those eligible for Ashland’s U.S. pension plans generally are based on employees’ years of service and compensation during the years immediately preceding their retirement. The remaining U.S. plans are still open for enrollment for qualifying union employees within certain manufacturing sites.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postretirement benefit plans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Postretirement health care plans include a limit on Ashland’s share of costs for recent and future retirees. The assumed pre-65 health care cost increase trend rate as of September 30, 2024 was 7.2% and continues to be reduced to 4.0% in 2048 and thereafter. The assumptions used to project the liability anticipate future cost-sharing changes to the written plans that are consistent with the increase in health care costs.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Plan Amendments and Remeasurements</w:t>
      </w:r>
    </w:p>
    <w:p>
      <w:pPr>
        <w:spacing w:after="0" w:line="121" w:lineRule="exact"/>
        <w:rPr>
          <w:sz w:val="20"/>
          <w:szCs w:val="20"/>
          <w:color w:val="auto"/>
        </w:rPr>
      </w:pPr>
    </w:p>
    <w:p>
      <w:pPr>
        <w:jc w:val="both"/>
        <w:ind w:right="60" w:firstLine="374"/>
        <w:spacing w:after="0" w:line="258" w:lineRule="auto"/>
        <w:rPr>
          <w:sz w:val="20"/>
          <w:szCs w:val="20"/>
          <w:color w:val="auto"/>
        </w:rPr>
      </w:pPr>
      <w:r>
        <w:rPr>
          <w:rFonts w:ascii="Times New Roman" w:cs="Times New Roman" w:eastAsia="Times New Roman" w:hAnsi="Times New Roman"/>
          <w:sz w:val="18"/>
          <w:szCs w:val="18"/>
          <w:color w:val="auto"/>
        </w:rPr>
        <w:t>Following the completion of the sale of its Performance Adhesives business segment on February 28, 2022, the post-retirement benefits for approximately 40 employees transferred to Arkema, all of whom participated in a non-contributory defined benefit plan in the U.S., were frozen. This resulted in a decrease in total expected future years of service within the plan and required Ashland to remeasure the plan as February 28, 2022. As a result, Ashland recorded a $1 million actuarial gain within the other net periodic benefit loss (income) caption of the Statements of Consolidated Comprehensive Income (Loss) for fiscal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loss (income) allocation</w:t>
      </w:r>
    </w:p>
    <w:p>
      <w:pPr>
        <w:spacing w:after="0" w:line="121"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Consistent with Ashland’s historical accounting policies, service cost for continuing operations is allocated to each reportable segment, excluding the Unallocated and other segment, while all other costs for continuing operations are recorded within the Unallocated and other segment.</w:t>
      </w:r>
    </w:p>
    <w:p>
      <w:pPr>
        <w:spacing w:after="0" w:line="54"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pension and other postretirement benefit costs for continuing operations and the assumptions used to determine net periodic benefit loss (income) for the plans.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Pension benefits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7"/>
          </w:tcPr>
          <w:p>
            <w:pPr>
              <w:jc w:val="right"/>
              <w:ind w:right="47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loss (income)</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Service cost</w:t>
            </w:r>
            <w:r>
              <w:rPr>
                <w:rFonts w:ascii="Times New Roman" w:cs="Times New Roman" w:eastAsia="Times New Roman" w:hAnsi="Times New Roman"/>
                <w:sz w:val="24"/>
                <w:szCs w:val="24"/>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Interest cost</w:t>
            </w:r>
            <w:r>
              <w:rPr>
                <w:rFonts w:ascii="Times New Roman" w:cs="Times New Roman" w:eastAsia="Times New Roman" w:hAnsi="Times New Roman"/>
                <w:sz w:val="24"/>
                <w:szCs w:val="24"/>
                <w:color w:val="auto"/>
                <w:vertAlign w:val="superscript"/>
              </w:rPr>
              <w:t>(b)</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Curtailment, settlement and other</w:t>
            </w:r>
            <w:r>
              <w:rPr>
                <w:rFonts w:ascii="Times New Roman" w:cs="Times New Roman" w:eastAsia="Times New Roman" w:hAnsi="Times New Roman"/>
                <w:sz w:val="24"/>
                <w:szCs w:val="24"/>
                <w:color w:val="auto"/>
                <w:vertAlign w:val="superscript"/>
              </w:rPr>
              <w:t>(b)</w:t>
            </w: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Expected return on plan assets</w:t>
            </w:r>
            <w:r>
              <w:rPr>
                <w:rFonts w:ascii="Times New Roman" w:cs="Times New Roman" w:eastAsia="Times New Roman" w:hAnsi="Times New Roman"/>
                <w:sz w:val="24"/>
                <w:szCs w:val="24"/>
                <w:color w:val="auto"/>
                <w:vertAlign w:val="superscript"/>
              </w:rPr>
              <w:t>(b)</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Actuarial (gain) loss</w:t>
            </w:r>
            <w:r>
              <w:rPr>
                <w:rFonts w:ascii="Times New Roman" w:cs="Times New Roman" w:eastAsia="Times New Roman" w:hAnsi="Times New Roman"/>
                <w:sz w:val="24"/>
                <w:szCs w:val="24"/>
                <w:color w:val="auto"/>
                <w:vertAlign w:val="superscript"/>
              </w:rPr>
              <w:t>(b)</w:t>
            </w:r>
          </w:p>
        </w:tc>
        <w:tc>
          <w:tcPr>
            <w:tcW w:w="2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20" w:type="dxa"/>
            <w:vAlign w:val="bottom"/>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Weighted-average plan assumptions</w:t>
            </w:r>
            <w:r>
              <w:rPr>
                <w:rFonts w:ascii="Times New Roman" w:cs="Times New Roman" w:eastAsia="Times New Roman" w:hAnsi="Times New Roman"/>
                <w:sz w:val="22"/>
                <w:szCs w:val="22"/>
                <w:b w:val="1"/>
                <w:bCs w:val="1"/>
                <w:color w:val="auto"/>
                <w:vertAlign w:val="superscript"/>
              </w:rPr>
              <w:t>(c)</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service cost</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4.64 %</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4.56 %</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2.99 %</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5.80 %</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 for interest cost</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5.49 %</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5.44 %</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3.33 %</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5.92 %</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5.54 %</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3.07 %</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3.07 %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4.99 %</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-722630</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-705485</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-722630</wp:posOffset>
            </wp:positionV>
            <wp:extent cx="774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-705485</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-722630</wp:posOffset>
            </wp:positionV>
            <wp:extent cx="1111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-705485</wp:posOffset>
            </wp:positionV>
            <wp:extent cx="1111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-722630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-705485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-722630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-705485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ind w:left="600" w:hanging="592"/>
        <w:spacing w:after="0"/>
        <w:tabs>
          <w:tab w:leader="none" w:pos="6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cost is classified within the selling, general and administrative expense and cost of sales captions on the Statements of Consolidated Comprehensive Income (Loss).</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are classified within the other net periodic benefit loss (income) caption on the Statements of Consolidated Comprehensive Income (Loss).</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plan assumptions discussed are a blended weighted-average rate for Ashland’s U.S. and non-U.S. plans.</w:t>
      </w:r>
    </w:p>
    <w:p>
      <w:pPr>
        <w:spacing w:after="0" w:line="87"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changes in prior service credit recognized in accumulated other comprehensive income during both 2024 and 2023 were less than $1 million each. At September 30, 2024, Ashland expects to recognize less than $1 million of the prior service credit in accumulated other comprehensive income as net periodic benefit loss (income) during the next fiscal year.</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2024 and 2023, the amounts included in accumulated other comprehensive income are shown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Pension</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Postretirement</w:t>
            </w:r>
          </w:p>
        </w:tc>
        <w:tc>
          <w:tcPr>
            <w:tcW w:w="10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9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42"/>
        </w:trPr>
        <w:tc>
          <w:tcPr>
            <w:tcW w:w="4960" w:type="dxa"/>
            <w:vAlign w:val="bottom"/>
          </w:tcPr>
          <w:p>
            <w:pPr>
              <w:spacing w:after="0"/>
              <w:rPr>
                <w:sz w:val="24"/>
                <w:szCs w:val="24"/>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F-34</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08" w:right="2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Obligations and funded status</w:t>
      </w:r>
    </w:p>
    <w:p>
      <w:pPr>
        <w:spacing w:after="0" w:line="12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Actuarial valuations are performed for the pension and other postretirement benefit plans to determine Ashland’s obligation for each plan. In accordance with U.S. GAAP, Ashland recognizes the unfunded status of the plans as a liability in the Consolidated Balance Sheets. Ashland maintains a defined benefits plan in the UK that is overfunded by $18 million, all of which is recorded in the other noncurrent assets caption of the Consolidated Balance Sheets.</w:t>
      </w:r>
    </w:p>
    <w:p>
      <w:pPr>
        <w:spacing w:after="0" w:line="72" w:lineRule="exact"/>
        <w:rPr>
          <w:sz w:val="20"/>
          <w:szCs w:val="20"/>
          <w:color w:val="auto"/>
        </w:rPr>
      </w:pPr>
    </w:p>
    <w:p>
      <w:pPr>
        <w:jc w:val="both"/>
        <w:ind w:right="60" w:firstLine="435"/>
        <w:spacing w:after="0" w:line="282" w:lineRule="auto"/>
        <w:rPr>
          <w:sz w:val="20"/>
          <w:szCs w:val="20"/>
          <w:color w:val="auto"/>
        </w:rPr>
      </w:pPr>
      <w:r>
        <w:rPr>
          <w:rFonts w:ascii="Times New Roman" w:cs="Times New Roman" w:eastAsia="Times New Roman" w:hAnsi="Times New Roman"/>
          <w:sz w:val="18"/>
          <w:szCs w:val="18"/>
          <w:color w:val="auto"/>
        </w:rPr>
        <w:t>Summaries of the change in benefit obligations, plan assets, funded status of the plans, amounts recognized in the balance sheet, and assumptions used to determine the benefit obligations for 2024 and 2023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Other postretirement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Pension plans</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benefit plans</w:t>
            </w: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obligations at October 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Curtailments</w:t>
            </w:r>
          </w:p>
        </w:tc>
        <w:tc>
          <w:tcPr>
            <w:tcW w:w="9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acquisitions)</w:t>
            </w:r>
          </w:p>
        </w:tc>
        <w:tc>
          <w:tcPr>
            <w:tcW w:w="9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 at September 30</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plan assets at October 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94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plan assets at September 30</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Unfunded status of the plans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plan assumptions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4.50 %</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5.43 %</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4.91 %</w:t>
            </w:r>
          </w:p>
        </w:tc>
        <w:tc>
          <w:tcPr>
            <w:tcW w:w="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4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3.07 %</w:t>
            </w:r>
          </w:p>
        </w:tc>
        <w:tc>
          <w:tcPr>
            <w:tcW w:w="9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3.07 %</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9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-3333750</wp:posOffset>
            </wp:positionV>
            <wp:extent cx="857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-3333750</wp:posOffset>
            </wp:positionV>
            <wp:extent cx="768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-3333750</wp:posOffset>
            </wp:positionV>
            <wp:extent cx="7747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-1928495</wp:posOffset>
            </wp:positionV>
            <wp:extent cx="857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-1928495</wp:posOffset>
            </wp:positionV>
            <wp:extent cx="768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-1928495</wp:posOffset>
            </wp:positionV>
            <wp:extent cx="774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-770890</wp:posOffset>
            </wp:positionV>
            <wp:extent cx="857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-770890</wp:posOffset>
            </wp:positionV>
            <wp:extent cx="768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-770890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accumulated benefit obligation for all pension plans was $284 million at September 30, 2024 and $250 million at September 30, 2023. All Ashland pension plans are either qualified U.S. or non-US plans. Information for pension plans with an accumulated benefit obligation in excess of plan assets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5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5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60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50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600" w:type="dxa"/>
            <w:vAlign w:val="bottom"/>
          </w:tcPr>
          <w:p>
            <w:pPr>
              <w:spacing w:after="0"/>
              <w:rPr>
                <w:sz w:val="18"/>
                <w:szCs w:val="18"/>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5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6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r>
      <w:tr>
        <w:trPr>
          <w:trHeight w:val="68"/>
        </w:trPr>
        <w:tc>
          <w:tcPr>
            <w:tcW w:w="3880" w:type="dxa"/>
            <w:vAlign w:val="bottom"/>
            <w:tcBorders>
              <w:bottom w:val="single" w:sz="8" w:color="auto"/>
            </w:tcBorders>
          </w:tcPr>
          <w:p>
            <w:pPr>
              <w:spacing w:after="0"/>
              <w:rPr>
                <w:sz w:val="5"/>
                <w:szCs w:val="5"/>
                <w:color w:val="auto"/>
              </w:rPr>
            </w:pPr>
          </w:p>
        </w:tc>
        <w:tc>
          <w:tcPr>
            <w:tcW w:w="3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641"/>
        </w:trPr>
        <w:tc>
          <w:tcPr>
            <w:tcW w:w="3880" w:type="dxa"/>
            <w:vAlign w:val="bottom"/>
          </w:tcPr>
          <w:p>
            <w:pPr>
              <w:spacing w:after="0"/>
              <w:rPr>
                <w:sz w:val="24"/>
                <w:szCs w:val="24"/>
                <w:color w:val="auto"/>
              </w:rPr>
            </w:pPr>
          </w:p>
        </w:tc>
        <w:tc>
          <w:tcPr>
            <w:tcW w:w="35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F-35</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008" w:right="2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expected long-term rate of return on pension plan assets was 4.99% and 4.25% for September 30, 2024 and 2023,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2024. For additional information and a detailed description of each level within the fair value hierarchy, see Note 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Quoted prices</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identical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fair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value</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6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106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Listed real assets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6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stocks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960" w:type="dxa"/>
            <w:vAlign w:val="bottom"/>
            <w:tcBorders>
              <w:top w:val="single" w:sz="8" w:color="CFF0FC"/>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-76835</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-59055</wp:posOffset>
            </wp:positionV>
            <wp:extent cx="857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-76835</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-59055</wp:posOffset>
            </wp:positionV>
            <wp:extent cx="768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-76835</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-59055</wp:posOffset>
            </wp:positionV>
            <wp:extent cx="774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Quoted prices</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identical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observable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fair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value</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6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instruments</w:t>
            </w:r>
          </w:p>
        </w:tc>
        <w:tc>
          <w:tcPr>
            <w:tcW w:w="106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Listed real assets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6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stocks</w:t>
            </w: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4960" w:type="dxa"/>
            <w:vAlign w:val="bottom"/>
            <w:tcBorders>
              <w:top w:val="single" w:sz="8" w:color="CFF0FC"/>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CFF0FC"/>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-76200</wp:posOffset>
            </wp:positionV>
            <wp:extent cx="857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-59055</wp:posOffset>
            </wp:positionV>
            <wp:extent cx="857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-76200</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-59055</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-76200</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-59055</wp:posOffset>
            </wp:positionV>
            <wp:extent cx="774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pension plan holds a variety of investments designed to diversify risk. Investments classified as a Level 1 fair value measure principally represent marketable securities priced in active markets. Cash and cash equivalents and public equity and debt securities are well diversified and invested in U.S. and international small-to-large companies across various asset managers and styles. Investments classified as a Level 2 fair value measure principally represents fixed-income securities and other investment grade corporate bonds and debt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i w:val="1"/>
          <w:iCs w:val="1"/>
          <w:color w:val="auto"/>
        </w:rPr>
        <w:t>Investments and Strategy</w:t>
      </w:r>
    </w:p>
    <w:p>
      <w:pPr>
        <w:spacing w:after="0" w:line="119" w:lineRule="exact"/>
        <w:rPr>
          <w:sz w:val="20"/>
          <w:szCs w:val="20"/>
          <w:color w:val="auto"/>
        </w:rPr>
      </w:pPr>
    </w:p>
    <w:p>
      <w:pPr>
        <w:jc w:val="both"/>
        <w:ind w:right="60" w:firstLine="374"/>
        <w:spacing w:after="0" w:line="255" w:lineRule="auto"/>
        <w:rPr>
          <w:sz w:val="20"/>
          <w:szCs w:val="20"/>
          <w:color w:val="auto"/>
        </w:rPr>
      </w:pPr>
      <w:r>
        <w:rPr>
          <w:rFonts w:ascii="Times New Roman" w:cs="Times New Roman" w:eastAsia="Times New Roman" w:hAnsi="Times New Roman"/>
          <w:sz w:val="18"/>
          <w:szCs w:val="18"/>
          <w:color w:val="auto"/>
        </w:rPr>
        <w:t>In developing an investment strategy for its defined benefit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The current asset allocation for the U.S. plans is 47.6% fixed income securities, 38.8% equity securities and 13.6% other securities. Fixed income securities primarily include cash and cash equivalents, long duration corporate debt obligations and U.S. government debt obligations. In addition, Ashland’s non-U.S. plan fixed income securities include insurance contracts. Equity securities are comprised solely of traditional public equity investments. Investment managers may employ a limited use of derivatives to gain efficient exposure to markets.</w:t>
      </w:r>
    </w:p>
    <w:p>
      <w:pPr>
        <w:spacing w:after="0" w:line="72"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Ashland’s investment strategy and management practices relative to plan assets of non-U.S. plans generally are consistent with those for U.S. plans, except in those countries where investment of plan assets is dictated by applicable regulations. Although the investment allocation may vary based on funding percentages and whether plans are still accruing additional liabilities, the weighted-average asset allocations for Ashland’s U.S. and non-U.S. plans at September 30, 2024 and 2023 by asset category follow.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0" w:type="dxa"/>
            <w:vAlign w:val="bottom"/>
            <w:tcBorders>
              <w:top w:val="single" w:sz="8" w:color="auto"/>
              <w:bottom w:val="single" w:sz="8" w:color="auto"/>
            </w:tcBorders>
            <w:gridSpan w:val="2"/>
            <w:vMerge w:val="restart"/>
          </w:tcPr>
          <w:p>
            <w:pPr>
              <w:jc w:val="center"/>
              <w:ind w:left="1570"/>
              <w:spacing w:after="0"/>
              <w:rPr>
                <w:sz w:val="20"/>
                <w:szCs w:val="20"/>
                <w:color w:val="auto"/>
              </w:rPr>
            </w:pPr>
            <w:r>
              <w:rPr>
                <w:rFonts w:ascii="Times New Roman" w:cs="Times New Roman" w:eastAsia="Times New Roman" w:hAnsi="Times New Roman"/>
                <w:sz w:val="18"/>
                <w:szCs w:val="18"/>
                <w:color w:val="auto"/>
                <w:w w:val="97"/>
              </w:rPr>
              <w:t>Target</w:t>
            </w:r>
          </w:p>
        </w:tc>
        <w:tc>
          <w:tcPr>
            <w:tcW w:w="3620" w:type="dxa"/>
            <w:vAlign w:val="bottom"/>
            <w:tcBorders>
              <w:top w:val="single" w:sz="8" w:color="auto"/>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Actual at September 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tcBorders>
              <w:bottom w:val="single" w:sz="8" w:color="auto"/>
            </w:tcBorders>
            <w:vMerge w:val="continue"/>
          </w:tcPr>
          <w:p>
            <w:pPr>
              <w:spacing w:after="0"/>
              <w:rPr>
                <w:sz w:val="18"/>
                <w:szCs w:val="18"/>
                <w:color w:val="auto"/>
              </w:rPr>
            </w:pPr>
          </w:p>
        </w:tc>
        <w:tc>
          <w:tcPr>
            <w:tcW w:w="3600" w:type="dxa"/>
            <w:vAlign w:val="bottom"/>
            <w:tcBorders>
              <w:bottom w:val="single" w:sz="8" w:color="auto"/>
            </w:tcBorders>
            <w:gridSpan w:val="2"/>
            <w:vMerge w:val="continue"/>
          </w:tcPr>
          <w:p>
            <w:pPr>
              <w:spacing w:after="0"/>
              <w:rPr>
                <w:sz w:val="18"/>
                <w:szCs w:val="18"/>
                <w:color w:val="auto"/>
              </w:rPr>
            </w:pPr>
          </w:p>
        </w:tc>
        <w:tc>
          <w:tcPr>
            <w:tcW w:w="17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allocation</w:t>
            </w:r>
          </w:p>
        </w:tc>
        <w:tc>
          <w:tcPr>
            <w:tcW w:w="2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6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5 - 45%</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0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371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6256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During 2024 and 2023, Ashland contributed $7 million and $3 million to its U.S. pension plans, respectively, and $8 million and $5 million to its non-U.S. pension plans, respectively. Ashland expects to contribute approximately $6 million to its U.S. pension plans and expects to contribute approximately $5 million to its non-U.S. pension plans during 2025.</w:t>
      </w:r>
    </w:p>
    <w:p>
      <w:pPr>
        <w:spacing w:after="0" w:line="68"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following benefit payments, which reflect future service expectations, are projected to be paid from plan assets in each of the next five years and in aggregate for five years thereafter.</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4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3940" w:type="dxa"/>
            <w:vAlign w:val="bottom"/>
          </w:tcPr>
          <w:p>
            <w:pPr>
              <w:spacing w:after="0"/>
              <w:rPr>
                <w:sz w:val="18"/>
                <w:szCs w:val="18"/>
                <w:color w:val="auto"/>
              </w:rPr>
            </w:pPr>
          </w:p>
        </w:tc>
        <w:tc>
          <w:tcPr>
            <w:tcW w:w="45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Pension</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postretirement</w:t>
            </w:r>
          </w:p>
        </w:tc>
      </w:tr>
      <w:tr>
        <w:trPr>
          <w:trHeight w:val="234"/>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452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8"/>
                <w:szCs w:val="18"/>
                <w:color w:val="auto"/>
              </w:rPr>
              <w:t>benefits</w:t>
            </w: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8"/>
              </w:rPr>
              <w:t>benefits</w:t>
            </w:r>
          </w:p>
        </w:tc>
      </w:tr>
      <w:tr>
        <w:trPr>
          <w:trHeight w:val="21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45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49"/>
        </w:trPr>
        <w:tc>
          <w:tcPr>
            <w:tcW w:w="394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plans</w:t>
      </w:r>
    </w:p>
    <w:p>
      <w:pPr>
        <w:spacing w:after="0" w:line="12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Ashland sponsors savings plans to assist eligible employees in providing for retirement or other future needs. Under such plans, company contributions amounted to $21 million in 2024, and $23 million in 2023 and 2022, respectively. Ashland also sponsors various other employee benefit plans, some of which are required by different countries. The total noncurrent liabilities associated with these plans was $4 million for September 30, 2024 and 2023, respectively.</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18" w:right="2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M – LITIGATION, CLAIMS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 litigation</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Ashland and Hercules have liabilities from claims alleging personal injury caused by exposure to asbestos. To assist in developing and annually updating independent reserve estimates for future asbestos claims and related costs, Ashland has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dismissed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 claims - end of year</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48"/>
        </w:trPr>
        <w:tc>
          <w:tcPr>
            <w:tcW w:w="6600" w:type="dxa"/>
            <w:vAlign w:val="bottom"/>
            <w:tcBorders>
              <w:top w:val="single" w:sz="8" w:color="CFF0FC"/>
              <w:bottom w:val="single" w:sz="8" w:color="auto"/>
            </w:tcBorders>
          </w:tcPr>
          <w:p>
            <w:pPr>
              <w:spacing w:after="0"/>
              <w:rPr>
                <w:sz w:val="4"/>
                <w:szCs w:val="4"/>
                <w:color w:val="auto"/>
              </w:rPr>
            </w:pPr>
          </w:p>
        </w:tc>
        <w:tc>
          <w:tcPr>
            <w:tcW w:w="150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4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48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-76835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-59690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-76835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-59690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liability</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the most recent update completed during 2024, it was determined that the liability for Ashland asbestos-related claims should be increased by $24 million. Total reserves for asbestos claims were $274 million at September 30, 2024 compared to $281 million at September 30, 2023.</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asbestos reserve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w:t>
            </w:r>
          </w:p>
        </w:tc>
        <w:tc>
          <w:tcPr>
            <w:tcW w:w="3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paid</w:t>
            </w:r>
          </w:p>
        </w:tc>
        <w:tc>
          <w:tcPr>
            <w:tcW w:w="3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0"/>
        </w:trPr>
        <w:tc>
          <w:tcPr>
            <w:tcW w:w="5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Asbestos reserve - end of year</w:t>
            </w:r>
            <w:r>
              <w:rPr>
                <w:rFonts w:ascii="Times New Roman" w:cs="Times New Roman" w:eastAsia="Times New Roman" w:hAnsi="Times New Roman"/>
                <w:sz w:val="24"/>
                <w:szCs w:val="24"/>
                <w:color w:val="auto"/>
                <w:vertAlign w:val="superscript"/>
              </w:rPr>
              <w:t>(a)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-222250</wp:posOffset>
            </wp:positionV>
            <wp:extent cx="12001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-222250</wp:posOffset>
            </wp:positionV>
            <wp:extent cx="12001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3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600" w:hanging="592"/>
        <w:spacing w:after="0"/>
        <w:tabs>
          <w:tab w:leader="none" w:pos="6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$28 million classified in accrued expenses and other liabilities on the Consolidated Balance Sheets as of September 30, 2024 and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Ashland asbestos-related receivables</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2024, Ashland’s receivable for recoveries of litigation defense and claim settlement costs from insurers amounted to $97 million (excluding the Hercules receivable for asbestos claims discussed below). Receivables from insurers amounted to $95 million 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0" w:name="page121"/>
    <w:bookmarkEnd w:id="120"/>
    <w:p>
      <w:pPr>
        <w:spacing w:after="0" w:line="282" w:lineRule="auto"/>
        <w:rPr>
          <w:sz w:val="20"/>
          <w:szCs w:val="20"/>
          <w:color w:val="auto"/>
        </w:rPr>
      </w:pPr>
      <w:r>
        <w:rPr>
          <w:rFonts w:ascii="Times New Roman" w:cs="Times New Roman" w:eastAsia="Times New Roman" w:hAnsi="Times New Roman"/>
          <w:sz w:val="18"/>
          <w:szCs w:val="18"/>
          <w:color w:val="auto"/>
        </w:rPr>
        <w:t>September 30, 2023. During 2024, the annual update of the model used for purposes of valuing the asbestos reserve and its impact on valuation of future recoveries from insurers was completed. This model update resulted in a $11 million increase in the receivable for probable insurance recoveries.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Ashland insurance receivable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Receivable adjustment</w:t>
            </w:r>
            <w:r>
              <w:rPr>
                <w:rFonts w:ascii="Times New Roman" w:cs="Times New Roman" w:eastAsia="Times New Roman" w:hAnsi="Times New Roman"/>
                <w:sz w:val="24"/>
                <w:szCs w:val="24"/>
                <w:color w:val="auto"/>
                <w:vertAlign w:val="superscript"/>
              </w:rPr>
              <w:t>(a)</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collected</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0"/>
        </w:trPr>
        <w:tc>
          <w:tcPr>
            <w:tcW w:w="66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Insurance receivable - end of year</w:t>
            </w:r>
            <w:r>
              <w:rPr>
                <w:rFonts w:ascii="Times New Roman" w:cs="Times New Roman" w:eastAsia="Times New Roman" w:hAnsi="Times New Roman"/>
                <w:sz w:val="24"/>
                <w:szCs w:val="24"/>
                <w:color w:val="auto"/>
                <w:vertAlign w:val="superscript"/>
              </w:rPr>
              <w:t>(b)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600" w:hanging="592"/>
        <w:spacing w:after="0"/>
        <w:tabs>
          <w:tab w:leader="none" w:pos="6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allowance for credit losses was $1 million as of September 30, 2024 and 2023.</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 million and $11 million classified in accounts receivable on the Consolidated Balance Sheets as of September 30, 2024 and 2023,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litigation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dismissed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claims - end of year</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6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-222250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-222250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liability</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2024, it was determined that the liability for Hercules asbestos-related claims should be increased by $14 million. Total reserves for asbestos claims were $185 million at September 30, 2024 compared to $191 million at September 30, 2023.</w:t>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in the asbestos reserve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adjustments</w:t>
            </w:r>
          </w:p>
        </w:tc>
        <w:tc>
          <w:tcPr>
            <w:tcW w:w="3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8"/>
        </w:trPr>
        <w:tc>
          <w:tcPr>
            <w:tcW w:w="5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Amounts paid</w:t>
            </w:r>
          </w:p>
        </w:tc>
        <w:tc>
          <w:tcPr>
            <w:tcW w:w="36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38"/>
        </w:trPr>
        <w:tc>
          <w:tcPr>
            <w:tcW w:w="5700" w:type="dxa"/>
            <w:vAlign w:val="bottom"/>
            <w:vMerge w:val="restart"/>
          </w:tcPr>
          <w:p>
            <w:pPr>
              <w:ind w:left="20"/>
              <w:spacing w:after="0" w:line="267" w:lineRule="exact"/>
              <w:rPr>
                <w:sz w:val="20"/>
                <w:szCs w:val="20"/>
                <w:color w:val="auto"/>
              </w:rPr>
            </w:pPr>
            <w:r>
              <w:rPr>
                <w:rFonts w:ascii="Times New Roman" w:cs="Times New Roman" w:eastAsia="Times New Roman" w:hAnsi="Times New Roman"/>
                <w:sz w:val="18"/>
                <w:szCs w:val="18"/>
                <w:color w:val="auto"/>
              </w:rPr>
              <w:t>Asbestos reserve - end of year</w:t>
            </w:r>
            <w:r>
              <w:rPr>
                <w:rFonts w:ascii="Times New Roman" w:cs="Times New Roman" w:eastAsia="Times New Roman" w:hAnsi="Times New Roman"/>
                <w:sz w:val="24"/>
                <w:szCs w:val="24"/>
                <w:color w:val="auto"/>
                <w:vertAlign w:val="superscript"/>
              </w:rPr>
              <w:t>(a)</w:t>
            </w:r>
          </w:p>
        </w:tc>
        <w:tc>
          <w:tcPr>
            <w:tcW w:w="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460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600" w:hanging="592"/>
        <w:spacing w:after="0"/>
        <w:tabs>
          <w:tab w:leader="none" w:pos="6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$17 million classified in accrued expenses and other liabilities on the Consolidated Balance Sheets as of September 30, 2024 and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asbestos-related receivables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September 30, 2024 and 2023, the receivables from insurers amounted to $50 million and $47 million, respectively. During 2024, the annual update of the model used for purposes of valuing the asbestos reserve and its impact on valuation of future recoveries from insurers was completed. This model update resulted in a $6 million increase in the receivable for probable insurance recoveries.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1" w:name="page122"/>
    <w:bookmarkEnd w:id="121"/>
    <w:p>
      <w:pPr>
        <w:ind w:left="380"/>
        <w:spacing w:after="0"/>
        <w:rPr>
          <w:sz w:val="20"/>
          <w:szCs w:val="20"/>
          <w:color w:val="auto"/>
        </w:rPr>
      </w:pPr>
      <w:r>
        <w:rPr>
          <w:rFonts w:ascii="Times New Roman" w:cs="Times New Roman" w:eastAsia="Times New Roman" w:hAnsi="Times New Roman"/>
          <w:sz w:val="18"/>
          <w:szCs w:val="18"/>
          <w:color w:val="auto"/>
        </w:rPr>
        <w:t>A progression of activity in the Hercules insurance receivable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Receivable adjustment</w:t>
            </w:r>
            <w:r>
              <w:rPr>
                <w:rFonts w:ascii="Times New Roman" w:cs="Times New Roman" w:eastAsia="Times New Roman" w:hAnsi="Times New Roman"/>
                <w:sz w:val="24"/>
                <w:szCs w:val="24"/>
                <w:color w:val="auto"/>
                <w:vertAlign w:val="superscript"/>
              </w:rPr>
              <w:t>(a)</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Amounts collected</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66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Insurance receivable - end of year</w:t>
            </w:r>
            <w:r>
              <w:rPr>
                <w:rFonts w:ascii="Times New Roman" w:cs="Times New Roman" w:eastAsia="Times New Roman" w:hAnsi="Times New Roman"/>
                <w:sz w:val="24"/>
                <w:szCs w:val="24"/>
                <w:color w:val="auto"/>
                <w:vertAlign w:val="superscript"/>
              </w:rPr>
              <w:t>(b)</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-222250</wp:posOffset>
            </wp:positionV>
            <wp:extent cx="939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-222250</wp:posOffset>
            </wp:positionV>
            <wp:extent cx="857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hanging="592"/>
        <w:spacing w:after="0"/>
        <w:tabs>
          <w:tab w:leader="none" w:pos="6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allowance for credit losses was $1 million as of September 30, 2024 and 2023.</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 million and $4 million classified in accounts receivable on the Consolidated Balance Sheets as of September 30, 2024 and 2023,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 cost projection</w:t>
      </w:r>
    </w:p>
    <w:p>
      <w:pPr>
        <w:spacing w:after="0" w:line="11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$410 million for the Ashland asbestos-related litigation (current reserve of $274 million) and approximately $276 million for the Hercules asbestos-related litigation (current reserve of $185 million), depending on the combination of assumptions selected in the various models. While the timeframe used in Ashland's models for projecting asbestos liabilities generally decreases over time based on the expected lifetime of the liabilities, these models have been consistently applied within all periods presented.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and asset retirement obligations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is subject to various federal, state and local environmental laws and regulations that require environmental assessment or remediation efforts (collectively environmental remediation) at multiple locations. At September 30, 2024, such locations included 53 sites where Ashland has been identified as a potentially responsible party under Superfund or similar state laws, 108 current and former operating facilities and about 1,225 service station properties, of which 14 are being actively remediated.</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Ashland’s reserves for environmental remediation and related environmental litigation amounted to $221 million at September 30, 2024 compared to $214 million at September 30, 2023, of which $164 million at September 30, 2024 and $165 million at September 30, 2023 were classified in other noncurrent liabilities on the Consolidated Balance Sheets. The remaining reserves were classified in accrued expenses and other liabilities on the Consolidated Balance Sheets.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reconciliation of the changes in the environmental remediation reserves during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 - beginning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Disbursements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remediation reserve - end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-222250</wp:posOffset>
            </wp:positionV>
            <wp:extent cx="1028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regularly adjusts its reserves as environmental remediation continues. Ashland has estimated the value of its probable insurance recoveries associated with its environmental reserve based on management’s interpretations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and estimates surrounding the available or applicable insurance coverage. At September 30, 2024 and 2023, Ashland’s recorded receivable for these probable insurance recoveries was $13 million and $17 million, respectively, of which $11 million and $15 million was classified in other noncurrent assets in the respective Consolidated Balance Sheets.</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2024, 2023 and 2022, Ashland recognized $54 million, $56 million and $66 million of expense, respectively, for certain environmental liabilities related to normal ongoing remediation cost estimate updates for sites, which is consistent with Ashland’s historical environmental accounting policy.</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Components of environmental remediation expense included within the selling, general and administrative expense caption of the Statements of Consolidated Comprehensive Income (Loss) are presented in the following table for the years ended September 30, 2024, 2023 and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expense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3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3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w:t>
            </w:r>
          </w:p>
        </w:tc>
        <w:tc>
          <w:tcPr>
            <w:tcW w:w="36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9"/>
        </w:trPr>
        <w:tc>
          <w:tcPr>
            <w:tcW w:w="5700" w:type="dxa"/>
            <w:vAlign w:val="bottom"/>
            <w:shd w:val="clear" w:color="auto" w:fill="CFF0FC"/>
          </w:tcPr>
          <w:p>
            <w:pPr>
              <w:ind w:left="200"/>
              <w:spacing w:after="0" w:line="210" w:lineRule="exact"/>
              <w:rPr>
                <w:sz w:val="20"/>
                <w:szCs w:val="20"/>
                <w:color w:val="auto"/>
              </w:rPr>
            </w:pPr>
            <w:r>
              <w:rPr>
                <w:rFonts w:ascii="Times New Roman" w:cs="Times New Roman" w:eastAsia="Times New Roman" w:hAnsi="Times New Roman"/>
                <w:sz w:val="18"/>
                <w:szCs w:val="18"/>
                <w:color w:val="auto"/>
              </w:rPr>
              <w:t>Total expense, net of receivable activity</w:t>
            </w:r>
            <w:r>
              <w:rPr>
                <w:rFonts w:ascii="Times New Roman" w:cs="Times New Roman" w:eastAsia="Times New Roman" w:hAnsi="Times New Roman"/>
                <w:sz w:val="24"/>
                <w:szCs w:val="24"/>
                <w:color w:val="auto"/>
                <w:vertAlign w:val="superscript"/>
              </w:rPr>
              <w:t>(a)</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48"/>
        </w:trPr>
        <w:tc>
          <w:tcPr>
            <w:tcW w:w="570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CFF0FC"/>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-642620</wp:posOffset>
            </wp:positionV>
            <wp:extent cx="1200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-642620</wp:posOffset>
            </wp:positionV>
            <wp:extent cx="12001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-76835</wp:posOffset>
            </wp:positionV>
            <wp:extent cx="12001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-59055</wp:posOffset>
            </wp:positionV>
            <wp:extent cx="12001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-76835</wp:posOffset>
            </wp:positionV>
            <wp:extent cx="1200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-59055</wp:posOffset>
            </wp:positionV>
            <wp:extent cx="12001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5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jc w:val="both"/>
        <w:ind w:left="600" w:hanging="592"/>
        <w:spacing w:after="0" w:line="241" w:lineRule="auto"/>
        <w:tabs>
          <w:tab w:leader="none" w:pos="6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$11 million, $5 million and $13 million for the fiscal years ended September 30, 2024, 2023 and 2022, respectively, related to divested businesses which qualified for treatment as discontinued operations and for which certain environmental liabilities were retained by Ashland. These amounts are classified within the income (loss) from discontinued operations caption of the Statements of Consolidated Comprehensive Income (Loss).</w:t>
      </w:r>
    </w:p>
    <w:p>
      <w:pPr>
        <w:spacing w:after="0" w:line="7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$485 million. The largest reserve for any site is 21% of the remediation reserve as of September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 tax credits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March 2017, the Federal Supreme Court of Brazil (Brazil Supreme Court) ruled in a leading case that a Brazilian value-added tax (ICMS) should not be included in the base used to calculate a taxpayer’s federal contribution on total revenue known as PIS/COFINS (2017 Decision). As a result, two of Ashland’s Brazilian subsidiaries filed lawsuits challenging the inclusion of ICMS in Ashland’s calculation of PIS/COFINs, seeking recovery of excess taxes paid plus interest.</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response to the 2017 Decision, the Brazilian tax authority filed an appeal of the 2017 Decision seeking clarification of the amount of ICMS tax to exclude from the calculation of PIS/COFINS. In May 2021, the Brazil Supreme Court ruled that the ICMS tax be excluded from the calculation of PIS/COFINS. In May 2023, Law 14592/23 was passed in Brazil, converting the 2017 Decision provisional measure effective for PIS/COFINS legislation excluding ICMS from the calculation basis.</w:t>
      </w:r>
    </w:p>
    <w:p>
      <w:pPr>
        <w:spacing w:after="0" w:line="7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of September 30, 2024, Ashland had received all favorable court rulings for previously filed suits, completed its analysis of certain prior year overpayments related to ICMS and received acknowledgment from the Brazilian tax authority that allows Ashland to begin the process to recover the taxes. As a result, Ashland recorded a pre-tax gain of $12 million for period ended September 30, 2023 for certain excess PIS/COFINS paid from 2012 to February 2023 plus interest. The gain was recognized within the selling, general and administrative expense caption of the Statement of Consolidated Comprehensive Income (Loss). Ashland started utilizing these credits in December 2023. As of September 30, 2024, Ashland had remaining credits for a total of $8 million available for future use ($5 million within other current assets and $3 million within other noncurrent assets in the Consolidated Balance Sheets,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proceedings and claims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3" w:name="page124"/>
    <w:bookmarkEnd w:id="1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actions were immaterial as of September 30, 2024 and 2023. There is a reasonable possibility that a loss exceeding amounts already recognized may be incurred related to these actions; however, Ashland believes that such potential losses were immaterial as of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EQUITY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June 28, 2023, Ashland's board of directors authorized a new evergreen $1 billion common share repurchase program ("2023 Stock Repurchase Program"). The new authorization terminated and replaced the 2022 Stock Repurchase Program, which had $200 million outstanding at the date of termination. In 2022, the 2022 Stock Repurchase Program replaced and terminated the 2018 $1 billion share repurchase program, which had $150 million outstanding at its date of termination on May 22, 2022. As of September 30, 2024, $620 million remained available for repurchase under the 2023 Stock Repurchase Program.</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the stock repurchase activity for fiscal years 2024, 2023, and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3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34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38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Weighted-average price per share</w:t>
            </w:r>
            <w:r>
              <w:rPr>
                <w:rFonts w:ascii="Times New Roman" w:cs="Times New Roman" w:eastAsia="Times New Roman" w:hAnsi="Times New Roman"/>
                <w:sz w:val="24"/>
                <w:szCs w:val="24"/>
                <w:color w:val="auto"/>
                <w:vertAlign w:val="superscript"/>
              </w:rPr>
              <w:t>(a)</w:t>
            </w: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88.70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97.33</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70.09</w:t>
            </w:r>
          </w:p>
        </w:tc>
      </w:tr>
      <w:tr>
        <w:trPr>
          <w:trHeight w:val="216"/>
        </w:trPr>
        <w:tc>
          <w:tcPr>
            <w:tcW w:w="38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4"/>
                <w:szCs w:val="24"/>
                <w:color w:val="auto"/>
                <w:vertAlign w:val="superscript"/>
              </w:rPr>
              <w:t>(a)</w:t>
            </w:r>
          </w:p>
        </w:tc>
        <w:tc>
          <w:tcPr>
            <w:tcW w:w="13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198"/>
        </w:trPr>
        <w:tc>
          <w:tcPr>
            <w:tcW w:w="38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Program</w:t>
            </w:r>
          </w:p>
        </w:tc>
        <w:tc>
          <w:tcPr>
            <w:tcW w:w="3040" w:type="dxa"/>
            <w:vAlign w:val="bottom"/>
            <w:gridSpan w:val="2"/>
          </w:tcPr>
          <w:p>
            <w:pPr>
              <w:ind w:left="1020"/>
              <w:spacing w:after="0" w:line="198" w:lineRule="exact"/>
              <w:rPr>
                <w:sz w:val="20"/>
                <w:szCs w:val="20"/>
                <w:color w:val="auto"/>
              </w:rPr>
            </w:pPr>
            <w:r>
              <w:rPr>
                <w:rFonts w:ascii="Times New Roman" w:cs="Times New Roman" w:eastAsia="Times New Roman" w:hAnsi="Times New Roman"/>
                <w:sz w:val="18"/>
                <w:szCs w:val="18"/>
                <w:color w:val="auto"/>
              </w:rPr>
              <w:t>2023 Stock Repurchase</w:t>
            </w:r>
          </w:p>
        </w:tc>
        <w:tc>
          <w:tcPr>
            <w:tcW w:w="340" w:type="dxa"/>
            <w:vAlign w:val="bottom"/>
          </w:tcPr>
          <w:p>
            <w:pPr>
              <w:spacing w:after="0"/>
              <w:rPr>
                <w:sz w:val="17"/>
                <w:szCs w:val="17"/>
                <w:color w:val="auto"/>
              </w:rPr>
            </w:pPr>
          </w:p>
        </w:tc>
        <w:tc>
          <w:tcPr>
            <w:tcW w:w="200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w w:val="99"/>
              </w:rPr>
              <w:t>2022 Stock Repurchase</w:t>
            </w:r>
          </w:p>
        </w:tc>
        <w:tc>
          <w:tcPr>
            <w:tcW w:w="200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2018 Stock Repurchase</w:t>
            </w:r>
          </w:p>
        </w:tc>
      </w:tr>
      <w:tr>
        <w:trPr>
          <w:trHeight w:val="234"/>
        </w:trPr>
        <w:tc>
          <w:tcPr>
            <w:tcW w:w="3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Program</w:t>
            </w:r>
          </w:p>
        </w:tc>
        <w:tc>
          <w:tcPr>
            <w:tcW w:w="340" w:type="dxa"/>
            <w:vAlign w:val="bottom"/>
          </w:tcPr>
          <w:p>
            <w:pPr>
              <w:spacing w:after="0"/>
              <w:rPr>
                <w:sz w:val="20"/>
                <w:szCs w:val="20"/>
                <w:color w:val="auto"/>
              </w:rPr>
            </w:pPr>
          </w:p>
        </w:tc>
        <w:tc>
          <w:tcPr>
            <w:tcW w:w="2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Program</w:t>
            </w:r>
          </w:p>
        </w:tc>
        <w:tc>
          <w:tcPr>
            <w:tcW w:w="46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9" w:lineRule="exact"/>
        <w:rPr>
          <w:sz w:val="20"/>
          <w:szCs w:val="20"/>
          <w:color w:val="auto"/>
        </w:rPr>
      </w:pPr>
    </w:p>
    <w:p>
      <w:pPr>
        <w:ind w:left="600" w:hanging="592"/>
        <w:spacing w:after="0"/>
        <w:tabs>
          <w:tab w:leader="none" w:pos="6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transactions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dividends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Ashland paid dividends per common share of $1.58, $1.44 and $1.27 during 2024, 2023 and 2022, respectively.</w:t>
      </w:r>
    </w:p>
    <w:p>
      <w:pPr>
        <w:spacing w:after="0" w:line="11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2024, the Board of Directors of Ashland announced a quarterly cash dividend of 40.5 cents per share to eligible stockholders at record, which represented an increase from the previous quarterly cash dividend of 38.5 cents per share. The dividend was paid in the third and fourth quarter of fiscal 2024.</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2023, the Board of Directors of Ashland announced a quarterly cash dividend of 38.5 cents per share to eligible stockholders at record, which represented an increase from the previous quarterly cash dividend of 33.5 cents per share. The dividend was paid in the third and fourth quarter of fiscal 2023.</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2022, the Board of Directors of Ashland announced a quarterly cash dividend of 33.5 cents per share to eligible stockholders at record, which represented an increase from the previous quarterly cash dividend of 30.0 cents per share. This dividend was paid in the third and fourth quarters of fiscal 2022 and the first and second quarters of fiscal 2023.</w:t>
      </w:r>
    </w:p>
    <w:p>
      <w:pPr>
        <w:spacing w:after="0" w:line="6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May 2021, the Board of Directors of Ashland announced a quarterly cash dividend of 30.0 cents per share to eligible stockholders at record, which represented an increase from the previous quarterly cash dividend of 27.5 cents per share. This dividend was paid in the third and fourth quarters of fiscal 2021 and the first and second quarters of fiscal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reserved for issuance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2024, 17.1 million common shares were reserved for issuance under stock incentive and deferred compensation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Components of other comprehensive income (loss) recorded in the Statements of Consolidated Comprehensive Income (Loss) are presented in the following table, before tax and net of tax effects.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2"/>
              </w:rPr>
              <w:t>Tax</w:t>
            </w: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Before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Net of</w:t>
            </w:r>
          </w:p>
        </w:tc>
      </w:tr>
      <w:tr>
        <w:trPr>
          <w:trHeight w:val="234"/>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tax</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benefit</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tax</w:t>
            </w:r>
          </w:p>
        </w:tc>
      </w:tr>
      <w:tr>
        <w:trPr>
          <w:trHeight w:val="20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September 30, 2024</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translation gain</w:t>
            </w:r>
          </w:p>
        </w:tc>
        <w:tc>
          <w:tcPr>
            <w:tcW w:w="30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20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197"/>
        </w:trPr>
        <w:tc>
          <w:tcPr>
            <w:tcW w:w="4620" w:type="dxa"/>
            <w:vAlign w:val="bottom"/>
            <w:tcBorders>
              <w:top w:val="single" w:sz="8" w:color="CFF0FC"/>
            </w:tcBorders>
          </w:tcPr>
          <w:p>
            <w:pPr>
              <w:spacing w:after="0"/>
              <w:rPr>
                <w:sz w:val="17"/>
                <w:szCs w:val="17"/>
                <w:color w:val="auto"/>
              </w:rPr>
            </w:pPr>
          </w:p>
        </w:tc>
        <w:tc>
          <w:tcPr>
            <w:tcW w:w="204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September 30, 2023</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translation gain</w:t>
            </w:r>
          </w:p>
        </w:tc>
        <w:tc>
          <w:tcPr>
            <w:tcW w:w="30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commodity hedges</w:t>
            </w:r>
          </w:p>
        </w:tc>
        <w:tc>
          <w:tcPr>
            <w:tcW w:w="20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5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197"/>
        </w:trPr>
        <w:tc>
          <w:tcPr>
            <w:tcW w:w="4620" w:type="dxa"/>
            <w:vAlign w:val="bottom"/>
            <w:tcBorders>
              <w:top w:val="single" w:sz="8" w:color="CFF0FC"/>
            </w:tcBorders>
          </w:tcPr>
          <w:p>
            <w:pPr>
              <w:spacing w:after="0"/>
              <w:rPr>
                <w:sz w:val="17"/>
                <w:szCs w:val="17"/>
                <w:color w:val="auto"/>
              </w:rPr>
            </w:pPr>
          </w:p>
        </w:tc>
        <w:tc>
          <w:tcPr>
            <w:tcW w:w="204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2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translation loss</w:t>
            </w:r>
          </w:p>
        </w:tc>
        <w:tc>
          <w:tcPr>
            <w:tcW w:w="30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commodity hedges</w:t>
            </w:r>
          </w:p>
        </w:tc>
        <w:tc>
          <w:tcPr>
            <w:tcW w:w="2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20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40" w:type="dxa"/>
            <w:vAlign w:val="bottom"/>
          </w:tcPr>
          <w:p>
            <w:pPr>
              <w:spacing w:after="0"/>
              <w:rPr>
                <w:sz w:val="18"/>
                <w:szCs w:val="18"/>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0"/>
        </w:trPr>
        <w:tc>
          <w:tcPr>
            <w:tcW w:w="4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
        </w:trPr>
        <w:tc>
          <w:tcPr>
            <w:tcW w:w="46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642"/>
        </w:trPr>
        <w:tc>
          <w:tcPr>
            <w:tcW w:w="4620" w:type="dxa"/>
            <w:vAlign w:val="bottom"/>
          </w:tcPr>
          <w:p>
            <w:pPr>
              <w:spacing w:after="0"/>
              <w:rPr>
                <w:sz w:val="24"/>
                <w:szCs w:val="24"/>
                <w:color w:val="auto"/>
              </w:rPr>
            </w:pPr>
          </w:p>
        </w:tc>
        <w:tc>
          <w:tcPr>
            <w:tcW w:w="300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F-43</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-2836545</wp:posOffset>
            </wp:positionV>
            <wp:extent cx="939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-2819400</wp:posOffset>
            </wp:positionV>
            <wp:extent cx="939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-2836545</wp:posOffset>
            </wp:positionV>
            <wp:extent cx="857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-2819400</wp:posOffset>
            </wp:positionV>
            <wp:extent cx="8572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-1979295</wp:posOffset>
            </wp:positionV>
            <wp:extent cx="939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-1962150</wp:posOffset>
            </wp:positionV>
            <wp:extent cx="939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-1979295</wp:posOffset>
            </wp:positionV>
            <wp:extent cx="857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-1962150</wp:posOffset>
            </wp:positionV>
            <wp:extent cx="857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-1130935</wp:posOffset>
            </wp:positionV>
            <wp:extent cx="939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6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-1130935</wp:posOffset>
            </wp:positionV>
            <wp:extent cx="857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Summary of Stockholders’ Equity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changes in stockholders’ equity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Common shares issued under stock incentive and other plans</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Common shares purchased under repurchase program</w:t>
            </w:r>
            <w:r>
              <w:rPr>
                <w:rFonts w:ascii="Times New Roman" w:cs="Times New Roman" w:eastAsia="Times New Roman" w:hAnsi="Times New Roman"/>
                <w:sz w:val="24"/>
                <w:szCs w:val="24"/>
                <w:color w:val="auto"/>
                <w:vertAlign w:val="superscript"/>
              </w:rPr>
              <w:t>(b)(c)</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09"/>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3,595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2,796</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new accounting pronouncements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Common shares purchased under repurchase program</w:t>
            </w:r>
            <w:r>
              <w:rPr>
                <w:rFonts w:ascii="Times New Roman" w:cs="Times New Roman" w:eastAsia="Times New Roman" w:hAnsi="Times New Roman"/>
                <w:sz w:val="24"/>
                <w:szCs w:val="24"/>
                <w:color w:val="auto"/>
                <w:vertAlign w:val="superscript"/>
              </w:rPr>
              <w:t>(b)</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Regular dividends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10"/>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3,315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3,653</w:t>
            </w: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3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obligation adjustment</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50"/>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2,868</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3,220</w:t>
            </w:r>
          </w:p>
        </w:tc>
      </w:tr>
      <w:tr>
        <w:trPr>
          <w:trHeight w:val="21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-2136775</wp:posOffset>
            </wp:positionV>
            <wp:extent cx="939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-2136775</wp:posOffset>
            </wp:positionV>
            <wp:extent cx="857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-1305560</wp:posOffset>
            </wp:positionV>
            <wp:extent cx="939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-1305560</wp:posOffset>
            </wp:positionV>
            <wp:extent cx="857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-465455</wp:posOffset>
            </wp:positionV>
            <wp:extent cx="939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-465455</wp:posOffset>
            </wp:positionV>
            <wp:extent cx="857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-173990</wp:posOffset>
            </wp:positionV>
            <wp:extent cx="939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-156845</wp:posOffset>
            </wp:positionV>
            <wp:extent cx="939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-173990</wp:posOffset>
            </wp:positionV>
            <wp:extent cx="857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-156845</wp:posOffset>
            </wp:positionV>
            <wp:extent cx="857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 w:lineRule="exact"/>
        <w:rPr>
          <w:sz w:val="20"/>
          <w:szCs w:val="20"/>
          <w:color w:val="auto"/>
        </w:rPr>
      </w:pPr>
    </w:p>
    <w:p>
      <w:pPr>
        <w:ind w:left="600" w:hanging="592"/>
        <w:spacing w:after="0"/>
        <w:tabs>
          <w:tab w:leader="none" w:pos="6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137,799, 193,767 and 168,270 for 2024, 2023 and 2022, respectively.</w:t>
      </w:r>
    </w:p>
    <w:p>
      <w:pPr>
        <w:spacing w:after="0" w:line="28"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4,285,194, 3,082,928 and 2,853,312 for 2024, 2023 and 2022, respectively.</w:t>
      </w:r>
    </w:p>
    <w:p>
      <w:pPr>
        <w:spacing w:after="0" w:line="27"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 million in excise tax on stock repurchases for 2024 and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STOCK INCENTIVE PLANS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has stock incentive plans under which key employees or directors are granted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requisite service period and accounts for forfeitures when they occur across all stock-based awards.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components of Ashland's pretax compensation expense for stock-based awards (net of forfeitures) and associated income tax benefits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670"/>
              <w:spacing w:after="0" w:line="242" w:lineRule="exact"/>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4"/>
                <w:szCs w:val="24"/>
                <w:color w:val="auto"/>
                <w:vertAlign w:val="superscript"/>
              </w:rPr>
              <w:t>(a)</w:t>
            </w:r>
          </w:p>
        </w:tc>
        <w:tc>
          <w:tcPr>
            <w:tcW w:w="2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30"/>
              <w:spacing w:after="0" w:line="242" w:lineRule="exact"/>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24"/>
                <w:szCs w:val="24"/>
                <w:color w:val="auto"/>
                <w:vertAlign w:val="superscript"/>
              </w:rPr>
              <w:t>(b)</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650"/>
              <w:spacing w:after="0" w:line="242" w:lineRule="exact"/>
              <w:rPr>
                <w:sz w:val="20"/>
                <w:szCs w:val="20"/>
                <w:color w:val="auto"/>
              </w:rPr>
            </w:pPr>
            <w:r>
              <w:rPr>
                <w:rFonts w:ascii="Times New Roman" w:cs="Times New Roman" w:eastAsia="Times New Roman" w:hAnsi="Times New Roman"/>
                <w:sz w:val="18"/>
                <w:szCs w:val="18"/>
                <w:color w:val="auto"/>
              </w:rPr>
              <w:t>2022</w:t>
            </w:r>
            <w:r>
              <w:rPr>
                <w:rFonts w:ascii="Times New Roman" w:cs="Times New Roman" w:eastAsia="Times New Roman" w:hAnsi="Times New Roman"/>
                <w:sz w:val="24"/>
                <w:szCs w:val="24"/>
                <w:color w:val="auto"/>
                <w:vertAlign w:val="superscript"/>
              </w:rPr>
              <w:t>(c)</w:t>
            </w:r>
          </w:p>
        </w:tc>
      </w:tr>
      <w:tr>
        <w:trPr>
          <w:trHeight w:val="210"/>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awards</w:t>
            </w:r>
          </w:p>
        </w:tc>
        <w:tc>
          <w:tcPr>
            <w:tcW w:w="38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3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4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4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-521970</wp:posOffset>
            </wp:positionV>
            <wp:extent cx="12001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-521970</wp:posOffset>
            </wp:positionV>
            <wp:extent cx="1111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8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600" w:hanging="592"/>
        <w:spacing w:after="0" w:line="251" w:lineRule="auto"/>
        <w:tabs>
          <w:tab w:leader="none" w:pos="6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2024 included $2 million and less than $1 million of expense related to cash-settled nonvested restricted stock awards and cash-settled performance units, respectively.</w:t>
      </w:r>
    </w:p>
    <w:p>
      <w:pPr>
        <w:ind w:left="600" w:hanging="592"/>
        <w:spacing w:after="0" w:line="250" w:lineRule="auto"/>
        <w:tabs>
          <w:tab w:leader="none" w:pos="6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2023 included $1 million of expense and $1 million of income related to cash-settled nonvested restricted stock awards and cash-settled performance units, respectively.</w:t>
      </w:r>
    </w:p>
    <w:p>
      <w:pPr>
        <w:spacing w:after="0" w:line="1" w:lineRule="exact"/>
        <w:rPr>
          <w:rFonts w:ascii="Times New Roman" w:cs="Times New Roman" w:eastAsia="Times New Roman" w:hAnsi="Times New Roman"/>
          <w:sz w:val="14"/>
          <w:szCs w:val="14"/>
          <w:color w:val="auto"/>
        </w:rPr>
      </w:pPr>
    </w:p>
    <w:p>
      <w:pPr>
        <w:ind w:left="600" w:hanging="592"/>
        <w:spacing w:after="0" w:line="241" w:lineRule="auto"/>
        <w:tabs>
          <w:tab w:leader="none" w:pos="6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2022 included $4 million and $2 million of expense related to cash-settled nonvested restricted stock awards and cash-settled performance units, respectively.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SARs were granted to employees or directors at a price equal to the fair market value of the stock on the date of grant and typically become exercisable over periods of one to three years. Unexercised SARs lapse ten years after the date of grant. Ashland estimated the fair value of SARs granted using the Black-Scholes option-pricing model. Ashland has not granted any SARs since August 2020.</w:t>
      </w:r>
    </w:p>
    <w:p>
      <w:pPr>
        <w:spacing w:after="0" w:line="6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 progression of activity and various other information relative to SARs and previously issued and vested stock options is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2022</w:t>
            </w:r>
          </w:p>
        </w:tc>
      </w:tr>
      <w:tr>
        <w:trPr>
          <w:trHeight w:val="191"/>
        </w:trPr>
        <w:tc>
          <w:tcPr>
            <w:tcW w:w="3340" w:type="dxa"/>
            <w:vAlign w:val="bottom"/>
          </w:tcPr>
          <w:p>
            <w:pPr>
              <w:spacing w:after="0"/>
              <w:rPr>
                <w:sz w:val="16"/>
                <w:szCs w:val="16"/>
                <w:color w:val="auto"/>
              </w:rPr>
            </w:pPr>
          </w:p>
        </w:tc>
        <w:tc>
          <w:tcPr>
            <w:tcW w:w="9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Number</w:t>
            </w:r>
          </w:p>
        </w:tc>
        <w:tc>
          <w:tcPr>
            <w:tcW w:w="320" w:type="dxa"/>
            <w:vAlign w:val="bottom"/>
          </w:tcPr>
          <w:p>
            <w:pPr>
              <w:spacing w:after="0"/>
              <w:rPr>
                <w:sz w:val="16"/>
                <w:szCs w:val="16"/>
                <w:color w:val="auto"/>
              </w:rPr>
            </w:pPr>
          </w:p>
        </w:tc>
        <w:tc>
          <w:tcPr>
            <w:tcW w:w="130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6"/>
                <w:szCs w:val="16"/>
                <w:color w:val="auto"/>
              </w:rPr>
            </w:pPr>
          </w:p>
        </w:tc>
        <w:tc>
          <w:tcPr>
            <w:tcW w:w="98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Number</w:t>
            </w:r>
          </w:p>
        </w:tc>
        <w:tc>
          <w:tcPr>
            <w:tcW w:w="300" w:type="dxa"/>
            <w:vAlign w:val="bottom"/>
          </w:tcPr>
          <w:p>
            <w:pPr>
              <w:spacing w:after="0"/>
              <w:rPr>
                <w:sz w:val="16"/>
                <w:szCs w:val="16"/>
                <w:color w:val="auto"/>
              </w:rPr>
            </w:pPr>
          </w:p>
        </w:tc>
        <w:tc>
          <w:tcPr>
            <w:tcW w:w="12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300" w:type="dxa"/>
            <w:vAlign w:val="bottom"/>
          </w:tcPr>
          <w:p>
            <w:pPr>
              <w:spacing w:after="0"/>
              <w:rPr>
                <w:sz w:val="16"/>
                <w:szCs w:val="16"/>
                <w:color w:val="auto"/>
              </w:rPr>
            </w:pPr>
          </w:p>
        </w:tc>
        <w:tc>
          <w:tcPr>
            <w:tcW w:w="126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334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of</w:t>
            </w:r>
          </w:p>
        </w:tc>
        <w:tc>
          <w:tcPr>
            <w:tcW w:w="32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average</w:t>
            </w:r>
          </w:p>
        </w:tc>
        <w:tc>
          <w:tcPr>
            <w:tcW w:w="1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w:t>
            </w:r>
          </w:p>
        </w:tc>
        <w:tc>
          <w:tcPr>
            <w:tcW w:w="3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average</w:t>
            </w:r>
          </w:p>
        </w:tc>
        <w:tc>
          <w:tcPr>
            <w:tcW w:w="14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w:t>
            </w:r>
          </w:p>
        </w:tc>
        <w:tc>
          <w:tcPr>
            <w:tcW w:w="3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w:t>
            </w: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common</w:t>
            </w:r>
          </w:p>
        </w:tc>
        <w:tc>
          <w:tcPr>
            <w:tcW w:w="32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common</w:t>
            </w:r>
          </w:p>
        </w:tc>
        <w:tc>
          <w:tcPr>
            <w:tcW w:w="3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4"/>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per share</w:t>
            </w:r>
          </w:p>
        </w:tc>
      </w:tr>
      <w:tr>
        <w:trPr>
          <w:trHeight w:val="209"/>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 beginning of year</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65.22</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63.85</w:t>
            </w:r>
          </w:p>
        </w:tc>
        <w:tc>
          <w:tcPr>
            <w:tcW w:w="10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1,543</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62.14</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3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57.32</w:t>
            </w:r>
          </w:p>
        </w:tc>
      </w:tr>
      <w:tr>
        <w:trPr>
          <w:trHeight w:val="216"/>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 and expirations</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71.33</w:t>
            </w: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46.67</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54.70</w:t>
            </w:r>
          </w:p>
        </w:tc>
      </w:tr>
      <w:tr>
        <w:trPr>
          <w:trHeight w:val="209"/>
        </w:trPr>
        <w:tc>
          <w:tcPr>
            <w:tcW w:w="33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Outstanding - end of year</w:t>
            </w:r>
            <w:r>
              <w:rPr>
                <w:rFonts w:ascii="Times New Roman" w:cs="Times New Roman" w:eastAsia="Times New Roman" w:hAnsi="Times New Roman"/>
                <w:sz w:val="24"/>
                <w:szCs w:val="24"/>
                <w:color w:val="auto"/>
                <w:vertAlign w:val="superscript"/>
              </w:rPr>
              <w:t>(a)</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3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66.16</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65.22</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1,142</w:t>
            </w:r>
          </w:p>
        </w:tc>
        <w:tc>
          <w:tcPr>
            <w:tcW w:w="3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63.85</w:t>
            </w:r>
          </w:p>
        </w:tc>
      </w:tr>
      <w:tr>
        <w:trPr>
          <w:trHeight w:val="20"/>
        </w:trPr>
        <w:tc>
          <w:tcPr>
            <w:tcW w:w="3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7"/>
        </w:trPr>
        <w:tc>
          <w:tcPr>
            <w:tcW w:w="33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 end of year</w:t>
            </w:r>
          </w:p>
        </w:tc>
        <w:tc>
          <w:tcPr>
            <w:tcW w:w="98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819</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66.16</w:t>
            </w:r>
          </w:p>
        </w:tc>
        <w:tc>
          <w:tcPr>
            <w:tcW w:w="112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65.22</w:t>
            </w:r>
          </w:p>
        </w:tc>
        <w:tc>
          <w:tcPr>
            <w:tcW w:w="108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1,094</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63.24</w:t>
            </w:r>
          </w:p>
        </w:tc>
      </w:tr>
      <w:tr>
        <w:trPr>
          <w:trHeight w:val="68"/>
        </w:trPr>
        <w:tc>
          <w:tcPr>
            <w:tcW w:w="33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-359410</wp:posOffset>
            </wp:positionV>
            <wp:extent cx="12001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-359410</wp:posOffset>
            </wp:positionV>
            <wp:extent cx="1111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-359410</wp:posOffset>
            </wp:positionV>
            <wp:extent cx="1111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8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600" w:hanging="592"/>
        <w:spacing w:after="0" w:line="261" w:lineRule="auto"/>
        <w:tabs>
          <w:tab w:leader="none" w:pos="6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prices per share for SARs outstanding at September 30, 2024 ranged from $57.96 to $59.95 for 368 thousand shares and from $67.16 to $82.34 for 451 thousand shares. The weighted-average remaining contractual life of outstanding and exercisable SARs and stock options was 3.0 years.</w:t>
      </w:r>
    </w:p>
    <w:p>
      <w:pPr>
        <w:spacing w:after="0" w:line="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total intrinsic value of SARs exercised was $6 million in 2024, $6 million in 2023 and $19 million in 2022. The actual tax benefit realized from the exercised SARs was $1 million in 2024, $1 million in 2023 and $4 million in 2022. The total grant date fair value of SARs that vested during 2024, 2023 and 2022 was zero, $1 million and $1 million, respectively. As of September 30, 2024, there was zero unrecognized compensation costs related to SARs. As of September 30, 2024, the aggregate intrinsic value of outstanding and exercisable SARs was $17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awards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Nonvested stock awards are granted to employees or directors at a price equal to the fair market value of the stock on the date of grant and generally vest over a one-to-three-year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progression of activity and various other information relative to nonvested stock awards is presented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top w:val="single" w:sz="8" w:color="auto"/>
            </w:tcBorders>
          </w:tcPr>
          <w:p>
            <w:pPr>
              <w:spacing w:after="0"/>
              <w:rPr>
                <w:sz w:val="19"/>
                <w:szCs w:val="19"/>
                <w:color w:val="auto"/>
              </w:rPr>
            </w:pPr>
          </w:p>
        </w:tc>
      </w:tr>
      <w:tr>
        <w:trPr>
          <w:trHeight w:val="191"/>
        </w:trPr>
        <w:tc>
          <w:tcPr>
            <w:tcW w:w="3060" w:type="dxa"/>
            <w:vAlign w:val="bottom"/>
          </w:tcPr>
          <w:p>
            <w:pPr>
              <w:spacing w:after="0"/>
              <w:rPr>
                <w:sz w:val="16"/>
                <w:szCs w:val="16"/>
                <w:color w:val="auto"/>
              </w:rPr>
            </w:pPr>
          </w:p>
        </w:tc>
        <w:tc>
          <w:tcPr>
            <w:tcW w:w="120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Number</w:t>
            </w: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Number</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Number</w:t>
            </w: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0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average</w:t>
            </w: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of</w:t>
            </w:r>
          </w:p>
        </w:tc>
        <w:tc>
          <w:tcPr>
            <w:tcW w:w="34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of</w:t>
            </w:r>
          </w:p>
        </w:tc>
        <w:tc>
          <w:tcPr>
            <w:tcW w:w="32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w:t>
            </w: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common</w:t>
            </w:r>
          </w:p>
        </w:tc>
        <w:tc>
          <w:tcPr>
            <w:tcW w:w="34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grant date</w:t>
            </w:r>
          </w:p>
        </w:tc>
        <w:tc>
          <w:tcPr>
            <w:tcW w:w="1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common</w:t>
            </w:r>
          </w:p>
        </w:tc>
        <w:tc>
          <w:tcPr>
            <w:tcW w:w="340" w:type="dxa"/>
            <w:vAlign w:val="bottom"/>
          </w:tcPr>
          <w:p>
            <w:pPr>
              <w:spacing w:after="0"/>
              <w:rPr>
                <w:sz w:val="18"/>
                <w:szCs w:val="18"/>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grant date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common</w:t>
            </w:r>
          </w:p>
        </w:tc>
        <w:tc>
          <w:tcPr>
            <w:tcW w:w="32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grant date</w:t>
            </w:r>
          </w:p>
        </w:tc>
      </w:tr>
      <w:tr>
        <w:trPr>
          <w:trHeight w:val="234"/>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shares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beginning of year</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97.66</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82.55</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76.10</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78.93</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92.34</w:t>
            </w:r>
          </w:p>
        </w:tc>
      </w:tr>
      <w:tr>
        <w:trPr>
          <w:trHeight w:val="21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97.33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78.81</w:t>
            </w: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3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84.96</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80.06</w:t>
            </w:r>
          </w:p>
        </w:tc>
      </w:tr>
      <w:tr>
        <w:trPr>
          <w:trHeight w:val="24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end of year</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85.21</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97.66</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82.55</w:t>
            </w:r>
          </w:p>
        </w:tc>
      </w:tr>
      <w:tr>
        <w:trPr>
          <w:trHeight w:val="48"/>
        </w:trPr>
        <w:tc>
          <w:tcPr>
            <w:tcW w:w="3060" w:type="dxa"/>
            <w:vAlign w:val="bottom"/>
            <w:tcBorders>
              <w:top w:val="single" w:sz="8" w:color="CFF0FC"/>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CFF0FC"/>
              <w:bottom w:val="single" w:sz="8" w:color="auto"/>
            </w:tcBorders>
          </w:tcPr>
          <w:p>
            <w:pPr>
              <w:spacing w:after="0"/>
              <w:rPr>
                <w:sz w:val="4"/>
                <w:szCs w:val="4"/>
                <w:color w:val="auto"/>
              </w:rPr>
            </w:pPr>
          </w:p>
        </w:tc>
        <w:tc>
          <w:tcPr>
            <w:tcW w:w="118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CFF0FC"/>
              <w:bottom w:val="single" w:sz="8" w:color="auto"/>
            </w:tcBorders>
          </w:tcPr>
          <w:p>
            <w:pPr>
              <w:spacing w:after="0"/>
              <w:rPr>
                <w:sz w:val="4"/>
                <w:szCs w:val="4"/>
                <w:color w:val="auto"/>
              </w:rPr>
            </w:pPr>
          </w:p>
        </w:tc>
        <w:tc>
          <w:tcPr>
            <w:tcW w:w="1140" w:type="dxa"/>
            <w:vAlign w:val="bottom"/>
            <w:tcBorders>
              <w:top w:val="single" w:sz="8" w:color="CFF0FC"/>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CFF0FC"/>
              <w:bottom w:val="single" w:sz="8" w:color="auto"/>
            </w:tcBorders>
          </w:tcPr>
          <w:p>
            <w:pPr>
              <w:spacing w:after="0"/>
              <w:rPr>
                <w:sz w:val="4"/>
                <w:szCs w:val="4"/>
                <w:color w:val="auto"/>
              </w:rPr>
            </w:pPr>
          </w:p>
        </w:tc>
        <w:tc>
          <w:tcPr>
            <w:tcW w:w="1120" w:type="dxa"/>
            <w:vAlign w:val="bottom"/>
            <w:tcBorders>
              <w:top w:val="single" w:sz="8" w:color="CFF0FC"/>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-76835</wp:posOffset>
            </wp:positionV>
            <wp:extent cx="768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-59690</wp:posOffset>
            </wp:positionV>
            <wp:extent cx="768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-76835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-59690</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-76835</wp:posOffset>
            </wp:positionV>
            <wp:extent cx="7747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-59690</wp:posOffset>
            </wp:positionV>
            <wp:extent cx="7747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nonvested stock awards that vested during 2024, 2023 and 2022 was $9 million, $8 million and $6 million, respectively. As of September 30, 2024, there was $6 million of total unrecognized compensation costs related to nonvested stock awards. That cost is expected to be recognized over a weighted-average period of 1.9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i w:val="1"/>
          <w:iCs w:val="1"/>
          <w:color w:val="auto"/>
        </w:rPr>
        <w:t>Cash-settled nonvested stock awards</w:t>
      </w:r>
    </w:p>
    <w:p>
      <w:pPr>
        <w:spacing w:after="0" w:line="119"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Certain nonvested stock awards are granted to employees and are settled in cash upon vesting. As of September 30, 2024, 31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$2 million, zero, and $6 million during 2024,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measurement period and vesting over a one to three year period. Nonvested performance shares/units do not entitle employees to vote the shares or to receive any dividends thereon.</w:t>
      </w:r>
    </w:p>
    <w:p>
      <w:pPr>
        <w:spacing w:after="0" w:line="72"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Each awarded performance share is convertible to one share of Ashland Common Stock and recorded as a component of stockholders’ equity. Performance measures used to determine the actual number of performance shares issuable upon vesting includes 60:40 weighting of Ashland’s total shareholder return (TSR) performance and Ashland’s return on net assets (RONA) performance as compared to internal targets. TSR relative to peers is considered a market condition while RONA is considered a performance condition in accordance with U.S. GAAP.</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performance shares/units granted for all plans that award Ashland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2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1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3"/>
              </w:rPr>
              <w:t>Target</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196"/>
        </w:trPr>
        <w:tc>
          <w:tcPr>
            <w:tcW w:w="2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 thousands except per</w:t>
            </w:r>
          </w:p>
        </w:tc>
        <w:tc>
          <w:tcPr>
            <w:tcW w:w="4380" w:type="dxa"/>
            <w:vAlign w:val="bottom"/>
          </w:tcPr>
          <w:p>
            <w:pPr>
              <w:spacing w:after="0"/>
              <w:rPr>
                <w:sz w:val="17"/>
                <w:szCs w:val="17"/>
                <w:color w:val="auto"/>
              </w:rPr>
            </w:pPr>
          </w:p>
        </w:tc>
        <w:tc>
          <w:tcPr>
            <w:tcW w:w="2140" w:type="dxa"/>
            <w:vAlign w:val="bottom"/>
          </w:tcPr>
          <w:p>
            <w:pPr>
              <w:jc w:val="center"/>
              <w:ind w:left="1010"/>
              <w:spacing w:after="0" w:line="196" w:lineRule="exact"/>
              <w:rPr>
                <w:sz w:val="20"/>
                <w:szCs w:val="20"/>
                <w:color w:val="auto"/>
              </w:rPr>
            </w:pPr>
            <w:r>
              <w:rPr>
                <w:rFonts w:ascii="Times New Roman" w:cs="Times New Roman" w:eastAsia="Times New Roman" w:hAnsi="Times New Roman"/>
                <w:sz w:val="18"/>
                <w:szCs w:val="18"/>
                <w:color w:val="auto"/>
                <w:w w:val="98"/>
              </w:rPr>
              <w:t>shares/units</w:t>
            </w: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w w:val="99"/>
              </w:rPr>
              <w:t>fair value per</w:t>
            </w:r>
          </w:p>
        </w:tc>
      </w:tr>
      <w:tr>
        <w:trPr>
          <w:trHeight w:val="254"/>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43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Vesting period</w:t>
            </w:r>
          </w:p>
        </w:tc>
        <w:tc>
          <w:tcPr>
            <w:tcW w:w="2140" w:type="dxa"/>
            <w:vAlign w:val="bottom"/>
            <w:tcBorders>
              <w:bottom w:val="single" w:sz="8" w:color="auto"/>
            </w:tcBorders>
          </w:tcPr>
          <w:p>
            <w:pPr>
              <w:jc w:val="center"/>
              <w:ind w:left="1010"/>
              <w:spacing w:after="0" w:line="255" w:lineRule="exact"/>
              <w:rPr>
                <w:sz w:val="20"/>
                <w:szCs w:val="20"/>
                <w:color w:val="auto"/>
              </w:rPr>
            </w:pPr>
            <w:r>
              <w:rPr>
                <w:rFonts w:ascii="Times New Roman" w:cs="Times New Roman" w:eastAsia="Times New Roman" w:hAnsi="Times New Roman"/>
                <w:sz w:val="18"/>
                <w:szCs w:val="18"/>
                <w:color w:val="auto"/>
                <w:w w:val="94"/>
              </w:rPr>
              <w:t>granted</w:t>
            </w:r>
            <w:r>
              <w:rPr>
                <w:rFonts w:ascii="Times New Roman" w:cs="Times New Roman" w:eastAsia="Times New Roman" w:hAnsi="Times New Roman"/>
                <w:sz w:val="24"/>
                <w:szCs w:val="24"/>
                <w:color w:val="auto"/>
                <w:w w:val="94"/>
                <w:vertAlign w:val="superscript"/>
              </w:rPr>
              <w:t>(a)</w:t>
            </w:r>
          </w:p>
        </w:tc>
        <w:tc>
          <w:tcPr>
            <w:tcW w:w="5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270"/>
              <w:spacing w:after="0" w:line="255" w:lineRule="exact"/>
              <w:rPr>
                <w:sz w:val="20"/>
                <w:szCs w:val="20"/>
                <w:color w:val="auto"/>
              </w:rPr>
            </w:pPr>
            <w:r>
              <w:rPr>
                <w:rFonts w:ascii="Times New Roman" w:cs="Times New Roman" w:eastAsia="Times New Roman" w:hAnsi="Times New Roman"/>
                <w:sz w:val="18"/>
                <w:szCs w:val="18"/>
                <w:color w:val="auto"/>
                <w:w w:val="94"/>
              </w:rPr>
              <w:t>share/unit</w:t>
            </w:r>
            <w:r>
              <w:rPr>
                <w:rFonts w:ascii="Times New Roman" w:cs="Times New Roman" w:eastAsia="Times New Roman" w:hAnsi="Times New Roman"/>
                <w:sz w:val="24"/>
                <w:szCs w:val="24"/>
                <w:color w:val="auto"/>
                <w:w w:val="94"/>
                <w:vertAlign w:val="superscript"/>
              </w:rPr>
              <w:t>(a)</w:t>
            </w:r>
          </w:p>
        </w:tc>
      </w:tr>
      <w:tr>
        <w:trPr>
          <w:trHeight w:val="209"/>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Year 2024</w:t>
            </w:r>
          </w:p>
        </w:tc>
        <w:tc>
          <w:tcPr>
            <w:tcW w:w="4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October 1, 2023 - September 30, 2026</w:t>
            </w:r>
          </w:p>
        </w:tc>
        <w:tc>
          <w:tcPr>
            <w:tcW w:w="2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81.29</w:t>
            </w: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2023</w:t>
            </w:r>
          </w:p>
        </w:tc>
        <w:tc>
          <w:tcPr>
            <w:tcW w:w="4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October 1, 2022 - September 30, 2025</w:t>
            </w:r>
          </w:p>
        </w:tc>
        <w:tc>
          <w:tcPr>
            <w:tcW w:w="214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135.93</w:t>
            </w:r>
          </w:p>
        </w:tc>
      </w:tr>
      <w:tr>
        <w:trPr>
          <w:trHeight w:val="216"/>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Year 2022</w:t>
            </w:r>
          </w:p>
        </w:tc>
        <w:tc>
          <w:tcPr>
            <w:tcW w:w="4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October 1, 2021 - September 30, 2024</w:t>
            </w:r>
          </w:p>
        </w:tc>
        <w:tc>
          <w:tcPr>
            <w:tcW w:w="214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131.33</w:t>
            </w:r>
          </w:p>
        </w:tc>
      </w:tr>
      <w:tr>
        <w:trPr>
          <w:trHeight w:val="67"/>
        </w:trPr>
        <w:tc>
          <w:tcPr>
            <w:tcW w:w="218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bl>
    <w:p>
      <w:pPr>
        <w:spacing w:after="0" w:line="18" w:lineRule="exact"/>
        <w:rPr>
          <w:sz w:val="20"/>
          <w:szCs w:val="20"/>
          <w:color w:val="auto"/>
        </w:rPr>
      </w:pPr>
    </w:p>
    <w:p>
      <w:pPr>
        <w:ind w:left="600" w:right="60" w:hanging="592"/>
        <w:spacing w:after="0" w:line="261" w:lineRule="auto"/>
        <w:tabs>
          <w:tab w:leader="none" w:pos="6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w:t>
      </w:r>
    </w:p>
    <w:p>
      <w:pPr>
        <w:spacing w:after="0" w:line="59"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For these awards,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54"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The fair values of the TSR portion of the performance share awards and TSR modifier of the performance unit awards are calculated using a Monte Carlo simulation valuation model using key assumptions included in the following table. Compensation cost is recognized over the requisite service period regardless of whether the market condition is satisfied.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Borders>
              <w:top w:val="single" w:sz="8" w:color="auto"/>
              <w:bottom w:val="single" w:sz="8" w:color="auto"/>
            </w:tcBorders>
          </w:tcPr>
          <w:p>
            <w:pPr>
              <w:ind w:left="616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4.59 %</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4.22 %</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1.9 %</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1.3 %</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r>
      <w:tr>
        <w:trPr>
          <w:trHeight w:val="21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0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8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26.0 %</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35.1 %</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20"/>
                <w:szCs w:val="20"/>
                <w:color w:val="auto"/>
              </w:rPr>
            </w:pPr>
          </w:p>
        </w:tc>
      </w:tr>
      <w:tr>
        <w:trPr>
          <w:trHeight w:val="49"/>
        </w:trPr>
        <w:tc>
          <w:tcPr>
            <w:tcW w:w="67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642"/>
        </w:trPr>
        <w:tc>
          <w:tcPr>
            <w:tcW w:w="67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F-46</w:t>
            </w: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6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3716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18" w:right="279" w:bottom="1440" w:gutter="0" w:footer="0" w:header="0"/>
        </w:sectPr>
      </w:pPr>
    </w:p>
    <w:bookmarkStart w:id="128" w:name="page129"/>
    <w:bookmarkEnd w:id="128"/>
    <w:p>
      <w:pPr>
        <w:ind w:left="380"/>
        <w:spacing w:after="0"/>
        <w:rPr>
          <w:sz w:val="20"/>
          <w:szCs w:val="20"/>
          <w:color w:val="auto"/>
        </w:rPr>
      </w:pPr>
      <w:r>
        <w:rPr>
          <w:rFonts w:ascii="Times New Roman" w:cs="Times New Roman" w:eastAsia="Times New Roman" w:hAnsi="Times New Roman"/>
          <w:sz w:val="18"/>
          <w:szCs w:val="18"/>
          <w:color w:val="auto"/>
        </w:rPr>
        <w:t>The following table shows changes in nonvested performance shares/units for all plans that award Ashland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tcBorders>
              <w:top w:val="single" w:sz="8" w:color="auto"/>
            </w:tcBorders>
          </w:tcPr>
          <w:p>
            <w:pPr>
              <w:spacing w:after="0"/>
              <w:rPr>
                <w:sz w:val="19"/>
                <w:szCs w:val="19"/>
                <w:color w:val="auto"/>
              </w:rPr>
            </w:pPr>
          </w:p>
        </w:tc>
      </w:tr>
      <w:tr>
        <w:trPr>
          <w:trHeight w:val="191"/>
        </w:trPr>
        <w:tc>
          <w:tcPr>
            <w:tcW w:w="316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23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average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average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per</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grant date</w:t>
            </w:r>
          </w:p>
        </w:tc>
        <w:tc>
          <w:tcPr>
            <w:tcW w:w="1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grant date</w:t>
            </w:r>
          </w:p>
        </w:tc>
        <w:tc>
          <w:tcPr>
            <w:tcW w:w="1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Pr>
          <w:p>
            <w:pPr>
              <w:spacing w:after="0"/>
              <w:rPr>
                <w:sz w:val="18"/>
                <w:szCs w:val="18"/>
                <w:color w:val="auto"/>
              </w:rPr>
            </w:pPr>
          </w:p>
        </w:tc>
        <w:tc>
          <w:tcPr>
            <w:tcW w:w="11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grant date</w:t>
            </w:r>
          </w:p>
        </w:tc>
      </w:tr>
      <w:tr>
        <w:trPr>
          <w:trHeight w:val="234"/>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data)</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Units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Units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fair value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Units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fair value</w:t>
            </w:r>
          </w:p>
        </w:tc>
      </w:tr>
      <w:tr>
        <w:trPr>
          <w:trHeight w:val="20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beginning of year</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118.43</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105.78</w:t>
            </w:r>
          </w:p>
        </w:tc>
        <w:tc>
          <w:tcPr>
            <w:tcW w:w="11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88.66</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81.29</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135.93</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131.33</w:t>
            </w:r>
          </w:p>
        </w:tc>
      </w:tr>
      <w:tr>
        <w:trPr>
          <w:trHeight w:val="21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91.77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84.33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96.32</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3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108.50</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94.53</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85.78</w:t>
            </w:r>
          </w:p>
        </w:tc>
      </w:tr>
      <w:tr>
        <w:trPr>
          <w:trHeight w:val="24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 end of year</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111.16</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118.43</w:t>
            </w:r>
          </w:p>
        </w:tc>
        <w:tc>
          <w:tcPr>
            <w:tcW w:w="11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105.78</w:t>
            </w:r>
          </w:p>
        </w:tc>
      </w:tr>
      <w:tr>
        <w:trPr>
          <w:trHeight w:val="48"/>
        </w:trPr>
        <w:tc>
          <w:tcPr>
            <w:tcW w:w="3160" w:type="dxa"/>
            <w:vAlign w:val="bottom"/>
            <w:tcBorders>
              <w:top w:val="single" w:sz="8" w:color="CFF0FC"/>
              <w:bottom w:val="single" w:sz="8" w:color="auto"/>
            </w:tcBorders>
          </w:tcPr>
          <w:p>
            <w:pPr>
              <w:spacing w:after="0"/>
              <w:rPr>
                <w:sz w:val="4"/>
                <w:szCs w:val="4"/>
                <w:color w:val="auto"/>
              </w:rPr>
            </w:pPr>
          </w:p>
        </w:tc>
        <w:tc>
          <w:tcPr>
            <w:tcW w:w="120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CFF0FC"/>
              <w:bottom w:val="single" w:sz="8" w:color="auto"/>
            </w:tcBorders>
          </w:tcPr>
          <w:p>
            <w:pPr>
              <w:spacing w:after="0"/>
              <w:rPr>
                <w:sz w:val="4"/>
                <w:szCs w:val="4"/>
                <w:color w:val="auto"/>
              </w:rPr>
            </w:pPr>
          </w:p>
        </w:tc>
        <w:tc>
          <w:tcPr>
            <w:tcW w:w="120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CFF0FC"/>
              <w:bottom w:val="single" w:sz="8" w:color="auto"/>
            </w:tcBorders>
          </w:tcPr>
          <w:p>
            <w:pPr>
              <w:spacing w:after="0"/>
              <w:rPr>
                <w:sz w:val="4"/>
                <w:szCs w:val="4"/>
                <w:color w:val="auto"/>
              </w:rPr>
            </w:pPr>
          </w:p>
        </w:tc>
        <w:tc>
          <w:tcPr>
            <w:tcW w:w="1140" w:type="dxa"/>
            <w:vAlign w:val="bottom"/>
            <w:tcBorders>
              <w:top w:val="single" w:sz="8" w:color="CFF0FC"/>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04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CFF0FC"/>
              <w:bottom w:val="single" w:sz="8" w:color="auto"/>
            </w:tcBorders>
          </w:tcPr>
          <w:p>
            <w:pPr>
              <w:spacing w:after="0"/>
              <w:rPr>
                <w:sz w:val="4"/>
                <w:szCs w:val="4"/>
                <w:color w:val="auto"/>
              </w:rPr>
            </w:pPr>
          </w:p>
        </w:tc>
        <w:tc>
          <w:tcPr>
            <w:tcW w:w="1100" w:type="dxa"/>
            <w:vAlign w:val="bottom"/>
            <w:tcBorders>
              <w:top w:val="single" w:sz="8" w:color="CFF0FC"/>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-76835</wp:posOffset>
            </wp:positionV>
            <wp:extent cx="768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-59055</wp:posOffset>
            </wp:positionV>
            <wp:extent cx="768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-76835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-59055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-76835</wp:posOffset>
            </wp:positionV>
            <wp:extent cx="77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wp:posOffset>
            </wp:positionV>
            <wp:extent cx="774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$5 million of total unrecognized compensation costs related to nonvested performance share/unit awards. That cost is expected to be recognized over a weighted-average period of approximately 1.9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Trade receivables are defined as receivables arising from contracts with customers and are recorded within the accounts receivable caption within the Consolidated Balance Sheets. Ashland’s trade receivables were $206 million and $288 million as of September 30, 2024 and September 30, 2023, respectively. See Note H for additional information on Ashland's program to sell certain receivables on a revolving basis to third party banks up to an aggregate purchase limit.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disaggregates its revenue from contracts with customers by segment and geographical region, as Ashland believes these categories best depict how management reviews the financial performance of its operations for the twelve months ended September 30, 2024, 2023 and 2022. Ashland includes only U.S. and Canada in its North America designation and includes Europe, the Middle East and Africa in its Europe designation. See the following tables for details (Intersegment sales eliminations have been excluded. See Note Q for additional information.):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9" w:name="page130"/>
    <w:bookmarkEnd w:id="129"/>
    <w:p>
      <w:pPr>
        <w:jc w:val="center"/>
        <w:ind w:right="100"/>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top w:val="single" w:sz="8" w:color="auto"/>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2022</w:t>
            </w:r>
          </w:p>
        </w:tc>
      </w:tr>
      <w:tr>
        <w:trPr>
          <w:trHeight w:val="196"/>
        </w:trPr>
        <w:tc>
          <w:tcPr>
            <w:tcW w:w="3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rPr>
              <w:t>Life Sciences</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0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241</w:t>
            </w:r>
          </w:p>
        </w:tc>
        <w:tc>
          <w:tcPr>
            <w:tcW w:w="1460" w:type="dxa"/>
            <w:vAlign w:val="bottom"/>
            <w:gridSpan w:val="2"/>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228</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244</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269</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267</w:t>
            </w: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225</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233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218</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86</w:t>
            </w:r>
          </w:p>
        </w:tc>
      </w:tr>
      <w:tr>
        <w:trPr>
          <w:trHeight w:val="249"/>
        </w:trPr>
        <w:tc>
          <w:tcPr>
            <w:tcW w:w="324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810</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869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815</w:t>
            </w:r>
          </w:p>
        </w:tc>
      </w:tr>
      <w:tr>
        <w:trPr>
          <w:trHeight w:val="197"/>
        </w:trPr>
        <w:tc>
          <w:tcPr>
            <w:tcW w:w="3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6"/>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2022</w:t>
            </w:r>
          </w:p>
        </w:tc>
      </w:tr>
      <w:tr>
        <w:trPr>
          <w:trHeight w:val="196"/>
        </w:trPr>
        <w:tc>
          <w:tcPr>
            <w:tcW w:w="3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w w:val="99"/>
              </w:rPr>
              <w:t>Personal Care</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183</w:t>
            </w:r>
          </w:p>
        </w:tc>
        <w:tc>
          <w:tcPr>
            <w:tcW w:w="1460" w:type="dxa"/>
            <w:vAlign w:val="bottom"/>
            <w:gridSpan w:val="2"/>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176</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198</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238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270</w:t>
            </w: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128</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105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126</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84</w:t>
            </w:r>
          </w:p>
        </w:tc>
      </w:tr>
      <w:tr>
        <w:trPr>
          <w:trHeight w:val="250"/>
        </w:trPr>
        <w:tc>
          <w:tcPr>
            <w:tcW w:w="324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634</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598</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678</w:t>
            </w:r>
          </w:p>
        </w:tc>
      </w:tr>
      <w:tr>
        <w:trPr>
          <w:trHeight w:val="223"/>
        </w:trPr>
        <w:tc>
          <w:tcPr>
            <w:tcW w:w="3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6"/>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2022</w:t>
            </w:r>
          </w:p>
        </w:tc>
      </w:tr>
      <w:tr>
        <w:trPr>
          <w:trHeight w:val="196"/>
        </w:trPr>
        <w:tc>
          <w:tcPr>
            <w:tcW w:w="3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rPr>
              <w:t>Specialty Additives</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183</w:t>
            </w:r>
          </w:p>
        </w:tc>
        <w:tc>
          <w:tcPr>
            <w:tcW w:w="1460" w:type="dxa"/>
            <w:vAlign w:val="bottom"/>
            <w:gridSpan w:val="2"/>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203</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247</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258</w:t>
            </w: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153</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w:t>
            </w:r>
          </w:p>
        </w:tc>
      </w:tr>
      <w:tr>
        <w:trPr>
          <w:trHeight w:val="249"/>
        </w:trPr>
        <w:tc>
          <w:tcPr>
            <w:tcW w:w="324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572</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600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719</w:t>
            </w:r>
          </w:p>
        </w:tc>
      </w:tr>
      <w:tr>
        <w:trPr>
          <w:trHeight w:val="224"/>
        </w:trPr>
        <w:tc>
          <w:tcPr>
            <w:tcW w:w="32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6"/>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38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2022</w:t>
            </w:r>
          </w:p>
        </w:tc>
      </w:tr>
      <w:tr>
        <w:trPr>
          <w:trHeight w:val="196"/>
        </w:trPr>
        <w:tc>
          <w:tcPr>
            <w:tcW w:w="3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center"/>
              <w:ind w:left="1195"/>
              <w:spacing w:after="0"/>
              <w:rPr>
                <w:sz w:val="20"/>
                <w:szCs w:val="20"/>
                <w:color w:val="auto"/>
              </w:rPr>
            </w:pPr>
            <w:r>
              <w:rPr>
                <w:rFonts w:ascii="Times New Roman" w:cs="Times New Roman" w:eastAsia="Times New Roman" w:hAnsi="Times New Roman"/>
                <w:sz w:val="17"/>
                <w:szCs w:val="17"/>
                <w:color w:val="auto"/>
              </w:rPr>
              <w:t>Intermediates</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21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3380" w:type="dxa"/>
            <w:vAlign w:val="bottom"/>
            <w:gridSpan w:val="2"/>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103</w:t>
            </w:r>
          </w:p>
        </w:tc>
        <w:tc>
          <w:tcPr>
            <w:tcW w:w="1460" w:type="dxa"/>
            <w:vAlign w:val="bottom"/>
            <w:gridSpan w:val="2"/>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128</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163</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43</w:t>
            </w: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Latin America &amp; other</w:t>
            </w:r>
          </w:p>
        </w:tc>
        <w:tc>
          <w:tcPr>
            <w:tcW w:w="2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r>
      <w:tr>
        <w:trPr>
          <w:trHeight w:val="250"/>
        </w:trPr>
        <w:tc>
          <w:tcPr>
            <w:tcW w:w="324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rPr>
              <w:t>144</w:t>
            </w:r>
          </w:p>
        </w:tc>
        <w:tc>
          <w:tcPr>
            <w:tcW w:w="1460" w:type="dxa"/>
            <w:vAlign w:val="bottom"/>
            <w:gridSpan w:val="2"/>
            <w:shd w:val="clear" w:color="auto" w:fill="CFF0FC"/>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185</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256</w:t>
            </w:r>
          </w:p>
        </w:tc>
      </w:tr>
      <w:tr>
        <w:trPr>
          <w:trHeight w:val="48"/>
        </w:trPr>
        <w:tc>
          <w:tcPr>
            <w:tcW w:w="3240" w:type="dxa"/>
            <w:vAlign w:val="bottom"/>
            <w:tcBorders>
              <w:top w:val="single" w:sz="8" w:color="CFF0FC"/>
              <w:bottom w:val="single" w:sz="8" w:color="auto"/>
            </w:tcBorders>
          </w:tcPr>
          <w:p>
            <w:pPr>
              <w:spacing w:after="0"/>
              <w:rPr>
                <w:sz w:val="4"/>
                <w:szCs w:val="4"/>
                <w:color w:val="auto"/>
              </w:rPr>
            </w:pPr>
          </w:p>
        </w:tc>
        <w:tc>
          <w:tcPr>
            <w:tcW w:w="2160" w:type="dxa"/>
            <w:vAlign w:val="bottom"/>
            <w:tcBorders>
              <w:top w:val="single" w:sz="8" w:color="CFF0FC"/>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CFF0FC"/>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CFF0FC"/>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1380" w:type="dxa"/>
            <w:vAlign w:val="bottom"/>
            <w:tcBorders>
              <w:top w:val="single" w:sz="8" w:color="auto"/>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-3531235</wp:posOffset>
            </wp:positionV>
            <wp:extent cx="17145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-3514090</wp:posOffset>
            </wp:positionV>
            <wp:extent cx="17145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0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-3531235</wp:posOffset>
            </wp:positionV>
            <wp:extent cx="1625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0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-3514090</wp:posOffset>
            </wp:positionV>
            <wp:extent cx="1625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0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-2390775</wp:posOffset>
            </wp:positionV>
            <wp:extent cx="17145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-2373630</wp:posOffset>
            </wp:positionV>
            <wp:extent cx="17145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-2390775</wp:posOffset>
            </wp:positionV>
            <wp:extent cx="16256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1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-2373630</wp:posOffset>
            </wp:positionV>
            <wp:extent cx="1625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1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-1233805</wp:posOffset>
            </wp:positionV>
            <wp:extent cx="17145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1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-1216660</wp:posOffset>
            </wp:positionV>
            <wp:extent cx="17145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1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-1233805</wp:posOffset>
            </wp:positionV>
            <wp:extent cx="16256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1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-1216660</wp:posOffset>
            </wp:positionV>
            <wp:extent cx="1625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1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-76200</wp:posOffset>
            </wp:positionV>
            <wp:extent cx="17145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1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-59690</wp:posOffset>
            </wp:positionV>
            <wp:extent cx="17145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-76200</wp:posOffset>
            </wp:positionV>
            <wp:extent cx="1625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2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-59690</wp:posOffset>
            </wp:positionV>
            <wp:extent cx="16256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21">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7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fiscal 2024, Ashland had two product categories that represented 10% or greater of Ashland's total consolidated sales which were cellulosics representing 37% of total consolidated sales and polyvinylprrolidones (PVP) representing 23% of total consolidated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REPORTABLE SEGMENT INFORMATION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(loss)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reportable segments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February 28, 2022, Ashland completed the sale of its Performance Adhesives segment. The operating results and cash flows for the Performance Adhesives segment have been classified as discontinued operations within the Consolidated Financial Statements for all periods presented. As a result, Ashland’s reportable segments include Life Sciences, Personal Care, Specialty Additives, and Intermediates.</w:t>
      </w:r>
    </w:p>
    <w:p>
      <w:pPr>
        <w:spacing w:after="0" w:line="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Unallocated and Other includes corporate governance activities and certain legacy matters. The historical segment information has been recast to conform to the current segment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business descriptions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Life Sciences is comprised of pharmaceuticals, nutrition, agricultural chemicals, diagnostic films (formerly known as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30" w:name="page131"/>
    <w:bookmarkEnd w:id="130"/>
    <w:p>
      <w:pPr>
        <w:jc w:val="both"/>
        <w:spacing w:after="0" w:line="282" w:lineRule="auto"/>
        <w:rPr>
          <w:sz w:val="20"/>
          <w:szCs w:val="20"/>
          <w:color w:val="auto"/>
        </w:rPr>
      </w:pPr>
      <w:r>
        <w:rPr>
          <w:rFonts w:ascii="Times New Roman" w:cs="Times New Roman" w:eastAsia="Times New Roman" w:hAnsi="Times New Roman"/>
          <w:sz w:val="18"/>
          <w:szCs w:val="18"/>
          <w:color w:val="auto"/>
        </w:rPr>
        <w:t>migration, reducing oil uptake and binding structured foods. Customers include pharmaceutical, food, beverage, hospitals and radiologists and industrial manufacturers. The nutraceutical business was sold in August 2024. See Note B for additional details.</w:t>
      </w:r>
    </w:p>
    <w:p>
      <w:pPr>
        <w:spacing w:after="0" w:line="5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Personal Care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Information about Ashland’s domestic and international operations follows. Ashland has no operations in any individual international country or single customer that represented more than 10% of sales in 2024, 2023 and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Sales to external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Property, plant and</w:t>
            </w:r>
          </w:p>
        </w:tc>
        <w:tc>
          <w:tcPr>
            <w:tcW w:w="0" w:type="dxa"/>
            <w:vAlign w:val="bottom"/>
          </w:tcPr>
          <w:p>
            <w:pPr>
              <w:spacing w:after="0"/>
              <w:rPr>
                <w:sz w:val="1"/>
                <w:szCs w:val="1"/>
                <w:color w:val="auto"/>
              </w:rPr>
            </w:pPr>
          </w:p>
        </w:tc>
      </w:tr>
      <w:tr>
        <w:trPr>
          <w:trHeight w:val="23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equipment - net</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50"/>
        </w:trPr>
        <w:tc>
          <w:tcPr>
            <w:tcW w:w="4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4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2,391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48"/>
        </w:trPr>
        <w:tc>
          <w:tcPr>
            <w:tcW w:w="428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6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CFF0FC"/>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-76200</wp:posOffset>
            </wp:positionV>
            <wp:extent cx="768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-59055</wp:posOffset>
            </wp:positionV>
            <wp:extent cx="768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-76200</wp:posOffset>
            </wp:positionV>
            <wp:extent cx="7747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-59055</wp:posOffset>
            </wp:positionV>
            <wp:extent cx="774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-59055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-59055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-59055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-59055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results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(income) caption of the Statement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changes in prior years for indirect corporate costs previously allocated to Performance Adhesives. These costs are now reflected in Unallocated and Other for all periods presented.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1" w:name="page132"/>
    <w:bookmarkEnd w:id="131"/>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various financial information for each reportable segment for the years ended September 30, 2024,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8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37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i w:val="1"/>
                <w:iCs w:val="1"/>
                <w:color w:val="auto"/>
              </w:rPr>
              <w:t>Intersegment sales</w:t>
            </w:r>
            <w:r>
              <w:rPr>
                <w:rFonts w:ascii="Times New Roman" w:cs="Times New Roman" w:eastAsia="Times New Roman" w:hAnsi="Times New Roman"/>
                <w:sz w:val="24"/>
                <w:szCs w:val="24"/>
                <w:i w:val="1"/>
                <w:iCs w:val="1"/>
                <w:color w:val="auto"/>
                <w:vertAlign w:val="superscript"/>
              </w:rPr>
              <w:t>(a)</w:t>
            </w:r>
          </w:p>
        </w:tc>
        <w:tc>
          <w:tcPr>
            <w:tcW w:w="2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9"/>
        </w:trPr>
        <w:tc>
          <w:tcPr>
            <w:tcW w:w="374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2,113</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2,191</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2,391</w:t>
            </w:r>
          </w:p>
        </w:tc>
      </w:tr>
      <w:tr>
        <w:trPr>
          <w:trHeight w:val="197"/>
        </w:trPr>
        <w:tc>
          <w:tcPr>
            <w:tcW w:w="37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Equity income</w:t>
            </w:r>
          </w:p>
        </w:tc>
        <w:tc>
          <w:tcPr>
            <w:tcW w:w="28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40" w:type="dxa"/>
            <w:vAlign w:val="bottom"/>
            <w:shd w:val="clear" w:color="auto" w:fill="CFF0FC"/>
          </w:tcPr>
          <w:p>
            <w:pPr>
              <w:spacing w:after="0"/>
              <w:rPr>
                <w:sz w:val="21"/>
                <w:szCs w:val="21"/>
                <w:color w:val="auto"/>
              </w:rPr>
            </w:pPr>
          </w:p>
        </w:tc>
        <w:tc>
          <w:tcPr>
            <w:tcW w:w="3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197"/>
        </w:trPr>
        <w:tc>
          <w:tcPr>
            <w:tcW w:w="37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28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28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7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3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197"/>
        </w:trPr>
        <w:tc>
          <w:tcPr>
            <w:tcW w:w="3740" w:type="dxa"/>
            <w:vAlign w:val="bottom"/>
            <w:tcBorders>
              <w:top w:val="single" w:sz="8" w:color="CFF0FC"/>
            </w:tcBorders>
          </w:tcPr>
          <w:p>
            <w:pPr>
              <w:spacing w:after="0"/>
              <w:rPr>
                <w:sz w:val="17"/>
                <w:szCs w:val="17"/>
                <w:color w:val="auto"/>
              </w:rPr>
            </w:pPr>
          </w:p>
        </w:tc>
        <w:tc>
          <w:tcPr>
            <w:tcW w:w="28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37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i w:val="1"/>
                <w:iCs w:val="1"/>
                <w:color w:val="auto"/>
              </w:rPr>
              <w:t>Personal Care</w:t>
            </w:r>
            <w:r>
              <w:rPr>
                <w:rFonts w:ascii="Times New Roman" w:cs="Times New Roman" w:eastAsia="Times New Roman" w:hAnsi="Times New Roman"/>
                <w:sz w:val="24"/>
                <w:szCs w:val="24"/>
                <w:i w:val="1"/>
                <w:iCs w:val="1"/>
                <w:color w:val="auto"/>
                <w:vertAlign w:val="superscript"/>
              </w:rPr>
              <w:t>(b)</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7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i w:val="1"/>
                <w:iCs w:val="1"/>
                <w:color w:val="auto"/>
              </w:rPr>
              <w:t>Specialty Additives</w:t>
            </w:r>
            <w:r>
              <w:rPr>
                <w:rFonts w:ascii="Times New Roman" w:cs="Times New Roman" w:eastAsia="Times New Roman" w:hAnsi="Times New Roman"/>
                <w:sz w:val="24"/>
                <w:szCs w:val="24"/>
                <w:i w:val="1"/>
                <w:iCs w:val="1"/>
                <w:color w:val="auto"/>
                <w:vertAlign w:val="superscript"/>
              </w:rPr>
              <w:t>(b)</w:t>
            </w: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7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i w:val="1"/>
                <w:iCs w:val="1"/>
                <w:color w:val="auto"/>
              </w:rPr>
              <w:t>Unallocated and Other</w:t>
            </w:r>
            <w:r>
              <w:rPr>
                <w:rFonts w:ascii="Times New Roman" w:cs="Times New Roman" w:eastAsia="Times New Roman" w:hAnsi="Times New Roman"/>
                <w:sz w:val="24"/>
                <w:szCs w:val="24"/>
                <w:i w:val="1"/>
                <w:iCs w:val="1"/>
                <w:color w:val="auto"/>
                <w:vertAlign w:val="superscript"/>
              </w:rPr>
              <w:t>(b)</w:t>
            </w:r>
          </w:p>
        </w:tc>
        <w:tc>
          <w:tcPr>
            <w:tcW w:w="2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50"/>
        </w:trPr>
        <w:tc>
          <w:tcPr>
            <w:tcW w:w="3740" w:type="dxa"/>
            <w:vAlign w:val="bottom"/>
            <w:tcBorders>
              <w:bottom w:val="single" w:sz="8" w:color="CFF0FC"/>
            </w:tcBorders>
            <w:shd w:val="clear" w:color="auto" w:fill="CFF0FC"/>
          </w:tcPr>
          <w:p>
            <w:pPr>
              <w:spacing w:after="0"/>
              <w:rPr>
                <w:sz w:val="21"/>
                <w:szCs w:val="21"/>
                <w:color w:val="auto"/>
              </w:rPr>
            </w:pPr>
          </w:p>
        </w:tc>
        <w:tc>
          <w:tcPr>
            <w:tcW w:w="28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r>
      <w:tr>
        <w:trPr>
          <w:trHeight w:val="48"/>
        </w:trPr>
        <w:tc>
          <w:tcPr>
            <w:tcW w:w="374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gridSpan w:val="2"/>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750"/>
        </w:trPr>
        <w:tc>
          <w:tcPr>
            <w:tcW w:w="3740" w:type="dxa"/>
            <w:vAlign w:val="bottom"/>
          </w:tcPr>
          <w:p>
            <w:pPr>
              <w:spacing w:after="0"/>
              <w:rPr>
                <w:sz w:val="24"/>
                <w:szCs w:val="24"/>
                <w:color w:val="auto"/>
              </w:rPr>
            </w:pPr>
          </w:p>
        </w:tc>
        <w:tc>
          <w:tcPr>
            <w:tcW w:w="31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F-50</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-4182745</wp:posOffset>
            </wp:positionV>
            <wp:extent cx="21463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3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-4165600</wp:posOffset>
            </wp:positionV>
            <wp:extent cx="21463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3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-4182745</wp:posOffset>
            </wp:positionV>
            <wp:extent cx="20574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3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-4165600</wp:posOffset>
            </wp:positionV>
            <wp:extent cx="20574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3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-3325495</wp:posOffset>
            </wp:positionV>
            <wp:extent cx="21463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4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-3308350</wp:posOffset>
            </wp:positionV>
            <wp:extent cx="21463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4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-3325495</wp:posOffset>
            </wp:positionV>
            <wp:extent cx="20574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4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-3308350</wp:posOffset>
            </wp:positionV>
            <wp:extent cx="20574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4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-2476500</wp:posOffset>
            </wp:positionV>
            <wp:extent cx="21463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44">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-2476500</wp:posOffset>
            </wp:positionV>
            <wp:extent cx="20574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4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-2185670</wp:posOffset>
            </wp:positionV>
            <wp:extent cx="21463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4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-2167890</wp:posOffset>
            </wp:positionV>
            <wp:extent cx="21463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4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-2185670</wp:posOffset>
            </wp:positionV>
            <wp:extent cx="20574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4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-2167890</wp:posOffset>
            </wp:positionV>
            <wp:extent cx="20574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4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-1053465</wp:posOffset>
            </wp:positionV>
            <wp:extent cx="21463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5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-1036320</wp:posOffset>
            </wp:positionV>
            <wp:extent cx="21463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5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-1053465</wp:posOffset>
            </wp:positionV>
            <wp:extent cx="20574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5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-1036320</wp:posOffset>
            </wp:positionV>
            <wp:extent cx="20574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5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expense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62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i w:val="1"/>
                <w:iCs w:val="1"/>
                <w:color w:val="auto"/>
              </w:rPr>
              <w:t>Personal Care</w:t>
            </w:r>
            <w:r>
              <w:rPr>
                <w:rFonts w:ascii="Times New Roman" w:cs="Times New Roman" w:eastAsia="Times New Roman" w:hAnsi="Times New Roman"/>
                <w:sz w:val="24"/>
                <w:szCs w:val="24"/>
                <w:i w:val="1"/>
                <w:iCs w:val="1"/>
                <w:color w:val="auto"/>
                <w:vertAlign w:val="superscript"/>
              </w:rPr>
              <w:t>(c)</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62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i w:val="1"/>
                <w:iCs w:val="1"/>
                <w:color w:val="auto"/>
              </w:rPr>
              <w:t>Specialty Additives</w:t>
            </w:r>
            <w:r>
              <w:rPr>
                <w:rFonts w:ascii="Times New Roman" w:cs="Times New Roman" w:eastAsia="Times New Roman" w:hAnsi="Times New Roman"/>
                <w:sz w:val="24"/>
                <w:szCs w:val="24"/>
                <w:i w:val="1"/>
                <w:iCs w:val="1"/>
                <w:color w:val="auto"/>
                <w:vertAlign w:val="superscript"/>
              </w:rPr>
              <w:t>(d)</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6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r>
      <w:tr>
        <w:trPr>
          <w:trHeight w:val="197"/>
        </w:trPr>
        <w:tc>
          <w:tcPr>
            <w:tcW w:w="66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tcPr>
          <w:p>
            <w:pPr>
              <w:spacing w:after="0"/>
              <w:rPr>
                <w:sz w:val="18"/>
                <w:szCs w:val="18"/>
                <w:color w:val="auto"/>
              </w:rPr>
            </w:pP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20" w:type="dxa"/>
            <w:vAlign w:val="bottom"/>
            <w:shd w:val="clear" w:color="auto" w:fill="CFF0FC"/>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22"/>
                <w:szCs w:val="22"/>
                <w:b w:val="1"/>
                <w:bCs w:val="1"/>
                <w:color w:val="auto"/>
                <w:vertAlign w:val="superscript"/>
              </w:rPr>
              <w:t>(e)</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50"/>
        </w:trPr>
        <w:tc>
          <w:tcPr>
            <w:tcW w:w="66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w:t>
            </w:r>
          </w:p>
        </w:tc>
      </w:tr>
      <w:tr>
        <w:trPr>
          <w:trHeight w:val="196"/>
        </w:trPr>
        <w:tc>
          <w:tcPr>
            <w:tcW w:w="66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Additions to property, plant and equipment</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6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318"/>
        </w:trPr>
        <w:tc>
          <w:tcPr>
            <w:tcW w:w="6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1,778</w:t>
            </w:r>
          </w:p>
        </w:tc>
        <w:tc>
          <w:tcPr>
            <w:tcW w:w="26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1,904</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r>
      <w:tr>
        <w:trPr>
          <w:trHeight w:val="249"/>
        </w:trPr>
        <w:tc>
          <w:tcPr>
            <w:tcW w:w="6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5,645</w:t>
            </w:r>
          </w:p>
        </w:tc>
        <w:tc>
          <w:tcPr>
            <w:tcW w:w="260" w:type="dxa"/>
            <w:vAlign w:val="bottom"/>
            <w:shd w:val="clear" w:color="auto" w:fill="CFF0FC"/>
          </w:tcPr>
          <w:p>
            <w:pPr>
              <w:spacing w:after="0"/>
              <w:rPr>
                <w:sz w:val="21"/>
                <w:szCs w:val="21"/>
                <w:color w:val="auto"/>
              </w:rPr>
            </w:pPr>
          </w:p>
        </w:tc>
        <w:tc>
          <w:tcPr>
            <w:tcW w:w="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5,939</w:t>
            </w:r>
          </w:p>
        </w:tc>
      </w:tr>
      <w:tr>
        <w:trPr>
          <w:trHeight w:val="197"/>
        </w:trPr>
        <w:tc>
          <w:tcPr>
            <w:tcW w:w="66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Property, plant and equipment - net</w:t>
            </w:r>
          </w:p>
        </w:tc>
        <w:tc>
          <w:tcPr>
            <w:tcW w:w="300" w:type="dxa"/>
            <w:vAlign w:val="bottom"/>
            <w:tcBorders>
              <w:top w:val="single" w:sz="8" w:color="CFF0FC"/>
            </w:tcBorders>
          </w:tcPr>
          <w:p>
            <w:pPr>
              <w:spacing w:after="0"/>
              <w:rPr>
                <w:sz w:val="17"/>
                <w:szCs w:val="17"/>
                <w:color w:val="auto"/>
              </w:rPr>
            </w:pPr>
          </w:p>
        </w:tc>
        <w:tc>
          <w:tcPr>
            <w:tcW w:w="1140" w:type="dxa"/>
            <w:vAlign w:val="bottom"/>
            <w:tcBorders>
              <w:top w:val="single" w:sz="8" w:color="CFF0FC"/>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1,303</w:t>
            </w:r>
          </w:p>
        </w:tc>
        <w:tc>
          <w:tcPr>
            <w:tcW w:w="26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r>
      <w:tr>
        <w:trPr>
          <w:trHeight w:val="20"/>
        </w:trPr>
        <w:tc>
          <w:tcPr>
            <w:tcW w:w="6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-5459730</wp:posOffset>
            </wp:positionV>
            <wp:extent cx="21463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5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-5442585</wp:posOffset>
            </wp:positionV>
            <wp:extent cx="21463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5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-5459730</wp:posOffset>
            </wp:positionV>
            <wp:extent cx="20574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5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-5442585</wp:posOffset>
            </wp:positionV>
            <wp:extent cx="20574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5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-4611370</wp:posOffset>
            </wp:positionV>
            <wp:extent cx="21463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6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-4611370</wp:posOffset>
            </wp:positionV>
            <wp:extent cx="20574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6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-3470910</wp:posOffset>
            </wp:positionV>
            <wp:extent cx="21463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6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-3453765</wp:posOffset>
            </wp:positionV>
            <wp:extent cx="21463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6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-3470910</wp:posOffset>
            </wp:positionV>
            <wp:extent cx="20574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6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-3453765</wp:posOffset>
            </wp:positionV>
            <wp:extent cx="20574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6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-2622550</wp:posOffset>
            </wp:positionV>
            <wp:extent cx="21463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66">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-2622550</wp:posOffset>
            </wp:positionV>
            <wp:extent cx="20574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6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-1071245</wp:posOffset>
            </wp:positionV>
            <wp:extent cx="3511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68">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-1053465</wp:posOffset>
            </wp:positionV>
            <wp:extent cx="3511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6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-222250</wp:posOffset>
            </wp:positionV>
            <wp:extent cx="3511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600" w:hanging="592"/>
        <w:spacing w:after="0"/>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sales are accounted for at cost.</w:t>
      </w:r>
    </w:p>
    <w:p>
      <w:pPr>
        <w:spacing w:after="0" w:line="28" w:lineRule="exact"/>
        <w:rPr>
          <w:rFonts w:ascii="Times New Roman" w:cs="Times New Roman" w:eastAsia="Times New Roman" w:hAnsi="Times New Roman"/>
          <w:sz w:val="14"/>
          <w:szCs w:val="14"/>
          <w:color w:val="auto"/>
        </w:rPr>
      </w:pPr>
    </w:p>
    <w:p>
      <w:pPr>
        <w:jc w:val="both"/>
        <w:ind w:left="600" w:hanging="592"/>
        <w:spacing w:after="0" w:line="242" w:lineRule="auto"/>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$99 million impairment charge and a $8 million loss on sale, both related to the divestiture of the Nutraceuticals business within the income (loss) on acquisitions and divestitures, net in 2024. Includes a capital project impairment charge of $11 million within Personal Care in 2024 and a $4 million impairment charge related to a Specialty Additives facility in 2023.</w:t>
      </w:r>
    </w:p>
    <w:p>
      <w:pPr>
        <w:spacing w:after="0" w:line="160"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$2 million for Personal Care in 2024.</w:t>
      </w:r>
    </w:p>
    <w:p>
      <w:pPr>
        <w:spacing w:after="0" w:line="15" w:lineRule="exact"/>
        <w:rPr>
          <w:rFonts w:ascii="Times New Roman" w:cs="Times New Roman" w:eastAsia="Times New Roman" w:hAnsi="Times New Roman"/>
          <w:sz w:val="14"/>
          <w:szCs w:val="14"/>
          <w:color w:val="auto"/>
        </w:rPr>
      </w:pPr>
    </w:p>
    <w:p>
      <w:pPr>
        <w:ind w:left="600" w:hanging="592"/>
        <w:spacing w:after="0"/>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includes accelerated depreciation of $55 million for Specialty Additives in 2024.</w:t>
      </w:r>
    </w:p>
    <w:p>
      <w:pPr>
        <w:spacing w:after="0" w:line="28" w:lineRule="exact"/>
        <w:rPr>
          <w:rFonts w:ascii="Times New Roman" w:cs="Times New Roman" w:eastAsia="Times New Roman" w:hAnsi="Times New Roman"/>
          <w:sz w:val="14"/>
          <w:szCs w:val="14"/>
          <w:color w:val="auto"/>
        </w:rPr>
      </w:pPr>
    </w:p>
    <w:p>
      <w:pPr>
        <w:ind w:left="600" w:hanging="592"/>
        <w:spacing w:after="0" w:line="261" w:lineRule="auto"/>
        <w:tabs>
          <w:tab w:leader="none" w:pos="6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and other net periodic benefit loss (income). See the Statement of Consolidated Comprehensive Income (Loss) for applicable amounts excluded.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4.8(c)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2031 NOTES</w:t>
      </w:r>
    </w:p>
    <w:p>
      <w:pPr>
        <w:spacing w:after="0" w:line="17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following summary of our 3.375% Senior Notes due 2031 is based on and qualified by the Indenture, dated as of August 18, 2021, between Ashland LLC and U.S. Bank National Association, as trustee (the “Trustee”), as supplemented by a first supplemental Indenture, dated as of August 1, 2022, by and between Ashland Global Holdings Inc. (the “Issuer”) and the Trustee (such Indenture, as so supplemented, the “Indenture”). For a complete description of the terms and provisions of the notes, refer to the Indenture, which is filed as an exhibit to this Annual Report on Form 10-K and to the Form of 2031 Note, which is filed as an exhibit to the Form 8-K filed with the Securities and Exchange Commission on August 18, 2021. Throughout this exhibit, references to “we,” “our,” and “us” refer to the Issuer.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Ashland LLC, a Kentucky limited liability company (the “LLC”), issued $450 million aggregate principal amount of the 3.375% Senior Notes due 2031 (the “notes”) under an Indenture, dated as of August 18, 2021, between the Issuer and U.S. Bank National Association, as trustee (the “Trustee”). On August 1, 2022, following a series of mergers pursuant to its corporate restructuring plan, the Issuer assumed all of the obligations of the LLC as issuer under the Indenture and the notes, including the payment of principle of, and any premium and interest on, the notes, and agreed to perform and observe all covenants and conditions of the Indenture to have been performed or observed by the LLC, all pursuant to the first supplemental Indenture between the Issuer and the Trustee.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Issuer may issue additional notes in an unlimited aggregate principal amount at any time and from time to time under the Indenture. These additional notes will have substantially the same terms as the notes originally offered in all respects so that the additional notes may be consolidated and form a single series with the other outstanding notes and will be treated as a single class for all purposes under the Indenture, including, without limitation, waivers, amendments,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have the same CUSIP, ISIN or other identifying number as the outstanding notes must be fungible with the outstanding notes for U.S. federal income tax purposes.</w:t>
      </w:r>
    </w:p>
    <w:p>
      <w:pPr>
        <w:spacing w:after="0" w:line="143"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Issuer will issue the notes only in fully registered form without coupons, in denominations of $2,000 and integral multiples of $1,000 in excess thereof. The notes were initially issued in the form of Global Notes as described under “Book-Entry, Delivery and Form.”</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are not subject to a sinking fund provision.</w:t>
      </w:r>
    </w:p>
    <w:p>
      <w:pPr>
        <w:spacing w:after="0" w:line="185" w:lineRule="exact"/>
        <w:rPr>
          <w:sz w:val="20"/>
          <w:szCs w:val="20"/>
          <w:color w:val="auto"/>
        </w:rPr>
      </w:pPr>
    </w:p>
    <w:p>
      <w:pPr>
        <w:jc w:val="both"/>
        <w:ind w:right="20" w:firstLine="449"/>
        <w:spacing w:after="0" w:line="312" w:lineRule="auto"/>
        <w:rPr>
          <w:sz w:val="20"/>
          <w:szCs w:val="20"/>
          <w:color w:val="auto"/>
        </w:rPr>
      </w:pPr>
      <w:r>
        <w:rPr>
          <w:rFonts w:ascii="Times New Roman" w:cs="Times New Roman" w:eastAsia="Times New Roman" w:hAnsi="Times New Roman"/>
          <w:sz w:val="17"/>
          <w:szCs w:val="17"/>
          <w:color w:val="auto"/>
        </w:rPr>
        <w:t>You can find the definitions of certain terms used in this description under the caption “—Certain Definitions.” Defined terms used in this description but not defined below under the caption “—Certain Definitions” or elsewhere in this description have the meanings assigned to them in the Indenture.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will mature on September 1, 2031 (the “Maturity Date”).</w:t>
      </w:r>
    </w:p>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Interest on the notes will accrue at a rate of 3.375% per annum and will be payable semi-annually in arrears on March 1 and September 1 of each year, commencing on March 1, 2022 to the Holders of record on the February 15 and August 15 (each, a “record date”) immediately preceding the applicable interest payment date. Interest on the notes will be computed on the basis of a 360-day year comprised of twelve 30-day months. Interest on the notes will accrue from August 18, 2021.</w:t>
      </w:r>
    </w:p>
    <w:p>
      <w:pPr>
        <w:spacing w:after="0" w:line="13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If any interest payment date for the notes falls on a day that is not a Business Day, then payment of interest may be made on the next succeeding Business Day and no interest will accrue because of such delayed payment. If a redemption date, repurchase date or the maturity date for any note falls on a date that is not a Business Day, the related payments of principal, premium, if any, and interest may be made on the next succeeding Business Day, and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35" w:name="page136"/>
    <w:bookmarkEnd w:id="135"/>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interest will accumulate on the amount payable for the period from and after such redemption date, repurchase date or maturity date.</w:t>
      </w:r>
    </w:p>
    <w:p>
      <w:pPr>
        <w:spacing w:after="0" w:line="18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rights of holders of beneficial interests in notes represented by Global Notes to receive the payments of interest on the notes are subject to applicable procedures of the Depository Trust Company (“DTC”).</w:t>
      </w:r>
    </w:p>
    <w:p>
      <w:pPr>
        <w:ind w:left="480" w:right="3580" w:hanging="46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Methods of Receiving Payments on the Notes; Trustee; Registrar; Transfer Agent and Paying Agent </w:t>
      </w:r>
      <w:r>
        <w:rPr>
          <w:rFonts w:ascii="Times New Roman" w:cs="Times New Roman" w:eastAsia="Times New Roman" w:hAnsi="Times New Roman"/>
          <w:sz w:val="18"/>
          <w:szCs w:val="18"/>
          <w:color w:val="auto"/>
        </w:rPr>
        <w:t>U.S. Bank National Association will initially act as trustee for the notes under the Indenture.</w:t>
      </w:r>
    </w:p>
    <w:p>
      <w:pPr>
        <w:spacing w:after="0" w:line="14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will perform only such duties as are specifically set forth in the Indenture. During the continuance of an Event of Default actually known to a responsible officer of the Trustee, the Trustee will exercise such of the rights and powers vested in it under the Indenture, and use the same degree of care and skill in its exercise, as a prudent person would exercise or use under the circumstances in the conduct of such person’s own affairs.</w:t>
      </w:r>
    </w:p>
    <w:p>
      <w:pPr>
        <w:spacing w:after="0" w:line="15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Trustee will act as registrar and transfer agent for the notes. The notes may be presented for registration of transfer and exchange at the offices of the registrar. Under the terms of the Indenture, owners of Book-Entry Interests will receive definitive notes in registered form (the “Definitive Registered Notes”). See “Book-Entry, Delivery and Form—Issuance of Definitive Registered Notes.” The registrar and transfer agent will maintain a register reflecting ownership of Definitive Registered Notes outstanding from time to time and will effect payments on and facilitate transfer of Definitive Registered Notes on its behalf.</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Issuer will maintain one or more paying agents (each, a “Paying Agent”) for the notes. The Trustee will initially act as Paying Agent.</w:t>
      </w:r>
    </w:p>
    <w:p>
      <w:pPr>
        <w:spacing w:after="0" w:line="18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on the notes will be made at the office or agency of the paying agent and registrar unless the Issuer elects to make interest payments by check mailed to the holders at their respective addresses set forth in the register of holders. The Issuer may change any Paying Agent, registrar or transfer agent without prior notice to the holders of the notes. The Issuer may act as a Paying Agent or registrar.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notes are senior unsecured obligations of the Issuer and:</w:t>
      </w:r>
    </w:p>
    <w:p>
      <w:pPr>
        <w:spacing w:after="0" w:line="196" w:lineRule="exact"/>
        <w:rPr>
          <w:sz w:val="20"/>
          <w:szCs w:val="20"/>
          <w:color w:val="auto"/>
        </w:rPr>
      </w:pPr>
    </w:p>
    <w:p>
      <w:pPr>
        <w:ind w:left="760" w:hanging="303"/>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of the Issuer that is not expressly subordinated to the notes;</w:t>
      </w:r>
    </w:p>
    <w:p>
      <w:pPr>
        <w:spacing w:after="0" w:line="213" w:lineRule="exact"/>
        <w:rPr>
          <w:rFonts w:ascii="Times New Roman" w:cs="Times New Roman" w:eastAsia="Times New Roman" w:hAnsi="Times New Roman"/>
          <w:sz w:val="18"/>
          <w:szCs w:val="18"/>
          <w:color w:val="auto"/>
        </w:rPr>
      </w:pPr>
    </w:p>
    <w:p>
      <w:pPr>
        <w:ind w:left="760" w:hanging="303"/>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any future Indebtedness of the Issuer that is expressly subordinated to the notes;</w:t>
      </w:r>
    </w:p>
    <w:p>
      <w:pPr>
        <w:spacing w:after="0" w:line="198" w:lineRule="exact"/>
        <w:rPr>
          <w:rFonts w:ascii="Times New Roman" w:cs="Times New Roman" w:eastAsia="Times New Roman" w:hAnsi="Times New Roman"/>
          <w:sz w:val="18"/>
          <w:szCs w:val="18"/>
          <w:color w:val="auto"/>
        </w:rPr>
      </w:pPr>
    </w:p>
    <w:p>
      <w:pPr>
        <w:ind w:left="760" w:right="20" w:hanging="303"/>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structurally subordinated to all Indebtedness and other liabilities, including trade payables, of the Issuer’s subsidiaries that do not guarantee the notes; and</w:t>
      </w:r>
    </w:p>
    <w:p>
      <w:pPr>
        <w:spacing w:after="0" w:line="148" w:lineRule="exact"/>
        <w:rPr>
          <w:rFonts w:ascii="Times New Roman" w:cs="Times New Roman" w:eastAsia="Times New Roman" w:hAnsi="Times New Roman"/>
          <w:sz w:val="18"/>
          <w:szCs w:val="18"/>
          <w:color w:val="auto"/>
        </w:rPr>
      </w:pPr>
    </w:p>
    <w:p>
      <w:pPr>
        <w:ind w:left="760" w:hanging="303"/>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existing and future secured Indebtedness of the Issuer to the extent of the value of the collateral securing such Indebtedness.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Future Guarantors</w:t>
      </w:r>
    </w:p>
    <w:p>
      <w:pPr>
        <w:spacing w:after="0" w:line="18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indenture will provide that the Issuer will cause each Wholly Owned Domestic Subsidiary of the Issuer other than, at the election of the Issuer, an Excluded Subsidiary, that incurs, as an issuer, co-issuer or guarantor of, any Capital Markets Debt after the Issue Date, in an amount that, together with any other such Indebtedness (excluding any Indebtedness incurred as permitted pursuant to the definition of Credit Agreement) issued, co-issued or guaranteed by such Wholly Owned Domestic Subsidiary and then outstanding, exceeds at the time of such incurrence, 15% of Consolidated Net Tangible Assets of the Issuer, to execute and deliver to the Trustee a supplemental indenture joining such Subsidiary to the indenture, pursuant to which such Subsidiary will guarantee payment of the notes (each such guarantee of the notes, a “Subsidiary Guarantee”) for so long as such Indebtedness giving rise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obligation remains an obligation of such Subsidiary. In addition, the Issuer may cause other Subsidiaries to guarantee the notes at its option. The Subsidiary Guarantee of any such Subsidiary will be released upon:</w:t>
      </w:r>
    </w:p>
    <w:p>
      <w:pPr>
        <w:spacing w:after="0" w:line="135" w:lineRule="exact"/>
        <w:rPr>
          <w:sz w:val="20"/>
          <w:szCs w:val="20"/>
          <w:color w:val="auto"/>
        </w:rPr>
      </w:pPr>
    </w:p>
    <w:p>
      <w:pPr>
        <w:ind w:left="980" w:right="20" w:hanging="448"/>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(whether by merger, stock purchase, asset sale or otherwise) of a Subsidiary guarantor (or all or substantially all its assets or its Capital Stock) to a person which is not (after giving effect to such transaction) a Subsidiary or the Issuer;</w:t>
      </w:r>
    </w:p>
    <w:p>
      <w:pPr>
        <w:spacing w:after="0" w:line="121"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becoming an Excluded Subsidiary;</w:t>
      </w:r>
    </w:p>
    <w:p>
      <w:pPr>
        <w:spacing w:after="0" w:line="198"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of the indenture or legal defeasance or covenant defeasance; or</w:t>
      </w:r>
    </w:p>
    <w:p>
      <w:pPr>
        <w:spacing w:after="0" w:line="184"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guarantor ceasing to guarantee or be the issuer of all Capital Markets Debt in excess of the threshold specified above;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in each such case such Subsidiary shall be deemed automatically and unconditionally released and discharged from all the Subsidiary’s obligations under the guarantee with respect to the notes without any further action required on the part of the Subsidiary, the Issuer, Parent, the Trustee or any holder of the notes. In the event of the sale or disposition (whether by merger, stock purchase, asset sale or otherwise) of a Subsidiary (or all or substantially all its assets or its Capital Stock) to a person which is not (after giving effect to such transaction) a Subsidiary or the Issuer, such person shall not be subject to the Subsidiary’s obligations under the guarantee.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notwithstanding anything to the contrary herein:</w:t>
      </w:r>
    </w:p>
    <w:p>
      <w:pPr>
        <w:spacing w:after="0" w:line="185" w:lineRule="exact"/>
        <w:rPr>
          <w:sz w:val="20"/>
          <w:szCs w:val="20"/>
          <w:color w:val="auto"/>
        </w:rPr>
      </w:pPr>
    </w:p>
    <w:p>
      <w:pPr>
        <w:jc w:val="both"/>
        <w:ind w:left="1280" w:hanging="823"/>
        <w:spacing w:after="0" w:line="256" w:lineRule="auto"/>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shall be required if such guarantee could reasonably be expected to give rise to or result in (A) personal liability for the officers, directors or shareholders of such Subsidiary, (B) any violation of applicable law that cannot be avoided or otherwise prevented through measures reasonably available to the Issuer or such Subsidiary or (C) any significant cost, expense, liability or obligation (including with respect of any taxes) other than reasonable out of pocket expenses and other than reasonable expenses incurred in connection with any governmental or regulatory filings required as a result of, or any measures pursuant to clause (B) undertaken in connection with, such guarantee, which cannot be avoided through measures reasonably available to the Issuer or the Subsidiary; and</w:t>
      </w:r>
    </w:p>
    <w:p>
      <w:pPr>
        <w:spacing w:after="0" w:line="160" w:lineRule="exact"/>
        <w:rPr>
          <w:rFonts w:ascii="Times New Roman" w:cs="Times New Roman" w:eastAsia="Times New Roman" w:hAnsi="Times New Roman"/>
          <w:sz w:val="18"/>
          <w:szCs w:val="18"/>
          <w:color w:val="auto"/>
        </w:rPr>
      </w:pPr>
    </w:p>
    <w:p>
      <w:pPr>
        <w:jc w:val="both"/>
        <w:ind w:left="1280" w:hanging="823"/>
        <w:spacing w:after="0" w:line="266" w:lineRule="auto"/>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guarantee will be limited as necessary to recognize certain defenses generally available to guarantors (including those that relate to fraudulent conveyance or transfer, voidable preference, financial assistance, corporate purpose, capital maintenance or similar laws, regulations or defenses affecting the rights of creditors generally) or other considerations under applicable law.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8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prior to June 1, 2031, the Issuer may redeem some or all of the notes, upon not less than 10 nor more than 60 days’ prior notice, at a price equal to the greater of:</w:t>
      </w:r>
    </w:p>
    <w:p>
      <w:pPr>
        <w:spacing w:after="0" w:line="135" w:lineRule="exact"/>
        <w:rPr>
          <w:sz w:val="20"/>
          <w:szCs w:val="20"/>
          <w:color w:val="auto"/>
        </w:rPr>
      </w:pPr>
    </w:p>
    <w:p>
      <w:pPr>
        <w:ind w:left="840" w:hanging="383"/>
        <w:spacing w:after="0"/>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principal amount of any notes being redeemed, and</w:t>
      </w:r>
    </w:p>
    <w:p>
      <w:pPr>
        <w:spacing w:after="0" w:line="198" w:lineRule="exact"/>
        <w:rPr>
          <w:rFonts w:ascii="Times New Roman" w:cs="Times New Roman" w:eastAsia="Times New Roman" w:hAnsi="Times New Roman"/>
          <w:sz w:val="18"/>
          <w:szCs w:val="18"/>
          <w:color w:val="auto"/>
        </w:rPr>
      </w:pPr>
    </w:p>
    <w:p>
      <w:pPr>
        <w:jc w:val="both"/>
        <w:ind w:left="840" w:hanging="383"/>
        <w:spacing w:after="0" w:line="261" w:lineRule="auto"/>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as calculated by the Issuer, of the remaining scheduled payments of principal and interest on the notes being redeemed that would be due to their maturity date (assuming for these purposes that the notes matured on June 1, 2031), not including unpaid interest accrued to, but excluding, the redemption date, discounted to the redemption date, at a rate equal to the Adjusted Treasury Rate plus 50 basis points plus, in each case, accrued and unpaid interest, if any, on the notes being redeemed to, but excluding, the redemption date.</w:t>
      </w:r>
    </w:p>
    <w:p>
      <w:pPr>
        <w:spacing w:after="0" w:line="15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On or after June 1, 2031, the notes will be redeemable in whole at any time or in part, from time to time, at the Issuer’s option, upon at least 10 days but no more than 60 days prior written notice sent to the registered holders of the notes, at a redemption price equal to 100% of the principal amount of the notes to be redeemed plus accrued and unpaid interest thereon, if any, to, but excluding,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3"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Issuer will, however, pay the interest installment due on any interest payment date that occurs on or before a redemption date to the holders of the affected notes as of the close of business on the applicable record date.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addition, the Issuer may acquire the notes by means other than a redemption, whether by tender offer, open market purchases, negotiated transactions or otherwise, in accordance with the applicable securities laws, so long as such acquisition does not otherwise violate the terms of the Indenture.</w:t>
      </w:r>
    </w:p>
    <w:p>
      <w:pPr>
        <w:spacing w:after="0" w:line="13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Notwithstanding the foregoing, in connection with any tender for the notes, if holders of not less than 90% in the aggregate principal amount of the outstanding notes validly tender and do not withdraw such notes in such tender offer and the Issuer, or any other Person making such tender offer, purchases all of the notes validly tendered and not withdrawn by such holders, the Issuer or any third party in lieu of the Issuer, will have the right, upon not less than 10 nor more than 60 days’ prior notice, given not more than 30 days following such purchase pursuant to such tender offer, to redeem all of the notes that remain outstanding following such purchase at a price in cash equal to the price offered to each holder of the notes in such tender offer, plus, to the extent not included in the tender offer payment, accrued and unpaid interest, if any, to, but excluding, the redemption date (subject to the right of holders of record on the relevant record date to receive interest due on the relevant interest payment date falling prior to or on the redemption date).</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interest will cease to accrue on the notes called for redemption on the applicable redemption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Notice of Redemption</w:t>
      </w:r>
    </w:p>
    <w:p>
      <w:pPr>
        <w:spacing w:after="0" w:line="17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If the Issuer redeems less than all of the notes at any time, in the case of notes represented by Definitive Registered Notes, the Trustee will select notes by lot on a </w:t>
      </w:r>
      <w:r>
        <w:rPr>
          <w:rFonts w:ascii="Times New Roman" w:cs="Times New Roman" w:eastAsia="Times New Roman" w:hAnsi="Times New Roman"/>
          <w:sz w:val="18"/>
          <w:szCs w:val="18"/>
          <w:i w:val="1"/>
          <w:iCs w:val="1"/>
          <w:color w:val="auto"/>
        </w:rPr>
        <w:t>pro rata basis</w:t>
      </w:r>
      <w:r>
        <w:rPr>
          <w:rFonts w:ascii="Times New Roman" w:cs="Times New Roman" w:eastAsia="Times New Roman" w:hAnsi="Times New Roman"/>
          <w:sz w:val="18"/>
          <w:szCs w:val="18"/>
          <w:color w:val="auto"/>
        </w:rPr>
        <w:t xml:space="preserve"> and, in the case of notes represented by Global Notes, the notes will be selected in accordance with the applicable procedures of the relevant depositary unless an alternative method of selection is in either case otherwise required by law or applicable stock exchange or depositary requirements.</w:t>
      </w:r>
    </w:p>
    <w:p>
      <w:pPr>
        <w:spacing w:after="0" w:line="15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Issuer will redeem notes of $2,000 or less in whole and not in part. The Issuer will cause notices of redemption to be sent at least 10 but not more than 60 days before the redemption date to each holder of notes to be redeemed at its registered address. The Issuer may provide in the notice that payment of the redemption price and performance of the Issuer’s obligations with respect to the redemption or purchase may be performed by another Person. Any notice of redemption may be given prior to the completion of any event or transaction related to such redemption, and any such redemption or notice may, at the Issuer’s discretion, be subject to the satisfaction of one or more conditions precedent. In addition, if such redemption or notice is subject to satisfaction of one or more conditions precedent, such notice shall state that, in the Issuer’s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w:t>
      </w:r>
    </w:p>
    <w:p>
      <w:pPr>
        <w:spacing w:after="0" w:line="1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If notes are to be redeemed in part only, the notice of redemption will state the portion of the principal amount thereof that is to be redeemed. The Issuer will issue a new note in a principal amount equal to the unredeemed portion of the original note in the name of the holder upon cancellation of the original note. Subject to the satisfaction or waiver of any condition to such redemption, notes called for redemption become due on the date fixed for redemption. On and after such date, unless the Issuer defaults in payment of the redemption price on such date, interest ceases to accrue on the notes or portions thereof called for such redemption.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8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with respect to the notes, each holder of notes will have the right to require the Issuer to repurchase all or any part (in denominations of $2,000 and integral multiples of $1,000 in excess thereof) of such holder’s notes at a purchase price (the “Change of Control Purchase Price”) in cash in an amount equal to 101% of the principal amount thereof plus accrued and unpaid interest, if any, to, but excluding, the date of repurchase (subject to the right of holders of record on the relevant record date to receive interest due on the relevant interest payment date), except to the extent the Issuer has previously or concurrently elected to redeem the notes as described under “—Optional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3"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Within 30 days following any Change of Control Repurchase Event, except to the extent that the Issuer has exercised its right to redeem the notes by delivery of a notice of redemption as described under “— Optional Redemption,” the Issuer shall mail a notice (a “Change of Control Offer”) to each holder of notes with a copy to the Trustee stating:</w:t>
      </w:r>
    </w:p>
    <w:p>
      <w:pPr>
        <w:spacing w:after="0" w:line="135" w:lineRule="exact"/>
        <w:rPr>
          <w:sz w:val="20"/>
          <w:szCs w:val="20"/>
          <w:color w:val="auto"/>
        </w:rPr>
      </w:pPr>
    </w:p>
    <w:p>
      <w:pPr>
        <w:jc w:val="both"/>
        <w:ind w:left="460" w:firstLine="521"/>
        <w:spacing w:after="0" w:line="261" w:lineRule="auto"/>
        <w:tabs>
          <w:tab w:leader="none" w:pos="15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Change of Control Repurchase Event has occurred with respect to the notes and that such holder has the right to require the Issuer to repurchase such holder’s notes at a repurchase price in cash in an amount equal to 101% of the principal amount thereof plus accrued and unpaid interest, if any, to the date of repurchase (subject to the right of holders of record on a record date to receive interest on the relevant interest payment date);</w:t>
      </w:r>
    </w:p>
    <w:p>
      <w:pPr>
        <w:spacing w:after="0" w:line="152" w:lineRule="exact"/>
        <w:rPr>
          <w:rFonts w:ascii="Times New Roman" w:cs="Times New Roman" w:eastAsia="Times New Roman" w:hAnsi="Times New Roman"/>
          <w:sz w:val="18"/>
          <w:szCs w:val="18"/>
          <w:color w:val="auto"/>
        </w:rPr>
      </w:pPr>
    </w:p>
    <w:p>
      <w:pPr>
        <w:ind w:left="1540" w:hanging="559"/>
        <w:spacing w:after="0"/>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date (which shall be no earlier than 10 days nor later than 60 days from the date such notice is mailed); and</w:t>
      </w:r>
    </w:p>
    <w:p>
      <w:pPr>
        <w:spacing w:after="0" w:line="184" w:lineRule="exact"/>
        <w:rPr>
          <w:rFonts w:ascii="Times New Roman" w:cs="Times New Roman" w:eastAsia="Times New Roman" w:hAnsi="Times New Roman"/>
          <w:sz w:val="18"/>
          <w:szCs w:val="18"/>
          <w:color w:val="auto"/>
        </w:rPr>
      </w:pPr>
    </w:p>
    <w:p>
      <w:pPr>
        <w:ind w:left="1540" w:hanging="559"/>
        <w:spacing w:after="0"/>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determined by the Issuer, consistent with this covenant, that a holder must follow in order to have its notes purchased.</w:t>
      </w:r>
    </w:p>
    <w:p>
      <w:pPr>
        <w:spacing w:after="0" w:line="198"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 Change of Control Offer may be made in advance of a Change of Control Repurchase Event, and conditioned upon such Change of Control Repurchase Event, if a definitive agreement is in place for the Change of Control at the time of making of the Change of Control Offer.</w:t>
      </w:r>
    </w:p>
    <w:p>
      <w:pPr>
        <w:spacing w:after="0" w:line="17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In addition, the Issuer will not be required to make a Change of Control Offer with respect to the notes upon the consummation of a Change of Control Repurchase Event if (i) a third party makes the Change of Control Offer in the manner, at the time and otherwise in compliance with the requirements set forth in the Indenture applicable to a Change of Control Offer made by the Issuer and purchases all notes properly tendered and not withdrawn under such Change of Control Offer, or (ii) a notice of redemption has been given pursuant to the Indenture as described above under the caption “—Optional Redemption,” unless and until there is a default in payment of the applicable redemption price, or (iii) after the public announcement that a definitive agreement for a Change of Control has been entered into, the Issuer has made an offer to purchase (an “Alternate Offer”) any and all notes validly tendered at a cash price (the “Alternate Offer Price”) equal to or higher than the Change of Control Purchase Price, the relevant offer to purchase documentation discloses the circumstances and relevant facts regarding such Change of Control and that a Change of Control Offer will not be required to be made if all notes validly tendered and not withdrawn in the Alternate Offer are purchased and the Issuer has purchased all notes properly tendered in accordance with the terms of the Alternate Offer. The Change of Control provisions described above will be applicable whether or not any other provisions of the Indenture are applicable.</w:t>
      </w:r>
    </w:p>
    <w:p>
      <w:pPr>
        <w:spacing w:after="0" w:line="15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 Change of Control Offer or an Alternate Offer may be made in advance of a Change of Control Repurchase Event, conditioned upon the occurrence of such Change of Control Repurchase Event, if a definitive agreement is in place for the Change of Control at the time the Change of Control Offer or Alternate Offer is made.</w:t>
      </w:r>
    </w:p>
    <w:p>
      <w:pPr>
        <w:spacing w:after="0" w:line="14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Notes repurchased by the Issuer pursuant to a Change of Control Offer or Alternative Offer will have the status of notes issued but not outstanding or will be retired and canceled at the option of the Issuer and Parent. Notes purchased by a third party pursuant to clause (i) of the preceding paragraph will have the status of notes issued and outstanding.</w:t>
      </w:r>
    </w:p>
    <w:p>
      <w:pPr>
        <w:spacing w:after="0" w:line="13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Issuer will comply, to the extent applicable, with the requirements of Section 14(e) of the Exchange Act and any other securities laws or regulations in connection with the repurchase of notes pursuant to this covenant. To the extent that the provisions of any securities laws or regulations conflict with provisions of this covenant, the Issuer will comply with the applicable securities laws and regulations and will not be deemed to have breached the Issuer’s obligations under this covenant by virtue thereof.</w:t>
      </w:r>
    </w:p>
    <w:p>
      <w:pPr>
        <w:spacing w:after="0" w:line="15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This Change of Control repurchase provision is a result of negotiations between the Issuer and the initial purchasers. Neither Parent nor any of its Subsidiaries has any present intention to engage in a transaction involving a Change of Control Repurchase Event, although it is possible that Parent and its Subsidiaries could decide to do so in the future. Subject to the limitations discussed below, Parent or any such Subsidiary could, in the future, enter into certain transactions, including acquisitions, refinancings or other recapitalizations, that would not constitute a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Control Repurchase Event under the Indenture, but that could increase the amount of Indebtedness outstanding at such time or otherwise affect Parent’s or the Issuer’s capital structure or credit rating.</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occurrence of events that would constitute a Change of Control Repurchase Event may also constitute an event of default under or require repurchase of existing Indebtedness of Parent or its Subsidiaries. Future Indebtedness of Parent or its Subsidiaries may contain prohibitions on certain events that would constitute a Change of Control or require such Indebtedness to be repurchased upon a Change of Control. Moreover, the exercise by the holders of notes of their right to require the Issuer to repurchase the notes could cause a default under other indebtedness of Parent or its Subsidiaries, even if the Change of Control itself does not, due to the financial effect of such repurchase on Parent. Finally, the Issuer’s ability to pay cash to the holders upon a repurchase may be limited by the Issuer’s then-existing financial resources. There can be no assurance that sufficient funds will be available when necessary to make any required repurchases. See “Risk Factors—Risks Related to the Notes—We may not be able to repurchase the notes upon a change of control repurchase event.”</w:t>
      </w:r>
    </w:p>
    <w:p>
      <w:pPr>
        <w:spacing w:after="0" w:line="20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 provisions under the Indenture relating to the Issuer’s obligation to make an offer to repurchase the notes as a result of a Change of Control Repurchase Event may be waived or modified with the written consent of the holders of a majority in aggregate principal amount of the notes.</w:t>
      </w:r>
    </w:p>
    <w:p>
      <w:pPr>
        <w:spacing w:after="0" w:line="121"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If holders of not less than 90% in aggregate principal amount of the outstanding notes validly tender and do not withdraw such notes in a Change of Control Offer or Alternate Offer and the Issuer, or any third party making a Change of Control Offer or Alternate Offer in lieu of the Issuer as described above, purchases all of the notes validly tendered and not withdrawn by such Holders, the Issuer or such third party will have the right, upon not less than 10 nor more than 60 days’ prior notice, given not more than 30 days following such purchase pursuant to such Change of Control Offer or Alternate Offer, to redeem all notes that remain outstanding following such purchase at a price in cash equal to the Change of Control Purchase Price or Alternate Offer Price, as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Secured Debt</w:t>
      </w:r>
    </w:p>
    <w:p>
      <w:pPr>
        <w:spacing w:after="0" w:line="189"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The Indenture provides that, after the Issue Date, neither the Issuer nor any Subsidiary (other than an Excluded Subsidiary) will create, incur, issue, assume or guarantee any Indebtedness secured by a mortgage, security interest, pledge or lien (which we refer to herein, collectively, as a “Mortgage”) on or upon any of their property or assets (which we refer to herein, collectively, as “Property”), whether owned at the date of the Indenture or acquired after the date of the Indenture, without ensuring that the notes (together with, if the Issuer chooses, any other Indebtedness created, issued, assumed or guaranteed by the Issuer or any Subsidiary then existing or thereafter created) will be secured by such Mortgage equally and ratably with (or, at the Issuer’s option, prior to) such Indebtedness. This restriction will not apply to Indebtedness secured by any of the following:</w:t>
      </w:r>
    </w:p>
    <w:p>
      <w:pPr>
        <w:spacing w:after="0" w:line="160" w:lineRule="exact"/>
        <w:rPr>
          <w:sz w:val="20"/>
          <w:szCs w:val="20"/>
          <w:color w:val="auto"/>
        </w:rPr>
      </w:pPr>
    </w:p>
    <w:p>
      <w:pPr>
        <w:jc w:val="both"/>
        <w:ind w:left="980" w:hanging="448"/>
        <w:spacing w:after="0" w:line="254"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Mortgages on any Property acquired, leased, constructed or improved by, or on any shares of Capital Stock or Indebtedness acquired by, the Issuer or any Subsidiary after the date of the Indenture to secure Indebtedness incurred for the purpose of financing or refinancing all or any part of the purchase price of such Property, shares of Capital Stock or Indebtedness or of the cost of any construction or improvements on such Property, including Mortgages created as a result of an acquisition by way of Capital Lease, in each case, to the extent that the Indebtedness is incurred prior to or within one year after the applicable acquisition, lease, completion of construction or improvement or beginning of commercial operation of such Property,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that any improvements that become subject to any pre-existing Mortgage on the Property to which such improvements are made need not be completed within one year after the incurrence of the Indebtedness giving rise to such Mortgage;</w:t>
      </w:r>
    </w:p>
    <w:p>
      <w:pPr>
        <w:spacing w:after="0" w:line="151" w:lineRule="exact"/>
        <w:rPr>
          <w:rFonts w:ascii="Times New Roman" w:cs="Times New Roman" w:eastAsia="Times New Roman" w:hAnsi="Times New Roman"/>
          <w:sz w:val="18"/>
          <w:szCs w:val="18"/>
          <w:color w:val="auto"/>
        </w:rPr>
      </w:pPr>
    </w:p>
    <w:p>
      <w:pPr>
        <w:jc w:val="both"/>
        <w:ind w:left="980" w:hanging="448"/>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Mortgages on any Property, shares of Capital Stock or Indebtedness existing at the time the Issuer or any Subsidiary acquire any of the same and on any subsequent improvements to such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Mortgage in respect of Indebtedness existing at the time of acquisition of any such Property may apply to any subsequent improvements to such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3" w:lineRule="exact"/>
        <w:rPr>
          <w:sz w:val="20"/>
          <w:szCs w:val="20"/>
          <w:color w:val="auto"/>
        </w:rPr>
      </w:pPr>
    </w:p>
    <w:p>
      <w:pPr>
        <w:ind w:left="980" w:hanging="448"/>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Person existing at the time the Issuer or any Subsidiary merge or consolidate with such Person or at the time the Issuer or any Subsidiary acquire all or substantially all of the Properties or Capital Stock of such Person;</w:t>
      </w:r>
    </w:p>
    <w:p>
      <w:pPr>
        <w:spacing w:after="0" w:line="134" w:lineRule="exact"/>
        <w:rPr>
          <w:rFonts w:ascii="Times New Roman" w:cs="Times New Roman" w:eastAsia="Times New Roman" w:hAnsi="Times New Roman"/>
          <w:sz w:val="18"/>
          <w:szCs w:val="18"/>
          <w:color w:val="auto"/>
        </w:rPr>
      </w:pPr>
    </w:p>
    <w:p>
      <w:pPr>
        <w:ind w:left="980" w:right="20" w:hanging="448"/>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(a) any Property of, or shares of Capital Stock or Indebtedness of, a Person existing at the time such Person becomes a Subsidiary or (b) any shares of Capital Stock or Indebtedness of a Joint Venture;</w:t>
      </w:r>
    </w:p>
    <w:p>
      <w:pPr>
        <w:spacing w:after="0" w:line="121"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Parent, the Issuer or any Subsidiary;</w:t>
      </w:r>
    </w:p>
    <w:p>
      <w:pPr>
        <w:spacing w:after="0" w:line="184" w:lineRule="exact"/>
        <w:rPr>
          <w:rFonts w:ascii="Times New Roman" w:cs="Times New Roman" w:eastAsia="Times New Roman" w:hAnsi="Times New Roman"/>
          <w:sz w:val="18"/>
          <w:szCs w:val="18"/>
          <w:color w:val="auto"/>
        </w:rPr>
      </w:pPr>
    </w:p>
    <w:p>
      <w:pPr>
        <w:jc w:val="both"/>
        <w:ind w:left="960" w:hanging="428"/>
        <w:spacing w:after="0" w:line="258"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state thereof, or political subdivision of the United States or any state thereof, or any department, agency or instrumentality of the United States or any state thereof or any such political subdivision, to secure partial, progress, advance or other payments pursuant to any contract or statute or to secure Indebtedness incurred or guaranteed to finance or refinance all or any part of the purchase price of the Property, shares of Capital Stock or Indebtedness subject to any such Mortgage, or the cost of constructing or improving the Property subject to such Mortgage;</w:t>
      </w:r>
    </w:p>
    <w:p>
      <w:pPr>
        <w:spacing w:after="0" w:line="156"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Credit Agreement;</w:t>
      </w:r>
    </w:p>
    <w:p>
      <w:pPr>
        <w:spacing w:after="0" w:line="184"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accounts receivables and related assets of the Issuer and its Subsidiaries pursuant to Qualified Receivables Financing;</w:t>
      </w:r>
    </w:p>
    <w:p>
      <w:pPr>
        <w:spacing w:after="0" w:line="198" w:lineRule="exact"/>
        <w:rPr>
          <w:rFonts w:ascii="Times New Roman" w:cs="Times New Roman" w:eastAsia="Times New Roman" w:hAnsi="Times New Roman"/>
          <w:sz w:val="18"/>
          <w:szCs w:val="18"/>
          <w:color w:val="auto"/>
        </w:rPr>
      </w:pPr>
    </w:p>
    <w:p>
      <w:pPr>
        <w:jc w:val="both"/>
        <w:ind w:left="980" w:hanging="448"/>
        <w:spacing w:after="0" w:line="26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industrial revenue, pollution control or similar bonds issued or guaranteed by the United States or any state thereof, or political subdivision of the United States or any state thereof, or any department, agency or instrumentality of the United States or any state thereof or any such political subdivision;</w:t>
      </w:r>
    </w:p>
    <w:p>
      <w:pPr>
        <w:spacing w:after="0" w:line="135" w:lineRule="exact"/>
        <w:rPr>
          <w:rFonts w:ascii="Times New Roman" w:cs="Times New Roman" w:eastAsia="Times New Roman" w:hAnsi="Times New Roman"/>
          <w:sz w:val="18"/>
          <w:szCs w:val="18"/>
          <w:color w:val="auto"/>
        </w:rPr>
      </w:pPr>
    </w:p>
    <w:p>
      <w:pPr>
        <w:ind w:left="980" w:hanging="448"/>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obligations owed in respect of any overdraft and related liabilities arising from treasury, depository and cash management services or any automated clearinghouse transfers of funds; and</w:t>
      </w:r>
    </w:p>
    <w:p>
      <w:pPr>
        <w:spacing w:after="0" w:line="134" w:lineRule="exact"/>
        <w:rPr>
          <w:rFonts w:ascii="Times New Roman" w:cs="Times New Roman" w:eastAsia="Times New Roman" w:hAnsi="Times New Roman"/>
          <w:sz w:val="18"/>
          <w:szCs w:val="18"/>
          <w:color w:val="auto"/>
        </w:rPr>
      </w:pPr>
    </w:p>
    <w:p>
      <w:pPr>
        <w:jc w:val="both"/>
        <w:ind w:left="980" w:hanging="448"/>
        <w:spacing w:after="0" w:line="257"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renewals or replacements of any Mortgage existing on the date of the Indenture (excluding Indebtedness under the Credit Agreement) or any Mortgage referred to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principal amount of Indebtedness secured thereby may not exceed the principal amount of Indebtedness so secured at the time of such extension, renewal or replacement (other than any increases attributable to</w:t>
      </w:r>
    </w:p>
    <w:p>
      <w:pPr>
        <w:spacing w:after="0" w:line="1" w:lineRule="exact"/>
        <w:rPr>
          <w:rFonts w:ascii="Times New Roman" w:cs="Times New Roman" w:eastAsia="Times New Roman" w:hAnsi="Times New Roman"/>
          <w:sz w:val="18"/>
          <w:szCs w:val="18"/>
          <w:color w:val="auto"/>
        </w:rPr>
      </w:pPr>
    </w:p>
    <w:p>
      <w:pPr>
        <w:jc w:val="both"/>
        <w:ind w:left="980" w:firstLine="1"/>
        <w:spacing w:after="0" w:line="253" w:lineRule="auto"/>
        <w:tabs>
          <w:tab w:leader="none" w:pos="12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premium required to be paid in connection with such refinancing pursuant to the terms of the Indebtedness so refinanced, (b) the amount of any premium reasonably determined by the Issuer as necessary to accomplish such refinancing by means of a tender offer or privately negotiated repurchase and (c) any expenses incurred in connection with such refinancing), and such extension, renewal or replacement will be limited to all or a part of the Property (plus improvements and construction on such Property), shares of Capital Stock or Indebtedness which was subject to the Mortgage so extended, renewed or replaced.</w:t>
      </w:r>
    </w:p>
    <w:p>
      <w:pPr>
        <w:spacing w:after="0" w:line="160"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described above, the Issuer or any of its Subsidiaries may, without having to equally and ratably secure the notes, issue, assume or guarantee Indebtedness secured by a Mortgage not excepted from the foregoing restriction, if at the time of such issuance, assumption or guarantee, after giving effect thereto and to the retirement of any Indebtedness which is concurrently being retired, the aggregate principal amount of all such Indebtedness secured by Mortgages which would otherwise be subject to such restriction (other than any Indebtedness secured by Mortgages permitted as described in clauses (1) through (11) of the immediately preceding paragraph) plus the aggregate amount (without duplication) of all Attributable Debt of the Issuer and any of its Subsidiaries (other than Excluded Subsidiaries) in respect of Sale and Lease-Back Transactions (with the exception of such transactions which are permitted under clauses (1) and (2) of the first sentence of the first paragraph under “—Restrictions on Sale and Lease-Back Transactions” below) does not exceed 15% of Consolidated Net Tangible Assets of the Issuer.</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Sale and Lease-Back Transactions</w:t>
      </w:r>
    </w:p>
    <w:p>
      <w:pPr>
        <w:spacing w:after="0" w:line="175"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The Indenture provides that neither the Issuer nor any of its Subsidiaries (other than Excluded Subsidiaries) will enter into any Sale and Lease-Back Transaction with respect to any of their Property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67" w:lineRule="exact"/>
        <w:rPr>
          <w:sz w:val="20"/>
          <w:szCs w:val="20"/>
          <w:color w:val="auto"/>
        </w:rPr>
      </w:pPr>
    </w:p>
    <w:p>
      <w:pPr>
        <w:jc w:val="both"/>
        <w:ind w:left="980" w:hanging="448"/>
        <w:spacing w:after="0" w:line="26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such Subsidiary is entitled under the provisions described in clause (1) or clause (6) in the first paragraph under “—Restrictions on Secured Debt” to create, issue, assume or guarantee Indebtedness secured by a Mortgage on the Property to be leased without having to equally and ratably secure the notes;</w:t>
      </w:r>
    </w:p>
    <w:p>
      <w:pPr>
        <w:spacing w:after="0" w:line="135" w:lineRule="exact"/>
        <w:rPr>
          <w:rFonts w:ascii="Times New Roman" w:cs="Times New Roman" w:eastAsia="Times New Roman" w:hAnsi="Times New Roman"/>
          <w:sz w:val="18"/>
          <w:szCs w:val="18"/>
          <w:color w:val="auto"/>
        </w:rPr>
      </w:pPr>
    </w:p>
    <w:p>
      <w:pPr>
        <w:jc w:val="both"/>
        <w:ind w:left="980" w:hanging="448"/>
        <w:spacing w:after="0" w:line="261"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such Subsidiary applies an amount (equaling at least the greater of the net proceeds of the sale of Property or the Attributable Debt in respect of such Sale and Lease-Back Transaction) within a period commencing one year prior to the consummation of such Sale and Lease-Back Transaction and ending one year after the consummation thereof, to make non-mandatory prepayments on Long-Term Indebtedness, retire Long-Term Indebtedness or acquire, construct or improve long-term assets; or</w:t>
      </w:r>
    </w:p>
    <w:p>
      <w:pPr>
        <w:spacing w:after="0" w:line="139" w:lineRule="exact"/>
        <w:rPr>
          <w:rFonts w:ascii="Times New Roman" w:cs="Times New Roman" w:eastAsia="Times New Roman" w:hAnsi="Times New Roman"/>
          <w:sz w:val="18"/>
          <w:szCs w:val="18"/>
          <w:color w:val="auto"/>
        </w:rPr>
      </w:pPr>
    </w:p>
    <w:p>
      <w:pPr>
        <w:jc w:val="both"/>
        <w:ind w:left="980" w:hanging="448"/>
        <w:spacing w:after="0" w:line="25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Debt of the Issuer or such Subsidiary in respect of such Sale and Lease-Back Transaction and all other Sale and Lease-Back Transactions entered into after the Issue Date (other than any such Sale and Lease-Back Transaction as would be permitted as described in clauses (1) and (2) of this sentence), plus the aggregate principal amount (without duplication) of Indebtedness secured by Mortgages then outstanding (not including any such Indebtedness secured by Mortgages described in clauses (1) through (11) of the first paragraph under the heading “—Restrictions on Secured Debt”) which do not equally and ratably secure the notes or the Guarantee (or secure the notes on a basis that is prior to other Indebtedness secured thereby), would not exceed 15% of Consolidated Net Tangible Assets of the Issuer.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8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The Indenture provides that the Issuer may consolidate or merge with or into any other corporation, limited liability company, partnership or other entity, or lease, sell or transfer all or substantially all of its property and assets if:</w:t>
      </w:r>
    </w:p>
    <w:p>
      <w:pPr>
        <w:spacing w:after="0" w:line="135" w:lineRule="exact"/>
        <w:rPr>
          <w:sz w:val="20"/>
          <w:szCs w:val="20"/>
          <w:color w:val="auto"/>
        </w:rPr>
      </w:pPr>
    </w:p>
    <w:p>
      <w:pPr>
        <w:jc w:val="both"/>
        <w:ind w:left="980" w:hanging="523"/>
        <w:spacing w:after="0" w:line="266"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limited liability company, partnership or other entity formed by such consolidation, or into which Parent or the Issuer is merged, or the party which acquires by lease, sale or transfer all or substantially all of its property and assets, is organized and existing under the laws of the United States, any state in the United States or the District of Columbia;</w:t>
      </w:r>
    </w:p>
    <w:p>
      <w:pPr>
        <w:spacing w:after="0" w:line="135" w:lineRule="exact"/>
        <w:rPr>
          <w:rFonts w:ascii="Times New Roman" w:cs="Times New Roman" w:eastAsia="Times New Roman" w:hAnsi="Times New Roman"/>
          <w:sz w:val="18"/>
          <w:szCs w:val="18"/>
          <w:color w:val="auto"/>
        </w:rPr>
      </w:pPr>
    </w:p>
    <w:p>
      <w:pPr>
        <w:jc w:val="both"/>
        <w:ind w:left="980" w:hanging="523"/>
        <w:spacing w:after="0" w:line="261"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limited liability company, partnership or other entity formed by such consolidation, or into which Parent or the Issuer is merged, or the party which acquires by lease, sale or transfer all or substantially all of its property and assets, agrees to, in the case of Parent, Guarantee the notes or, in the case of the Issuer, pay the principal of, and any premium and interest on, the notes, perform and observe all covenants and conditions of the Indenture, in each case, by executing and delivering to the Trustee a supplemental Indenture; and</w:t>
      </w:r>
    </w:p>
    <w:p>
      <w:pPr>
        <w:spacing w:after="0" w:line="139" w:lineRule="exact"/>
        <w:rPr>
          <w:rFonts w:ascii="Times New Roman" w:cs="Times New Roman" w:eastAsia="Times New Roman" w:hAnsi="Times New Roman"/>
          <w:sz w:val="18"/>
          <w:szCs w:val="18"/>
          <w:color w:val="auto"/>
        </w:rPr>
      </w:pPr>
    </w:p>
    <w:p>
      <w:pPr>
        <w:jc w:val="both"/>
        <w:ind w:left="980" w:hanging="523"/>
        <w:spacing w:after="0" w:line="266"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Indebtedness which becomes the Issuer’s obligation or an obligation of a Subsidiary (other than an Excluded Subsidiary) as a result of such transaction as having been incurred by the Issuer or such Subsidiary at the time of such transaction, no Default or Event of Default has happened and is continuing.</w:t>
      </w:r>
    </w:p>
    <w:p>
      <w:pPr>
        <w:spacing w:after="0" w:line="14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the event that Parent or the Issuer consolidates with or merges with or into another corporation, limited liability company, partnership or other entity or sells substantially all of its assets to any other corporation, limited liability company, partnership or other entity in compliance with the foregoing limitations, the surviving entity (if other than Parent or the Issuer) will be substituted for Parent or the Issuer, as applicable, under the Indenture, and Parent or the Issuer, as applicable, will be discharged from all of its obligations under the Indenture.</w:t>
      </w:r>
    </w:p>
    <w:p>
      <w:pPr>
        <w:spacing w:after="0" w:line="13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In addition, notwithstanding the foregoing, this covenant will not prevent any consolidation, merger, lease, sale, transfer or other disposition with respect to all or substantially all of such entity’s property and assets solely between or among Parent, the Issuer and their respective Subsidiaries (other than an Excluded Subsidiary).</w:t>
      </w:r>
    </w:p>
    <w:p>
      <w:pPr>
        <w:spacing w:after="0" w:line="13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For all purposes under the Indenture and the notes,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such new Person shall be deemed to have been organized on the first date of its existence by the holders of its equity interests at such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 “Event of Default” is defined in the Indenture as being:</w:t>
      </w:r>
    </w:p>
    <w:p>
      <w:pPr>
        <w:spacing w:after="0" w:line="198" w:lineRule="exact"/>
        <w:rPr>
          <w:sz w:val="20"/>
          <w:szCs w:val="20"/>
          <w:color w:val="auto"/>
        </w:rPr>
      </w:pPr>
    </w:p>
    <w:p>
      <w:pPr>
        <w:ind w:left="980" w:hanging="448"/>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interest upon the notes that continues for a period of 30 days after payment is due;</w:t>
      </w:r>
    </w:p>
    <w:p>
      <w:pPr>
        <w:spacing w:after="0" w:line="184"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pay the principal or premium, if any, on the notes when due upon maturity, redemption, acceleration or otherwise;</w:t>
      </w:r>
    </w:p>
    <w:p>
      <w:pPr>
        <w:spacing w:after="0" w:line="184" w:lineRule="exact"/>
        <w:rPr>
          <w:rFonts w:ascii="Times New Roman" w:cs="Times New Roman" w:eastAsia="Times New Roman" w:hAnsi="Times New Roman"/>
          <w:sz w:val="18"/>
          <w:szCs w:val="18"/>
          <w:color w:val="auto"/>
        </w:rPr>
      </w:pPr>
    </w:p>
    <w:p>
      <w:pPr>
        <w:jc w:val="both"/>
        <w:ind w:left="980" w:hanging="448"/>
        <w:spacing w:after="0" w:line="26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the Issuer or any Subsidiary to comply with any agreements contained in the Indenture for a period of 90 days after written notice to the Issuer of such failure from the Trustee (or to the Issuer and the Trustee from the holders of at least 30% of the principal amount of the notes);</w:t>
      </w:r>
    </w:p>
    <w:p>
      <w:pPr>
        <w:spacing w:after="0" w:line="148" w:lineRule="exact"/>
        <w:rPr>
          <w:rFonts w:ascii="Times New Roman" w:cs="Times New Roman" w:eastAsia="Times New Roman" w:hAnsi="Times New Roman"/>
          <w:sz w:val="18"/>
          <w:szCs w:val="18"/>
          <w:color w:val="auto"/>
        </w:rPr>
      </w:pPr>
    </w:p>
    <w:p>
      <w:pPr>
        <w:jc w:val="both"/>
        <w:ind w:left="980" w:hanging="448"/>
        <w:spacing w:after="0" w:line="26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Issuer or any Subsidiary to pay any Indebtedness (other than Indebtedness owing to Parent or a Subsidiary) within any applicable grace period after final maturity or the acceleration of any such Indebtedness by the holders thereof because of a default, in each case, if the total amount of such Indebtedness unpaid or accelerated exceeds $100.0 million or its foreign currency equivalent; or</w:t>
      </w:r>
    </w:p>
    <w:p>
      <w:pPr>
        <w:spacing w:after="0" w:line="135" w:lineRule="exact"/>
        <w:rPr>
          <w:rFonts w:ascii="Times New Roman" w:cs="Times New Roman" w:eastAsia="Times New Roman" w:hAnsi="Times New Roman"/>
          <w:sz w:val="18"/>
          <w:szCs w:val="18"/>
          <w:color w:val="auto"/>
        </w:rPr>
      </w:pPr>
    </w:p>
    <w:p>
      <w:pPr>
        <w:ind w:left="980" w:hanging="448"/>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relating to the Issuer.</w:t>
      </w:r>
    </w:p>
    <w:p>
      <w:pPr>
        <w:spacing w:after="0" w:line="198" w:lineRule="exact"/>
        <w:rPr>
          <w:sz w:val="20"/>
          <w:szCs w:val="20"/>
          <w:color w:val="auto"/>
        </w:rPr>
      </w:pPr>
    </w:p>
    <w:p>
      <w:pPr>
        <w:jc w:val="both"/>
        <w:ind w:firstLine="524"/>
        <w:spacing w:after="0" w:line="256" w:lineRule="auto"/>
        <w:rPr>
          <w:sz w:val="20"/>
          <w:szCs w:val="20"/>
          <w:color w:val="auto"/>
        </w:rPr>
      </w:pPr>
      <w:r>
        <w:rPr>
          <w:rFonts w:ascii="Times New Roman" w:cs="Times New Roman" w:eastAsia="Times New Roman" w:hAnsi="Times New Roman"/>
          <w:sz w:val="18"/>
          <w:szCs w:val="18"/>
          <w:color w:val="auto"/>
        </w:rPr>
        <w:t>The Indenture provides that if there is a continuing Event of Default with respect to the notes, either the Trustee or the holders of at least 30% of the outstanding principal amount of the notes may declare the principal amount of all of the notes to be due and payable immediately. However, at any time after the Trustee or the holders, as the case may be, declare an acceleration with respect to the notes, but before the applicable person has obtained a judgment or decree based on such acceleration, the holders of a majority in principal amount of the outstanding notes may, under certain conditions, cancel such acceleration if the Issuer has cured all Events of Default (other than the nonpayment of accelerated principal) with respect to such notes or all such Events of Default have been waived as provided in the Indenture. For information as to waiver of defaults, see “—Modification and Waiver.”</w:t>
      </w:r>
    </w:p>
    <w:p>
      <w:pPr>
        <w:spacing w:after="0" w:line="147" w:lineRule="exact"/>
        <w:rPr>
          <w:sz w:val="20"/>
          <w:szCs w:val="20"/>
          <w:color w:val="auto"/>
        </w:rPr>
      </w:pPr>
    </w:p>
    <w:p>
      <w:pPr>
        <w:jc w:val="both"/>
        <w:ind w:firstLine="449"/>
        <w:spacing w:after="0" w:line="277" w:lineRule="auto"/>
        <w:rPr>
          <w:sz w:val="20"/>
          <w:szCs w:val="20"/>
          <w:color w:val="auto"/>
        </w:rPr>
      </w:pPr>
      <w:r>
        <w:rPr>
          <w:rFonts w:ascii="Times New Roman" w:cs="Times New Roman" w:eastAsia="Times New Roman" w:hAnsi="Times New Roman"/>
          <w:sz w:val="17"/>
          <w:szCs w:val="17"/>
          <w:color w:val="auto"/>
        </w:rPr>
        <w:t>The Indenture provides that, subject to the duties of the Trustee to act with the required standard of care, if there is a continuing Event of Default with respect to the notes, the Trustee need not exercise any of its rights or powers under the Indenture at the request or direction of any of the holders of notes unless such holders have offered to the Trustee security or indemnity reasonably satisfactory to it. Subject to such provisions for security or indemnification of the Trustee and certain other conditions, the holders of a majority in principal amount of the notes will have the right to direct the time, method and place of conducting any proceeding for any remedy available to the Trustee or exercising any trust or power the Trustee holds with respect to the notes.</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 holder of any note will have any right to institute any proceeding with respect to the Indenture or for any remedy under the Indenture unless:</w:t>
      </w:r>
    </w:p>
    <w:p>
      <w:pPr>
        <w:spacing w:after="0" w:line="198" w:lineRule="exact"/>
        <w:rPr>
          <w:sz w:val="20"/>
          <w:szCs w:val="20"/>
          <w:color w:val="auto"/>
        </w:rPr>
      </w:pPr>
    </w:p>
    <w:p>
      <w:pPr>
        <w:ind w:left="980" w:hanging="523"/>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the notes;</w:t>
      </w:r>
    </w:p>
    <w:p>
      <w:pPr>
        <w:spacing w:after="0" w:line="121" w:lineRule="exact"/>
        <w:rPr>
          <w:rFonts w:ascii="Times New Roman" w:cs="Times New Roman" w:eastAsia="Times New Roman" w:hAnsi="Times New Roman"/>
          <w:sz w:val="18"/>
          <w:szCs w:val="18"/>
          <w:color w:val="auto"/>
        </w:rPr>
      </w:pPr>
    </w:p>
    <w:p>
      <w:pPr>
        <w:ind w:left="980" w:hanging="523"/>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30% in principal amount of the outstanding notes have made a written request and offered security or indemnity reasonably satisfactory to the Trustee to institute such proceeding as Trustee; and</w:t>
      </w:r>
    </w:p>
    <w:p>
      <w:pPr>
        <w:spacing w:after="0" w:line="121" w:lineRule="exact"/>
        <w:rPr>
          <w:rFonts w:ascii="Times New Roman" w:cs="Times New Roman" w:eastAsia="Times New Roman" w:hAnsi="Times New Roman"/>
          <w:sz w:val="18"/>
          <w:szCs w:val="18"/>
          <w:color w:val="auto"/>
        </w:rPr>
      </w:pPr>
    </w:p>
    <w:p>
      <w:pPr>
        <w:ind w:left="980" w:right="20" w:hanging="523"/>
        <w:spacing w:after="0" w:line="282" w:lineRule="auto"/>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principal amount of the outstanding notes a direction inconsistent with such request.</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However, the holder of any note will have an absolute and unconditional contractual right to receive payment of the principal of, and any premium or interest on, such note on or after the date or dates they are to be paid as expressed in such note and to institute suit for the enforcement of any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6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Issuer is required to furnish to the Trustee annually a statement as to the absence of certain defaults under the Indenture. The Indenture provides that the Trustee need not provide notice to holders of the notes of any default (other than the nonpayment of principal or any premium or interest) if it considers it in the interest of the holders of the notes not to provide such notice.</w:t>
      </w:r>
    </w:p>
    <w:p>
      <w:pPr>
        <w:spacing w:after="0" w:line="13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Any notice of Default, notice of acceleration or instruction to the Trustee to provide a notice of Default, notice of acceleration or take any other action (a “Noteholder Direction”) provided by any one or more holders of the then outstanding securities of a series (other than a Regulated Bank) (each, a “Directing Holder”) must be accompanied by a written representation with a medallion guaranteed signature from each such holder to the Issuer and the Trustee that such holder is not (or, if such holder is DTC or its nominee, that such holder is being instructed solely by beneficial owners that are not) Net Short (a “Position Representation”), which representation, in the case of a Noteholder Direction relating to a notice of Default (a “Default Direction”) shall be deemed repeated at all times until the resulting Event of Default is cured or otherwise ceases to exist or the securities of such series are accelerated. In addition, each Directing Holder must, at the time of providing a Noteholder Direction, covenant to provide the Issuer with such other information as the Issuer may reasonably request from time to time in order to verify the accuracy of such Directing Holder’s Position Representation within five Business Days of request therefor (a “Verification Covenant”). In any case in which the holder is DTC or its nominee, any Position Representation or Verification Covenant required hereunder shall be provided by the beneficial owner of the securities of such series in lieu of DTC or its nominee, and DTC shall be entitled to rely on such Position Representation and Verification Covenant in delivering its direction to the Trustee.</w:t>
      </w:r>
    </w:p>
    <w:p>
      <w:pPr>
        <w:spacing w:after="0" w:line="165"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If, following the delivery of a Noteholder Direction, but prior to acceleration of the securities of the applicable series,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securities of such series, the Issuer provides to the Trustee an Officer’s Certificate stating that a Directing Holder failed to satisfy its Verification Covenant, the cure period with respect to such Event of Default shall be automatically stayed and the cure period with respect to any Event of Default that resulted from the applicable Noteholder Direction shall be automatically reinstituted and any remedy stayed until such time as the Issuer provides the Trustee with an Officer’s Certificate that the Verification Covenant has been satisfied; provided that 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shall result in such holder’s participation in such Noteholder Direction being disregarded. If, without the participation of such holder, the percentage of securities of such series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 In addition, for the avoidance of doubt, the foregoing paragraphs shall not apply to any holder that is a Regulated Bank.</w:t>
      </w:r>
    </w:p>
    <w:p>
      <w:pPr>
        <w:spacing w:after="0" w:line="1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Notwithstanding anything in the preceding two paragraphs to the contrary, (i) any Noteholder Direction delivered to the Trustee during the pendency of an Event of Default as the result of a bankruptcy or similar proceeding shall not require compliance with the foregoing paragraphs, and (ii) a notice of Default may not be given with respect to any action taken and reported publicly or to holders more than two years prior to such notice of Default. The Trustee shall have no obligation to monitor or determine whether a holder is Net Short and can rely conclusively on a Directing Holder’s Position Representation, the Officer’s Certificates delivered by the Issuer and determinations made by a court of competent jurisdiction.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Without the Consent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Issuer and the Trustee may modify or amend the Indenture or the notes without notice to or consent of any holder:</w:t>
      </w:r>
    </w:p>
    <w:p>
      <w:pPr>
        <w:spacing w:after="0" w:line="198" w:lineRule="exact"/>
        <w:rPr>
          <w:sz w:val="20"/>
          <w:szCs w:val="20"/>
          <w:color w:val="auto"/>
        </w:rPr>
      </w:pPr>
    </w:p>
    <w:p>
      <w:pPr>
        <w:jc w:val="both"/>
        <w:ind w:left="900" w:hanging="448"/>
        <w:spacing w:after="0" w:line="258"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to correct or supplement any provision herein which may be inconsistent with any other provision in the Indenture, or to make any other provisions with respect to matters or questions arising under the Indenture which are not be inconsistent with the provisions of this Indenture, or to make any other provisions as may be necessary or desirable, including the making of any modifications in the applicable form of the note; provided that such actions do not adversely affect the interests of the holders of the notes in any material respect;</w:t>
      </w:r>
    </w:p>
    <w:p>
      <w:pPr>
        <w:spacing w:after="0" w:line="142"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of the obligations of the Issuer under the Indenture and the notes in accordance with the terms of the Indenture;</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release any Subsidiary Guarantee in accordance with the terms of the Indenture;</w:t>
      </w:r>
    </w:p>
    <w:p>
      <w:pPr>
        <w:spacing w:after="0" w:line="225"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provided, however, that</w:t>
      </w:r>
    </w:p>
    <w:p>
      <w:pPr>
        <w:spacing w:after="0" w:line="27" w:lineRule="exact"/>
        <w:rPr>
          <w:rFonts w:ascii="Times New Roman" w:cs="Times New Roman" w:eastAsia="Times New Roman" w:hAnsi="Times New Roman"/>
          <w:sz w:val="18"/>
          <w:szCs w:val="18"/>
          <w:color w:val="auto"/>
        </w:rPr>
      </w:pPr>
    </w:p>
    <w:p>
      <w:pPr>
        <w:ind w:lef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uncertificated notes are issued in registered form for purposes of Section 163(f) of the Internal Revenue Code of 1986, as amended (the “Code”) or in a manner such that the uncertificated notes are described in Section 163(f)(2)(B) of the Code;</w:t>
      </w:r>
    </w:p>
    <w:p>
      <w:pPr>
        <w:spacing w:after="0" w:line="154"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or the notes to any provision of this “Description of Notes” to the extent that such provision in the “Description of Notes” was intended to be a verbatim recitation of a provision of the Indenture or the notes;</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acceptance of the appointment of a successor Trustee, registrar or paying agent under the Indenture;</w:t>
      </w:r>
    </w:p>
    <w:p>
      <w:pPr>
        <w:spacing w:after="0" w:line="184"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depository;</w:t>
      </w:r>
    </w:p>
    <w:p>
      <w:pPr>
        <w:spacing w:after="0" w:line="198"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or security to secure the notes;</w:t>
      </w:r>
    </w:p>
    <w:p>
      <w:pPr>
        <w:spacing w:after="0" w:line="184" w:lineRule="exact"/>
        <w:rPr>
          <w:rFonts w:ascii="Times New Roman" w:cs="Times New Roman" w:eastAsia="Times New Roman" w:hAnsi="Times New Roman"/>
          <w:sz w:val="18"/>
          <w:szCs w:val="18"/>
          <w:color w:val="auto"/>
        </w:rPr>
      </w:pPr>
    </w:p>
    <w:p>
      <w:pPr>
        <w:ind w:left="900" w:hanging="448"/>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Issuer or Parent for the benefit of the holders or to surrender any right or power conferred in the Indenture upon the Issuer or Parent;</w:t>
      </w:r>
    </w:p>
    <w:p>
      <w:pPr>
        <w:spacing w:after="0" w:line="134" w:lineRule="exact"/>
        <w:rPr>
          <w:rFonts w:ascii="Times New Roman" w:cs="Times New Roman" w:eastAsia="Times New Roman" w:hAnsi="Times New Roman"/>
          <w:sz w:val="18"/>
          <w:szCs w:val="18"/>
          <w:color w:val="auto"/>
        </w:rPr>
      </w:pPr>
    </w:p>
    <w:p>
      <w:pPr>
        <w:ind w:left="900" w:right="20" w:hanging="448"/>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benefits or rights to the holders or that does not adversely affect in any material respect the legal rights under the Indenture of any such holder; or</w:t>
      </w:r>
    </w:p>
    <w:p>
      <w:pPr>
        <w:spacing w:after="0" w:line="121"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under the Indenture in accordance with the limitations set forth in the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the Consent of the Holders</w:t>
      </w:r>
    </w:p>
    <w:p>
      <w:pPr>
        <w:spacing w:after="0" w:line="22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Issuer and the Trustee may modify or amend the Indenture, including to release Subsidiary Guarantees, with the consent (including consents obtained in connection with a purchase of, or tender offer or exchange offer for, notes) of the holders of a majority of the principal amount of the notes then outstanding affected by the modification or amendment. However, no such modification or amendment may, without the consent of the holders of all then outstanding notes:</w:t>
      </w:r>
    </w:p>
    <w:p>
      <w:pPr>
        <w:spacing w:after="0" w:line="139" w:lineRule="exact"/>
        <w:rPr>
          <w:sz w:val="20"/>
          <w:szCs w:val="20"/>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due date of the principal of, or any installment of principal of or interest on, the notes;</w:t>
      </w:r>
    </w:p>
    <w:p>
      <w:pPr>
        <w:spacing w:after="0" w:line="198"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rate on, the notes;</w:t>
      </w:r>
    </w:p>
    <w:p>
      <w:pPr>
        <w:spacing w:after="0" w:line="198"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 of principal of, or any premium or interest on, the notes;</w:t>
      </w:r>
    </w:p>
    <w:p>
      <w:pPr>
        <w:spacing w:after="0" w:line="184" w:lineRule="exact"/>
        <w:rPr>
          <w:rFonts w:ascii="Times New Roman" w:cs="Times New Roman" w:eastAsia="Times New Roman" w:hAnsi="Times New Roman"/>
          <w:sz w:val="18"/>
          <w:szCs w:val="18"/>
          <w:color w:val="auto"/>
        </w:rPr>
      </w:pPr>
    </w:p>
    <w:p>
      <w:pPr>
        <w:ind w:left="900" w:hanging="448"/>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the notes after the due date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895985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145" w:name="page146"/>
    <w:bookmarkEnd w:id="145"/>
    <w:p>
      <w:pPr>
        <w:spacing w:after="0" w:line="167" w:lineRule="exact"/>
        <w:rPr>
          <w:sz w:val="20"/>
          <w:szCs w:val="20"/>
          <w:color w:val="auto"/>
        </w:rPr>
      </w:pPr>
    </w:p>
    <w:p>
      <w:pPr>
        <w:ind w:left="980" w:hanging="448"/>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notes then outstanding, the consent of whose holders is required for modification or amendment of the Indenture, for waiver of compliance with certain provisions of the Indenture or for waiver of certain defaults.</w:t>
      </w:r>
    </w:p>
    <w:p>
      <w:pPr>
        <w:spacing w:after="0" w:line="121" w:lineRule="exact"/>
        <w:rPr>
          <w:sz w:val="20"/>
          <w:szCs w:val="20"/>
          <w:color w:val="auto"/>
        </w:rPr>
      </w:pPr>
    </w:p>
    <w:p>
      <w:pPr>
        <w:jc w:val="both"/>
        <w:ind w:left="80" w:firstLine="449"/>
        <w:spacing w:after="0" w:line="282" w:lineRule="auto"/>
        <w:rPr>
          <w:sz w:val="20"/>
          <w:szCs w:val="20"/>
          <w:color w:val="auto"/>
        </w:rPr>
      </w:pPr>
      <w:r>
        <w:rPr>
          <w:rFonts w:ascii="Times New Roman" w:cs="Times New Roman" w:eastAsia="Times New Roman" w:hAnsi="Times New Roman"/>
          <w:sz w:val="18"/>
          <w:szCs w:val="18"/>
          <w:color w:val="auto"/>
        </w:rPr>
        <w:t>Any amendment, supplement or waiver consented to by at least 90% of the aggregate principal amount of the then outstanding notes will be binding against any non-consenting holders.</w:t>
      </w:r>
    </w:p>
    <w:p>
      <w:pPr>
        <w:spacing w:after="0" w:line="121" w:lineRule="exact"/>
        <w:rPr>
          <w:sz w:val="20"/>
          <w:szCs w:val="20"/>
          <w:color w:val="auto"/>
        </w:rPr>
      </w:pPr>
    </w:p>
    <w:p>
      <w:pPr>
        <w:jc w:val="both"/>
        <w:ind w:left="80" w:firstLine="449"/>
        <w:spacing w:after="0" w:line="258" w:lineRule="auto"/>
        <w:rPr>
          <w:sz w:val="20"/>
          <w:szCs w:val="20"/>
          <w:color w:val="auto"/>
        </w:rPr>
      </w:pPr>
      <w:r>
        <w:rPr>
          <w:rFonts w:ascii="Times New Roman" w:cs="Times New Roman" w:eastAsia="Times New Roman" w:hAnsi="Times New Roman"/>
          <w:sz w:val="18"/>
          <w:szCs w:val="18"/>
          <w:color w:val="auto"/>
        </w:rPr>
        <w:t>The holders of a majority of the principal amount of the notes then outstanding may waive future compliance by Parent, the Issuer and their respective subsidiaries with certain restrictive covenants of the Indenture. The holders of at least a majority in principal amount of the notes then outstanding may waive any past default under the Indenture, except a failure by the Issuer to pay the principal of, or any premium or interest on, any notes or a provision that cannot be modified or amended without the consent of the holders of all notes then outstanding. Any such waiver may be obtained in connection with a purchase of, or tender offer or exchange offer for, notes.</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Shareholders</w:t>
      </w:r>
    </w:p>
    <w:p>
      <w:pPr>
        <w:spacing w:after="0" w:line="189" w:lineRule="exact"/>
        <w:rPr>
          <w:sz w:val="20"/>
          <w:szCs w:val="20"/>
          <w:color w:val="auto"/>
        </w:rPr>
      </w:pPr>
    </w:p>
    <w:p>
      <w:pPr>
        <w:jc w:val="both"/>
        <w:ind w:left="80" w:firstLine="449"/>
        <w:spacing w:after="0" w:line="266" w:lineRule="auto"/>
        <w:rPr>
          <w:sz w:val="20"/>
          <w:szCs w:val="20"/>
          <w:color w:val="auto"/>
        </w:rPr>
      </w:pPr>
      <w:r>
        <w:rPr>
          <w:rFonts w:ascii="Times New Roman" w:cs="Times New Roman" w:eastAsia="Times New Roman" w:hAnsi="Times New Roman"/>
          <w:sz w:val="18"/>
          <w:szCs w:val="18"/>
          <w:color w:val="auto"/>
        </w:rPr>
        <w:t>No director, officer, employee or shareholder of Parent or any of its Subsidiaries will have any liability for any of the Issuer’s or Parent’s obligations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8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Indenture provides that the Issuer may be discharged from any and all obligations in respect of the notes (except for certain obligations to register the transfer or exchange of notes, to replace stolen, destroyed, lost or mutilated notes, to maintain paying agencies, to compensate and indemnify the Trustee or to furnish the Trustee (if the Trustee is not the registrar) with the names and addresses of holders of notes). The Issuer will be so discharged when (1) all of the notes have been delivered to the Trustee for cancellation or (2) all of the notes not previously delivered for cancellation (a) have become due and payable or (b) have been called for redemption or are to be called for redemption within one year under arrangements satisfactory to the Trustee for the giving of notice of redemption by the Trustee in the name, and at the expense of the Issuer, and the Issuer has irrevocably deposited or caused to be deposited with the Trustee funds in an amount sufficient, in the opinion of a nationally recognized firm of independent public accountants, to pay and discharge the entire Indebtedness on the notes not theretofore delivered to the Trustee for cancellation, for principal of, premium, if any, and interest on the notes to the date of deposit together with irrevocable instructions from the Issuer directing the Trustee to apply such funds to the payment thereof at maturity or redemption, as the case may be.</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Defeasance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provides that, upon compliance with certain conditions with respect to the notes, at the Issuer’s election:</w:t>
      </w:r>
    </w:p>
    <w:p>
      <w:pPr>
        <w:spacing w:after="0" w:line="212" w:lineRule="exact"/>
        <w:rPr>
          <w:sz w:val="20"/>
          <w:szCs w:val="20"/>
          <w:color w:val="auto"/>
        </w:rPr>
      </w:pPr>
    </w:p>
    <w:p>
      <w:pPr>
        <w:jc w:val="both"/>
        <w:ind w:left="840" w:hanging="308"/>
        <w:spacing w:after="0" w:line="258" w:lineRule="auto"/>
        <w:tabs>
          <w:tab w:leader="none" w:pos="8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terminate all its obligations under the notes and the Indenture (except as to (i) rights of registration of transfer, substitution and exchange of the notes and the Issuer’s right of optional redemption, (ii) rights of holders to receive payment of principal of, premium, if any, and interest on such notes (but not the purchase price referred to under “—Change of Control” and any rights of the holders with respect to such amount), (iii) the rights, obligations and immunities of the Trustee under the Indenture and (iv) certain other specified provisions in the Indenture) (“legal defeasance”); or</w:t>
      </w:r>
    </w:p>
    <w:p>
      <w:pPr>
        <w:spacing w:after="0" w:line="156" w:lineRule="exact"/>
        <w:rPr>
          <w:rFonts w:ascii="Times New Roman" w:cs="Times New Roman" w:eastAsia="Times New Roman" w:hAnsi="Times New Roman"/>
          <w:sz w:val="18"/>
          <w:szCs w:val="18"/>
          <w:color w:val="auto"/>
        </w:rPr>
      </w:pPr>
    </w:p>
    <w:p>
      <w:pPr>
        <w:jc w:val="both"/>
        <w:ind w:left="840" w:hanging="308"/>
        <w:spacing w:after="0" w:line="258" w:lineRule="auto"/>
        <w:tabs>
          <w:tab w:leader="none" w:pos="8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omit to comply with the covenants described under “—Certain Covenants—Restrictions on Secured Debt,” “—Certain Covenants—Restrictions on Sale and Lease-Back Transactions,” “—Certain Covenants—Future Guarantors” and “—Change of Control” and the Events of Default specified in clauses (3) and (4) under “—Events of Default” will no longer apply (all other obligations and Events of Default under the notes will remain in full force and effect), and any omission to comply with those covenants will not constitute an Event of Default with respect to the notes (“covenant defeasance”).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67" w:lineRule="exact"/>
        <w:rPr>
          <w:sz w:val="20"/>
          <w:szCs w:val="20"/>
          <w:color w:val="auto"/>
        </w:rPr>
      </w:pPr>
    </w:p>
    <w:p>
      <w:pPr>
        <w:jc w:val="both"/>
        <w:ind w:left="840" w:hanging="308"/>
        <w:spacing w:after="0" w:line="266" w:lineRule="auto"/>
        <w:tabs>
          <w:tab w:leader="none" w:pos="8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cash in U.S. dollars, Government Securities, or a combination thereof, in an amount sufficient, in the opinion of a nationally recognized firm of independent public accountants, to pay each installment of principal of, and any premium and interest on, the notes on the due dates for those payments in accordance with the terms of the notes; and</w:t>
      </w:r>
    </w:p>
    <w:p>
      <w:pPr>
        <w:spacing w:after="0" w:line="148" w:lineRule="exact"/>
        <w:rPr>
          <w:rFonts w:ascii="Times New Roman" w:cs="Times New Roman" w:eastAsia="Times New Roman" w:hAnsi="Times New Roman"/>
          <w:sz w:val="18"/>
          <w:szCs w:val="18"/>
          <w:color w:val="auto"/>
        </w:rPr>
      </w:pPr>
    </w:p>
    <w:p>
      <w:pPr>
        <w:jc w:val="both"/>
        <w:ind w:left="840" w:hanging="308"/>
        <w:spacing w:after="0" w:line="258" w:lineRule="auto"/>
        <w:tabs>
          <w:tab w:leader="none" w:pos="8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beneficial owners of the notes will not recognize income, gain or loss for U.S. federal income tax purposes as a result of the deposit and related legal defeasance or covenant defeasance and will be subject to U.S. federal income tax on the same amounts and in the same manner and at the same times as would have been the case if the deposit and related covenant defeasance had not occurred (and, in the case of legal defeasance only, such Opinion of Counsel must be based on a ruling of the Internal Revenue Service or other change in applicable U.S. federal income tax law).</w:t>
      </w:r>
    </w:p>
    <w:p>
      <w:pPr>
        <w:spacing w:after="0" w:line="15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Issuer may exercise its legal defeasance option notwithstanding its prior exercise of its covenant defeasance option. If the Issuer exercises its rights of discharge, legal defeasance or covenant defeasance, any Subsidiary Guarantee then in effect automatically shall be released without any further action on the part of such Subsidiary, the Issuer, the Trustee or any holder of notes.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 and Certain Events of Default</w:t>
      </w:r>
    </w:p>
    <w:p>
      <w:pPr>
        <w:spacing w:after="0" w:line="175"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If the Issuer exercises its option to effect a covenant defeasance with respect to the notes as described above and the notes are thereafter declared due and payable because of an Event of Default (other than an Event of Default caused by failing to comply with the covenants that are defeased), the amount of money and securities the Issuer has deposited with the Trustee would be sufficient to pay amounts due on the notes on their respective due dates but may not be sufficient to pay amounts due on the notes at the time of acceleration resulting from such Event of Default. However, the Issuer would remain liable for such payments.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89"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The Indenture provides that any notices or communications must be given in writing, and any such notice will be deemed given when received if delivered in person, when receipt is acknowledged if sent electronically, the next Business Day if timely delivered by a nationally recognized courier service that guarantees overnight delivery or two Business Days after deposit if mailed by first-class mail, postage prepaid.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Indenture, the notes and the Guarantee are governed by the laws of the State of New York.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GAAP.</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redemption date:</w:t>
      </w:r>
    </w:p>
    <w:p>
      <w:pPr>
        <w:spacing w:after="0" w:line="200" w:lineRule="exact"/>
        <w:rPr>
          <w:sz w:val="20"/>
          <w:szCs w:val="20"/>
          <w:color w:val="auto"/>
        </w:rPr>
      </w:pPr>
    </w:p>
    <w:p>
      <w:pPr>
        <w:jc w:val="both"/>
        <w:ind w:left="840" w:hanging="308"/>
        <w:spacing w:after="0" w:line="255" w:lineRule="auto"/>
        <w:tabs>
          <w:tab w:leader="none" w:pos="8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yield, under the heading which represents the average for the immediately preceding week, appearing in the most recently published statistical release designated “Selected Interest Rates (Daily)—H.15” or any successor publication that is published weekly by the Board of Governors of the Federal Reserve System and that establishes yields on actively traded United States Treasury securities adjusted to constant maturity under the caption “Treasury Constant Maturities,” for the maturity corresponding to the Comparable Treasury Issue;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maturity is within three months before or after the remaining term of the notes to be redeemed, yields for the two published maturities most closely corresponding to the applicable Comparable Treasury Issue shall be determined and the Adjusted Treasury Rate shall be interpolated or extrapolated from these yields on a straight-line basis, rounding to the nearest month;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67" w:lineRule="exact"/>
        <w:rPr>
          <w:sz w:val="20"/>
          <w:szCs w:val="20"/>
          <w:color w:val="auto"/>
        </w:rPr>
      </w:pPr>
    </w:p>
    <w:p>
      <w:pPr>
        <w:jc w:val="both"/>
        <w:ind w:left="840" w:hanging="308"/>
        <w:spacing w:after="0" w:line="266"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release (or any successor release) is not published during the week preceding the calculation date or does not contain these yields, the rate per annum equal to the semi-annual equivalent yield to maturity of the applicable Comparable Treasury Issue, calculated using a price for the Comparable Treasury Issue (expressed as a percentage of its principal amount) equal to the Comparable Treasury Price for the redemption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Adjusted Treasury Rate will be calculated on the third business day preceding the redemption date.</w:t>
      </w:r>
    </w:p>
    <w:p>
      <w:pPr>
        <w:spacing w:after="0" w:line="196" w:lineRule="exact"/>
        <w:rPr>
          <w:sz w:val="20"/>
          <w:szCs w:val="20"/>
          <w:color w:val="auto"/>
        </w:rPr>
      </w:pPr>
    </w:p>
    <w:p>
      <w:pPr>
        <w:jc w:val="both"/>
        <w:ind w:firstLine="52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in the context of a Sale and Lease-Back Transaction, what the Issuer believes in good faith to be the present value, discounted at the interest rate implicit in the lease involved in such Sale and Lease-Back Transaction, of the lessee’s obligation under the lease for rental payments during the remaining term of such lease, as it has been extended. In the case of any lease that is terminable by the lessee upon the payment of a penalty, the net amount of rent will be the lesser of (x) the net amount determined assuming termination upon the first date the lease may be terminated (in which case the net amount will also include the amount of the penalty, but will not include any rent that would be required to be paid under the lease subsequent to the first date upon which it may be so terminated) or (y) the net amount determined assuming no such termination. For purposes of this definition, any amounts lessee must pay, whether or not designated as rent or additional rent, on account of maintenance and repairs, insurance, taxes, assessments, water rates or similar charges or any amounts lessee must pay under the lease contingent upon the amount of sales, maintenance and repairs, insurance, taxes, assessments, water rates or similar charges are not included in the determination of lessee’s obligations under the lease. For the avoidance of doubt, any amounts in respect of a Sale and Lease-Back Transaction that are treated as Indebtedness for purposes of the covenant described under “— Certain Covenants—Restrictions on Secured Debt” shall not be treated as Attributable Debt.</w:t>
      </w:r>
    </w:p>
    <w:p>
      <w:pPr>
        <w:spacing w:after="0" w:line="151"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as to any Person, the board of directors or supervisory board of such Person, or equivalent governing body (or, if such Person is a partnership or limited liability company, the board of directors or other governing body of the general partner or manager of such Person) or any duly authorized committee thereof.</w:t>
      </w:r>
    </w:p>
    <w:p>
      <w:pPr>
        <w:spacing w:after="0" w:line="133"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each Monday, Tuesday, Wednesday, Thursday and Friday which is not a day on which banking institutions in the place of payment for the notes are authorized or obligated by law or executive order to close.</w:t>
      </w:r>
    </w:p>
    <w:p>
      <w:pPr>
        <w:spacing w:after="0" w:line="13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w:t>
      </w:r>
      <w:r>
        <w:rPr>
          <w:rFonts w:ascii="Times New Roman" w:cs="Times New Roman" w:eastAsia="Times New Roman" w:hAnsi="Times New Roman"/>
          <w:sz w:val="18"/>
          <w:szCs w:val="18"/>
          <w:color w:val="auto"/>
        </w:rPr>
        <w:t xml:space="preserve">” means a lease with respect to which the lessee is required concurrently to recognize the acquisition of an asset and the incurrence of a liability in accordance with GAAP in effect in the United States as of the date of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lease that would be required to be treated as a capital lease as a result of the adoption of Financial Accounting Standards Board Accounting Standards Update No. 2016-02 , Leases (Topic 842) shall not be considered a capital lease if such lease would not have been required to be so treated under GAAP as in effect on December 31, 2015.</w:t>
      </w:r>
    </w:p>
    <w:p>
      <w:pPr>
        <w:spacing w:after="0" w:line="139"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Markets Debt</w:t>
      </w:r>
      <w:r>
        <w:rPr>
          <w:rFonts w:ascii="Times New Roman" w:cs="Times New Roman" w:eastAsia="Times New Roman" w:hAnsi="Times New Roman"/>
          <w:sz w:val="18"/>
          <w:szCs w:val="18"/>
          <w:color w:val="auto"/>
        </w:rPr>
        <w:t>” means any debt securities evidenced by notes, bonds or debentures (excluding, for the avoidance of doubt, any term loan, revolving loan or Qualified Receivables Financing) issued in the capital markets by the Issuer or any Subsidiary, whether issued in a public offering or private placement, including pursuant to Section 4(2) of the Securities Act or Rule 144A, Regulation S or Regulation D under the Securities Act.</w:t>
      </w:r>
    </w:p>
    <w:p>
      <w:pPr>
        <w:spacing w:after="0" w:line="133"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rights to purchase, warrants, options, participations or other equivalents of or interests in (however designated) equity of such Person, including any preferred stock, but excluding any debt securities convertible into such equity.</w:t>
      </w:r>
    </w:p>
    <w:p>
      <w:pPr>
        <w:spacing w:after="0" w:line="13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xml:space="preserve">” means (a) readily marketable obligations issued or directly and fully guaranteed or insured by the United States or any agency or instrumentality thereof having maturities of not more than 24 months from the date of acquisition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thereof; (b) time deposits with, or insured certificates of deposit or bankers’ acceptances of, any commercial bank (i) that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and</w:t>
      </w:r>
    </w:p>
    <w:p>
      <w:pPr>
        <w:spacing w:after="0" w:line="1" w:lineRule="exact"/>
        <w:rPr>
          <w:sz w:val="20"/>
          <w:szCs w:val="20"/>
          <w:color w:val="auto"/>
        </w:rPr>
      </w:pPr>
    </w:p>
    <w:p>
      <w:pPr>
        <w:jc w:val="both"/>
        <w:ind w:firstLine="8"/>
        <w:spacing w:after="0" w:line="255" w:lineRule="auto"/>
        <w:tabs>
          <w:tab w:leader="none" w:pos="2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combined capital and surplus of at least $1.0 billion, in each case with maturities of not more than 12 months from the date of acquisition thereof; (c) commercial paper issued by any Person organized under the laws of any state of the United States and rated at least “Prime-1” (or the then equivalent grade) by any of the Rating Agencies, in each case with maturities of not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12 months from the date of acquisition thereof; (d) investments, classified in accordance with GAAP as current assets of the Issuer or any of its Subsidiaries, in money market investment programs registered under the Investment Company Act of 1940 the portfolios of which are limited solely to investments of the character, quality and maturity described in clauses (a), (b) and (c) of this definition; (e) fully collateralized repurchase agreements with a term of not more than 30 days for securities described in clause (a) above and entered into with a financial institution satisfying the criteria described in clause (b) above; and (f) in the case of any Foreign Subsidiary, investments which are similar to the items specified in subsections (a) through (e) of this definition made in the ordinary course of business.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00" w:lineRule="exact"/>
        <w:rPr>
          <w:sz w:val="20"/>
          <w:szCs w:val="20"/>
          <w:color w:val="auto"/>
        </w:rPr>
      </w:pPr>
    </w:p>
    <w:p>
      <w:pPr>
        <w:ind w:left="980" w:hanging="523"/>
        <w:spacing w:after="0" w:line="261"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transfer, in one or a series of related transactions, of all or substantially all of the property and assets of Parent and its Subsidiaries, taken as a whole, to any Person other than Parent or any of its Subsidiaries (other than an Excluded Subsidiary);</w:t>
      </w:r>
    </w:p>
    <w:p>
      <w:pPr>
        <w:jc w:val="both"/>
        <w:ind w:left="900"/>
        <w:spacing w:after="0" w:line="251" w:lineRule="auto"/>
        <w:rPr>
          <w:sz w:val="20"/>
          <w:szCs w:val="20"/>
          <w:color w:val="auto"/>
        </w:rPr>
      </w:pPr>
      <w:r>
        <w:rPr>
          <w:rFonts w:ascii="Times New Roman" w:cs="Times New Roman" w:eastAsia="Times New Roman" w:hAnsi="Times New Roman"/>
          <w:sz w:val="18"/>
          <w:szCs w:val="18"/>
          <w:color w:val="auto"/>
        </w:rPr>
        <w:t>(2)Parent becomes aware of (by way of a report or any other filing pursuant to Section 13(d) of the Exchange Act, proxy, vote, written notice or otherwise) the acquisition by any Person or group (within the meaning of Section 13(d)(3) or 14(d)(2) of the Exchange Act, or any successor provision), including any group acting for the purpose of acquiring, holding or disposing of securities (within the meaning of Rule 13d-5(b)(1) under the Exchange Act), in a single transaction or in a related series of transactions, by way of acquisition, merger, amalgamation, consolidation, transfer, conveyance or other business combination or purchase of ultimate beneficial ownership (within the meaning of Rule 13d-3 under the Exchange Act, or any successor provision), directly or indirectly, of more than 50% of the total voting power of the Voting Stock of Parent, other than by virtue of (a) the imposition of one or more holding companies or (b) the reincorporation of Parent in another jurisdiction, if in the case of either (a) or (b) the beneficial owners of the Voting Stock of Parent immediately prior to such transaction directly or indirectly hold a majority of the voting power of the Voting Stock of such holding company or reincorporation entity immediately thereafter; or</w:t>
      </w:r>
    </w:p>
    <w:p>
      <w:pPr>
        <w:spacing w:after="0" w:line="152" w:lineRule="exact"/>
        <w:rPr>
          <w:sz w:val="20"/>
          <w:szCs w:val="20"/>
          <w:color w:val="auto"/>
        </w:rPr>
      </w:pPr>
    </w:p>
    <w:p>
      <w:pPr>
        <w:ind w:left="900" w:hanging="424"/>
        <w:spacing w:after="0" w:line="282" w:lineRule="auto"/>
        <w:tabs>
          <w:tab w:leader="none" w:pos="82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ceases to beneficially own (within the meaning of Rule 13d-3 under the Exchange Act, or any successor provision) directly or indirectly, at least 50% of the total voting power of the Voting Stock of the Issuer.</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has the meaning ascribed to such term under “—Change of Control.”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185"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33"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date of redemption, (1) the average of two Reference Treasury Dealer Quotations for the date of redemption, after excluding the highest and lowest Reference Treasury Dealer Quotations or (2) if the Quotation Agent obtains fewer than four Reference Treasury Dealer Quotations, the average of all such Reference Treasury Dealer Quotations.</w:t>
      </w:r>
    </w:p>
    <w:p>
      <w:pPr>
        <w:spacing w:after="0" w:line="14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xml:space="preserve">” means, in respect of any Person for any Measurement Period, an amount equal to the Consolidated Net Income for such Measurement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proceeds of business interruption insurance received during such period, but only to the extent not included in Consolidated Net Income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following to the extent deducted in calculating such Consolidated Net Income, but without duplication and in each case for such Measurement Period: (i) Consolidated Interest Charges (not calculated on a Pro Forma Basis), (ii) the provision for federal, state, local and foreign income taxes payable, (iii) depreciation and amortization expense, (iv) asset impairment charges, (v) expenses reimbursed by third parties (including through insurance and indemnity payments), (vi) fees and expenses incurred in connection with any Qualified Receivables Financing, any proposed or actual issuance of any Indebtedness or equity interests (including upfront fees and original issue discount), or any proposed or actual acquisitions, investments, asset sales or divestitures permitted hereunder, in each case that are expensed, (vii) non-cash restructuring and integration charges and cash restructuring and integration charges;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all cash restructuring and integration charges shall not exceed $100,000,000 in any twelve month period, (viii) non-cash stock expense and non-cash equity compensation expense, (ix) other expenses or losses, including purchase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entries such as the inventory adjustment to fair value, reducing such Consolidated Net Income which do not represent a cash item in such period or any future period, (x) expenses or losses in respect of discontinued operations of the Issuer or any of its Subsidiaries, (xi) any unrealized losses attributable to the application of “mark to market” accounting in respect of swap contracts , (xii) with respect to any disposition for which pro forma effect is required to be given pursuant to the definition of Pro Forma Basis, any loss thereon and (xiii) all fees, expenses and other costs incurred in connection with (1) the internal reorganization consisting of a series of intercompany transactions by and among Parent and its Subsidiaries on and after May 17, 2017, (2) the series of dispositions and/or other transactions, after which (a) Valvoline US LLC owns, directly or indirectly, substantially all of the assets constituting the Valvoline Business (as defined below) and (b) the Issuer no longer owns, directly or indirectly, any material portion of Ashland’s automotive, commercial and industrial lubricant and automotive chemical business substantially as described in the Valvoline Inc. S-1 Registration Statement (#333-211720), as filed on May 31, 2016 (the “Valvoline Business”) or (3) the separation of the Valvoline Business from Parent and its Subsidiaries,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the following to the extent included in calculating such Consolidated Net Income, but without duplication and in each case for such Measurement Period: (i) Federal, State, local and foreign income tax credits, (ii) all non-cash gains or other items increasing Consolidated Net Income, (iii) gains in respect of discontinued operations of the Issuer or any of its Subsidiaries, (iv) any unrealized gains for such period attributable to the application of “mark to market” accounting in respect of swap contracts and (v) with respect to any disposition for which pro forma effect is required to be given pursuant to the definition of Pro Forma Basis, any gain thereon. For all purposes hereunder, Consolidated EBITDA shall be calculated on a Pro Forma Basis unless otherwise specified.</w:t>
      </w:r>
    </w:p>
    <w:p>
      <w:pPr>
        <w:spacing w:after="0" w:line="153" w:lineRule="exact"/>
        <w:rPr>
          <w:sz w:val="20"/>
          <w:szCs w:val="20"/>
          <w:color w:val="auto"/>
        </w:rPr>
      </w:pPr>
    </w:p>
    <w:p>
      <w:pPr>
        <w:jc w:val="both"/>
        <w:ind w:left="80" w:firstLine="37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Charges</w:t>
      </w:r>
      <w:r>
        <w:rPr>
          <w:rFonts w:ascii="Times New Roman" w:cs="Times New Roman" w:eastAsia="Times New Roman" w:hAnsi="Times New Roman"/>
          <w:sz w:val="18"/>
          <w:szCs w:val="18"/>
          <w:color w:val="auto"/>
        </w:rPr>
        <w:t xml:space="preserve">” means, for any Measurement Period, the excess of (a) the sum, without duplication, of (i) all interest, premium payments, debt discount, fees, charges and related expenses in connection with borrowed money (including capitalized interest) or in connection with the deferred purchase price of assets, in each case to the extent treated as interest in accordance with GAAP, (ii) cash payments made in respect of obligations referred to in clause (b)(ii) below, (iii) the portion of rent expense under Capital Leases that is treated as interest in accordance with GAAP, in each case, of or by the Issuer and its Subsidiaries on a consolidated basis for such Measurement Period and (iv) all interest, premium payments, debt discount, fees, charges and related expenses in connection with the Qualified Receivables Financing,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to the extent included in such consolidated interest expense for such Measurement Period, the sum, without duplication, of (i) extinguishment charges relating to the early extinguishment of Indebtedness or obligations under swap contracts, (ii) noncash amounts attributable to the amortization of debt discounts or accrued interest payable in kind, (iii) noncash amounts attributable to amortization or write-off of capitalized interest or other financing costs paid in a previous period, (iv) interest income treated as such in accordance with GAAP and (v) fees and expenses, original issue discount and upfront fees, in each case of or by the Issuer and its Subsidiaries on a consolidated basis for such Measurement Period. For all purposes under the Indenture, Consolidated Interest Charges shall be calculated on a Pro Forma Basis unless otherwise specified.</w:t>
      </w:r>
    </w:p>
    <w:p>
      <w:pPr>
        <w:spacing w:after="0" w:line="163"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at any date of determination, the net income (or loss) of the Issuer and its Subsidiaries on a consolidated basis for the most recently completed Measurement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shall exclude (a) the net income of any Subsidiary during such Measurement Period to the extent that the declaration or payment of dividends or similar distributions by such Subsidiary of such income is not permitted by operation of the terms of its organizational documents or any agreement, instrument or law applicable to such Subsidiary during such Measurement Period (unless such restrictions on dividends or similar distributions have been legally and effectively waived), except that the Issuer’s equity in any net loss of any such Subsidiary for such Measurement Period shall be included in determining Consolidated Net Income, (b) any after-tax income (or after-tax loss) for such Measurement Period of any Person if such Person is not a Subsidiary, except that the Issuer’s equity in such income of any such Person for such Measurement Period shall be included in Consolidated Net Income up to the aggregate amount of cash actually distributed by such Person during such Measurement Period to the Issuer or a Subsidiary as a dividend or other distribution (and in the case of a dividend or other distribution to a Subsidiary, such Subsidiary is not precluded from further distributing such amount to the Issuer as described in clause (a) of this proviso), (c) any after-tax gain or after-tax loss realized as a result of the cumulative effect of a change in accounting principles or the implementation of new accounting standards related to revenue and lease accounting, (d) any after-tax gain or after-tax loss attributable to any foreign currency hedging arrangements or currency fluctuations, (e) after-tax extinguishment charges relating to the early extinguishment of Indebtedness and obligations under swap contracts and after-tax extinguishment charges relating to upfront fees and original issue discount on Indebtedness, (f) any pension or other post-retirement after-tax gain or after-tax expense for such Measurement Period and (g) fees, expenses and non-recurring charges related to this offering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Consolidated Net Income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reduced by the amount of any cash payments made during such Measurement Period relating to pension and other post-retirement costs (except for any payments made in respect of the funding of pension plans in excess of the amount of required regulatory contributions for such Measurement Period (as reasonably determined by the Issuer)).</w:t>
      </w:r>
    </w:p>
    <w:p>
      <w:pPr>
        <w:spacing w:after="0" w:line="147" w:lineRule="exact"/>
        <w:rPr>
          <w:sz w:val="20"/>
          <w:szCs w:val="20"/>
          <w:color w:val="auto"/>
        </w:rPr>
      </w:pPr>
    </w:p>
    <w:p>
      <w:pPr>
        <w:jc w:val="both"/>
        <w:ind w:left="80" w:firstLine="37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Secured Leverage Ratio</w:t>
      </w:r>
      <w:r>
        <w:rPr>
          <w:rFonts w:ascii="Times New Roman" w:cs="Times New Roman" w:eastAsia="Times New Roman" w:hAnsi="Times New Roman"/>
          <w:sz w:val="18"/>
          <w:szCs w:val="18"/>
          <w:color w:val="auto"/>
        </w:rPr>
        <w:t>” means the ratio of the aggregate of all consolidated Secured Indebtedness of such Person and its Subsidiaries (less any unrestricted cash and Cash Equivalents) at the end of the most recent fiscal period for which financial information in respect thereof is available immediately preceding the date of the transaction giving rise to the need to calculate such amount to the aggregate Consolidated EBITDA of such Person for the prior four fiscal quarters (treated as one period) for which financial information in respect thereof is available immediately preceding such date, and in each case, calculated on a pro forma basis.</w:t>
      </w:r>
    </w:p>
    <w:p>
      <w:pPr>
        <w:spacing w:after="0" w:line="156" w:lineRule="exact"/>
        <w:rPr>
          <w:sz w:val="20"/>
          <w:szCs w:val="20"/>
          <w:color w:val="auto"/>
        </w:rPr>
      </w:pPr>
    </w:p>
    <w:p>
      <w:pPr>
        <w:jc w:val="both"/>
        <w:ind w:left="80" w:firstLine="37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xml:space="preserve">” means, with respect to any Person, the Total Assets of such Person and its Subsidiaries less goodwill and intangibles (other than intangibles arising from, or relating to, intellectual property, licenses or permits (including, but not limited to, emissions rights) of such Person), in each case calculated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Person or any of its Subsidiaries assumes or acquires any assets in connection with the acquisition by such Person and its Subsidiaries of another Person subsequent to the commencement of the period for which the Consolidated Net Tangible Assets is being calculated but prior to the event for which the calculation of the Consolidated Net Tangible Assets is made, then the Consolidated Net Tangible Assets shall be calculated giving pro forma effect to such assumption or acquisition of assets, as if the same had occurred at the beginning of the applicable period.</w:t>
      </w:r>
    </w:p>
    <w:p>
      <w:pPr>
        <w:spacing w:after="0" w:line="15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(x) the credit agreement, dated January 10, 2020, among Parent, Ashland Chemco Inc., a Delaware corporation, the Issuer, the lenders party thereto, The Bank of Nova Scotia, as administrative agent, swing line lender and L/C issuer and the other agents, arrangers, lenders and L/C issuers party thereto, together with any related documents (including any guarantee agreements), as the same may be amended, modified, supplemented, extended, renewed, refinanced, replaced or substituted from time to time and (y) any other Indebtedness of the Issuer, in an aggregate amount outstanding at any time under clauses (x) and (y) not to exceed the greater of (A) $4,150.0 million and (B) an amount such that the Consolidated Net Secured Leverage Ratio of Ashland LLC shall not exceed 2.50:1.00. Notwithstanding the foregoing, the maximum amount of secured Indebtedness that may be incurred pursuant to clause (7) of “—Certain Covenants—Restrictions on Secured Debt” as a result of clause (B) above shall not be deemed to be exceeded with respect to any Indebtedness incurred to refinance any outstanding Indebtedness if such outstanding Indebtedness was permitted to be incurred under clause (B) at the time of original incurrence.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198"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Derivative Instrument”</w:t>
      </w:r>
      <w:r>
        <w:rPr>
          <w:rFonts w:ascii="Times New Roman" w:cs="Times New Roman" w:eastAsia="Times New Roman" w:hAnsi="Times New Roman"/>
          <w:sz w:val="18"/>
          <w:szCs w:val="18"/>
          <w:color w:val="auto"/>
        </w:rPr>
        <w:t xml:space="preserve"> with respect to a Person, means any contract, instrument or other right to receive payment or delivery of cash or other assets to which such Person or any affiliate of such Person that is acting in concert with such Person in connection with such Person’s investment in the securities (other than a Screened Affiliate) is a party (whether or not requiring further performance by such Person), the value and/or cash flows of which (or any material portion thereof) are materially affected by the value and/or performance of the securities and/or the creditworthiness of the Issuer (the “</w:t>
      </w:r>
      <w:r>
        <w:rPr>
          <w:rFonts w:ascii="Times New Roman" w:cs="Times New Roman" w:eastAsia="Times New Roman" w:hAnsi="Times New Roman"/>
          <w:sz w:val="18"/>
          <w:szCs w:val="18"/>
          <w:i w:val="1"/>
          <w:iCs w:val="1"/>
          <w:color w:val="auto"/>
        </w:rPr>
        <w:t>Performance References”).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 Subsidiary that is not a Foreign Subsidiary.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has the meaning set forth under “—Events of Default.”</w:t>
      </w:r>
    </w:p>
    <w:p>
      <w:pPr>
        <w:spacing w:after="0" w:line="164" w:lineRule="exact"/>
        <w:rPr>
          <w:sz w:val="20"/>
          <w:szCs w:val="20"/>
          <w:color w:val="auto"/>
        </w:rPr>
      </w:pPr>
    </w:p>
    <w:p>
      <w:pPr>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of the SEC promulgated thereunder.</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Subsidiary</w:t>
      </w:r>
      <w:r>
        <w:rPr>
          <w:rFonts w:ascii="Times New Roman" w:cs="Times New Roman" w:eastAsia="Times New Roman" w:hAnsi="Times New Roman"/>
          <w:sz w:val="18"/>
          <w:szCs w:val="18"/>
          <w:color w:val="auto"/>
        </w:rPr>
        <w:t>” means (i) any Receivables Subsidiary, (ii) any Qualified Non-Recourse Subsidiary, (iii) any Special Purpose Subsidiary and</w:t>
      </w:r>
    </w:p>
    <w:p>
      <w:pPr>
        <w:spacing w:after="0" w:line="29" w:lineRule="exact"/>
        <w:rPr>
          <w:sz w:val="20"/>
          <w:szCs w:val="20"/>
          <w:color w:val="auto"/>
        </w:rPr>
      </w:pPr>
    </w:p>
    <w:p>
      <w:pPr>
        <w:ind w:firstLine="8"/>
        <w:spacing w:after="0" w:line="260" w:lineRule="auto"/>
        <w:tabs>
          <w:tab w:leader="none" w:pos="31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 and any Domestic Subsidiary that is Subsidiary of a Foreign Subsidiary of the Issuer that is a “controlled foreign corporation” within the meaning of Section 957(a) of the Code.</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or any successor to the rating agency business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1"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 Subsidiary not organized or existing under the laws of the United States of America or any state or territory thereof or the District of Columbia.</w:t>
      </w:r>
    </w:p>
    <w:p>
      <w:pPr>
        <w:spacing w:after="0" w:line="13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Parent may irrevocably elect to apply International Financial Reporting Standards (“IFRS”) as issued by the International Accounting Standards Board in lieu of GAAP and, upon any such election, references in this Indenture to GAAP shall thereafter be construed to mean IFRS as in effect from time to time. Parent shall give notice of any such election to the Trustee.</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securities that are:</w:t>
      </w:r>
    </w:p>
    <w:p>
      <w:pPr>
        <w:spacing w:after="0" w:line="187" w:lineRule="exact"/>
        <w:rPr>
          <w:sz w:val="20"/>
          <w:szCs w:val="20"/>
          <w:color w:val="auto"/>
        </w:rPr>
      </w:pPr>
    </w:p>
    <w:p>
      <w:pPr>
        <w:ind w:left="1020" w:hanging="488"/>
        <w:spacing w:after="0"/>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timely payment of which its full faith and credit is pledged;</w:t>
      </w:r>
    </w:p>
    <w:p>
      <w:pPr>
        <w:spacing w:after="0" w:line="198" w:lineRule="exact"/>
        <w:rPr>
          <w:rFonts w:ascii="Times New Roman" w:cs="Times New Roman" w:eastAsia="Times New Roman" w:hAnsi="Times New Roman"/>
          <w:sz w:val="18"/>
          <w:szCs w:val="18"/>
          <w:color w:val="auto"/>
        </w:rPr>
      </w:pPr>
    </w:p>
    <w:p>
      <w:pPr>
        <w:jc w:val="both"/>
        <w:ind w:firstLine="532"/>
        <w:spacing w:after="0" w:line="255"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 or</w:t>
      </w:r>
    </w:p>
    <w:p>
      <w:pPr>
        <w:spacing w:after="0" w:line="148" w:lineRule="exact"/>
        <w:rPr>
          <w:rFonts w:ascii="Times New Roman" w:cs="Times New Roman" w:eastAsia="Times New Roman" w:hAnsi="Times New Roman"/>
          <w:sz w:val="18"/>
          <w:szCs w:val="18"/>
          <w:color w:val="auto"/>
        </w:rPr>
      </w:pPr>
    </w:p>
    <w:p>
      <w:pPr>
        <w:jc w:val="both"/>
        <w:ind w:firstLine="532"/>
        <w:spacing w:after="0" w:line="266" w:lineRule="auto"/>
        <w:tabs>
          <w:tab w:leader="none" w:pos="10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AAA rated money market mutual funds, where 100% of the holdings are in securities described in clauses (1) or (2) of this definition of Government Securities or repurchase agreements that are fully collateralized by securities described in clauses (1) or (2) of this definition of Government Securities.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indebtedness for borrowed money.</w:t>
      </w:r>
    </w:p>
    <w:p>
      <w:pPr>
        <w:spacing w:after="0" w:line="185" w:lineRule="exact"/>
        <w:rPr>
          <w:sz w:val="20"/>
          <w:szCs w:val="20"/>
          <w:color w:val="auto"/>
        </w:rPr>
      </w:pPr>
    </w:p>
    <w:p>
      <w:pPr>
        <w:jc w:val="both"/>
        <w:ind w:right="20" w:firstLine="5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BBB-(or the equivalent) by S&amp;P, BBB- (or the equivalent) by Fitch, or an equivalent rating by any other Rating Agency.</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185" w:lineRule="exact"/>
        <w:rPr>
          <w:sz w:val="20"/>
          <w:szCs w:val="20"/>
          <w:color w:val="auto"/>
        </w:rPr>
      </w:pPr>
    </w:p>
    <w:p>
      <w:pPr>
        <w:jc w:val="both"/>
        <w:ind w:right="20" w:firstLine="5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joint venture entity, whether a company, unincorporated firm, association, partnership or any other entity which, in each case, is not a Subsidiary or any of its Subsidiaries but in which the Issuer or a Subsidiary has a direct or indirect equity or similar interest.</w:t>
      </w:r>
    </w:p>
    <w:p>
      <w:pPr>
        <w:spacing w:after="0" w:line="131"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 Derivative Instrument”</w:t>
      </w:r>
      <w:r>
        <w:rPr>
          <w:rFonts w:ascii="Times New Roman" w:cs="Times New Roman" w:eastAsia="Times New Roman" w:hAnsi="Times New Roman"/>
          <w:sz w:val="18"/>
          <w:szCs w:val="18"/>
          <w:color w:val="auto"/>
        </w:rPr>
        <w:t xml:space="preserve">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33" w:lineRule="exact"/>
        <w:rPr>
          <w:sz w:val="20"/>
          <w:szCs w:val="20"/>
          <w:color w:val="auto"/>
        </w:rPr>
      </w:pPr>
    </w:p>
    <w:p>
      <w:pPr>
        <w:jc w:val="both"/>
        <w:ind w:right="20" w:firstLine="5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Long-Term Indebtedness</w:t>
      </w:r>
      <w:r>
        <w:rPr>
          <w:rFonts w:ascii="Times New Roman" w:cs="Times New Roman" w:eastAsia="Times New Roman" w:hAnsi="Times New Roman"/>
          <w:sz w:val="18"/>
          <w:szCs w:val="18"/>
          <w:color w:val="auto"/>
        </w:rPr>
        <w:t>” means any Indebtedness maturing by its terms more than one year from its date of issuance (notwithstanding that any portion of such Indebtedness is included in current liabilities).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Measurement Period</w:t>
      </w:r>
      <w:r>
        <w:rPr>
          <w:rFonts w:ascii="Times New Roman" w:cs="Times New Roman" w:eastAsia="Times New Roman" w:hAnsi="Times New Roman"/>
          <w:sz w:val="18"/>
          <w:szCs w:val="18"/>
          <w:color w:val="auto"/>
        </w:rPr>
        <w:t>” means, at any date of determination, the most recently completed four fiscal quarters of the Issuer.</w:t>
      </w:r>
    </w:p>
    <w:p>
      <w:pPr>
        <w:spacing w:after="0" w:line="29" w:lineRule="exact"/>
        <w:rPr>
          <w:sz w:val="20"/>
          <w:szCs w:val="20"/>
          <w:color w:val="auto"/>
        </w:rPr>
      </w:pPr>
    </w:p>
    <w:p>
      <w:pPr>
        <w:ind w:left="5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successor to the rating agency business thereof. “</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has the meaning set forth under “—Certain Covenants—Restrictions on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1"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w:t>
      </w:r>
      <w:r>
        <w:rPr>
          <w:rFonts w:ascii="Times New Roman" w:cs="Times New Roman" w:eastAsia="Times New Roman" w:hAnsi="Times New Roman"/>
          <w:sz w:val="18"/>
          <w:szCs w:val="18"/>
          <w:color w:val="auto"/>
        </w:rPr>
        <w:t>” means, with respect to a holder or beneficial owner, as of a date of determination, either (i) the value of its Short Derivative Instruments exceeds the sum of (x) the value of its securities of an applicable series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or any guarantor immediately prior to such date of determination</w:t>
      </w:r>
    </w:p>
    <w:p>
      <w:pPr>
        <w:spacing w:after="0" w:line="153"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of the Board of Directors, Chief Executive Officer, Chief Financial Officer, President, any Executive Vice President, Senior Vice President or Vice President, the Treasurer, any Assistant Treasurer, any Financial Director or the Secretary or Assistant Secretary of any Person (or, with respect to a Person that is a limited partnership, the general partner of such Person), or any other officer designated by the Board of Directors serving in a similar capacity.</w:t>
      </w:r>
    </w:p>
    <w:p>
      <w:pPr>
        <w:spacing w:after="0" w:line="153" w:lineRule="exact"/>
        <w:rPr>
          <w:sz w:val="20"/>
          <w:szCs w:val="20"/>
          <w:color w:val="auto"/>
        </w:rPr>
      </w:pPr>
    </w:p>
    <w:p>
      <w:pPr>
        <w:jc w:val="both"/>
        <w:ind w:firstLine="52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any Person by an Officer of such Person, who must fulfill the function of the principal executive officer, the principal financial officer, the treasurer or the principal accounting officer of such Person, which meets the requirements set forth in the Indenture.</w:t>
      </w:r>
    </w:p>
    <w:p>
      <w:pPr>
        <w:spacing w:after="0" w:line="133"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The counsel may be an employee of or counsel to Parent, the Issuer or the Trustee.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References</w:t>
      </w:r>
      <w:r>
        <w:rPr>
          <w:rFonts w:ascii="Times New Roman" w:cs="Times New Roman" w:eastAsia="Times New Roman" w:hAnsi="Times New Roman"/>
          <w:sz w:val="18"/>
          <w:szCs w:val="18"/>
          <w:color w:val="auto"/>
        </w:rPr>
        <w:t>” has the meaning set forth under the definition of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Primary Treasury Dealer</w:t>
      </w:r>
      <w:r>
        <w:rPr>
          <w:rFonts w:ascii="Times New Roman" w:cs="Times New Roman" w:eastAsia="Times New Roman" w:hAnsi="Times New Roman"/>
          <w:sz w:val="18"/>
          <w:szCs w:val="18"/>
          <w:color w:val="auto"/>
        </w:rPr>
        <w:t>” means a Government Securities dealer in the United States.</w:t>
      </w:r>
    </w:p>
    <w:p>
      <w:pPr>
        <w:spacing w:after="0" w:line="185"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18"/>
          <w:szCs w:val="18"/>
          <w:color w:val="auto"/>
        </w:rPr>
        <w:t>” means, with respect to any calculation or determination for the Issuer for any Measurement Period, that in making such calculation or determination on the specified date of determination (the “Determination Date”):</w:t>
      </w:r>
    </w:p>
    <w:p>
      <w:pPr>
        <w:spacing w:after="0" w:line="133" w:lineRule="exact"/>
        <w:rPr>
          <w:sz w:val="20"/>
          <w:szCs w:val="20"/>
          <w:color w:val="auto"/>
        </w:rPr>
      </w:pPr>
    </w:p>
    <w:p>
      <w:pPr>
        <w:jc w:val="both"/>
        <w:ind w:left="980" w:hanging="523"/>
        <w:spacing w:after="0" w:line="261"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effect will be given to any Indebtedness incurred by the Issuer or any of its Subsidiaries (including by assumption of then outstanding Indebtedness or by a Person becoming a Subsidiary) (“Incurred”) after the beginning of the Measurement Period and on or before the Determination Date to the extent the Indebtedness is outstanding or is to be Incurred on the Determination Date, as if such Indebtedness had been Incurred on the first day of the Measurement Period;</w:t>
      </w:r>
    </w:p>
    <w:p>
      <w:pPr>
        <w:spacing w:after="0" w:line="139" w:lineRule="exact"/>
        <w:rPr>
          <w:rFonts w:ascii="Times New Roman" w:cs="Times New Roman" w:eastAsia="Times New Roman" w:hAnsi="Times New Roman"/>
          <w:sz w:val="18"/>
          <w:szCs w:val="18"/>
          <w:color w:val="auto"/>
        </w:rPr>
      </w:pPr>
    </w:p>
    <w:p>
      <w:pPr>
        <w:ind w:left="980" w:hanging="523"/>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calculations of interest on Indebtedness bearing a floating interest rate will be made as if the rate in effect on the Determination Date (taking into account any swap contract applicable to the Indebtedness) had been the applicable rate for the entire reference period;</w:t>
      </w:r>
    </w:p>
    <w:p>
      <w:pPr>
        <w:spacing w:after="0" w:line="121" w:lineRule="exact"/>
        <w:rPr>
          <w:rFonts w:ascii="Times New Roman" w:cs="Times New Roman" w:eastAsia="Times New Roman" w:hAnsi="Times New Roman"/>
          <w:sz w:val="18"/>
          <w:szCs w:val="18"/>
          <w:color w:val="auto"/>
        </w:rPr>
      </w:pPr>
    </w:p>
    <w:p>
      <w:pPr>
        <w:jc w:val="both"/>
        <w:ind w:left="980" w:hanging="523"/>
        <w:spacing w:after="0" w:line="256"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related to any Indebtedness no longer outstanding or to be repaid or redeemed on the Determination Date (only to the extent that the obligations giving rise to Consolidated Interest Charges will not be obligations of the Issuer or any Subsidiary following the Determination Date), except for Consolidated Interest Charges accrued during the reference period under a revolving credit to the extent of the commitment thereunder (or under any successor revolving credit) in effect on the Determination Date (including, for the avoidance of doubt, Qualified Receivables Financing), will be excluded as if such Indebtedness was no longer outstanding or was repaid or redeemed on the first day of the Measurement Period; and</w:t>
      </w:r>
    </w:p>
    <w:p>
      <w:pPr>
        <w:spacing w:after="0" w:line="200" w:lineRule="exact"/>
        <w:rPr>
          <w:rFonts w:ascii="Times New Roman" w:cs="Times New Roman" w:eastAsia="Times New Roman" w:hAnsi="Times New Roman"/>
          <w:sz w:val="18"/>
          <w:szCs w:val="18"/>
          <w:color w:val="auto"/>
        </w:rPr>
      </w:pPr>
    </w:p>
    <w:p>
      <w:pPr>
        <w:jc w:val="both"/>
        <w:ind w:left="980" w:hanging="523"/>
        <w:spacing w:after="0" w:line="258"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effect will be given to any investment, acquisition or disposition by the Issuer and its Subsidiaries of companies, divisions or lines of businesses that qualify as reportable segments or discontinued operations, as those two terms are defined by GAAP, or that exceed 15% of Consolidated EBITDA for the Measurement Period, including any investment or acquisition or disposition of a company, division or line of business since the beginning of the reference period by a Person that became or ceased to be a Subsidiary after the beginning of the Measurement Period, that have occurred since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 xml:space="preserve">beginning of the Measurement Period and before the Determination Date as if such events had occurred, and, in the case of any disposition, the proceeds thereof applied, on the first day of the Measurement Period (including expected cost savings (without duplication of actual cost savings) to the extent (i) such cost savings would be permitted to be reflected in pro forma financial information complying with the requirements of GAAP and Article 11 of Regulation S-X under the Securities Act as interpreted by the SEC, and as certified by an Officer of Parent or (ii) in the case of an acquisition or a disposition, such cost savings are reasonably identifiable and factually supportable and have been realized or are reasonably expected to be realized within 365 days following such acquisition or such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Issuer shall have delivered to the Trustee a certificate of the chief financial officer of Parent, in form and substance reasonably satisfactory to the Trustee, certifying that such cost savings meet the requirements set forth in this clause (ii), together with reasonably detailed evidence in support thereof, and (B) if any cost savings included in any pro forma calculations based on the expectation that such cost savings will be realized within 365 days following such acquisition or such disposition shall at any time cease to be reasonably expected to be so realized within such period, then on and after such time pro forma calculations required to be made hereunder shall not reflect such cost savings). To the extent that pro forma effect is to be given to an acquisition or disposition of a company, division or line of business, the pro forma calculation will be based upon the most recent four full fiscal quarters for which the relevant financial information is available.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has the meaning set forth under “—Certain Covenants—Restrictions on Secured Debt.”</w:t>
      </w:r>
    </w:p>
    <w:p>
      <w:pPr>
        <w:spacing w:after="0" w:line="18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Non-Recourse Debt</w:t>
      </w:r>
      <w:r>
        <w:rPr>
          <w:rFonts w:ascii="Times New Roman" w:cs="Times New Roman" w:eastAsia="Times New Roman" w:hAnsi="Times New Roman"/>
          <w:sz w:val="18"/>
          <w:szCs w:val="18"/>
          <w:color w:val="auto"/>
        </w:rPr>
        <w:t>” means Indebtedness that (1) is (a) incurred by a Qualified Non-Recourse Subsidiary to finance (whether prior to or within one year after) the acquisition, lease, construction, repair, replacement or improvement of any Property (real or personal) or equipment (whether through the direct purchase of Property or the Capital Stock of any Person owning such Property and whether in a single acquisition or a series of related acquisitions) or (b) assumed by a Qualified Non-Recourse Subsidiary, (2) is non-recourse to the Issuer and (3) is non-recourse to any Subsidiary that is not a Qualified Non-Recourse Subsidiary.</w:t>
      </w:r>
    </w:p>
    <w:p>
      <w:pPr>
        <w:spacing w:after="0" w:line="156"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Non-Recourse Subsidiary</w:t>
      </w:r>
      <w:r>
        <w:rPr>
          <w:rFonts w:ascii="Times New Roman" w:cs="Times New Roman" w:eastAsia="Times New Roman" w:hAnsi="Times New Roman"/>
          <w:sz w:val="18"/>
          <w:szCs w:val="18"/>
          <w:color w:val="auto"/>
        </w:rPr>
        <w:t>” means (1) a Subsidiary that is formed or created after the Issue Date in order to finance an acquisition, lease, construction, repair, replacement or improvement of any Property or equipment (directly or through one of its Subsidiaries) that secures Qualified Non-Recourse Debt and (2) any Subsidiary of a Qualified Non-Recourse Subsidiary.</w:t>
      </w:r>
    </w:p>
    <w:p>
      <w:pPr>
        <w:spacing w:after="0" w:line="133"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Receivables Financing</w:t>
      </w:r>
      <w:r>
        <w:rPr>
          <w:rFonts w:ascii="Times New Roman" w:cs="Times New Roman" w:eastAsia="Times New Roman" w:hAnsi="Times New Roman"/>
          <w:sz w:val="18"/>
          <w:szCs w:val="18"/>
          <w:color w:val="auto"/>
        </w:rPr>
        <w:t>” means the securitization of accounts receivables and related assets of the Issuer and its Subsidiaries on customary market terms (including, without limitation, Standard Securitization Undertakings and a Receivables Repurchase Obligation) as determined in good faith by the Issuer to be in the aggregate commercially fair and reasonable to the Issuer and its Subsidiaries taken as a whole.</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one of the Reference Treasury Dealers appointed by the Issuer as Quotation Agent.</w:t>
      </w:r>
    </w:p>
    <w:p>
      <w:pPr>
        <w:spacing w:after="0" w:line="225"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 (1) S&amp;P, (2) Moody’s, (3) Fitch, or (4) if any of S&amp;P, Moody’s or Fitch shall not then exist, a nationally recognized securities rating agency or agencies, as the case may be, selected by the Issuer, which shall be substituted for S&amp;P, Moody’s or Fitch, as the case may be.</w:t>
      </w:r>
    </w:p>
    <w:p>
      <w:pPr>
        <w:spacing w:after="0" w:line="11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Ratings Event</w:t>
      </w:r>
      <w:r>
        <w:rPr>
          <w:rFonts w:ascii="Times New Roman" w:cs="Times New Roman" w:eastAsia="Times New Roman" w:hAnsi="Times New Roman"/>
          <w:sz w:val="18"/>
          <w:szCs w:val="18"/>
          <w:color w:val="auto"/>
        </w:rPr>
        <w:t>” means with respect to the notes at any time from or after the occurrence of a Change of Control and until the earlier to occur of (x) 60 days after the later of (i) the occurrence of a Change of Control or (ii) public notice of the occurrence of a Change of Control (which period shall be extended so long as the rating of the notes is under publicly announced consideration for a possible downgrade by any of the Rating Agencies) and (y) at least one of the three of the Rating Agencies publicly issuing or reaffirming an Investment Grade Rating on the notes following such Change of Control, the notes have a below Investment Grade Rating by all three of the Rating Agencies.</w:t>
      </w:r>
    </w:p>
    <w:p>
      <w:pPr>
        <w:spacing w:after="0" w:line="15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Repurchase Obligation</w:t>
      </w:r>
      <w:r>
        <w:rPr>
          <w:rFonts w:ascii="Times New Roman" w:cs="Times New Roman" w:eastAsia="Times New Roman" w:hAnsi="Times New Roman"/>
          <w:sz w:val="18"/>
          <w:szCs w:val="18"/>
          <w:color w:val="auto"/>
        </w:rPr>
        <w:t>”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4" w:name="page155"/>
    <w:bookmarkEnd w:id="154"/>
    <w:p>
      <w:pPr>
        <w:spacing w:after="0" w:line="15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Subsidiary</w:t>
      </w:r>
      <w:r>
        <w:rPr>
          <w:rFonts w:ascii="Times New Roman" w:cs="Times New Roman" w:eastAsia="Times New Roman" w:hAnsi="Times New Roman"/>
          <w:sz w:val="18"/>
          <w:szCs w:val="18"/>
          <w:color w:val="auto"/>
        </w:rPr>
        <w:t>” means a Subsidiary of Parent (or another Person formed for the purposes of engaging in Qualified Receivables Financing with Parent or the Issuer in which Parent or any Subsidiary makes an investment and to which Parent or any Subsidiary transfers accounts receivable and related assets) which engages in no activities other than in connection with the financing of accounts receivable of Parent and its Subsidiaries, all proceeds thereof and all rights (contractual or other), collateral and other assets relating thereto, and any business or activities incidental or related to such business, and which is designated by Parent or the Issuer, as applicable (as provided below), as a Receivables Subsidiary and:</w:t>
      </w:r>
    </w:p>
    <w:p>
      <w:pPr>
        <w:spacing w:after="0" w:line="158" w:lineRule="exact"/>
        <w:rPr>
          <w:sz w:val="20"/>
          <w:szCs w:val="20"/>
          <w:color w:val="auto"/>
        </w:rPr>
      </w:pPr>
    </w:p>
    <w:p>
      <w:pPr>
        <w:ind w:left="900" w:hanging="424"/>
        <w:spacing w:after="0" w:line="258" w:lineRule="auto"/>
        <w:tabs>
          <w:tab w:leader="none" w:pos="82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obligations (contingent or otherwise) of which (i) is guaranteed by Parent or any other Subsidiary of Parent (excluding Guarantees of obligations (other than the principal of and interest on, Indebtedness) pursuant to Standard Securitization Undertakings), (ii) is recourse to or obligates Parent or any other Subsidiary of Parent in any way other than pursuant to Standard Securitization Undertakings, or (iii) subjects any property or asset of Parent or any other Subsidiary of Parent, directly or indirectly, contingently or otherwise, to the satisfaction thereof, other than pursuant to Standard Securitization Undertakings;</w:t>
      </w:r>
    </w:p>
    <w:p>
      <w:pPr>
        <w:spacing w:after="0" w:line="142" w:lineRule="exact"/>
        <w:rPr>
          <w:rFonts w:ascii="Times New Roman" w:cs="Times New Roman" w:eastAsia="Times New Roman" w:hAnsi="Times New Roman"/>
          <w:sz w:val="18"/>
          <w:szCs w:val="18"/>
          <w:color w:val="auto"/>
        </w:rPr>
      </w:pPr>
    </w:p>
    <w:p>
      <w:pPr>
        <w:jc w:val="both"/>
        <w:ind w:left="980" w:hanging="523"/>
        <w:spacing w:after="0" w:line="266" w:lineRule="auto"/>
        <w:tabs>
          <w:tab w:leader="none" w:pos="98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neither Parent nor any other Subsidiary of Parent has any material contract, agreement, arrangement or understanding other than on terms which Parent or the Issuer, as applicable, reasonably believes to be no less favorable to Parent or such Subsidiary than those that might be obtained at the time from Persons that are not affiliates of Parent; and</w:t>
      </w:r>
    </w:p>
    <w:p>
      <w:pPr>
        <w:spacing w:after="0" w:line="148" w:lineRule="exact"/>
        <w:rPr>
          <w:rFonts w:ascii="Times New Roman" w:cs="Times New Roman" w:eastAsia="Times New Roman" w:hAnsi="Times New Roman"/>
          <w:sz w:val="18"/>
          <w:szCs w:val="18"/>
          <w:color w:val="auto"/>
        </w:rPr>
      </w:pPr>
    </w:p>
    <w:p>
      <w:pPr>
        <w:jc w:val="both"/>
        <w:ind w:left="980" w:hanging="523"/>
        <w:spacing w:after="0" w:line="256"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neither Parent nor any other Subsidiary of Parent has any obligation to maintain or preserve such entity’s financial condition or cause such entity to achieve certain levels of operating results. The foregoing conditions shall not be violated by reason of any contractual obligation on the part of Parent to maintain the solvency of any Receivables Subsidiary on terms that Parent has determined in good faith to be reasonably necessary to facilitate a Qualified Receivables Financing. Any such designation by Parent shall be evidenced to the Trustee by filing with the Trustee a certified copy of the resolution of the Board of Directors of Parent giving effect to such designation and an Officer’s Certificate certifying that such designation complied with the foregoing conditions.</w:t>
      </w:r>
    </w:p>
    <w:p>
      <w:pPr>
        <w:spacing w:after="0" w:line="145"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(i) Citigroup Global Markets Inc. and its affiliates or successors; provided, however, that if any of the foregoing cease to be a Primary Treasury Dealer, we will substitute therefor another Primary Treasury Dealer, and (ii) any other Primary Treasury Dealer selected by the Issuer.</w:t>
      </w:r>
    </w:p>
    <w:p>
      <w:pPr>
        <w:spacing w:after="0" w:line="133" w:lineRule="exact"/>
        <w:rPr>
          <w:sz w:val="20"/>
          <w:szCs w:val="20"/>
          <w:color w:val="auto"/>
        </w:rPr>
      </w:pPr>
    </w:p>
    <w:p>
      <w:pPr>
        <w:jc w:val="both"/>
        <w:ind w:right="20"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at 5:00 p.m., New York City time, on the third business day preceding the redemption date.</w:t>
      </w:r>
    </w:p>
    <w:p>
      <w:pPr>
        <w:spacing w:after="0" w:line="14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Bank</w:t>
      </w:r>
      <w:r>
        <w:rPr>
          <w:rFonts w:ascii="Times New Roman" w:cs="Times New Roman" w:eastAsia="Times New Roman" w:hAnsi="Times New Roman"/>
          <w:sz w:val="18"/>
          <w:szCs w:val="18"/>
          <w:color w:val="auto"/>
        </w:rPr>
        <w:t>” means a commercial bank with a consolidated combined capital and surplus of at least $5,000 million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or any successor to the rating agency business thereof.</w:t>
      </w:r>
    </w:p>
    <w:p>
      <w:pPr>
        <w:spacing w:after="0" w:line="19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the leasing by the Issuer or any Domestic Subsidiary of the Issuer of any Property, whether owned at the date of the Indenture or acquired after the date of the Indenture (except for temporary leases for a term, including any renewal term, of up to three years and except for leases between the Issuer and any Domestic Subsidiary of the Issuer or between Domestic Subsidiaries of the Issuer), which Property has been or is to be sold or transferred by the Issuer or such Subsidiary to any party with the intention of taking back a lease of such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6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Screened Affiliate”</w:t>
      </w:r>
      <w:r>
        <w:rPr>
          <w:rFonts w:ascii="Times New Roman" w:cs="Times New Roman" w:eastAsia="Times New Roman" w:hAnsi="Times New Roman"/>
          <w:sz w:val="18"/>
          <w:szCs w:val="18"/>
          <w:color w:val="auto"/>
        </w:rPr>
        <w:t xml:space="preserv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securities, and (iv) whose investment decisions are not influenced by the investment decisions of such holder or any other affiliate of such holder that is acting in concert with such holder in connection with its investment in the securities.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Indebtedness</w:t>
      </w:r>
      <w:r>
        <w:rPr>
          <w:rFonts w:ascii="Times New Roman" w:cs="Times New Roman" w:eastAsia="Times New Roman" w:hAnsi="Times New Roman"/>
          <w:sz w:val="18"/>
          <w:szCs w:val="18"/>
          <w:color w:val="auto"/>
        </w:rPr>
        <w:t>” means any Indebtedness secured by a Mortgage.</w:t>
      </w:r>
    </w:p>
    <w:p>
      <w:pPr>
        <w:spacing w:after="0" w:line="185" w:lineRule="exact"/>
        <w:rPr>
          <w:sz w:val="20"/>
          <w:szCs w:val="20"/>
          <w:color w:val="auto"/>
        </w:rPr>
      </w:pPr>
    </w:p>
    <w:p>
      <w:pPr>
        <w:ind w:left="4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 by the SEC thereunder.</w:t>
      </w:r>
    </w:p>
    <w:p>
      <w:pPr>
        <w:spacing w:after="0" w:line="131"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 Derivative Instrument”</w:t>
      </w:r>
      <w:r>
        <w:rPr>
          <w:rFonts w:ascii="Times New Roman" w:cs="Times New Roman" w:eastAsia="Times New Roman" w:hAnsi="Times New Roman"/>
          <w:sz w:val="18"/>
          <w:szCs w:val="18"/>
          <w:color w:val="auto"/>
        </w:rPr>
        <w:t xml:space="preserve">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33"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Purpose Subsidiary</w:t>
      </w:r>
      <w:r>
        <w:rPr>
          <w:rFonts w:ascii="Times New Roman" w:cs="Times New Roman" w:eastAsia="Times New Roman" w:hAnsi="Times New Roman"/>
          <w:sz w:val="18"/>
          <w:szCs w:val="18"/>
          <w:color w:val="auto"/>
        </w:rPr>
        <w:t>” means any Subsidiary whose material assets are comprised solely of the Capital Stock of a Joint Venture, where the pledge of such Capital Stock would be prohibited by any contractual requirement pertaining to such Joint Venture.</w:t>
      </w:r>
    </w:p>
    <w:p>
      <w:pPr>
        <w:spacing w:after="0" w:line="118" w:lineRule="exact"/>
        <w:rPr>
          <w:sz w:val="20"/>
          <w:szCs w:val="20"/>
          <w:color w:val="auto"/>
        </w:rPr>
      </w:pPr>
    </w:p>
    <w:p>
      <w:pPr>
        <w:jc w:val="both"/>
        <w:ind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means representations, warranties, undertakings, covenants, indemnities and guarantees of performance entered into by Parent or any Subsidiary of Parent which Parent has determined in good faith to be customary in a Qualified Receivables Financing.</w:t>
      </w:r>
    </w:p>
    <w:p>
      <w:pPr>
        <w:spacing w:after="0" w:line="13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(1) any corporation, association or other business entity (other than a partnership, joint venture or limited liability company) of which more than 50% of the total voting power of shares of Voting Stock thereof is at the time of determination owned or controlled, directly or indirectly, by such Person or one or more of the other Subsidiaries of that Person or a combination thereof; or (2) 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4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means, with respect to any Person, the total consolidated assets of such Person and its Subsidiaries, without giving effect to any amortization of the amount of intangible assets since the Issue Date, (x) as shown on the most recent balance sheet of such Person, or (y) in regards to the Issuer only, as shown on the most recent balance sheet of the Issuer and its Subsidiaries.</w:t>
      </w:r>
    </w:p>
    <w:p>
      <w:pPr>
        <w:spacing w:after="0" w:line="146" w:lineRule="exact"/>
        <w:rPr>
          <w:sz w:val="20"/>
          <w:szCs w:val="20"/>
          <w:color w:val="auto"/>
        </w:rPr>
      </w:pPr>
    </w:p>
    <w:p>
      <w:pPr>
        <w:jc w:val="both"/>
        <w:ind w:right="20" w:firstLine="44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Person means the Capital Stock of such person that is at the time entitled to vote generally in the election of the Board of Directors of such Person.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Domestic Subsidiary</w:t>
      </w:r>
      <w:r>
        <w:rPr>
          <w:rFonts w:ascii="Times New Roman" w:cs="Times New Roman" w:eastAsia="Times New Roman" w:hAnsi="Times New Roman"/>
          <w:sz w:val="18"/>
          <w:szCs w:val="18"/>
          <w:color w:val="auto"/>
        </w:rPr>
        <w:t>” means any Wholly Owned Subsidiary that is a Domestic Subsidiary.</w:t>
      </w:r>
    </w:p>
    <w:p>
      <w:pPr>
        <w:spacing w:after="0" w:line="198"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of any Person means a Subsidiary of such Person, 100% of the outstanding Capital Stock of which (other than directors’ qualifying shares or shares required to be held by others in Foreign Subsidiaries) shall at the time be owned by such Person or by one or more Wholly Owned Subsidiaries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10.65</w:t>
      </w:r>
    </w:p>
    <w:p>
      <w:pPr>
        <w:spacing w:after="0" w:line="20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p>
    <w:p>
      <w:pPr>
        <w:spacing w:after="0" w:line="2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Ashland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#ParticipantName#</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Restricted Stock Units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#QuantityGranted#</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#GrantDate#</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#CliffVest#</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Signature Required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#Acceptance Deadline#</w:t>
      </w:r>
    </w:p>
    <w:p>
      <w:pPr>
        <w:spacing w:after="0" w:line="200"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both"/>
        <w:ind w:left="760" w:hanging="752"/>
        <w:spacing w:after="0" w:line="238" w:lineRule="auto"/>
        <w:tabs>
          <w:tab w:leader="none" w:pos="760"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Ashland Inc. (“Ashland”) hereby grants to the above-named individual (the “Participant”) #QuantityGranted#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(the “Award”) pursuant to and subject to the terms of the Ashland Inc. 2021 Omnibus Incentive Compensation Plan (the “Plan”) and this Stock-Settled Unit Agreement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76"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Units</w:t>
      </w:r>
      <w:r>
        <w:rPr>
          <w:rFonts w:ascii="Times New Roman" w:cs="Times New Roman" w:eastAsia="Times New Roman" w:hAnsi="Times New Roman"/>
          <w:sz w:val="22"/>
          <w:szCs w:val="22"/>
          <w:color w:val="auto"/>
        </w:rPr>
        <w:t>. Each Unit represents a contingent right of the Participant to receive one (1) Share on the vesting date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(such date, the “Vesting Date”). The number of Units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46" w:lineRule="auto"/>
        <w:tabs>
          <w:tab w:leader="none" w:pos="760"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Units shall vest as of the Vesting Date, and further subject to the Participant’s continuous service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employee or consultant of Ashland or any of its Affiliates (“Continuous Service”) through such Vesting Date, except as otherwise provided in this Agreement.</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38" w:lineRule="auto"/>
        <w:tabs>
          <w:tab w:leader="none" w:pos="760"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in this Agreement or as otherwise determined by the Committee (but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6(i) of the Plan), if Participant’s Continuous Service ends for any reason prior to the Vesting Date, all Units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76" w:lineRule="exact"/>
        <w:rPr>
          <w:rFonts w:ascii="Times New Roman" w:cs="Times New Roman" w:eastAsia="Times New Roman" w:hAnsi="Times New Roman"/>
          <w:sz w:val="22"/>
          <w:szCs w:val="22"/>
          <w:u w:val="single" w:color="auto"/>
          <w:color w:val="auto"/>
        </w:rPr>
      </w:pPr>
    </w:p>
    <w:p>
      <w:pPr>
        <w:jc w:val="both"/>
        <w:ind w:left="760" w:hanging="752"/>
        <w:spacing w:after="0" w:line="238" w:lineRule="auto"/>
        <w:tabs>
          <w:tab w:leader="none" w:pos="760" w:val="left"/>
        </w:tabs>
        <w:numPr>
          <w:ilvl w:val="0"/>
          <w:numId w:val="1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Continuous Service ends due to Retirement after the fiscal year that includes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set forth above, then all unvested Units under this Agreement shall be immediately accelerated and vest in full as of the date of such Retirement. If the Participant’s Retirement occurs before the end of the fiscal year that includes the Grant Date set forth above, all unvested Units granted hereunder shall be forfeited. For purposes of this Agreement, “Retirement”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shall mean a termination of Participant’s employment for any reason other than death, Disability, or Cause (as defined below), that is a ”separation from service” within the meaning of Section 409A of the Code, after attaining age 55 and having at least ten (10) years of credited service, or after attaining age 60 and having at least five (5) years of credited service.</w:t>
      </w:r>
    </w:p>
    <w:p>
      <w:pPr>
        <w:spacing w:after="0" w:line="176" w:lineRule="exact"/>
        <w:rPr>
          <w:sz w:val="20"/>
          <w:szCs w:val="20"/>
          <w:color w:val="auto"/>
        </w:rPr>
      </w:pPr>
    </w:p>
    <w:p>
      <w:pPr>
        <w:jc w:val="both"/>
        <w:ind w:left="760" w:hanging="752"/>
        <w:spacing w:after="0" w:line="241" w:lineRule="auto"/>
        <w:tabs>
          <w:tab w:leader="none" w:pos="760" w:val="left"/>
        </w:tabs>
        <w:numPr>
          <w:ilvl w:val="0"/>
          <w:numId w:val="10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Participant’s Continuous Service ends due to death or Disability, all Units under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immediately accelerated and will vest into Shares, assuming such Units had been earned at 100% achievement (i.e., “target” achievement) against the Performance Goals, as of the date of such termination due to death or Disability within thirty (30) days of the Vesting Date.</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43" w:lineRule="auto"/>
        <w:tabs>
          <w:tab w:leader="none" w:pos="760" w:val="left"/>
        </w:tabs>
        <w:numPr>
          <w:ilvl w:val="0"/>
          <w:numId w:val="10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Termination without Cause</w:t>
      </w:r>
      <w:r>
        <w:rPr>
          <w:rFonts w:ascii="Times New Roman" w:cs="Times New Roman" w:eastAsia="Times New Roman" w:hAnsi="Times New Roman"/>
          <w:sz w:val="21"/>
          <w:szCs w:val="21"/>
          <w:color w:val="auto"/>
        </w:rPr>
        <w:t>. If the Participant is otherwise terminated by Ashland or any of its Affiliates for any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than death, Disability, or Cause prior to the earlier of the Vesting Date or Retirement, then the Participant shall continue to be permitted to vest, in accordance with the terms of this Agreement, provided that the number of earned Units scheduled to vest, if any, shall be pro-rated (with such proration being based on the number of days from the Grant Date through the date of such termination divided by the total number of days between the Grant Date and the Vesting Date applicable to such tranche). The pro-rated number of earned Units, if any, shall be delivered to and in the name of Participant in the form of the corresponding number of Shares within thirty (30) days of the Vesting Date. 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w:t>
      </w:r>
    </w:p>
    <w:p>
      <w:pPr>
        <w:spacing w:after="0" w:line="8" w:lineRule="exact"/>
        <w:rPr>
          <w:rFonts w:ascii="Times New Roman" w:cs="Times New Roman" w:eastAsia="Times New Roman" w:hAnsi="Times New Roman"/>
          <w:sz w:val="21"/>
          <w:szCs w:val="21"/>
          <w:u w:val="single" w:color="auto"/>
          <w:color w:val="auto"/>
        </w:rPr>
      </w:pPr>
    </w:p>
    <w:p>
      <w:pPr>
        <w:jc w:val="both"/>
        <w:ind w:left="760" w:hanging="3"/>
        <w:spacing w:after="0" w:line="234" w:lineRule="auto"/>
        <w:tabs>
          <w:tab w:leader="none" w:pos="109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w:t>
      </w:r>
    </w:p>
    <w:p>
      <w:pPr>
        <w:spacing w:after="0" w:line="173" w:lineRule="exact"/>
        <w:rPr>
          <w:rFonts w:ascii="Times New Roman" w:cs="Times New Roman" w:eastAsia="Times New Roman" w:hAnsi="Times New Roman"/>
          <w:sz w:val="22"/>
          <w:szCs w:val="22"/>
          <w:color w:val="auto"/>
        </w:rPr>
      </w:pPr>
    </w:p>
    <w:p>
      <w:pPr>
        <w:jc w:val="both"/>
        <w:ind w:left="760" w:hanging="752"/>
        <w:spacing w:after="0" w:line="246" w:lineRule="auto"/>
        <w:tabs>
          <w:tab w:leader="none" w:pos="760" w:val="left"/>
        </w:tabs>
        <w:numPr>
          <w:ilvl w:val="0"/>
          <w:numId w:val="10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Time of Payment and Taxation</w:t>
      </w:r>
      <w:r>
        <w:rPr>
          <w:rFonts w:ascii="Times New Roman" w:cs="Times New Roman" w:eastAsia="Times New Roman" w:hAnsi="Times New Roman"/>
          <w:sz w:val="22"/>
          <w:szCs w:val="22"/>
          <w:color w:val="auto"/>
        </w:rPr>
        <w:t>. The Shares underlying any tranche of Units that vests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paid/delivered to and in the name of the Participant within thirty (30) days following the Vesting Date for the Award of Units, subject to tax deductions and withholding as set forth in Section 9(d) of the Plan.</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46" w:lineRule="auto"/>
        <w:tabs>
          <w:tab w:leader="none" w:pos="760" w:val="left"/>
        </w:tabs>
        <w:numPr>
          <w:ilvl w:val="0"/>
          <w:numId w:val="10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Stockholder Rights</w:t>
      </w:r>
      <w:r>
        <w:rPr>
          <w:rFonts w:ascii="Times New Roman" w:cs="Times New Roman" w:eastAsia="Times New Roman" w:hAnsi="Times New Roman"/>
          <w:sz w:val="22"/>
          <w:szCs w:val="22"/>
          <w:color w:val="auto"/>
        </w:rPr>
        <w:t>. Unless and until such time as Shares are delivered in settlement of vested Units,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no ownership of the Shares associated with any Units granted under this Award or to cast any vote with respect to such Shares.</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0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While this Award is outstanding, on each date that cash dividends are paid by Ashland to 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Shares, Ashland will increase the number of Units granted hereunder by (1) the product of the number of Units then held by the Participant as of the date of record for such dividend (inclusive of Units that have been added to the original number of Units pursuant to this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Section 10) multiplied by the per Share cash dividend amount, divided by (2)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176" w:lineRule="exact"/>
        <w:rPr>
          <w:sz w:val="20"/>
          <w:szCs w:val="20"/>
          <w:color w:val="auto"/>
        </w:rPr>
      </w:pPr>
    </w:p>
    <w:p>
      <w:pPr>
        <w:jc w:val="both"/>
        <w:ind w:left="760" w:hanging="752"/>
        <w:spacing w:after="0" w:line="241" w:lineRule="auto"/>
        <w:tabs>
          <w:tab w:leader="none" w:pos="760" w:val="left"/>
        </w:tabs>
        <w:numPr>
          <w:ilvl w:val="0"/>
          <w:numId w:val="1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Fractional Units</w:t>
      </w:r>
      <w:r>
        <w:rPr>
          <w:rFonts w:ascii="Times New Roman" w:cs="Times New Roman" w:eastAsia="Times New Roman" w:hAnsi="Times New Roman"/>
          <w:sz w:val="22"/>
          <w:szCs w:val="22"/>
          <w:color w:val="auto"/>
        </w:rPr>
        <w:t>. Notwithstanding any other provision of this Agreement or the Plan to the contrary, in the event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credited with any fractional Units as a result of the grant of any dividend equivalents under Section 10 of this Agreement prior to the Vesting Date, such fractional Units shall be rounded up to the nearest whole Unit and shall otherwise vest in accordance with the terms of this Agreement.</w:t>
      </w:r>
    </w:p>
    <w:p>
      <w:pPr>
        <w:spacing w:after="0" w:line="171" w:lineRule="exact"/>
        <w:rPr>
          <w:rFonts w:ascii="Times New Roman" w:cs="Times New Roman" w:eastAsia="Times New Roman" w:hAnsi="Times New Roman"/>
          <w:sz w:val="22"/>
          <w:szCs w:val="22"/>
          <w:u w:val="single" w:color="auto"/>
          <w:color w:val="auto"/>
        </w:rPr>
      </w:pPr>
    </w:p>
    <w:p>
      <w:pPr>
        <w:ind w:left="760" w:hanging="752"/>
        <w:spacing w:after="0" w:line="262" w:lineRule="auto"/>
        <w:tabs>
          <w:tab w:leader="none" w:pos="760" w:val="left"/>
        </w:tabs>
        <w:numPr>
          <w:ilvl w:val="0"/>
          <w:numId w:val="1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prior to the Vesting Date.</w:t>
      </w:r>
    </w:p>
    <w:p>
      <w:pPr>
        <w:spacing w:after="0" w:line="149" w:lineRule="exact"/>
        <w:rPr>
          <w:rFonts w:ascii="Times New Roman" w:cs="Times New Roman" w:eastAsia="Times New Roman" w:hAnsi="Times New Roman"/>
          <w:sz w:val="22"/>
          <w:szCs w:val="22"/>
          <w:u w:val="single" w:color="auto"/>
          <w:color w:val="auto"/>
        </w:rPr>
      </w:pPr>
    </w:p>
    <w:p>
      <w:pPr>
        <w:jc w:val="both"/>
        <w:ind w:left="760" w:hanging="752"/>
        <w:spacing w:after="0" w:line="244" w:lineRule="auto"/>
        <w:tabs>
          <w:tab w:leader="none" w:pos="760" w:val="left"/>
        </w:tabs>
        <w:numPr>
          <w:ilvl w:val="0"/>
          <w:numId w:val="10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Compensation Recovery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in the Plan, this Agreement or any other agreement or declaration,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80" w:lineRule="exact"/>
        <w:rPr>
          <w:rFonts w:ascii="Times New Roman" w:cs="Times New Roman" w:eastAsia="Times New Roman" w:hAnsi="Times New Roman"/>
          <w:sz w:val="21"/>
          <w:szCs w:val="21"/>
          <w:u w:val="single" w:color="auto"/>
          <w:color w:val="auto"/>
        </w:rPr>
      </w:pPr>
    </w:p>
    <w:p>
      <w:pPr>
        <w:jc w:val="both"/>
        <w:ind w:left="760" w:hanging="752"/>
        <w:spacing w:after="0" w:line="241" w:lineRule="auto"/>
        <w:tabs>
          <w:tab w:leader="none" w:pos="760" w:val="left"/>
        </w:tabs>
        <w:numPr>
          <w:ilvl w:val="0"/>
          <w:numId w:val="1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303336"/>
        </w:rPr>
        <w:t>Non-transferability</w:t>
      </w:r>
      <w:r>
        <w:rPr>
          <w:rFonts w:ascii="Times New Roman" w:cs="Times New Roman" w:eastAsia="Times New Roman" w:hAnsi="Times New Roman"/>
          <w:sz w:val="22"/>
          <w:szCs w:val="22"/>
          <w:color w:val="000000"/>
        </w:rPr>
        <w:t>. The Participant may not sell, transfer, pledge, assign, attach or otherwise alienate or hypothecate</w:t>
      </w:r>
      <w:r>
        <w:rPr>
          <w:rFonts w:ascii="Times New Roman" w:cs="Times New Roman" w:eastAsia="Times New Roman" w:hAnsi="Times New Roman"/>
          <w:sz w:val="22"/>
          <w:szCs w:val="22"/>
          <w:b w:val="1"/>
          <w:bCs w:val="1"/>
          <w:color w:val="303336"/>
        </w:rPr>
        <w:t xml:space="preserve"> </w:t>
      </w:r>
      <w:r>
        <w:rPr>
          <w:rFonts w:ascii="Times New Roman" w:cs="Times New Roman" w:eastAsia="Times New Roman" w:hAnsi="Times New Roman"/>
          <w:sz w:val="22"/>
          <w:szCs w:val="22"/>
          <w:color w:val="000000"/>
        </w:rPr>
        <w:t>the Units or any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u w:val="single" w:color="auto"/>
          <w:color w:val="auto"/>
        </w:rPr>
      </w:pPr>
    </w:p>
    <w:p>
      <w:pPr>
        <w:ind w:left="760" w:hanging="752"/>
        <w:spacing w:after="0" w:line="262" w:lineRule="auto"/>
        <w:tabs>
          <w:tab w:leader="none" w:pos="760" w:val="left"/>
        </w:tabs>
        <w:numPr>
          <w:ilvl w:val="0"/>
          <w:numId w:val="1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in the employment of, or remain in the service of, Ashland or any of its Affiliates.</w:t>
      </w:r>
    </w:p>
    <w:p>
      <w:pPr>
        <w:spacing w:after="0" w:line="149" w:lineRule="exact"/>
        <w:rPr>
          <w:rFonts w:ascii="Times New Roman" w:cs="Times New Roman" w:eastAsia="Times New Roman" w:hAnsi="Times New Roman"/>
          <w:sz w:val="22"/>
          <w:szCs w:val="22"/>
          <w:u w:val="single" w:color="auto"/>
          <w:color w:val="auto"/>
        </w:rPr>
      </w:pPr>
    </w:p>
    <w:p>
      <w:pPr>
        <w:ind w:left="760" w:hanging="752"/>
        <w:spacing w:after="0" w:line="262" w:lineRule="auto"/>
        <w:tabs>
          <w:tab w:leader="none" w:pos="760" w:val="left"/>
        </w:tabs>
        <w:numPr>
          <w:ilvl w:val="0"/>
          <w:numId w:val="10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recorded and held, used and disclosed by and among Ashland, its Affiliates and 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third-party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73" w:lineRule="exact"/>
        <w:rPr>
          <w:sz w:val="20"/>
          <w:szCs w:val="20"/>
          <w:color w:val="auto"/>
        </w:rPr>
      </w:pPr>
    </w:p>
    <w:p>
      <w:pPr>
        <w:jc w:val="both"/>
        <w:ind w:left="760" w:hanging="752"/>
        <w:spacing w:after="0" w:line="241" w:lineRule="auto"/>
        <w:tabs>
          <w:tab w:leader="none" w:pos="760" w:val="left"/>
        </w:tabs>
        <w:numPr>
          <w:ilvl w:val="0"/>
          <w:numId w:val="10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and any Affiliate may, in its sole discretion,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Ashland, any Affiliate or a third party designated by Ashland.</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33" w:lineRule="auto"/>
        <w:tabs>
          <w:tab w:leader="none" w:pos="760" w:val="left"/>
        </w:tabs>
        <w:numPr>
          <w:ilvl w:val="0"/>
          <w:numId w:val="10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Code 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for purposes of this Agreement, a termination of employment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consistent with the rules relating to a “separation from service” within the meaning of Code Section 409A and the regulations and other guidance promulgated thereunder (“Section 409A”). Notwithstanding anything provided herein to the contrary, to the extent of any payments provided under this Agreement in connection with the Participant’s termination of employment with Ashland and its Affiliates constitute “nonqualified deferred compensation” within the meaning of Section 409A, and the Participant is a “specified employee” within the meaning of Section 409A upon such termination of employment, then such payment shall not be made until the earlier of (i) the expiration of the six month period measured from the Participant’s employment termination date, or (ii) the date of the Participant’s death following such employment termination date. The Participant acknowledges that, regardless of any action taken by Ashland and its Affiliates, the liability for all taxes related to the Award and this Agreement are the sole responsibility of the Participant, and nether Ashland nor its Affiliates are liable to the Participant for any taxes, penalties and interest incurred by the Participant relating to the Award and this Agreement.</w:t>
      </w:r>
    </w:p>
    <w:p>
      <w:pPr>
        <w:spacing w:after="0" w:line="184"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0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and to the extent permitted by applicable law,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75" w:lineRule="exact"/>
        <w:rPr>
          <w:rFonts w:ascii="Times New Roman" w:cs="Times New Roman" w:eastAsia="Times New Roman" w:hAnsi="Times New Roman"/>
          <w:sz w:val="22"/>
          <w:szCs w:val="22"/>
          <w:u w:val="single" w:color="auto"/>
          <w:color w:val="auto"/>
        </w:rPr>
      </w:pPr>
    </w:p>
    <w:p>
      <w:pPr>
        <w:jc w:val="both"/>
        <w:ind w:left="1500" w:hanging="743"/>
        <w:spacing w:after="0" w:line="244" w:lineRule="auto"/>
        <w:tabs>
          <w:tab w:leader="none" w:pos="15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sz w:val="20"/>
          <w:szCs w:val="20"/>
          <w:color w:val="auto"/>
        </w:rPr>
      </w:pPr>
    </w:p>
    <w:p>
      <w:pPr>
        <w:jc w:val="both"/>
        <w:ind w:left="1900" w:hanging="199"/>
        <w:spacing w:after="0" w:line="244" w:lineRule="auto"/>
        <w:rPr>
          <w:sz w:val="20"/>
          <w:szCs w:val="20"/>
          <w:color w:val="auto"/>
        </w:rPr>
      </w:pPr>
      <w:r>
        <w:rPr>
          <w:rFonts w:ascii="Times New Roman" w:cs="Times New Roman" w:eastAsia="Times New Roman" w:hAnsi="Times New Roman"/>
          <w:sz w:val="22"/>
          <w:szCs w:val="22"/>
          <w:color w:val="auto"/>
        </w:rPr>
        <w:t>(i)solicit or encourage any existing or former employee, director, contractor, consultant, customer, or supplier of Ashland or any of its Affiliates to terminate his, her or its relationship with Ashland or any of its Affiliates for any reason;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ind w:left="1203" w:hanging="256"/>
        <w:spacing w:after="0" w:line="244" w:lineRule="auto"/>
        <w:rPr>
          <w:sz w:val="20"/>
          <w:szCs w:val="20"/>
          <w:color w:val="auto"/>
        </w:rPr>
      </w:pPr>
      <w:r>
        <w:rPr>
          <w:rFonts w:ascii="Times New Roman" w:cs="Times New Roman" w:eastAsia="Times New Roman" w:hAnsi="Times New Roman"/>
          <w:sz w:val="22"/>
          <w:szCs w:val="22"/>
          <w:color w:val="auto"/>
        </w:rPr>
        <w:t>(ii)hire (directly or through another person), any person (whether or not solicited) who was an employee of the Company or any of its Affiliates at any time within the one year period immediately preceding the Participant’s termination from employment; or</w:t>
      </w:r>
    </w:p>
    <w:p>
      <w:pPr>
        <w:spacing w:after="0" w:line="173" w:lineRule="exact"/>
        <w:rPr>
          <w:sz w:val="20"/>
          <w:szCs w:val="20"/>
          <w:color w:val="auto"/>
        </w:rPr>
      </w:pPr>
    </w:p>
    <w:p>
      <w:pPr>
        <w:jc w:val="both"/>
        <w:ind w:left="1263" w:hanging="312"/>
        <w:spacing w:after="0" w:line="244" w:lineRule="auto"/>
        <w:rPr>
          <w:sz w:val="20"/>
          <w:szCs w:val="20"/>
          <w:color w:val="auto"/>
        </w:rPr>
      </w:pPr>
      <w:r>
        <w:rPr>
          <w:rFonts w:ascii="Times New Roman" w:cs="Times New Roman" w:eastAsia="Times New Roman" w:hAnsi="Times New Roman"/>
          <w:sz w:val="22"/>
          <w:szCs w:val="22"/>
          <w:color w:val="auto"/>
        </w:rPr>
        <w:t>(iii)disclose proprietary or confidential information of Ashland or any of its Affiliates to third parties or use any such proprietary or confidential information for the benefit of anyone other than Ashland and its Affiliates;</w:t>
      </w:r>
    </w:p>
    <w:p>
      <w:pPr>
        <w:spacing w:after="0" w:line="173" w:lineRule="exact"/>
        <w:rPr>
          <w:sz w:val="20"/>
          <w:szCs w:val="20"/>
          <w:color w:val="auto"/>
        </w:rPr>
      </w:pPr>
    </w:p>
    <w:p>
      <w:pPr>
        <w:jc w:val="both"/>
        <w:ind w:left="3"/>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77" w:lineRule="exact"/>
        <w:rPr>
          <w:sz w:val="20"/>
          <w:szCs w:val="20"/>
          <w:color w:val="auto"/>
        </w:rPr>
      </w:pPr>
    </w:p>
    <w:p>
      <w:pPr>
        <w:jc w:val="both"/>
        <w:ind w:left="3"/>
        <w:spacing w:after="0" w:line="243" w:lineRule="auto"/>
        <w:rPr>
          <w:sz w:val="20"/>
          <w:szCs w:val="20"/>
          <w:color w:val="auto"/>
        </w:rPr>
      </w:pPr>
      <w:r>
        <w:rPr>
          <w:rFonts w:ascii="Times New Roman" w:cs="Times New Roman" w:eastAsia="Times New Roman" w:hAnsi="Times New Roman"/>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with Ashland or any of its Affiliates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provided that the actions described in clauses (x), (y) and</w:t>
      </w:r>
    </w:p>
    <w:p>
      <w:pPr>
        <w:spacing w:after="0" w:line="5" w:lineRule="exact"/>
        <w:rPr>
          <w:sz w:val="20"/>
          <w:szCs w:val="20"/>
          <w:color w:val="auto"/>
        </w:rPr>
      </w:pPr>
    </w:p>
    <w:p>
      <w:pPr>
        <w:ind w:left="3" w:right="20" w:hanging="3"/>
        <w:spacing w:after="0" w:line="237" w:lineRule="auto"/>
        <w:tabs>
          <w:tab w:leader="none" w:pos="30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taken with respect to the Award at any time following the third anniversary of the vesting of the Award (or the applicable portion thereof). To the extent a longer Covenant Period</w:t>
      </w:r>
    </w:p>
    <w:p>
      <w:pPr>
        <w:spacing w:after="0" w:line="200" w:lineRule="exact"/>
        <w:rPr>
          <w:sz w:val="20"/>
          <w:szCs w:val="20"/>
          <w:color w:val="auto"/>
        </w:rPr>
      </w:pPr>
    </w:p>
    <w:p>
      <w:pPr>
        <w:spacing w:after="0" w:line="217" w:lineRule="exact"/>
        <w:rPr>
          <w:sz w:val="20"/>
          <w:szCs w:val="20"/>
          <w:color w:val="auto"/>
        </w:rPr>
      </w:pPr>
    </w:p>
    <w:p>
      <w:pPr>
        <w:ind w:left="3663"/>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548640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61" w:name="page162"/>
    <w:bookmarkEnd w:id="161"/>
    <w:p>
      <w:pPr>
        <w:ind w:left="760" w:right="20"/>
        <w:spacing w:after="0" w:line="258" w:lineRule="auto"/>
        <w:rPr>
          <w:sz w:val="20"/>
          <w:szCs w:val="20"/>
          <w:color w:val="auto"/>
        </w:rPr>
      </w:pPr>
      <w:r>
        <w:rPr>
          <w:rFonts w:ascii="Times New Roman" w:cs="Times New Roman" w:eastAsia="Times New Roman" w:hAnsi="Times New Roman"/>
          <w:sz w:val="22"/>
          <w:szCs w:val="22"/>
          <w:color w:val="auto"/>
        </w:rPr>
        <w:t>is specified in another agreement between the Participant and Ashland or its Affiliates, the provisions of this section 13 shall be extended to apply to such longer period.</w:t>
      </w:r>
    </w:p>
    <w:p>
      <w:pPr>
        <w:spacing w:after="0" w:line="154" w:lineRule="exact"/>
        <w:rPr>
          <w:sz w:val="20"/>
          <w:szCs w:val="20"/>
          <w:color w:val="auto"/>
        </w:rPr>
      </w:pPr>
    </w:p>
    <w:p>
      <w:pPr>
        <w:jc w:val="both"/>
        <w:ind w:left="760" w:hanging="752"/>
        <w:spacing w:after="0" w:line="246" w:lineRule="auto"/>
        <w:tabs>
          <w:tab w:leader="none" w:pos="760" w:val="left"/>
        </w:tabs>
        <w:numPr>
          <w:ilvl w:val="0"/>
          <w:numId w:val="10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This Award of Units is subject to and expressly conditioned upon the Participant’s online acceptance of the terms and conditions of the Plan, this Agreement, and the Award through the Fidelity website. The right to the Units shall expire if not accepted by #AcceptanceDeadline#.</w:t>
      </w:r>
    </w:p>
    <w:p>
      <w:pPr>
        <w:spacing w:after="0" w:line="171" w:lineRule="exact"/>
        <w:rPr>
          <w:rFonts w:ascii="Times New Roman" w:cs="Times New Roman" w:eastAsia="Times New Roman" w:hAnsi="Times New Roman"/>
          <w:sz w:val="22"/>
          <w:szCs w:val="22"/>
          <w:u w:val="single" w:color="auto"/>
          <w:color w:val="auto"/>
        </w:rPr>
      </w:pPr>
    </w:p>
    <w:p>
      <w:pPr>
        <w:jc w:val="both"/>
        <w:ind w:left="760"/>
        <w:spacing w:after="0" w:line="236"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By accepting the terms and conditions of this Agreement, the Participant acknowledges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Grant Date set forth above.</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#Signature#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#ParticipantName#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#AcceptanceDate#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10.66</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u w:val="single" w:color="auto"/>
          <w:color w:val="auto"/>
        </w:rPr>
        <w:t>CASH-SETTLED RESTRICTED STOCK EQUIVALENT AGREEMENT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 NON-U.S. PARTICIPANTS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Ashland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#ParticipantName#</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Restricted Stock Units (“RSEs”)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#QuantityGranted#</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#GrantDate#</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#CliffVest#</w:t>
      </w:r>
    </w:p>
    <w:p>
      <w:pPr>
        <w:spacing w:after="0" w:line="115"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Signature Required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#Acceptance Deadline#</w:t>
      </w:r>
    </w:p>
    <w:p>
      <w:pPr>
        <w:spacing w:after="0" w:line="200" w:lineRule="exact"/>
        <w:rPr>
          <w:sz w:val="20"/>
          <w:szCs w:val="20"/>
          <w:color w:val="auto"/>
        </w:rPr>
      </w:pPr>
    </w:p>
    <w:p>
      <w:pPr>
        <w:sectPr>
          <w:pgSz w:w="11900" w:h="16838" w:orient="portrait"/>
          <w:cols w:equalWidth="0" w:num="2">
            <w:col w:w="6500" w:space="720"/>
            <w:col w:w="4020"/>
          </w:cols>
          <w:pgMar w:left="320" w:top="1440" w:right="339" w:bottom="1440" w:gutter="0" w:footer="0" w:header="0"/>
          <w:type w:val="continuous"/>
        </w:sectPr>
      </w:pPr>
    </w:p>
    <w:p>
      <w:pPr>
        <w:spacing w:after="0" w:line="153" w:lineRule="exact"/>
        <w:rPr>
          <w:sz w:val="20"/>
          <w:szCs w:val="20"/>
          <w:color w:val="auto"/>
        </w:rPr>
      </w:pPr>
    </w:p>
    <w:p>
      <w:pPr>
        <w:jc w:val="both"/>
        <w:ind w:left="760" w:hanging="752"/>
        <w:spacing w:after="0" w:line="237" w:lineRule="auto"/>
        <w:tabs>
          <w:tab w:leader="none" w:pos="760"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Ashland Inc. (“Ashland”) hereby grants to the above-named individual (the “Participant”) #QuantityGranted#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RSEs (the “Award”) pursuant to and subject to the terms of the Ashland Inc. 2021 Omnibus Incentive Compensation Plan (the “Plan”) and this Cash-Settled Restricted Stock Equivalent Agreement for Non-U.S. Participants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75" w:lineRule="exact"/>
        <w:rPr>
          <w:rFonts w:ascii="Times New Roman" w:cs="Times New Roman" w:eastAsia="Times New Roman" w:hAnsi="Times New Roman"/>
          <w:sz w:val="22"/>
          <w:szCs w:val="22"/>
          <w:u w:val="single" w:color="auto"/>
          <w:color w:val="auto"/>
        </w:rPr>
      </w:pPr>
    </w:p>
    <w:p>
      <w:pPr>
        <w:jc w:val="both"/>
        <w:ind w:left="760" w:hanging="752"/>
        <w:spacing w:after="0" w:line="237" w:lineRule="auto"/>
        <w:tabs>
          <w:tab w:leader="none" w:pos="760"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RSE represents a contingent right of the Participant to receive a cash payment in Participant’s local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the exchange rate used by Ashland, or Ashland’s stock administrator, on the date of the transaction) equal to the Fair Market Value of one (1) Share (the “Per RSE Value”) on the Vesting Date set forth above (such date, the “Vesting Date”). The number of RSEs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75" w:lineRule="exact"/>
        <w:rPr>
          <w:rFonts w:ascii="Times New Roman" w:cs="Times New Roman" w:eastAsia="Times New Roman" w:hAnsi="Times New Roman"/>
          <w:sz w:val="22"/>
          <w:szCs w:val="22"/>
          <w:u w:val="single" w:color="auto"/>
          <w:color w:val="auto"/>
        </w:rPr>
      </w:pPr>
    </w:p>
    <w:p>
      <w:pPr>
        <w:jc w:val="both"/>
        <w:ind w:left="760" w:hanging="752"/>
        <w:spacing w:after="0" w:line="246" w:lineRule="auto"/>
        <w:tabs>
          <w:tab w:leader="none" w:pos="760"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RSEs shall vest as of the Vesting Date, subject to the Participant’s continuous service as an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or consultant of Ashland or any of its Affiliates (“Continuous Service”) through such Vesting Date, except as otherwise provided in this Agreement.</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38" w:lineRule="auto"/>
        <w:tabs>
          <w:tab w:leader="none" w:pos="760" w:val="left"/>
        </w:tabs>
        <w:numPr>
          <w:ilvl w:val="0"/>
          <w:numId w:val="1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in this Agreement or as otherwise determined by the Committee (but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6(i) of the Plan), if Participant’s Continuous Service ends for any reason prior to the Vesting Date, all RSEs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jc w:val="both"/>
        <w:ind w:left="760" w:hanging="752"/>
        <w:spacing w:after="0" w:line="235" w:lineRule="auto"/>
        <w:tabs>
          <w:tab w:leader="none" w:pos="760"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Continuous Service ends due to Retirement after the fiscal year that includes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set forth above, then all unvested RSEs under this Agreement shall be immediately accelerated and vest in full as of the date of such Retirement. If the Participant’s Retirement occurs before the end of the fiscal year that includes the Grant Date set forth above, all unvested RSEs granted hereunder shall be forfeited. For purposes of this Agreement, “Retirement” shall mean a termination of Participant’s employment for any reason other than death, Disability, or Cause (as defined below), that is a ”separation from service” within the meaning of Section 409A of the Code, after attaining age 55 and having at least ten (10) years of credited service, or after attaining age 60 and having at least five (5) years of credited service.</w:t>
      </w:r>
    </w:p>
    <w:p>
      <w:pPr>
        <w:spacing w:after="0" w:line="178" w:lineRule="exact"/>
        <w:rPr>
          <w:rFonts w:ascii="Times New Roman" w:cs="Times New Roman" w:eastAsia="Times New Roman" w:hAnsi="Times New Roman"/>
          <w:sz w:val="22"/>
          <w:szCs w:val="22"/>
          <w:u w:val="single" w:color="auto"/>
          <w:color w:val="auto"/>
        </w:rPr>
      </w:pPr>
    </w:p>
    <w:p>
      <w:pPr>
        <w:jc w:val="both"/>
        <w:ind w:left="760" w:hanging="752"/>
        <w:spacing w:after="0" w:line="246" w:lineRule="auto"/>
        <w:tabs>
          <w:tab w:leader="none" w:pos="760"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color w:val="auto"/>
        </w:rPr>
        <w:t>. If the Participant’s Continuous Service ends due to death or Disability, all unvested RSEs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will be immediately accelerated and will vest into Shares as of date of such termination due to death or Disability within thirty (30) days of the Vesting Date.</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35" w:lineRule="auto"/>
        <w:tabs>
          <w:tab w:leader="none" w:pos="760"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Termination without Cause</w:t>
      </w:r>
      <w:r>
        <w:rPr>
          <w:rFonts w:ascii="Times New Roman" w:cs="Times New Roman" w:eastAsia="Times New Roman" w:hAnsi="Times New Roman"/>
          <w:sz w:val="22"/>
          <w:szCs w:val="22"/>
          <w:color w:val="auto"/>
        </w:rPr>
        <w:t>. If the Participant is otherwise terminated by Ashland or any of its Affiliates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death, Disability, or Cause prior to the earlier of the Vesting Date or Retirement, then the Participant shall continue to be permitted to vest, in accordance with the terms of this Agreement, with each remaining unvested tranche of RSEs pro-rated (with such proration being based on the number of days from the Grant Date through the date of such termination divided by the total number of days between the Grant Date and the Vesting Date applicable to such tranche). The number of Shares corresponding to the pro-rated number of RSEs, if any, shall be delivered to and in the name of the Participant in the form of the corresponding number of Shares within thirty (30) days of such Termination Date.</w:t>
      </w:r>
    </w:p>
    <w:p>
      <w:pPr>
        <w:spacing w:after="0" w:line="182" w:lineRule="exact"/>
        <w:rPr>
          <w:rFonts w:ascii="Times New Roman" w:cs="Times New Roman" w:eastAsia="Times New Roman" w:hAnsi="Times New Roman"/>
          <w:sz w:val="22"/>
          <w:szCs w:val="22"/>
          <w:u w:val="single" w:color="auto"/>
          <w:color w:val="auto"/>
        </w:rPr>
      </w:pPr>
    </w:p>
    <w:p>
      <w:pPr>
        <w:jc w:val="both"/>
        <w:ind w:left="760"/>
        <w:spacing w:after="0" w:line="234"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w:t>
      </w:r>
    </w:p>
    <w:p>
      <w:pPr>
        <w:spacing w:after="0" w:line="175" w:lineRule="exact"/>
        <w:rPr>
          <w:rFonts w:ascii="Times New Roman" w:cs="Times New Roman" w:eastAsia="Times New Roman" w:hAnsi="Times New Roman"/>
          <w:sz w:val="22"/>
          <w:szCs w:val="22"/>
          <w:u w:val="single" w:color="auto"/>
          <w:color w:val="auto"/>
        </w:rPr>
      </w:pPr>
    </w:p>
    <w:p>
      <w:pPr>
        <w:jc w:val="both"/>
        <w:ind w:left="840" w:hanging="832"/>
        <w:spacing w:after="0" w:line="241" w:lineRule="auto"/>
        <w:tabs>
          <w:tab w:leader="none" w:pos="840"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Time of Payment and Taxation</w:t>
      </w:r>
      <w:r>
        <w:rPr>
          <w:rFonts w:ascii="Times New Roman" w:cs="Times New Roman" w:eastAsia="Times New Roman" w:hAnsi="Times New Roman"/>
          <w:sz w:val="22"/>
          <w:szCs w:val="22"/>
          <w:color w:val="auto"/>
        </w:rPr>
        <w:t>. Based upon the attainment of the Performance Goals outlined in the Appendix,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will be paid to the Participant in Shares within (30) days following the Vesting Date for the Award at the end of the Performance Period based upon actual achievement of the Performance Goals as provided herein, subject to tax deductions and withholding as set forth in Section 9(d) of the Plan.</w:t>
      </w:r>
    </w:p>
    <w:p>
      <w:pPr>
        <w:spacing w:after="0" w:line="171" w:lineRule="exact"/>
        <w:rPr>
          <w:rFonts w:ascii="Times New Roman" w:cs="Times New Roman" w:eastAsia="Times New Roman" w:hAnsi="Times New Roman"/>
          <w:sz w:val="22"/>
          <w:szCs w:val="22"/>
          <w:u w:val="single" w:color="auto"/>
          <w:color w:val="auto"/>
        </w:rPr>
      </w:pPr>
    </w:p>
    <w:p>
      <w:pPr>
        <w:jc w:val="both"/>
        <w:ind w:left="840" w:hanging="832"/>
        <w:spacing w:after="0" w:line="246" w:lineRule="auto"/>
        <w:tabs>
          <w:tab w:leader="none" w:pos="840" w:val="left"/>
        </w:tabs>
        <w:numPr>
          <w:ilvl w:val="0"/>
          <w:numId w:val="11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Stockholder Rights</w:t>
      </w:r>
      <w:r>
        <w:rPr>
          <w:rFonts w:ascii="Times New Roman" w:cs="Times New Roman" w:eastAsia="Times New Roman" w:hAnsi="Times New Roman"/>
          <w:sz w:val="22"/>
          <w:szCs w:val="22"/>
          <w:color w:val="auto"/>
        </w:rPr>
        <w:t>. Unless and until such time as Shares are delivered in settlement of earned Units,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no ownership of the Shares associated with any Units granted under this Award or to cast any vote with respect to such Shares.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4" w:name="page165"/>
    <w:bookmarkEnd w:id="164"/>
    <w:p>
      <w:pPr>
        <w:jc w:val="both"/>
        <w:ind w:left="840" w:hanging="832"/>
        <w:spacing w:after="0" w:line="235" w:lineRule="auto"/>
        <w:tabs>
          <w:tab w:leader="none" w:pos="840"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While this Award is outstanding, on each date that cash dividends are paid by Ashland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of Shares, Ashland will increase the number of target Units granted hereunder by (1) the product of the target number of Units then held by the Participant as of the date of record for such dividend (inclusive of Units that have been added to such target number of Units pursuant to this Section 10) multiplied by the per Share cash dividend amount, divided by (2)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178" w:lineRule="exact"/>
        <w:rPr>
          <w:rFonts w:ascii="Times New Roman" w:cs="Times New Roman" w:eastAsia="Times New Roman" w:hAnsi="Times New Roman"/>
          <w:sz w:val="22"/>
          <w:szCs w:val="22"/>
          <w:u w:val="single" w:color="auto"/>
          <w:color w:val="auto"/>
        </w:rPr>
      </w:pPr>
    </w:p>
    <w:p>
      <w:pPr>
        <w:jc w:val="both"/>
        <w:ind w:left="840" w:hanging="832"/>
        <w:spacing w:after="0" w:line="241" w:lineRule="auto"/>
        <w:tabs>
          <w:tab w:leader="none" w:pos="840"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Fractional Units</w:t>
      </w:r>
      <w:r>
        <w:rPr>
          <w:rFonts w:ascii="Times New Roman" w:cs="Times New Roman" w:eastAsia="Times New Roman" w:hAnsi="Times New Roman"/>
          <w:sz w:val="22"/>
          <w:szCs w:val="22"/>
          <w:color w:val="auto"/>
        </w:rPr>
        <w:t>. Notwithstanding any other provision of this Agreement or the Plan to the contrary, in the event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credited with any fractional Units as a result of the grant of any dividend equivalents under Section 10 of this Agreement prior to the Vesting Date, such fractional Units shall be rounded up to the nearest whole Unit and shall otherwise vest in accordance with the terms of this Agreement</w:t>
      </w:r>
    </w:p>
    <w:p>
      <w:pPr>
        <w:spacing w:after="0" w:line="171" w:lineRule="exact"/>
        <w:rPr>
          <w:rFonts w:ascii="Times New Roman" w:cs="Times New Roman" w:eastAsia="Times New Roman" w:hAnsi="Times New Roman"/>
          <w:sz w:val="22"/>
          <w:szCs w:val="22"/>
          <w:u w:val="single" w:color="auto"/>
          <w:color w:val="auto"/>
        </w:rPr>
      </w:pPr>
    </w:p>
    <w:p>
      <w:pPr>
        <w:ind w:left="840" w:right="20" w:hanging="832"/>
        <w:spacing w:after="0" w:line="262" w:lineRule="auto"/>
        <w:tabs>
          <w:tab w:leader="none" w:pos="840"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prior to the Vesting Date.</w:t>
      </w:r>
    </w:p>
    <w:p>
      <w:pPr>
        <w:spacing w:after="0" w:line="149" w:lineRule="exact"/>
        <w:rPr>
          <w:rFonts w:ascii="Times New Roman" w:cs="Times New Roman" w:eastAsia="Times New Roman" w:hAnsi="Times New Roman"/>
          <w:sz w:val="22"/>
          <w:szCs w:val="22"/>
          <w:u w:val="single" w:color="auto"/>
          <w:color w:val="auto"/>
        </w:rPr>
      </w:pPr>
    </w:p>
    <w:p>
      <w:pPr>
        <w:jc w:val="both"/>
        <w:ind w:left="840" w:hanging="832"/>
        <w:spacing w:after="0" w:line="233" w:lineRule="auto"/>
        <w:tabs>
          <w:tab w:leader="none" w:pos="840"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Compensation Recovery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in the Plan, this Agreement or any other agreement or declaration,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77" w:lineRule="exact"/>
        <w:rPr>
          <w:rFonts w:ascii="Times New Roman" w:cs="Times New Roman" w:eastAsia="Times New Roman" w:hAnsi="Times New Roman"/>
          <w:sz w:val="22"/>
          <w:szCs w:val="22"/>
          <w:u w:val="single" w:color="auto"/>
          <w:color w:val="auto"/>
        </w:rPr>
      </w:pPr>
    </w:p>
    <w:p>
      <w:pPr>
        <w:jc w:val="both"/>
        <w:ind w:left="840" w:hanging="832"/>
        <w:spacing w:after="0" w:line="241" w:lineRule="auto"/>
        <w:tabs>
          <w:tab w:leader="none" w:pos="840"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Participant may not sell, transfer, pledge, assign, attach or otherwise alienate or hypothecate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RSEs or any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71" w:lineRule="exact"/>
        <w:rPr>
          <w:rFonts w:ascii="Times New Roman" w:cs="Times New Roman" w:eastAsia="Times New Roman" w:hAnsi="Times New Roman"/>
          <w:sz w:val="22"/>
          <w:szCs w:val="22"/>
          <w:u w:val="single" w:color="auto"/>
          <w:color w:val="auto"/>
        </w:rPr>
      </w:pPr>
    </w:p>
    <w:p>
      <w:pPr>
        <w:ind w:left="840" w:hanging="832"/>
        <w:spacing w:after="0" w:line="262" w:lineRule="auto"/>
        <w:tabs>
          <w:tab w:leader="none" w:pos="840" w:val="left"/>
        </w:tabs>
        <w:numPr>
          <w:ilvl w:val="0"/>
          <w:numId w:val="1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in the employment of, or remain in the service of, Ashland or any of its Affiliates.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5" w:name="page166"/>
    <w:bookmarkEnd w:id="165"/>
    <w:p>
      <w:pPr>
        <w:jc w:val="both"/>
        <w:ind w:left="840" w:hanging="832"/>
        <w:spacing w:after="0" w:line="236" w:lineRule="auto"/>
        <w:tabs>
          <w:tab w:leader="none" w:pos="840" w:val="left"/>
        </w:tabs>
        <w:numPr>
          <w:ilvl w:val="0"/>
          <w:numId w:val="1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recorded and held, used and disclosed by and among Ashland, its Affiliates and any third-party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75" w:lineRule="exact"/>
        <w:rPr>
          <w:rFonts w:ascii="Times New Roman" w:cs="Times New Roman" w:eastAsia="Times New Roman" w:hAnsi="Times New Roman"/>
          <w:sz w:val="22"/>
          <w:szCs w:val="22"/>
          <w:u w:val="single" w:color="auto"/>
          <w:color w:val="auto"/>
        </w:rPr>
      </w:pPr>
    </w:p>
    <w:p>
      <w:pPr>
        <w:jc w:val="both"/>
        <w:ind w:left="840" w:hanging="832"/>
        <w:spacing w:after="0" w:line="241" w:lineRule="auto"/>
        <w:tabs>
          <w:tab w:leader="none" w:pos="840" w:val="left"/>
        </w:tabs>
        <w:numPr>
          <w:ilvl w:val="0"/>
          <w:numId w:val="1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and any Affiliate may, in its sole discretion,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Ashland, any Affiliate or a third party designated by Ashland.</w:t>
      </w:r>
    </w:p>
    <w:p>
      <w:pPr>
        <w:spacing w:after="0" w:line="171" w:lineRule="exact"/>
        <w:rPr>
          <w:rFonts w:ascii="Times New Roman" w:cs="Times New Roman" w:eastAsia="Times New Roman" w:hAnsi="Times New Roman"/>
          <w:sz w:val="22"/>
          <w:szCs w:val="22"/>
          <w:u w:val="single" w:color="auto"/>
          <w:color w:val="auto"/>
        </w:rPr>
      </w:pPr>
    </w:p>
    <w:p>
      <w:pPr>
        <w:jc w:val="both"/>
        <w:ind w:left="840" w:hanging="832"/>
        <w:spacing w:after="0" w:line="241" w:lineRule="auto"/>
        <w:tabs>
          <w:tab w:leader="none" w:pos="840" w:val="left"/>
        </w:tabs>
        <w:numPr>
          <w:ilvl w:val="0"/>
          <w:numId w:val="1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and to the extent permitted by applicable law,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75" w:lineRule="exact"/>
        <w:rPr>
          <w:rFonts w:ascii="Times New Roman" w:cs="Times New Roman" w:eastAsia="Times New Roman" w:hAnsi="Times New Roman"/>
          <w:sz w:val="22"/>
          <w:szCs w:val="22"/>
          <w:u w:val="single" w:color="auto"/>
          <w:color w:val="auto"/>
        </w:rPr>
      </w:pPr>
    </w:p>
    <w:p>
      <w:pPr>
        <w:jc w:val="both"/>
        <w:ind w:left="1500" w:hanging="743"/>
        <w:spacing w:after="0" w:line="244" w:lineRule="auto"/>
        <w:tabs>
          <w:tab w:leader="none" w:pos="15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jc w:val="both"/>
        <w:ind w:left="2720" w:hanging="751"/>
        <w:spacing w:after="0" w:line="244" w:lineRule="auto"/>
        <w:tabs>
          <w:tab w:leader="none" w:pos="272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encourage any existing employee, director, contractor, consultant, customer or supplier of Ashland or any of its Affiliates to terminate his, her or its relationship with Ashland or any of its Affiliates for any reason;</w:t>
      </w:r>
    </w:p>
    <w:p>
      <w:pPr>
        <w:spacing w:after="0" w:line="173" w:lineRule="exact"/>
        <w:rPr>
          <w:rFonts w:ascii="Times New Roman" w:cs="Times New Roman" w:eastAsia="Times New Roman" w:hAnsi="Times New Roman"/>
          <w:sz w:val="22"/>
          <w:szCs w:val="22"/>
          <w:color w:val="auto"/>
        </w:rPr>
      </w:pPr>
    </w:p>
    <w:p>
      <w:pPr>
        <w:jc w:val="both"/>
        <w:ind w:left="2720" w:hanging="751"/>
        <w:spacing w:after="0" w:line="244" w:lineRule="auto"/>
        <w:tabs>
          <w:tab w:leader="none" w:pos="272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(directly or through another person), any person (whether or not solicited) who was an employee of the Company or any of its Affiliates at any time within the one year period immediately preceding the Participant’s termination from employment; or</w:t>
      </w:r>
    </w:p>
    <w:p>
      <w:pPr>
        <w:spacing w:after="0" w:line="173" w:lineRule="exact"/>
        <w:rPr>
          <w:rFonts w:ascii="Times New Roman" w:cs="Times New Roman" w:eastAsia="Times New Roman" w:hAnsi="Times New Roman"/>
          <w:sz w:val="22"/>
          <w:szCs w:val="22"/>
          <w:color w:val="auto"/>
        </w:rPr>
      </w:pPr>
    </w:p>
    <w:p>
      <w:pPr>
        <w:jc w:val="both"/>
        <w:ind w:left="2720" w:hanging="751"/>
        <w:spacing w:after="0" w:line="244" w:lineRule="auto"/>
        <w:tabs>
          <w:tab w:leader="none" w:pos="272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proprietary or confidential information of Ashland or any of its Affiliates to third parties or use any such proprietary or confidential information for the benefit of anyone other than Ashland and any of its Affiliates;</w:t>
      </w:r>
    </w:p>
    <w:p>
      <w:pPr>
        <w:spacing w:after="0" w:line="173"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Agreement shall not prohibit the Participant in any way from (1) filing and, as provided for under Section 21F of the Securities Exchange Act of 1934, maintaining the confidentiality of a claim with the United States Securities and Exchange Commission (the “SEC”); (2) providing proprietary or confidential information to the SEC, or providing the SEC with information that would otherwise violate clause (ii) above, to the extent permitted by Section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6" w:name="page167"/>
    <w:bookmarkEnd w:id="166"/>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21F of the Securities Exchange Act of 1934; (3)cooperating,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w:t>
      </w:r>
    </w:p>
    <w:p>
      <w:pPr>
        <w:spacing w:after="0" w:line="1" w:lineRule="exact"/>
        <w:rPr>
          <w:sz w:val="20"/>
          <w:szCs w:val="20"/>
          <w:color w:val="auto"/>
        </w:rPr>
      </w:pPr>
    </w:p>
    <w:p>
      <w:pPr>
        <w:jc w:val="both"/>
        <w:ind w:left="760" w:hanging="3"/>
        <w:spacing w:after="0" w:line="232" w:lineRule="auto"/>
        <w:tabs>
          <w:tab w:leader="none" w:pos="112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3" w:lineRule="exact"/>
        <w:rPr>
          <w:sz w:val="20"/>
          <w:szCs w:val="20"/>
          <w:color w:val="auto"/>
        </w:rPr>
      </w:pPr>
    </w:p>
    <w:p>
      <w:pPr>
        <w:jc w:val="both"/>
        <w:ind w:left="760"/>
        <w:spacing w:after="0" w:line="232" w:lineRule="auto"/>
        <w:rPr>
          <w:sz w:val="20"/>
          <w:szCs w:val="20"/>
          <w:color w:val="auto"/>
        </w:rPr>
      </w:pPr>
      <w:r>
        <w:rPr>
          <w:rFonts w:ascii="Times New Roman" w:cs="Times New Roman" w:eastAsia="Times New Roman" w:hAnsi="Times New Roman"/>
          <w:sz w:val="22"/>
          <w:szCs w:val="22"/>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with Ashland or any of its Affiliates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U.S. Internal Revenue Code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provided that the actions described in clauses (x), (y) and (z) 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18 shall be extended to apply to such longer period.</w:t>
      </w:r>
    </w:p>
    <w:p>
      <w:pPr>
        <w:spacing w:after="0" w:line="186" w:lineRule="exact"/>
        <w:rPr>
          <w:sz w:val="20"/>
          <w:szCs w:val="20"/>
          <w:color w:val="auto"/>
        </w:rPr>
      </w:pPr>
    </w:p>
    <w:p>
      <w:pPr>
        <w:jc w:val="both"/>
        <w:ind w:left="760" w:hanging="752"/>
        <w:spacing w:after="0" w:line="246" w:lineRule="auto"/>
        <w:tabs>
          <w:tab w:leader="none" w:pos="760" w:val="left"/>
        </w:tabs>
        <w:numPr>
          <w:ilvl w:val="0"/>
          <w:numId w:val="1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b w:val="1"/>
          <w:bCs w:val="1"/>
          <w:color w:val="auto"/>
        </w:rPr>
        <w:t xml:space="preserve"> This Award of RSEs is subject to and expressly conditioned upon the Participant’s online acceptance of the terms and conditions of the Plan, this Agreement, and the Award through the Fidelity website. The right to the RSEs shall expire if not accepted by #AcceptanceDeadline#.</w:t>
      </w:r>
    </w:p>
    <w:p>
      <w:pPr>
        <w:spacing w:after="0" w:line="171" w:lineRule="exact"/>
        <w:rPr>
          <w:rFonts w:ascii="Times New Roman" w:cs="Times New Roman" w:eastAsia="Times New Roman" w:hAnsi="Times New Roman"/>
          <w:sz w:val="22"/>
          <w:szCs w:val="22"/>
          <w:u w:val="single" w:color="auto"/>
          <w:color w:val="auto"/>
        </w:rPr>
      </w:pPr>
    </w:p>
    <w:p>
      <w:pPr>
        <w:jc w:val="both"/>
        <w:ind w:left="760"/>
        <w:spacing w:after="0" w:line="236"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By accepting the terms and conditions of this Agreement, the Participant acknowledges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Grant Date set forth above.</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#Signature#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#ParticipantName#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#AcceptanceDate#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ASHLAND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OMNIBUS INCENTIVE COMPENSATION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CASH-SETTLED RESTRICTED STOCK EQUIVALENT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 FOR NON-U.S. PARTICIPANTS</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provisions of the Plan and the Agreement, the RSEs are subject to the following additional terms and conditions as set forth in this Addendum to the extent the Participant resides and/or is employed in one of the countries addressed herein. All capitalized terms used, but undefined,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Ashland determines, in its sole discretion, that the application of such terms and conditions is necessary or advisable in order to comply with local laws, rules and regulations, or to facilitate the operation and administration of the RSEs and the Plan (or Ashland may establish alternative terms and conditions as may be necessary or advisable to accommodate the Participant’s transfer).</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EUROPEAN UNION (“EU”) / EUROPEAN ECONOMIC UNION (“EEA”) / SWITZERLAND / THE UNITED KINGDOM</w:t>
      </w:r>
    </w:p>
    <w:p>
      <w:pPr>
        <w:spacing w:after="0" w:line="181" w:lineRule="exact"/>
        <w:rPr>
          <w:sz w:val="20"/>
          <w:szCs w:val="20"/>
          <w:color w:val="auto"/>
        </w:rPr>
      </w:pPr>
    </w:p>
    <w:p>
      <w:pPr>
        <w:ind w:left="1500" w:hanging="743"/>
        <w:spacing w:after="0"/>
        <w:tabs>
          <w:tab w:leader="none" w:pos="1500" w:val="left"/>
        </w:tabs>
        <w:numPr>
          <w:ilvl w:val="0"/>
          <w:numId w:val="1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See Section 12 above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37" w:lineRule="exact"/>
        <w:rPr>
          <w:sz w:val="20"/>
          <w:szCs w:val="20"/>
          <w:color w:val="auto"/>
        </w:rPr>
      </w:pPr>
    </w:p>
    <w:p>
      <w:pPr>
        <w:jc w:val="both"/>
        <w:ind w:firstLine="757"/>
        <w:spacing w:after="0" w:line="239" w:lineRule="auto"/>
        <w:tabs>
          <w:tab w:leader="none" w:pos="11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Notice</w:t>
      </w:r>
      <w:r>
        <w:rPr>
          <w:rFonts w:ascii="Times New Roman" w:cs="Times New Roman" w:eastAsia="Times New Roman" w:hAnsi="Times New Roman"/>
          <w:sz w:val="22"/>
          <w:szCs w:val="22"/>
          <w:color w:val="auto"/>
        </w:rPr>
        <w:t>. The grant of RSEs is intended to comply with the provisions of the Corporations Act 2001, Australian Securities and Investments Commission (“ASIC”) Regulatory Guide 49 and ASIC Class Order 14/1000. Additional details are set forth in the offer document for the grant of RSEs to Australian residents, distributed to the Participant with the Plan documentation.</w:t>
      </w:r>
    </w:p>
    <w:p>
      <w:pPr>
        <w:spacing w:after="0" w:line="20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RSEs Conditioned on Satisfaction of Regulatory Obligations</w:t>
      </w:r>
      <w:r>
        <w:rPr>
          <w:rFonts w:ascii="Times New Roman" w:cs="Times New Roman" w:eastAsia="Times New Roman" w:hAnsi="Times New Roman"/>
          <w:sz w:val="22"/>
          <w:szCs w:val="22"/>
          <w:color w:val="auto"/>
        </w:rPr>
        <w:t>. If the Participant is (a) a director of an affiliate or subsidiary incorporated in Australia, or (b) a person who is a management-level executive of an affiliate or subsidiary incorporated in Australia and who also is a director of an affiliate or subsidiary incorporated outside of the Australia, the grant of the RSEs is conditioned upon satisfaction of the shareholder approval provisions of section 200B of the Corporations Act 2001 (Cth) and the Corporations Amendment (Improving Accountability on Termination Payments) Act in Australia.</w:t>
      </w:r>
    </w:p>
    <w:p>
      <w:pPr>
        <w:spacing w:after="0" w:line="20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The Plan is a program to which Subdivision 83A-C of the Income Tax Assessment Act 1997 (Cth) (the “Act”) applies (subject to the conditions in that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37" w:lineRule="exact"/>
        <w:rPr>
          <w:sz w:val="20"/>
          <w:szCs w:val="20"/>
          <w:color w:val="auto"/>
        </w:rPr>
      </w:pPr>
    </w:p>
    <w:p>
      <w:pPr>
        <w:jc w:val="both"/>
        <w:ind w:firstLine="757"/>
        <w:spacing w:after="0" w:line="255" w:lineRule="auto"/>
        <w:tabs>
          <w:tab w:leader="none" w:pos="118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Commercial Relationship</w:t>
      </w:r>
      <w:r>
        <w:rPr>
          <w:rFonts w:ascii="Times New Roman" w:cs="Times New Roman" w:eastAsia="Times New Roman" w:hAnsi="Times New Roman"/>
          <w:sz w:val="21"/>
          <w:szCs w:val="21"/>
          <w:color w:val="auto"/>
        </w:rPr>
        <w:t>. The Participant expressly acknowledges and agrees that the Participant’s participation in the Plan and Ashland’s grant of the RSEs does not constitute an employment relationship between the Participant and Ashland. The Participant has been granted the RSEs as a consequence of the commercial relationship between Ashland and such Affiliate of Ashland that employs Participant (the “Employer”), and the Employer is the Participant’s sole employer. Based on the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jc w:val="both"/>
        <w:spacing w:after="0" w:line="238" w:lineRule="auto"/>
        <w:rPr>
          <w:sz w:val="20"/>
          <w:szCs w:val="20"/>
          <w:color w:val="auto"/>
        </w:rPr>
      </w:pPr>
      <w:r>
        <w:rPr>
          <w:rFonts w:ascii="Times New Roman" w:cs="Times New Roman" w:eastAsia="Times New Roman" w:hAnsi="Times New Roman"/>
          <w:sz w:val="22"/>
          <w:szCs w:val="22"/>
          <w:color w:val="auto"/>
        </w:rPr>
        <w:t>foregoing, the Participant expressly recognizes that (a) the Plan and the benefits the Participant may derive from participation in the Plan do not establish any rights between the Participant and the Employer, (b) the Plan and the benefits the Participant may derive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w:t>
      </w:r>
    </w:p>
    <w:p>
      <w:pPr>
        <w:spacing w:after="0" w:line="204" w:lineRule="exact"/>
        <w:rPr>
          <w:sz w:val="20"/>
          <w:szCs w:val="20"/>
          <w:color w:val="auto"/>
        </w:rPr>
      </w:pPr>
    </w:p>
    <w:p>
      <w:pPr>
        <w:jc w:val="both"/>
        <w:ind w:firstLine="757"/>
        <w:spacing w:after="0" w:line="234" w:lineRule="auto"/>
        <w:tabs>
          <w:tab w:leader="none" w:pos="120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Item of Compensation</w:t>
      </w:r>
      <w:r>
        <w:rPr>
          <w:rFonts w:ascii="Times New Roman" w:cs="Times New Roman" w:eastAsia="Times New Roman" w:hAnsi="Times New Roman"/>
          <w:sz w:val="22"/>
          <w:szCs w:val="22"/>
          <w:color w:val="auto"/>
        </w:rPr>
        <w:t>. The Participant expressly acknowledges and agrees that the Participant’s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RSEs is an extraordinary item of compensation outside the scope of the Participant’s employment contract, if any. The RSEs are not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37" w:lineRule="exact"/>
        <w:rPr>
          <w:sz w:val="20"/>
          <w:szCs w:val="20"/>
          <w:color w:val="auto"/>
        </w:rPr>
      </w:pPr>
    </w:p>
    <w:p>
      <w:pPr>
        <w:jc w:val="both"/>
        <w:ind w:firstLine="757"/>
        <w:spacing w:after="0" w:line="244" w:lineRule="auto"/>
        <w:tabs>
          <w:tab w:leader="none" w:pos="122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English Language</w:t>
      </w:r>
      <w:r>
        <w:rPr>
          <w:rFonts w:ascii="Times New Roman" w:cs="Times New Roman" w:eastAsia="Times New Roman" w:hAnsi="Times New Roman"/>
          <w:sz w:val="22"/>
          <w:szCs w:val="22"/>
          <w:color w:val="auto"/>
        </w:rPr>
        <w:t>. By accepting the Award, the Participant acknowledges and agrees that it is the Participant’s wish that the Agreement, this Addendum, as well as all other documents, notices and legal proceedings entered into, given or instituted pursuant to the Award, either directly or indirectly, be drawn up in English.</w:t>
      </w:r>
    </w:p>
    <w:p>
      <w:pPr>
        <w:spacing w:after="0" w:line="6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Utilisation de l’anglais</w:t>
      </w:r>
      <w:r>
        <w:rPr>
          <w:rFonts w:ascii="Times New Roman" w:cs="Times New Roman" w:eastAsia="Times New Roman" w:hAnsi="Times New Roman"/>
          <w:sz w:val="22"/>
          <w:szCs w:val="22"/>
          <w:color w:val="auto"/>
        </w:rPr>
        <w:t>. En acceptant l'Attribution, le Participant reconnaît et accepte avoir expressément souhaité la rédaction en anglais du Contrat, de la présente Annexe, ainsi que de tous documents exécutés, avis donnés et procédures judiciaires intentées, directement ou indirectement, en vertu de l'Attribution</w:t>
      </w:r>
      <w:r>
        <w:rPr>
          <w:rFonts w:ascii="Times New Roman" w:cs="Times New Roman" w:eastAsia="Times New Roman" w:hAnsi="Times New Roman"/>
          <w:sz w:val="22"/>
          <w:szCs w:val="22"/>
          <w:color w:val="222222"/>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37" w:lineRule="exact"/>
        <w:rPr>
          <w:sz w:val="20"/>
          <w:szCs w:val="20"/>
          <w:color w:val="auto"/>
        </w:rPr>
      </w:pPr>
    </w:p>
    <w:p>
      <w:pPr>
        <w:ind w:firstLine="851"/>
        <w:spacing w:after="0" w:line="258" w:lineRule="auto"/>
        <w:tabs>
          <w:tab w:leader="none" w:pos="128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The RSEs and any amount paid pursuant to the Award received under the Plan, and the income and value of same, are extraordinary items that are not part of your annual gross salary.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37" w:lineRule="exact"/>
        <w:rPr>
          <w:sz w:val="20"/>
          <w:szCs w:val="20"/>
          <w:color w:val="auto"/>
        </w:rPr>
      </w:pPr>
    </w:p>
    <w:p>
      <w:pPr>
        <w:jc w:val="both"/>
        <w:ind w:firstLine="851"/>
        <w:spacing w:after="0" w:line="244" w:lineRule="auto"/>
        <w:tabs>
          <w:tab w:leader="none" w:pos="128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In accepting the RSEs, the Participant acknowledges that he or she received a copy of the Plan and the Agreement and reviewed the Plan and the Agreement, including this Addendum, in their entirety and fully understands and accepts all provisions of the Plan and the Agreement, including this Addendum.</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ind w:firstLine="843"/>
        <w:spacing w:after="0" w:line="239" w:lineRule="auto"/>
        <w:rPr>
          <w:sz w:val="20"/>
          <w:szCs w:val="20"/>
          <w:color w:val="auto"/>
        </w:rPr>
      </w:pPr>
      <w:r>
        <w:rPr>
          <w:rFonts w:ascii="Times New Roman" w:cs="Times New Roman" w:eastAsia="Times New Roman" w:hAnsi="Times New Roman"/>
          <w:sz w:val="22"/>
          <w:szCs w:val="22"/>
          <w:color w:val="auto"/>
        </w:rPr>
        <w:t>More specifically, the Participant acknowledges that he or she has read and specifically and expressly approves the following provisions of the Agreement: Section 1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Section 3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Section 9 (</w:t>
      </w: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Section 10 (</w:t>
      </w:r>
      <w:r>
        <w:rPr>
          <w:rFonts w:ascii="Times New Roman" w:cs="Times New Roman" w:eastAsia="Times New Roman" w:hAnsi="Times New Roman"/>
          <w:sz w:val="22"/>
          <w:szCs w:val="22"/>
          <w:u w:val="single" w:color="auto"/>
          <w:color w:val="auto"/>
        </w:rPr>
        <w:t>Acknowledgment and Waiver)</w:t>
      </w:r>
      <w:r>
        <w:rPr>
          <w:rFonts w:ascii="Times New Roman" w:cs="Times New Roman" w:eastAsia="Times New Roman" w:hAnsi="Times New Roman"/>
          <w:sz w:val="22"/>
          <w:szCs w:val="22"/>
          <w:color w:val="auto"/>
        </w:rPr>
        <w:t>; Section 11 (Data Privacy); Section 16(a) (</w:t>
      </w: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Section 16(e) (</w:t>
      </w:r>
      <w:r>
        <w:rPr>
          <w:rFonts w:ascii="Times New Roman" w:cs="Times New Roman" w:eastAsia="Times New Roman" w:hAnsi="Times New Roman"/>
          <w:sz w:val="22"/>
          <w:szCs w:val="22"/>
          <w:u w:val="single" w:color="auto"/>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and Participation</w:t>
      </w:r>
      <w:r>
        <w:rPr>
          <w:rFonts w:ascii="Times New Roman" w:cs="Times New Roman" w:eastAsia="Times New Roman" w:hAnsi="Times New Roman"/>
          <w:sz w:val="22"/>
          <w:szCs w:val="22"/>
          <w:color w:val="auto"/>
        </w:rPr>
        <w:t>); Section 16(f)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and Section 16(m) (</w:t>
      </w:r>
      <w:r>
        <w:rPr>
          <w:rFonts w:ascii="Times New Roman" w:cs="Times New Roman" w:eastAsia="Times New Roman" w:hAnsi="Times New Roman"/>
          <w:sz w:val="22"/>
          <w:szCs w:val="22"/>
          <w:u w:val="single" w:color="auto"/>
          <w:color w:val="auto"/>
        </w:rPr>
        <w:t>Addendum to Agreement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345" w:lineRule="exact"/>
        <w:rPr>
          <w:sz w:val="20"/>
          <w:szCs w:val="20"/>
          <w:color w:val="auto"/>
        </w:rPr>
      </w:pPr>
    </w:p>
    <w:p>
      <w:pPr>
        <w:jc w:val="both"/>
        <w:ind w:firstLine="757"/>
        <w:spacing w:after="0" w:line="234" w:lineRule="auto"/>
        <w:tabs>
          <w:tab w:leader="none" w:pos="119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 Policy and Acknowledgment</w:t>
      </w:r>
      <w:r>
        <w:rPr>
          <w:rFonts w:ascii="Times New Roman" w:cs="Times New Roman" w:eastAsia="Times New Roman" w:hAnsi="Times New Roman"/>
          <w:sz w:val="22"/>
          <w:szCs w:val="22"/>
          <w:color w:val="auto"/>
        </w:rPr>
        <w:t>. The Participant expressly recognizes that participation in the Plan and Ashland's grant of the RSEs does not constitute an employment relationship between the Participant and Ashland. The Participant has been granted the RSEs as a consequence of the commercial relationship between Ashland and such Affiliate of Ashland that employs Participant in Mexico (the “Employer”), and the Employer in Mexico is the Participant’s sole employer. Based on the foregoing, the Participant expressly recognizes that (a) the Plan and the benefits derived from participation in the Plan do not establish any rights between the Participant and the Employer, (b) the Plan and the benefits derived from participation in the Plan are not part of the employment conditions and/or benefits provided by the Employer in Mexico, and (c) any modifications or amendments of the Plan by Ashland, or a termination of the Plan by Ashland, shall not constitute a change or impairment of the terms and conditions of the Participant’s employment with the Employer in Mexico.</w:t>
      </w:r>
    </w:p>
    <w:p>
      <w:pPr>
        <w:spacing w:after="0" w:line="210" w:lineRule="exact"/>
        <w:rPr>
          <w:rFonts w:ascii="Times New Roman" w:cs="Times New Roman" w:eastAsia="Times New Roman" w:hAnsi="Times New Roman"/>
          <w:sz w:val="22"/>
          <w:szCs w:val="22"/>
          <w:color w:val="auto"/>
        </w:rPr>
      </w:pPr>
    </w:p>
    <w:p>
      <w:pPr>
        <w:jc w:val="both"/>
        <w:ind w:firstLine="757"/>
        <w:spacing w:after="0" w:line="247" w:lineRule="auto"/>
        <w:tabs>
          <w:tab w:leader="none" w:pos="119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Extraordinary Item of Compensation</w:t>
      </w:r>
      <w:r>
        <w:rPr>
          <w:rFonts w:ascii="Times New Roman" w:cs="Times New Roman" w:eastAsia="Times New Roman" w:hAnsi="Times New Roman"/>
          <w:sz w:val="21"/>
          <w:szCs w:val="21"/>
          <w:color w:val="auto"/>
        </w:rPr>
        <w:t>. The Participant expressly recognizes and acknowledges that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RSEs is an extraordinary item of compensation outside the scope of the employment contract, if any. The RSEs are not a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345" w:lineRule="exact"/>
        <w:rPr>
          <w:sz w:val="20"/>
          <w:szCs w:val="20"/>
          <w:color w:val="auto"/>
        </w:rPr>
      </w:pPr>
    </w:p>
    <w:p>
      <w:pPr>
        <w:jc w:val="both"/>
        <w:ind w:firstLine="757"/>
        <w:spacing w:after="0" w:line="239" w:lineRule="auto"/>
        <w:tabs>
          <w:tab w:leader="none" w:pos="118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Termination Rights</w:t>
      </w:r>
      <w:r>
        <w:rPr>
          <w:rFonts w:ascii="Times New Roman" w:cs="Times New Roman" w:eastAsia="Times New Roman" w:hAnsi="Times New Roman"/>
          <w:sz w:val="22"/>
          <w:szCs w:val="22"/>
          <w:color w:val="auto"/>
        </w:rPr>
        <w:t>. As a condition to the grant of the RSEs, the Participant hereby waives any and all rights to compensation or damages as a result of a termination of employment for any reason whatsoever, insofar as those rights result or may result from (a) the loss or diminution in value of such rights or entitlements under the Plan, or (b) the Participant ceasing to have rights under, or ceasing to be entitled to any awards under the Plan as a result of such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37" w:lineRule="exact"/>
        <w:rPr>
          <w:sz w:val="20"/>
          <w:szCs w:val="20"/>
          <w:color w:val="auto"/>
        </w:rPr>
      </w:pPr>
    </w:p>
    <w:p>
      <w:pPr>
        <w:jc w:val="both"/>
        <w:ind w:firstLine="757"/>
        <w:spacing w:after="0" w:line="233" w:lineRule="auto"/>
        <w:tabs>
          <w:tab w:leader="none" w:pos="119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of Discretionary Nature of the Plan; No Vested Rights</w:t>
      </w:r>
      <w:r>
        <w:rPr>
          <w:rFonts w:ascii="Times New Roman" w:cs="Times New Roman" w:eastAsia="Times New Roman" w:hAnsi="Times New Roman"/>
          <w:sz w:val="22"/>
          <w:szCs w:val="22"/>
          <w:color w:val="auto"/>
        </w:rPr>
        <w:t>. By accepting the RSEs, the Participant consents to participation in the Plan and acknowledges receipt of a copy of the Plan. The Participant understands that Ashland has unilaterally, gratuitously and in its sole discretion granted the RSEs under the Plan to individuals who may be employees of Ashland or its Affiliates throughout the world. The decision is a limited decision that is entered into upon the express assumption and condition that any grant will not economically or otherwise bind Ashland or any of its Affiliates on an ongoing basis. Consequently, the Participant understands that the RSEs are granted on the assumption and condition that the RSEs and the cash payment in settlement of the RSEs shall not become a part of any employment contract (either with Ashland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RSEs shall be null and void.</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understands and agrees that, as a condition of the RSEs, unless otherwise provided in the Agreement, any unvested RSEs as of the date the Participant ceases employment will be forfeited without further entitlement or any amount of indemnification in the event of termination of employment. The Participant acknowledges that the Participant has read and specifically accepts the terms and conditions referred to in the Agreement regarding the impact of a termination of employment on the RSEs.</w:t>
      </w:r>
    </w:p>
    <w:p>
      <w:pPr>
        <w:spacing w:after="0" w:line="69" w:lineRule="exact"/>
        <w:rPr>
          <w:sz w:val="20"/>
          <w:szCs w:val="20"/>
          <w:color w:val="auto"/>
        </w:rPr>
      </w:pPr>
    </w:p>
    <w:p>
      <w:pPr>
        <w:jc w:val="both"/>
        <w:ind w:right="20" w:firstLine="757"/>
        <w:spacing w:after="0" w:line="244" w:lineRule="auto"/>
        <w:tabs>
          <w:tab w:leader="none" w:pos="124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to the contrary in the Plan or the Agreement, “Cause” shall be defined as set forth in the Agreement, regardless of whether the termination is considered a fair termination (i.e., “despido procedente”) under Spanish legislation.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SWITZERLAND</w:t>
      </w:r>
    </w:p>
    <w:p>
      <w:pPr>
        <w:spacing w:after="0" w:line="237" w:lineRule="exact"/>
        <w:rPr>
          <w:sz w:val="20"/>
          <w:szCs w:val="20"/>
          <w:color w:val="auto"/>
        </w:rPr>
      </w:pPr>
    </w:p>
    <w:p>
      <w:pPr>
        <w:jc w:val="both"/>
        <w:ind w:firstLine="757"/>
        <w:spacing w:after="0" w:line="251" w:lineRule="auto"/>
        <w:tabs>
          <w:tab w:leader="none" w:pos="1181" w:val="left"/>
        </w:tabs>
        <w:numPr>
          <w:ilvl w:val="0"/>
          <w:numId w:val="12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Securities Law Acknowledgment</w:t>
      </w:r>
      <w:r>
        <w:rPr>
          <w:rFonts w:ascii="Times New Roman" w:cs="Times New Roman" w:eastAsia="Times New Roman" w:hAnsi="Times New Roman"/>
          <w:sz w:val="21"/>
          <w:szCs w:val="21"/>
          <w:color w:val="auto"/>
        </w:rPr>
        <w:t>. Neither the Agreement, the Addendum nor any other materials relating to the RSEs (a) constitutes a prospectus according to articles 35 et seq. of the Swiss Federal Act on Financial Services (“FinSA”), (b) may be publicly distributed nor otherwise made publicly available in Switzerland to any person other than an employee of Ashland and its Affiliates or (c) has been or will be filed with, approved or supervised by any Swiss reviewing body according to article 51 of FinSA or any Swiss regulatory authority, including the Swiss Financial Market Supervisory Authority (“FINMA”).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37" w:lineRule="exact"/>
        <w:rPr>
          <w:sz w:val="20"/>
          <w:szCs w:val="20"/>
          <w:color w:val="auto"/>
        </w:rPr>
      </w:pPr>
    </w:p>
    <w:p>
      <w:pPr>
        <w:ind w:left="1180" w:hanging="423"/>
        <w:spacing w:after="0"/>
        <w:tabs>
          <w:tab w:leader="none" w:pos="11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supplements Section 4 of the Agreement:</w:t>
      </w:r>
    </w:p>
    <w:p>
      <w:pPr>
        <w:spacing w:after="0" w:line="23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Without limitation to Section 4 of the Agreement, the Participant agrees that he or she is liable for all Tax-Related Items and hereby covenants to pay all such Tax-Related Items as and when requested by Ashland, such Affiliate of Ashland that employs Participant (the “Employer”) or by Her Majesty’s Revenue and Customs (“HMRC”) (or any other tax authority or any other relevant authority). The Participant also agrees to indemnify and keep indemnified Ashland and the Employer against any taxes that they are required to pay or withhold or have paid or will pay to HMRC (or any other tax authority or any other relevant authority) on the Participant’s behalf.</w:t>
      </w:r>
    </w:p>
    <w:p>
      <w:pPr>
        <w:spacing w:after="0" w:line="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Participant is an executive officer or director (as within the meaning of Section 13(k) of the Exchange Act), the Participant understands that the terms of the immediately foregoing provision will not apply. In the event that the Participant is a director or an executive officer and income tax due is not collected from or paid by the Participant within 90 days after the end of the U.K. tax year in which the event giving rise to the income tax occurs (or such other period specified in U.K. law), the amount of any uncollected income tax may constitute a benefit to the Participant on which additional income tax and National Insurance Contributions (“NICs”) may be payable. The Participant acknowledges that, ultimately, the Participant is responsible for reporting and paying any income tax due on this additional benefit directly to HMRC under the self-assessment regime and for paying Ashland or the Employer (as applicable) the amount of any employee NICs due on this additional benefit. The Participant further acknowledges that Ashland or the Employer (as applicable) may recover such amounts from the Participant by any of the means referred to in Section 4 of the Agreement.</w:t>
      </w:r>
    </w:p>
    <w:p>
      <w:pPr>
        <w:spacing w:after="0" w:line="206" w:lineRule="exact"/>
        <w:rPr>
          <w:sz w:val="20"/>
          <w:szCs w:val="20"/>
          <w:color w:val="auto"/>
        </w:rPr>
      </w:pPr>
    </w:p>
    <w:p>
      <w:pPr>
        <w:jc w:val="both"/>
        <w:ind w:firstLine="440"/>
        <w:spacing w:after="0" w:line="235" w:lineRule="auto"/>
        <w:tabs>
          <w:tab w:leader="none" w:pos="94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 of Claim</w:t>
      </w:r>
      <w:r>
        <w:rPr>
          <w:rFonts w:ascii="Times New Roman" w:cs="Times New Roman" w:eastAsia="Times New Roman" w:hAnsi="Times New Roman"/>
          <w:sz w:val="22"/>
          <w:szCs w:val="22"/>
          <w:color w:val="auto"/>
        </w:rPr>
        <w:t>. The Participant acknowledges and agrees that the Participant shall have no entitlement to compensation or damages insofar as such entitlement arises or may arise from the Participant’s ceasing to have rights under or to be entitled to vest in the RSEs, whether or not as a result of such termination (whether the termination is in breach of contract or otherwise), or from the loss or diminution in value of the RSEs. Upon the grant of the RSEs, the Participant shall be deemed irrevocably to have waived any such entitlement.</w:t>
      </w: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[End of Addendum]</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3" w:name="page174"/>
    <w:bookmarkEnd w:id="173"/>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10.67</w:t>
      </w:r>
    </w:p>
    <w:p>
      <w:pPr>
        <w:spacing w:after="0" w:line="2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u w:val="single" w:color="auto"/>
          <w:color w:val="auto"/>
        </w:rPr>
        <w:t>STOCK-SETTLED PERFORMANCE UNIT AGREEMENT</w:t>
      </w:r>
    </w:p>
    <w:p>
      <w:pPr>
        <w:spacing w:after="0" w:line="2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Ashland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#ParticipantName#</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Performance Units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#QuantityGranted#</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Times New Roman" w:cs="Times New Roman" w:eastAsia="Times New Roman" w:hAnsi="Times New Roman"/>
          <w:sz w:val="20"/>
          <w:szCs w:val="20"/>
          <w:color w:val="auto"/>
        </w:rPr>
        <w:t>#GrantDate#</w:t>
      </w:r>
    </w:p>
    <w:p>
      <w:pPr>
        <w:spacing w:after="0" w:line="104"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October 1, 2024 to September 30, 2027</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Date:</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Times New Roman" w:cs="Times New Roman" w:eastAsia="Times New Roman" w:hAnsi="Times New Roman"/>
          <w:sz w:val="19"/>
          <w:szCs w:val="19"/>
          <w:color w:val="auto"/>
        </w:rPr>
        <w:t>#CliffVest#</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Performance Goals: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9"/>
          <w:szCs w:val="19"/>
          <w:color w:val="auto"/>
        </w:rPr>
        <w:t>(see appendix)</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Signature Required By:</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9"/>
          <w:szCs w:val="19"/>
          <w:color w:val="auto"/>
        </w:rPr>
        <w:t>#Acceptance Deadline#</w:t>
      </w:r>
    </w:p>
    <w:p>
      <w:pPr>
        <w:spacing w:after="0" w:line="200"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spacing w:after="0" w:line="261" w:lineRule="exact"/>
        <w:rPr>
          <w:sz w:val="20"/>
          <w:szCs w:val="20"/>
          <w:color w:val="auto"/>
        </w:rPr>
      </w:pPr>
    </w:p>
    <w:p>
      <w:pPr>
        <w:jc w:val="both"/>
        <w:ind w:left="760" w:hanging="752"/>
        <w:spacing w:after="0" w:line="252" w:lineRule="auto"/>
        <w:tabs>
          <w:tab w:leader="none" w:pos="760" w:val="left"/>
        </w:tabs>
        <w:numPr>
          <w:ilvl w:val="0"/>
          <w:numId w:val="12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Ashland Inc. (“Ashland”) hereby grants to the above-named individual (the “Participant”) #QuantityGranted#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(the “Award”) pursuant to and subject to the terms of the Ashland Inc. 2021 Omnibus Incentive Compensation Plan (the “Plan”) and this Stock-Settled Performance Unit Agreement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63" w:lineRule="exact"/>
        <w:rPr>
          <w:rFonts w:ascii="Times New Roman" w:cs="Times New Roman" w:eastAsia="Times New Roman" w:hAnsi="Times New Roman"/>
          <w:sz w:val="21"/>
          <w:szCs w:val="21"/>
          <w:u w:val="single" w:color="auto"/>
          <w:color w:val="auto"/>
        </w:rPr>
      </w:pPr>
    </w:p>
    <w:p>
      <w:pPr>
        <w:jc w:val="both"/>
        <w:ind w:left="760" w:hanging="752"/>
        <w:spacing w:after="0" w:line="241" w:lineRule="auto"/>
        <w:tabs>
          <w:tab w:leader="none" w:pos="760" w:val="left"/>
        </w:tabs>
        <w:numPr>
          <w:ilvl w:val="0"/>
          <w:numId w:val="1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Units</w:t>
      </w:r>
      <w:r>
        <w:rPr>
          <w:rFonts w:ascii="Times New Roman" w:cs="Times New Roman" w:eastAsia="Times New Roman" w:hAnsi="Times New Roman"/>
          <w:sz w:val="22"/>
          <w:szCs w:val="22"/>
          <w:color w:val="auto"/>
        </w:rPr>
        <w:t>. Each Unit represents a contingent right of the Participant to receive one (1) Share on the vesting date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(such date, the “Vesting Date”). The number of Units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38" w:lineRule="auto"/>
        <w:tabs>
          <w:tab w:leader="none" w:pos="760" w:val="left"/>
        </w:tabs>
        <w:numPr>
          <w:ilvl w:val="0"/>
          <w:numId w:val="1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Units shall vest as of the Vesting Date, subject to the Committee’s certification of the number of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earned by the Participant as a result of actual achievement against the Performance Goals set forth in the Appendix during the Performance Period, and further subject to the Participant’s continuous service as an officer, employee or consultant of Ashland or any of its Affiliates (“Continuous Service”) through such Vesting Date, except as otherwise provided in this Agreement.</w:t>
      </w:r>
    </w:p>
    <w:p>
      <w:pPr>
        <w:spacing w:after="0" w:line="176" w:lineRule="exact"/>
        <w:rPr>
          <w:rFonts w:ascii="Times New Roman" w:cs="Times New Roman" w:eastAsia="Times New Roman" w:hAnsi="Times New Roman"/>
          <w:sz w:val="22"/>
          <w:szCs w:val="22"/>
          <w:u w:val="single" w:color="auto"/>
          <w:color w:val="auto"/>
        </w:rPr>
      </w:pPr>
    </w:p>
    <w:p>
      <w:pPr>
        <w:jc w:val="both"/>
        <w:ind w:left="760" w:hanging="752"/>
        <w:spacing w:after="0" w:line="238" w:lineRule="auto"/>
        <w:tabs>
          <w:tab w:leader="none" w:pos="760" w:val="left"/>
        </w:tabs>
        <w:numPr>
          <w:ilvl w:val="0"/>
          <w:numId w:val="1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Except as otherwise provided in this Agreement or as otherwise determined by the Committee (but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6(i) of the Plan), if Participant’s Continuous Service ends for any reason prior to the Vesting Date, all Units granted hereunder shall be forfeited. Notwithstanding the foregoing (but subject to Section 6(i) of the Plan), the Committee may, in its sole discretion, provide for accelerated vesting of the Award or any portion thereof at any time and for any reason.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4" w:name="page175"/>
    <w:bookmarkEnd w:id="174"/>
    <w:p>
      <w:pPr>
        <w:jc w:val="both"/>
        <w:ind w:left="760" w:hanging="752"/>
        <w:spacing w:after="0" w:line="235" w:lineRule="auto"/>
        <w:tabs>
          <w:tab w:leader="none" w:pos="760" w:val="left"/>
        </w:tabs>
        <w:numPr>
          <w:ilvl w:val="0"/>
          <w:numId w:val="1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Continuous Service ends due to Retirement after the fiscal year that includes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set forth above, then all unvested Units under this Agreement shall be immediately accelerated and vest in full as of the date of such Retirement. If the Participant’s Retirement occurs before the end of the fiscal year that includes the Grant Date set forth above, all unvested Units granted hereunder shall be forfeited. For purposes of this Agreement, “Retirement” shall mean a termination of Participant’s employment for any reason other than death, Disability, or Cause (as defined below), that is a ”separation from service” within the meaning of Section 409A of the Code, after attaining age 55 and having at least ten (10) years of credited service, or after attaining age 60 and having at least five (5) years of credited service.</w:t>
      </w:r>
    </w:p>
    <w:p>
      <w:pPr>
        <w:spacing w:after="0" w:line="178"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Participant’s Continuous Service ends due to death or Disability, all Units under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immediately accelerated and will vest into Shares, assuming such Units had been earned at 100% achievement (i.e., “target” achievement) against the Performance Goals, as of the date of such termination due to death or Disability within thirty (30) days of the Vesting Date.</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44" w:lineRule="auto"/>
        <w:tabs>
          <w:tab w:leader="none" w:pos="760" w:val="left"/>
        </w:tabs>
        <w:numPr>
          <w:ilvl w:val="0"/>
          <w:numId w:val="13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Termination without Cause</w:t>
      </w:r>
      <w:r>
        <w:rPr>
          <w:rFonts w:ascii="Times New Roman" w:cs="Times New Roman" w:eastAsia="Times New Roman" w:hAnsi="Times New Roman"/>
          <w:sz w:val="21"/>
          <w:szCs w:val="21"/>
          <w:color w:val="auto"/>
        </w:rPr>
        <w:t>. If the Participant is otherwise terminated by Ashland or any of its Affiliates for any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than death, Disability, or Cause prior to the earlier of the Vesting Date or Retirement, then the Participant shall continue to be permitted to vest, in accordance with the terms of this Agreement, into that number of Units that shall have been certified by the Committee as having been earned due to the actual achievement of the Performance Goals as measured at the end of the Performance Period, provided that the number of earned Units scheduled to vest, if any, shall be pro-rated (with such pro-ration being based on the number of days from the Grant Date through the date of such termination divided by the total number of days in the Performance Period). The number of Shares corresponding to the pro-rated earned Units, if any, shall be delivered to and in the name of Participant in the form of the corresponding number of Shares within thirty (30) days of the Vesting Date. 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w:t>
      </w:r>
    </w:p>
    <w:p>
      <w:pPr>
        <w:spacing w:after="0" w:line="170" w:lineRule="exact"/>
        <w:rPr>
          <w:rFonts w:ascii="Times New Roman" w:cs="Times New Roman" w:eastAsia="Times New Roman" w:hAnsi="Times New Roman"/>
          <w:sz w:val="21"/>
          <w:szCs w:val="21"/>
          <w:u w:val="single" w:color="auto"/>
          <w:color w:val="auto"/>
        </w:rPr>
      </w:pPr>
    </w:p>
    <w:p>
      <w:pPr>
        <w:jc w:val="both"/>
        <w:ind w:left="760" w:hanging="752"/>
        <w:spacing w:after="0" w:line="241" w:lineRule="auto"/>
        <w:tabs>
          <w:tab w:leader="none" w:pos="760" w:val="left"/>
        </w:tabs>
        <w:numPr>
          <w:ilvl w:val="0"/>
          <w:numId w:val="1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Time of Payment and Taxation</w:t>
      </w:r>
      <w:r>
        <w:rPr>
          <w:rFonts w:ascii="Times New Roman" w:cs="Times New Roman" w:eastAsia="Times New Roman" w:hAnsi="Times New Roman"/>
          <w:sz w:val="22"/>
          <w:szCs w:val="22"/>
          <w:color w:val="auto"/>
        </w:rPr>
        <w:t>. Based upon the attainment of the Performance Goals outlined in the Appendix,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will be paid to the Participant in Shares within (30) days following the Vesting Date for the Award at the end of the Performance Period based upon actual achievement of the Performance Goals as provided herein, subject to tax deductions and withholding as set forth in Section 9(d) of the Plan.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5" w:name="page176"/>
    <w:bookmarkEnd w:id="175"/>
    <w:p>
      <w:pPr>
        <w:jc w:val="both"/>
        <w:ind w:left="760" w:hanging="752"/>
        <w:spacing w:after="0" w:line="246" w:lineRule="auto"/>
        <w:tabs>
          <w:tab w:leader="none" w:pos="760" w:val="left"/>
        </w:tabs>
        <w:numPr>
          <w:ilvl w:val="0"/>
          <w:numId w:val="1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Stockholder Rights</w:t>
      </w:r>
      <w:r>
        <w:rPr>
          <w:rFonts w:ascii="Times New Roman" w:cs="Times New Roman" w:eastAsia="Times New Roman" w:hAnsi="Times New Roman"/>
          <w:sz w:val="22"/>
          <w:szCs w:val="22"/>
          <w:color w:val="auto"/>
        </w:rPr>
        <w:t>. Unless and until such time as Shares are delivered in settlement of earned Units,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no ownership of the Shares associated with any Units granted under this Award or to cast any vote with respect to such Shares.</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48" w:lineRule="auto"/>
        <w:tabs>
          <w:tab w:leader="none" w:pos="760" w:val="left"/>
        </w:tabs>
        <w:numPr>
          <w:ilvl w:val="0"/>
          <w:numId w:val="13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While this Award is outstanding, on each date that cash dividends are paid by Ashland to 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Shares, Ashland will increase the number of target Units granted hereunder by (1) the product of the target number of Units then held by the Participant as of the date of record for such dividend (inclusive of Units that have been added to such target number of Units pursuant to this Section 10) multiplied by the per Share cash dividend amount, divided by</w:t>
      </w:r>
    </w:p>
    <w:p>
      <w:pPr>
        <w:spacing w:after="0" w:line="1" w:lineRule="exact"/>
        <w:rPr>
          <w:rFonts w:ascii="Times New Roman" w:cs="Times New Roman" w:eastAsia="Times New Roman" w:hAnsi="Times New Roman"/>
          <w:sz w:val="21"/>
          <w:szCs w:val="21"/>
          <w:u w:val="single" w:color="auto"/>
          <w:color w:val="auto"/>
        </w:rPr>
      </w:pPr>
    </w:p>
    <w:p>
      <w:pPr>
        <w:jc w:val="both"/>
        <w:ind w:left="760"/>
        <w:spacing w:after="0" w:line="235" w:lineRule="auto"/>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173" w:lineRule="exact"/>
        <w:rPr>
          <w:rFonts w:ascii="Times New Roman" w:cs="Times New Roman" w:eastAsia="Times New Roman" w:hAnsi="Times New Roman"/>
          <w:sz w:val="21"/>
          <w:szCs w:val="21"/>
          <w:u w:val="single" w:color="auto"/>
          <w:color w:val="auto"/>
        </w:rPr>
      </w:pPr>
    </w:p>
    <w:p>
      <w:pPr>
        <w:jc w:val="both"/>
        <w:ind w:left="760" w:hanging="752"/>
        <w:spacing w:after="0" w:line="241" w:lineRule="auto"/>
        <w:tabs>
          <w:tab w:leader="none" w:pos="760" w:val="left"/>
        </w:tabs>
        <w:numPr>
          <w:ilvl w:val="0"/>
          <w:numId w:val="1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Fractional Units</w:t>
      </w:r>
      <w:r>
        <w:rPr>
          <w:rFonts w:ascii="Times New Roman" w:cs="Times New Roman" w:eastAsia="Times New Roman" w:hAnsi="Times New Roman"/>
          <w:sz w:val="22"/>
          <w:szCs w:val="22"/>
          <w:color w:val="auto"/>
        </w:rPr>
        <w:t>. Notwithstanding any other provision of this Agreement or the Plan to the contrary, in the event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credited with any fractional Units as a result of the grant of any dividend equivalents under Section 10 of this Agreement prior to the Vesting Date, such fractional Units shall be rounded up to the nearest whole Unit and shall otherwise vest in accordance with the terms of this Agreement</w:t>
      </w:r>
    </w:p>
    <w:p>
      <w:pPr>
        <w:spacing w:after="0" w:line="171" w:lineRule="exact"/>
        <w:rPr>
          <w:rFonts w:ascii="Times New Roman" w:cs="Times New Roman" w:eastAsia="Times New Roman" w:hAnsi="Times New Roman"/>
          <w:sz w:val="22"/>
          <w:szCs w:val="22"/>
          <w:u w:val="single" w:color="auto"/>
          <w:color w:val="auto"/>
        </w:rPr>
      </w:pPr>
    </w:p>
    <w:p>
      <w:pPr>
        <w:ind w:left="760" w:hanging="752"/>
        <w:spacing w:after="0" w:line="262" w:lineRule="auto"/>
        <w:tabs>
          <w:tab w:leader="none" w:pos="760" w:val="left"/>
        </w:tabs>
        <w:numPr>
          <w:ilvl w:val="0"/>
          <w:numId w:val="1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The Award shall be treated in accordance with Section 8 of the Plan in the event of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prior to the Vesting Date.</w:t>
      </w:r>
    </w:p>
    <w:p>
      <w:pPr>
        <w:spacing w:after="0" w:line="149" w:lineRule="exact"/>
        <w:rPr>
          <w:rFonts w:ascii="Times New Roman" w:cs="Times New Roman" w:eastAsia="Times New Roman" w:hAnsi="Times New Roman"/>
          <w:sz w:val="22"/>
          <w:szCs w:val="22"/>
          <w:u w:val="single" w:color="auto"/>
          <w:color w:val="auto"/>
        </w:rPr>
      </w:pPr>
    </w:p>
    <w:p>
      <w:pPr>
        <w:jc w:val="both"/>
        <w:ind w:left="760" w:hanging="752"/>
        <w:spacing w:after="0" w:line="244" w:lineRule="auto"/>
        <w:tabs>
          <w:tab w:leader="none" w:pos="760" w:val="left"/>
        </w:tabs>
        <w:numPr>
          <w:ilvl w:val="0"/>
          <w:numId w:val="13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Compensation Recovery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in the Plan, this Agreement or any other agreement or declaration,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80" w:lineRule="exact"/>
        <w:rPr>
          <w:rFonts w:ascii="Times New Roman" w:cs="Times New Roman" w:eastAsia="Times New Roman" w:hAnsi="Times New Roman"/>
          <w:sz w:val="21"/>
          <w:szCs w:val="21"/>
          <w:u w:val="single" w:color="auto"/>
          <w:color w:val="auto"/>
        </w:rPr>
      </w:pPr>
    </w:p>
    <w:p>
      <w:pPr>
        <w:jc w:val="both"/>
        <w:ind w:left="760" w:hanging="752"/>
        <w:spacing w:after="0" w:line="241" w:lineRule="auto"/>
        <w:tabs>
          <w:tab w:leader="none" w:pos="760" w:val="left"/>
        </w:tabs>
        <w:numPr>
          <w:ilvl w:val="0"/>
          <w:numId w:val="1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303336"/>
        </w:rPr>
        <w:t>Non-transferability</w:t>
      </w:r>
      <w:r>
        <w:rPr>
          <w:rFonts w:ascii="Times New Roman" w:cs="Times New Roman" w:eastAsia="Times New Roman" w:hAnsi="Times New Roman"/>
          <w:sz w:val="22"/>
          <w:szCs w:val="22"/>
          <w:color w:val="000000"/>
        </w:rPr>
        <w:t>. The Participant may not sell, transfer, pledge, assign, attach or otherwise alienate or hypothecate</w:t>
      </w:r>
      <w:r>
        <w:rPr>
          <w:rFonts w:ascii="Times New Roman" w:cs="Times New Roman" w:eastAsia="Times New Roman" w:hAnsi="Times New Roman"/>
          <w:sz w:val="22"/>
          <w:szCs w:val="22"/>
          <w:b w:val="1"/>
          <w:bCs w:val="1"/>
          <w:color w:val="303336"/>
        </w:rPr>
        <w:t xml:space="preserve"> </w:t>
      </w:r>
      <w:r>
        <w:rPr>
          <w:rFonts w:ascii="Times New Roman" w:cs="Times New Roman" w:eastAsia="Times New Roman" w:hAnsi="Times New Roman"/>
          <w:sz w:val="22"/>
          <w:szCs w:val="22"/>
          <w:color w:val="000000"/>
        </w:rPr>
        <w:t>the Units or any rights under this Agreement other than by will or by the 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ind w:left="760" w:hanging="752"/>
        <w:spacing w:after="0" w:line="262" w:lineRule="auto"/>
        <w:tabs>
          <w:tab w:leader="none" w:pos="760" w:val="left"/>
        </w:tabs>
        <w:numPr>
          <w:ilvl w:val="0"/>
          <w:numId w:val="1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in the employment of, or remain in the service of, Ashland or any of its Affiliates.</w:t>
      </w:r>
    </w:p>
    <w:p>
      <w:pPr>
        <w:spacing w:after="0" w:line="149" w:lineRule="exact"/>
        <w:rPr>
          <w:rFonts w:ascii="Times New Roman" w:cs="Times New Roman" w:eastAsia="Times New Roman" w:hAnsi="Times New Roman"/>
          <w:sz w:val="22"/>
          <w:szCs w:val="22"/>
          <w:u w:val="single" w:color="auto"/>
          <w:color w:val="auto"/>
        </w:rPr>
      </w:pPr>
    </w:p>
    <w:p>
      <w:pPr>
        <w:jc w:val="both"/>
        <w:ind w:left="760" w:hanging="752"/>
        <w:spacing w:after="0" w:line="236" w:lineRule="auto"/>
        <w:tabs>
          <w:tab w:leader="none" w:pos="760" w:val="left"/>
        </w:tabs>
        <w:numPr>
          <w:ilvl w:val="0"/>
          <w:numId w:val="1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recorded and held, used and disclosed by and among Ashland, its Affiliates and any third-party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75"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and any Affiliate may, in its sole discretion,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Ashland, any Affiliate or a third party designated by Ashland.</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and to the extent permitted by applicable law,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75" w:lineRule="exact"/>
        <w:rPr>
          <w:rFonts w:ascii="Times New Roman" w:cs="Times New Roman" w:eastAsia="Times New Roman" w:hAnsi="Times New Roman"/>
          <w:sz w:val="22"/>
          <w:szCs w:val="22"/>
          <w:u w:val="single" w:color="auto"/>
          <w:color w:val="auto"/>
        </w:rPr>
      </w:pPr>
    </w:p>
    <w:p>
      <w:pPr>
        <w:jc w:val="both"/>
        <w:ind w:left="1500" w:hanging="743"/>
        <w:spacing w:after="0" w:line="244" w:lineRule="auto"/>
        <w:tabs>
          <w:tab w:leader="none" w:pos="15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jc w:val="both"/>
        <w:ind w:left="2260" w:hanging="380"/>
        <w:spacing w:after="0" w:line="244" w:lineRule="auto"/>
        <w:tabs>
          <w:tab w:leader="none" w:pos="226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encourage any existing employee, director, contractor, consultant, customer or supplier of Ashland or any of its Affiliates to terminate his, her or its relationship with Ashland or any of its Affiliates for any reason;</w:t>
      </w:r>
    </w:p>
    <w:p>
      <w:pPr>
        <w:spacing w:after="0" w:line="173" w:lineRule="exact"/>
        <w:rPr>
          <w:rFonts w:ascii="Times New Roman" w:cs="Times New Roman" w:eastAsia="Times New Roman" w:hAnsi="Times New Roman"/>
          <w:sz w:val="22"/>
          <w:szCs w:val="22"/>
          <w:color w:val="auto"/>
        </w:rPr>
      </w:pPr>
    </w:p>
    <w:p>
      <w:pPr>
        <w:jc w:val="both"/>
        <w:ind w:left="2260" w:hanging="380"/>
        <w:spacing w:after="0" w:line="244" w:lineRule="auto"/>
        <w:tabs>
          <w:tab w:leader="none" w:pos="226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(directly or through another person), any person (whether or not solicited) who was an employee of the Company or any of its Affiliates at any time within the one year period immediately preceding the Participant’s termination from employment; or</w:t>
      </w:r>
    </w:p>
    <w:p>
      <w:pPr>
        <w:spacing w:after="0" w:line="173" w:lineRule="exact"/>
        <w:rPr>
          <w:rFonts w:ascii="Times New Roman" w:cs="Times New Roman" w:eastAsia="Times New Roman" w:hAnsi="Times New Roman"/>
          <w:sz w:val="22"/>
          <w:szCs w:val="22"/>
          <w:color w:val="auto"/>
        </w:rPr>
      </w:pPr>
    </w:p>
    <w:p>
      <w:pPr>
        <w:jc w:val="both"/>
        <w:ind w:left="2260" w:hanging="380"/>
        <w:spacing w:after="0" w:line="244" w:lineRule="auto"/>
        <w:tabs>
          <w:tab w:leader="none" w:pos="226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7" w:name="page178"/>
    <w:bookmarkEnd w:id="177"/>
    <w:p>
      <w:pPr>
        <w:jc w:val="both"/>
        <w:ind w:left="760"/>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Agreement shall not prohibit the Participant in any way from (1) filing and, as provided for under Section 21F of the Securities Exchange Act of 1934, maintaining the confidentiality of a claim with the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Federal or state trade secret law for the disclosure of any proprietary or confidential information that constitutes a trade secret to which the Defend Trade Secrets Act (18 U.S.C. Section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77"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with Ashland or any of its Affiliates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provided that the actions described in clauses (x), (y) and</w:t>
      </w:r>
    </w:p>
    <w:p>
      <w:pPr>
        <w:spacing w:after="0" w:line="4" w:lineRule="exact"/>
        <w:rPr>
          <w:sz w:val="20"/>
          <w:szCs w:val="20"/>
          <w:color w:val="auto"/>
        </w:rPr>
      </w:pPr>
    </w:p>
    <w:p>
      <w:pPr>
        <w:jc w:val="both"/>
        <w:ind w:left="760" w:hanging="3"/>
        <w:spacing w:after="0" w:line="234" w:lineRule="auto"/>
        <w:tabs>
          <w:tab w:leader="none" w:pos="106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13 shall be extended to apply to such longer period.</w:t>
      </w:r>
    </w:p>
    <w:p>
      <w:pPr>
        <w:spacing w:after="0" w:line="173" w:lineRule="exact"/>
        <w:rPr>
          <w:rFonts w:ascii="Times New Roman" w:cs="Times New Roman" w:eastAsia="Times New Roman" w:hAnsi="Times New Roman"/>
          <w:sz w:val="22"/>
          <w:szCs w:val="22"/>
          <w:color w:val="auto"/>
        </w:rPr>
      </w:pPr>
    </w:p>
    <w:p>
      <w:pPr>
        <w:jc w:val="both"/>
        <w:ind w:left="760" w:hanging="752"/>
        <w:spacing w:after="0" w:line="246" w:lineRule="auto"/>
        <w:tabs>
          <w:tab w:leader="none" w:pos="760" w:val="left"/>
        </w:tabs>
        <w:numPr>
          <w:ilvl w:val="0"/>
          <w:numId w:val="1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This Award of Units is subject to and expressly conditioned upon the Participant’s online acceptance of the terms and conditions of the Plan, this Agreement, and the Award through the Fidelity website. The right to the Units shall expire if not accepted by #AcceptanceDeadline#.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By accepting the terms and conditions of this Agreement, the Participant acknowledges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81"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Grant Date set forth above.</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#Signature#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#ParticipantName#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#AcceptanceDate#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10.68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CASH-SETTLED PERFORMANCE UNIT AGREEMENT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 NON-U.S. PARTICIPANTS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#ParticipantName#</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Performance Units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#QuantityGranted#</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Times New Roman" w:cs="Times New Roman" w:eastAsia="Times New Roman" w:hAnsi="Times New Roman"/>
          <w:sz w:val="20"/>
          <w:szCs w:val="20"/>
          <w:color w:val="auto"/>
        </w:rPr>
        <w:t>#GrantDate#</w:t>
      </w:r>
    </w:p>
    <w:p>
      <w:pPr>
        <w:spacing w:after="0" w:line="104"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October 1, 2024 to September 30, 2027</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Vesting Date:</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Times New Roman" w:cs="Times New Roman" w:eastAsia="Times New Roman" w:hAnsi="Times New Roman"/>
          <w:sz w:val="19"/>
          <w:szCs w:val="19"/>
          <w:color w:val="auto"/>
        </w:rPr>
        <w:t>#CliffVest#</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Performance Goals: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9"/>
          <w:szCs w:val="19"/>
          <w:color w:val="auto"/>
        </w:rPr>
        <w:t>(see appendix)</w:t>
      </w:r>
    </w:p>
    <w:p>
      <w:pPr>
        <w:spacing w:after="0" w:line="115"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9"/>
          <w:szCs w:val="19"/>
          <w:b w:val="1"/>
          <w:bCs w:val="1"/>
          <w:color w:val="auto"/>
        </w:rPr>
        <w:t>Signature Required by:</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9"/>
          <w:szCs w:val="19"/>
          <w:color w:val="auto"/>
        </w:rPr>
        <w:t>#Acceptance Deadline#</w:t>
      </w:r>
    </w:p>
    <w:p>
      <w:pPr>
        <w:spacing w:after="0" w:line="200" w:lineRule="exact"/>
        <w:rPr>
          <w:sz w:val="20"/>
          <w:szCs w:val="20"/>
          <w:color w:val="auto"/>
        </w:rPr>
      </w:pPr>
    </w:p>
    <w:p>
      <w:pPr>
        <w:sectPr>
          <w:pgSz w:w="11900" w:h="16838" w:orient="portrait"/>
          <w:cols w:equalWidth="0" w:num="2">
            <w:col w:w="5140" w:space="720"/>
            <w:col w:w="5380"/>
          </w:cols>
          <w:pgMar w:left="320" w:top="1440" w:right="339" w:bottom="1440" w:gutter="0" w:footer="0" w:header="0"/>
          <w:type w:val="continuous"/>
        </w:sectPr>
      </w:pPr>
    </w:p>
    <w:p>
      <w:pPr>
        <w:spacing w:after="0" w:line="261" w:lineRule="exact"/>
        <w:rPr>
          <w:sz w:val="20"/>
          <w:szCs w:val="20"/>
          <w:color w:val="auto"/>
        </w:rPr>
      </w:pPr>
    </w:p>
    <w:p>
      <w:pPr>
        <w:jc w:val="both"/>
        <w:ind w:left="760" w:hanging="752"/>
        <w:spacing w:after="0" w:line="252" w:lineRule="auto"/>
        <w:tabs>
          <w:tab w:leader="none" w:pos="760" w:val="left"/>
        </w:tabs>
        <w:numPr>
          <w:ilvl w:val="0"/>
          <w:numId w:val="13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Grant</w:t>
      </w:r>
      <w:r>
        <w:rPr>
          <w:rFonts w:ascii="Times New Roman" w:cs="Times New Roman" w:eastAsia="Times New Roman" w:hAnsi="Times New Roman"/>
          <w:sz w:val="21"/>
          <w:szCs w:val="21"/>
          <w:color w:val="auto"/>
        </w:rPr>
        <w:t>. Ashland Inc. (“Ashland”) hereby grants to the above-named individual (the “Participant”) #QuantityGranted#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Units (the “Award”) pursuant to and subject to the terms of the Ashland Inc. 2021 Omnibus Incentive Compensation Plan (the “Plan”) and this Cash-Settled Performance Unit Agreement (“Agreement”) in order to provide the Participant with an additional incentive to continue his or her service to and in the best interests of Ashland and its Affiliates. Capitalized terms used but not defined in this Agreement shall have the meanings given such terms in the Plan.</w:t>
      </w:r>
    </w:p>
    <w:p>
      <w:pPr>
        <w:spacing w:after="0" w:line="163" w:lineRule="exact"/>
        <w:rPr>
          <w:rFonts w:ascii="Times New Roman" w:cs="Times New Roman" w:eastAsia="Times New Roman" w:hAnsi="Times New Roman"/>
          <w:sz w:val="21"/>
          <w:szCs w:val="21"/>
          <w:u w:val="single" w:color="auto"/>
          <w:color w:val="auto"/>
        </w:rPr>
      </w:pPr>
    </w:p>
    <w:p>
      <w:pPr>
        <w:jc w:val="both"/>
        <w:ind w:left="760" w:hanging="752"/>
        <w:spacing w:after="0" w:line="237" w:lineRule="auto"/>
        <w:tabs>
          <w:tab w:leader="none" w:pos="760" w:val="left"/>
        </w:tabs>
        <w:numPr>
          <w:ilvl w:val="0"/>
          <w:numId w:val="1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Units</w:t>
      </w:r>
      <w:r>
        <w:rPr>
          <w:rFonts w:ascii="Times New Roman" w:cs="Times New Roman" w:eastAsia="Times New Roman" w:hAnsi="Times New Roman"/>
          <w:sz w:val="22"/>
          <w:szCs w:val="22"/>
          <w:color w:val="auto"/>
        </w:rPr>
        <w:t>. Each Unit represents a contingent right of the Participant to receive a cash payment at vesting in Participant’s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currency (based upon the exchange rate used by Ashland, or Ashland's stock administrator, on the date of the transaction) equal to the Fair Market Value of one (1) Share (the “Per Unit Value”) on the vesting date set forth above (such date, the “Vesting Date”). The number of Units granted hereunder has been determined by dividing the total dollar value intended to be delivered to the Participant under this Award by the Fair Market Value of one (1) Share of Ashland on the Grant Date, rounded down to the nearest whole number.</w:t>
      </w:r>
    </w:p>
    <w:p>
      <w:pPr>
        <w:spacing w:after="0" w:line="175" w:lineRule="exact"/>
        <w:rPr>
          <w:rFonts w:ascii="Times New Roman" w:cs="Times New Roman" w:eastAsia="Times New Roman" w:hAnsi="Times New Roman"/>
          <w:sz w:val="22"/>
          <w:szCs w:val="22"/>
          <w:u w:val="single" w:color="auto"/>
          <w:color w:val="auto"/>
        </w:rPr>
      </w:pPr>
    </w:p>
    <w:p>
      <w:pPr>
        <w:jc w:val="both"/>
        <w:ind w:left="760" w:hanging="752"/>
        <w:spacing w:after="0" w:line="238" w:lineRule="auto"/>
        <w:tabs>
          <w:tab w:leader="none" w:pos="760" w:val="left"/>
        </w:tabs>
        <w:numPr>
          <w:ilvl w:val="0"/>
          <w:numId w:val="1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The Units shall vest as of the Vesting Date, subject to the Committee’s certification of the number of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earned by the Participant as a result of actual achievement against the Performance Goals set forth in the Appendix during the Performance Period, and further subject to the Participant’s continuous service as an officer, employee or consultant of Ashland or any of its Affiliates (“Continuous Service”) through such Vesting Date, except as otherwise provided in this Agreement.</w:t>
      </w:r>
    </w:p>
    <w:p>
      <w:pPr>
        <w:spacing w:after="0" w:line="176" w:lineRule="exact"/>
        <w:rPr>
          <w:rFonts w:ascii="Times New Roman" w:cs="Times New Roman" w:eastAsia="Times New Roman" w:hAnsi="Times New Roman"/>
          <w:sz w:val="22"/>
          <w:szCs w:val="22"/>
          <w:u w:val="single" w:color="auto"/>
          <w:color w:val="auto"/>
        </w:rPr>
      </w:pPr>
    </w:p>
    <w:p>
      <w:pPr>
        <w:jc w:val="both"/>
        <w:ind w:left="760" w:hanging="752"/>
        <w:spacing w:after="0" w:line="246" w:lineRule="auto"/>
        <w:tabs>
          <w:tab w:leader="none" w:pos="760" w:val="left"/>
        </w:tabs>
        <w:numPr>
          <w:ilvl w:val="0"/>
          <w:numId w:val="1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in this Agreement or as otherwise determined by the Committee (but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6(i) of the Plan), if Participant’s Continuous Service ends for any reason prior to the Vesting Date, all Units granted hereunder shall be forfeited.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Personal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0" w:name="page181"/>
    <w:bookmarkEnd w:id="180"/>
    <w:p>
      <w:pPr>
        <w:ind w:left="760"/>
        <w:spacing w:after="0" w:line="258" w:lineRule="auto"/>
        <w:rPr>
          <w:sz w:val="20"/>
          <w:szCs w:val="20"/>
          <w:color w:val="auto"/>
        </w:rPr>
      </w:pPr>
      <w:r>
        <w:rPr>
          <w:rFonts w:ascii="Times New Roman" w:cs="Times New Roman" w:eastAsia="Times New Roman" w:hAnsi="Times New Roman"/>
          <w:sz w:val="22"/>
          <w:szCs w:val="22"/>
          <w:color w:val="auto"/>
        </w:rPr>
        <w:t>Notwithstanding the foregoing (but subject to Section 6(i) of the Plan), the Committee may, in its sole discretion, provide for accelerated vesting of the Award or any portion thereof at any time and for any reason.</w:t>
      </w:r>
    </w:p>
    <w:p>
      <w:pPr>
        <w:spacing w:after="0" w:line="154" w:lineRule="exact"/>
        <w:rPr>
          <w:sz w:val="20"/>
          <w:szCs w:val="20"/>
          <w:color w:val="auto"/>
        </w:rPr>
      </w:pPr>
    </w:p>
    <w:p>
      <w:pPr>
        <w:jc w:val="both"/>
        <w:ind w:left="760" w:hanging="752"/>
        <w:spacing w:after="0" w:line="235" w:lineRule="auto"/>
        <w:tabs>
          <w:tab w:leader="none" w:pos="760" w:val="left"/>
        </w:tabs>
        <w:numPr>
          <w:ilvl w:val="0"/>
          <w:numId w:val="1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color w:val="auto"/>
        </w:rPr>
        <w:t>. If the Participant’s Continuous Service ends due to Retirement after the fiscal year that includes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set forth above, then all unvested Units under this Agreement shall be immediately accelerated and vest in full as of the date of such Retirement. If the Participant’s Retirement occurs before the end of the fiscal year that includes the Grant Date set forth above, all unvested Units granted hereunder shall be forfeited. For purposes of this Agreement, “Retirement” shall mean a termination of Participant’s employment for any reason other than death, Disability, or Cause (as defined below), that is a ”separation from service” within the meaning of Section 409A of the Code, after attaining age 55 and having at least ten (10) years of credited service, or after attaining age 60 and having at least five (5) years of credited service.</w:t>
      </w:r>
    </w:p>
    <w:p>
      <w:pPr>
        <w:spacing w:after="0" w:line="178"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Death or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the Participant’s Continuous Service ends due to death or Disability, all Units under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immediately accelerated and will vest, assuming such Units had been earned at 100% achievement (i.e., “target” achievement) against the Performance Goals, as of the date of such termination due to death or Disability within thirty (30) days of the Vesting Date.</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35" w:lineRule="auto"/>
        <w:tabs>
          <w:tab w:leader="none" w:pos="760" w:val="left"/>
        </w:tabs>
        <w:numPr>
          <w:ilvl w:val="0"/>
          <w:numId w:val="1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Termination without Cause</w:t>
      </w:r>
      <w:r>
        <w:rPr>
          <w:rFonts w:ascii="Times New Roman" w:cs="Times New Roman" w:eastAsia="Times New Roman" w:hAnsi="Times New Roman"/>
          <w:sz w:val="22"/>
          <w:szCs w:val="22"/>
          <w:color w:val="auto"/>
        </w:rPr>
        <w:t>. If the Participant is otherwise terminated by Ashland or any of its Affiliates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death, Disability, or Cause prior to the earlier of the Vesting Date or Retirement, then the Participant shall continue to be permitted to vest, in accordance with the terms of this Agreement, into that number of Units that shall have been certified by the Committee as having been earned due to the actual achievement of the Performance Goals as measured at the end of the Performance Period, provided that the number of earned Units scheduled to vest, if any, shall be pro-rated (with such pro-ration being based on the number of days from the Grant Date through the date of such termination divided by the total number of days in the Performance Period). The number of pro-rated earned Units, if any, shall be delivered to and in the name of the Participant in the form of cash within thirty (30) days of the Vesting Date.</w:t>
      </w:r>
    </w:p>
    <w:p>
      <w:pPr>
        <w:spacing w:after="0" w:line="177" w:lineRule="exact"/>
        <w:rPr>
          <w:rFonts w:ascii="Times New Roman" w:cs="Times New Roman" w:eastAsia="Times New Roman" w:hAnsi="Times New Roman"/>
          <w:sz w:val="22"/>
          <w:szCs w:val="22"/>
          <w:u w:val="single" w:color="auto"/>
          <w:color w:val="auto"/>
        </w:rPr>
      </w:pPr>
    </w:p>
    <w:p>
      <w:pPr>
        <w:jc w:val="both"/>
        <w:ind w:left="760"/>
        <w:spacing w:after="0" w:line="234"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For purposes of this Agreement only, the term “Cause” shall mean (i) if the Participant has an employment agreement with the Company in which the term “Cause” is defined, the meaning which is provided for such term in such agreement, or (ii) otherwise, (x) the willful and continued failure of the Participant to substantially perform his or her duties with the Company (other than such failure resulting from the such individual’s incapacity due to physical or mental illness, death, or disability), (y) any act by the Participant that would constitute a felony under the laws of the United States (or an act that would be treated substantially similarly to a felony under the laws of a jurisdiction other than the United States), or (z) any act or omission by such individual which reasonably constitutes dishonesty, disloyalty, fraud, deceit, gross negligence, willful misconduct or recklessness during the course of his or her duties, including, but not limited to the willful violation of the Company’s by-laws, Global Code of Conduct, or other policies and procedures of the Company’s governing the Participant’s conduct.</w:t>
      </w:r>
    </w:p>
    <w:p>
      <w:pPr>
        <w:spacing w:after="0" w:line="175" w:lineRule="exact"/>
        <w:rPr>
          <w:rFonts w:ascii="Times New Roman" w:cs="Times New Roman" w:eastAsia="Times New Roman" w:hAnsi="Times New Roman"/>
          <w:sz w:val="22"/>
          <w:szCs w:val="22"/>
          <w:u w:val="single" w:color="auto"/>
          <w:color w:val="auto"/>
        </w:rPr>
      </w:pPr>
    </w:p>
    <w:p>
      <w:pPr>
        <w:jc w:val="both"/>
        <w:ind w:left="760" w:hanging="752"/>
        <w:spacing w:after="0" w:line="246" w:lineRule="auto"/>
        <w:tabs>
          <w:tab w:leader="none" w:pos="760" w:val="left"/>
        </w:tabs>
        <w:numPr>
          <w:ilvl w:val="0"/>
          <w:numId w:val="1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Time of Payment and Taxation</w:t>
      </w:r>
      <w:r>
        <w:rPr>
          <w:rFonts w:ascii="Times New Roman" w:cs="Times New Roman" w:eastAsia="Times New Roman" w:hAnsi="Times New Roman"/>
          <w:sz w:val="22"/>
          <w:szCs w:val="22"/>
          <w:color w:val="auto"/>
        </w:rPr>
        <w:t>. Based upon the attainment of the Performance Goals outlined in the Appendix,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will be paid to the Participant in Shares within (30) days following the Vesting Date for the Award at the end of the Performance Period based upon actual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ind w:left="760" w:right="20"/>
        <w:spacing w:after="0" w:line="258" w:lineRule="auto"/>
        <w:rPr>
          <w:sz w:val="20"/>
          <w:szCs w:val="20"/>
          <w:color w:val="auto"/>
        </w:rPr>
      </w:pPr>
      <w:r>
        <w:rPr>
          <w:rFonts w:ascii="Times New Roman" w:cs="Times New Roman" w:eastAsia="Times New Roman" w:hAnsi="Times New Roman"/>
          <w:sz w:val="22"/>
          <w:szCs w:val="22"/>
          <w:color w:val="auto"/>
        </w:rPr>
        <w:t>achievement of the Performance Goals as provided herein, subject to tax deductions and withholding as set forth in Section 9(d) of the Plan.</w:t>
      </w:r>
    </w:p>
    <w:p>
      <w:pPr>
        <w:spacing w:after="0" w:line="154" w:lineRule="exact"/>
        <w:rPr>
          <w:sz w:val="20"/>
          <w:szCs w:val="20"/>
          <w:color w:val="auto"/>
        </w:rPr>
      </w:pPr>
    </w:p>
    <w:p>
      <w:pPr>
        <w:jc w:val="both"/>
        <w:ind w:left="760" w:hanging="752"/>
        <w:spacing w:after="0" w:line="246" w:lineRule="auto"/>
        <w:tabs>
          <w:tab w:leader="none" w:pos="760" w:val="left"/>
        </w:tabs>
        <w:numPr>
          <w:ilvl w:val="0"/>
          <w:numId w:val="1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Stockholder Rights</w:t>
      </w:r>
      <w:r>
        <w:rPr>
          <w:rFonts w:ascii="Times New Roman" w:cs="Times New Roman" w:eastAsia="Times New Roman" w:hAnsi="Times New Roman"/>
          <w:sz w:val="22"/>
          <w:szCs w:val="22"/>
          <w:color w:val="auto"/>
        </w:rPr>
        <w:t>. Unless and until such time as Shares are delivered in settlement of earned Units,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no ownership of the Shares associated with any Units granted under this Award or to cast any vote with respect to such Shares.</w:t>
      </w:r>
    </w:p>
    <w:p>
      <w:pPr>
        <w:spacing w:after="0" w:line="167" w:lineRule="exact"/>
        <w:rPr>
          <w:rFonts w:ascii="Times New Roman" w:cs="Times New Roman" w:eastAsia="Times New Roman" w:hAnsi="Times New Roman"/>
          <w:sz w:val="22"/>
          <w:szCs w:val="22"/>
          <w:u w:val="single" w:color="auto"/>
          <w:color w:val="auto"/>
        </w:rPr>
      </w:pPr>
    </w:p>
    <w:p>
      <w:pPr>
        <w:jc w:val="both"/>
        <w:ind w:left="760" w:hanging="752"/>
        <w:spacing w:after="0" w:line="248" w:lineRule="auto"/>
        <w:tabs>
          <w:tab w:leader="none" w:pos="760" w:val="left"/>
        </w:tabs>
        <w:numPr>
          <w:ilvl w:val="0"/>
          <w:numId w:val="13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While this Award is outstanding, on each date that cash dividends are paid by Ashland to 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Shares, Ashland will increase the number of target Units granted hereunder by (1) the product of the target number of Units then held by the Participant as of the date of record for such dividend (inclusive of Units that have been added to such target number of Units pursuant to this Section 10) multiplied by the per Share cash dividend amount, divided by</w:t>
      </w:r>
    </w:p>
    <w:p>
      <w:pPr>
        <w:spacing w:after="0" w:line="1" w:lineRule="exact"/>
        <w:rPr>
          <w:rFonts w:ascii="Times New Roman" w:cs="Times New Roman" w:eastAsia="Times New Roman" w:hAnsi="Times New Roman"/>
          <w:sz w:val="21"/>
          <w:szCs w:val="21"/>
          <w:u w:val="single" w:color="auto"/>
          <w:color w:val="auto"/>
        </w:rPr>
      </w:pPr>
    </w:p>
    <w:p>
      <w:pPr>
        <w:jc w:val="both"/>
        <w:ind w:left="760"/>
        <w:spacing w:after="0" w:line="235" w:lineRule="auto"/>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2"/>
          <w:szCs w:val="22"/>
          <w:color w:val="auto"/>
        </w:rPr>
        <w:t>(2) the Fair Market Value of the Shares on the date of record for such dividend. Such additional Units issued in respect of cash dividends on the Shares will be subject to all the terms and conditions of this Award, this Agreement and the Plan and to the same vesting conditions and restrictions as the Units to which such additional Units relate.</w:t>
      </w:r>
    </w:p>
    <w:p>
      <w:pPr>
        <w:spacing w:after="0" w:line="173" w:lineRule="exact"/>
        <w:rPr>
          <w:rFonts w:ascii="Times New Roman" w:cs="Times New Roman" w:eastAsia="Times New Roman" w:hAnsi="Times New Roman"/>
          <w:sz w:val="21"/>
          <w:szCs w:val="21"/>
          <w:u w:val="single" w:color="auto"/>
          <w:color w:val="auto"/>
        </w:rPr>
      </w:pPr>
    </w:p>
    <w:p>
      <w:pPr>
        <w:jc w:val="both"/>
        <w:ind w:left="760" w:hanging="752"/>
        <w:spacing w:after="0" w:line="241" w:lineRule="auto"/>
        <w:tabs>
          <w:tab w:leader="none" w:pos="760" w:val="left"/>
        </w:tabs>
        <w:numPr>
          <w:ilvl w:val="0"/>
          <w:numId w:val="1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Fractional Units</w:t>
      </w:r>
      <w:r>
        <w:rPr>
          <w:rFonts w:ascii="Times New Roman" w:cs="Times New Roman" w:eastAsia="Times New Roman" w:hAnsi="Times New Roman"/>
          <w:sz w:val="22"/>
          <w:szCs w:val="22"/>
          <w:color w:val="auto"/>
        </w:rPr>
        <w:t>. Notwithstanding any other provision of this Agreement or the Plan to the contrary, in the event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is credited with any fractional Units as a result of the grant of any dividend equivalents under Section 10 of this Agreement prior to the Vesting Date, such fractional Units shall be rounded up to the nearest whole Unit and shall otherwise vest in accordance with the terms of this Agreement</w:t>
      </w:r>
    </w:p>
    <w:p>
      <w:pPr>
        <w:spacing w:after="0" w:line="171" w:lineRule="exact"/>
        <w:rPr>
          <w:rFonts w:ascii="Times New Roman" w:cs="Times New Roman" w:eastAsia="Times New Roman" w:hAnsi="Times New Roman"/>
          <w:sz w:val="22"/>
          <w:szCs w:val="22"/>
          <w:u w:val="single" w:color="auto"/>
          <w:color w:val="auto"/>
        </w:rPr>
      </w:pPr>
    </w:p>
    <w:p>
      <w:pPr>
        <w:ind w:left="760" w:hanging="752"/>
        <w:spacing w:after="0" w:line="262" w:lineRule="auto"/>
        <w:tabs>
          <w:tab w:leader="none" w:pos="760" w:val="left"/>
        </w:tabs>
        <w:numPr>
          <w:ilvl w:val="0"/>
          <w:numId w:val="1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 shall be treated in accordance with Section 8 of the Plan in the event of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prior to the Vesting Date.</w:t>
      </w:r>
    </w:p>
    <w:p>
      <w:pPr>
        <w:spacing w:after="0" w:line="149" w:lineRule="exact"/>
        <w:rPr>
          <w:rFonts w:ascii="Times New Roman" w:cs="Times New Roman" w:eastAsia="Times New Roman" w:hAnsi="Times New Roman"/>
          <w:sz w:val="22"/>
          <w:szCs w:val="22"/>
          <w:u w:val="single" w:color="auto"/>
          <w:color w:val="auto"/>
        </w:rPr>
      </w:pPr>
    </w:p>
    <w:p>
      <w:pPr>
        <w:jc w:val="both"/>
        <w:ind w:left="760" w:hanging="752"/>
        <w:spacing w:after="0" w:line="244" w:lineRule="auto"/>
        <w:tabs>
          <w:tab w:leader="none" w:pos="760" w:val="left"/>
        </w:tabs>
        <w:numPr>
          <w:ilvl w:val="0"/>
          <w:numId w:val="13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b w:val="1"/>
          <w:bCs w:val="1"/>
          <w:u w:val="single" w:color="auto"/>
          <w:color w:val="auto"/>
        </w:rPr>
        <w:t>Compensation Recovery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in the Plan, this Agreement or any other agreement or declaration,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Ashland will be entitled, to the extent permitted or required by applicable law, rule or regulation, Ashland policy and/or the requirements of an exchange on which Ashland securities are listed for trading, in each case, as in effect from time to time, to cancel this Award and/or to require the reimbursement or return of, recoup or otherwise recover equity or other compensation of whatever kind paid or delivered by Ashland or any of its Affiliates at any time to Participant under the Plan, as well as any profits or gains realized thereon. The provisions in this paragraph apply whether any such law, rule, regulation, Ashland policy and/or exchange listing requirement is in existence or applies as of the Grant Date or Vesting Date or is later adopted, modified or becomes applicable. By accepting this Award, Participant agrees to the provisions of this paragraph, agrees to comply with any Ashland request or demand for such recoupment, other recovery or cancellation/forfeiture, and agrees to be bound by any such applicable compensation recovery law, rule, regulation, exchange listing requirement and/or policy adopted in the discretion of Ashland (including, without limitation, policies to comply with applicable laws, rules, regulations and/or exchange listing requirements and any other policies). The provisions in this paragraph are not exclusive and are in addition to every other right or remedy at law or in equity that may be available to Ashland, including under the Plan and any other plan or agreements with Participant.</w:t>
      </w:r>
    </w:p>
    <w:p>
      <w:pPr>
        <w:spacing w:after="0" w:line="180" w:lineRule="exact"/>
        <w:rPr>
          <w:rFonts w:ascii="Times New Roman" w:cs="Times New Roman" w:eastAsia="Times New Roman" w:hAnsi="Times New Roman"/>
          <w:sz w:val="21"/>
          <w:szCs w:val="21"/>
          <w:u w:val="single" w:color="auto"/>
          <w:color w:val="auto"/>
        </w:rPr>
      </w:pPr>
    </w:p>
    <w:p>
      <w:pPr>
        <w:ind w:left="760" w:hanging="752"/>
        <w:spacing w:after="0" w:line="262" w:lineRule="auto"/>
        <w:tabs>
          <w:tab w:leader="none" w:pos="760" w:val="left"/>
        </w:tabs>
        <w:numPr>
          <w:ilvl w:val="0"/>
          <w:numId w:val="1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color w:val="auto"/>
        </w:rPr>
        <w:t>. The Participant may not sell, transfer, pledge, assign, attach or otherwise alienate or hypothecate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Units or any rights under this Agreement other than by will or by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laws of descent or distribution and may be exercised during the lifetime of the Participant only by him or her. The terms of this Agreement and Award shall be binding upon the executors, administrators, heirs, successors and assigns of the Participant.</w:t>
      </w:r>
    </w:p>
    <w:p>
      <w:pPr>
        <w:spacing w:after="0" w:line="169" w:lineRule="exact"/>
        <w:rPr>
          <w:sz w:val="20"/>
          <w:szCs w:val="20"/>
          <w:color w:val="auto"/>
        </w:rPr>
      </w:pPr>
    </w:p>
    <w:p>
      <w:pPr>
        <w:ind w:left="760" w:hanging="752"/>
        <w:spacing w:after="0" w:line="262" w:lineRule="auto"/>
        <w:tabs>
          <w:tab w:leader="none" w:pos="760" w:val="left"/>
        </w:tabs>
        <w:numPr>
          <w:ilvl w:val="0"/>
          <w:numId w:val="1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No Right to Employment</w:t>
      </w:r>
      <w:r>
        <w:rPr>
          <w:rFonts w:ascii="Times New Roman" w:cs="Times New Roman" w:eastAsia="Times New Roman" w:hAnsi="Times New Roman"/>
          <w:sz w:val="22"/>
          <w:szCs w:val="22"/>
          <w:color w:val="auto"/>
        </w:rPr>
        <w:t>. Nothing contained in this Agreement or in the Plan shall confer upon the Participant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continue in the employment of, or remain in the service of, Ashland or any of its Affiliates.</w:t>
      </w:r>
    </w:p>
    <w:p>
      <w:pPr>
        <w:spacing w:after="0" w:line="149" w:lineRule="exact"/>
        <w:rPr>
          <w:rFonts w:ascii="Times New Roman" w:cs="Times New Roman" w:eastAsia="Times New Roman" w:hAnsi="Times New Roman"/>
          <w:sz w:val="22"/>
          <w:szCs w:val="22"/>
          <w:u w:val="single" w:color="auto"/>
          <w:color w:val="auto"/>
        </w:rPr>
      </w:pPr>
    </w:p>
    <w:p>
      <w:pPr>
        <w:jc w:val="both"/>
        <w:ind w:left="760" w:hanging="752"/>
        <w:spacing w:after="0" w:line="236" w:lineRule="auto"/>
        <w:tabs>
          <w:tab w:leader="none" w:pos="760" w:val="left"/>
        </w:tabs>
        <w:numPr>
          <w:ilvl w:val="0"/>
          <w:numId w:val="1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Information about the Participant and the Participant’s participation in the Plan may be collected,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recorded and held, used and disclosed by and among Ashland, its Affiliates and any third-party Plan administrators as necessary for the purpose of managing and administering the Plan. The Participant understands that such processing of this information may need to be carried out by Ashland, its Affiliates and by third-party administrators whether such persons are located within the Participant’s country or elsewhere, including the United States of America. By accepting this Award, the Participant consents to the processing of information relating to the Participant and the Participant’s participation in the Plan in any one or more of the ways referred to above.</w:t>
      </w:r>
    </w:p>
    <w:p>
      <w:pPr>
        <w:spacing w:after="0" w:line="175"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Electronic Delivery and Participation</w:t>
      </w:r>
      <w:r>
        <w:rPr>
          <w:rFonts w:ascii="Times New Roman" w:cs="Times New Roman" w:eastAsia="Times New Roman" w:hAnsi="Times New Roman"/>
          <w:sz w:val="22"/>
          <w:szCs w:val="22"/>
          <w:color w:val="auto"/>
        </w:rPr>
        <w:t>. Ashland and any Affiliate may, in its sole discretion, deliver any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Ashland, any Affiliate or a third party designated by Ashland.</w:t>
      </w:r>
    </w:p>
    <w:p>
      <w:pPr>
        <w:spacing w:after="0" w:line="171" w:lineRule="exact"/>
        <w:rPr>
          <w:rFonts w:ascii="Times New Roman" w:cs="Times New Roman" w:eastAsia="Times New Roman" w:hAnsi="Times New Roman"/>
          <w:sz w:val="22"/>
          <w:szCs w:val="22"/>
          <w:u w:val="single" w:color="auto"/>
          <w:color w:val="auto"/>
        </w:rPr>
      </w:pPr>
    </w:p>
    <w:p>
      <w:pPr>
        <w:jc w:val="both"/>
        <w:ind w:left="760" w:hanging="752"/>
        <w:spacing w:after="0" w:line="241" w:lineRule="auto"/>
        <w:tabs>
          <w:tab w:leader="none" w:pos="760" w:val="left"/>
        </w:tabs>
        <w:numPr>
          <w:ilvl w:val="0"/>
          <w:numId w:val="1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this Award, and to the extent permitted by applicable law,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during the Participant’s employment and the twelve (12) month period following the Participant’s termination of employment with Ashland or its Affiliates for any reason (the “Covenant Period”), without the written consent of Ashland, the Participant will not:</w:t>
      </w:r>
    </w:p>
    <w:p>
      <w:pPr>
        <w:spacing w:after="0" w:line="175" w:lineRule="exact"/>
        <w:rPr>
          <w:rFonts w:ascii="Times New Roman" w:cs="Times New Roman" w:eastAsia="Times New Roman" w:hAnsi="Times New Roman"/>
          <w:sz w:val="22"/>
          <w:szCs w:val="22"/>
          <w:u w:val="single" w:color="auto"/>
          <w:color w:val="auto"/>
        </w:rPr>
      </w:pPr>
    </w:p>
    <w:p>
      <w:pPr>
        <w:jc w:val="both"/>
        <w:ind w:left="1500" w:hanging="743"/>
        <w:spacing w:after="0" w:line="244" w:lineRule="auto"/>
        <w:tabs>
          <w:tab w:leader="none" w:pos="150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directly or indirectly in any manner or capacity as principal, agent, partner, officer, director, employee or otherwise in any business or activity competitive with the business conducted by Ashland or any of its Affiliates; or</w:t>
      </w:r>
    </w:p>
    <w:p>
      <w:pPr>
        <w:spacing w:after="0" w:line="173"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any act or engage in any activity that is detrimental to the best interests of Ashland or any of its Affiliates, including, without limitation:</w:t>
      </w:r>
    </w:p>
    <w:p>
      <w:pPr>
        <w:spacing w:after="0" w:line="158" w:lineRule="exact"/>
        <w:rPr>
          <w:rFonts w:ascii="Times New Roman" w:cs="Times New Roman" w:eastAsia="Times New Roman" w:hAnsi="Times New Roman"/>
          <w:sz w:val="22"/>
          <w:szCs w:val="22"/>
          <w:color w:val="auto"/>
        </w:rPr>
      </w:pPr>
    </w:p>
    <w:p>
      <w:pPr>
        <w:jc w:val="both"/>
        <w:ind w:left="2620" w:right="20" w:hanging="366"/>
        <w:spacing w:after="0" w:line="244" w:lineRule="auto"/>
        <w:tabs>
          <w:tab w:leader="none" w:pos="262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encourage any existing employee, director, contractor, consultant, customer or supplier of Ashland or any of its Affiliates to terminate his, her or its relationship with Ashland or any of its Affiliates for any reason;</w:t>
      </w:r>
    </w:p>
    <w:p>
      <w:pPr>
        <w:spacing w:after="0" w:line="173" w:lineRule="exact"/>
        <w:rPr>
          <w:rFonts w:ascii="Times New Roman" w:cs="Times New Roman" w:eastAsia="Times New Roman" w:hAnsi="Times New Roman"/>
          <w:sz w:val="22"/>
          <w:szCs w:val="22"/>
          <w:color w:val="auto"/>
        </w:rPr>
      </w:pPr>
    </w:p>
    <w:p>
      <w:pPr>
        <w:jc w:val="both"/>
        <w:ind w:left="2620" w:hanging="366"/>
        <w:spacing w:after="0" w:line="244" w:lineRule="auto"/>
        <w:tabs>
          <w:tab w:leader="none" w:pos="2620"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(directly or through another person), any person (whether or not solicited) who was an employee of the Company or any of its Affiliates at any time within the one year period immediately preceding the Participant’s termination from employment; 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ind w:left="2620" w:hanging="366"/>
        <w:spacing w:after="0" w:line="244" w:lineRule="auto"/>
        <w:tabs>
          <w:tab w:leader="none" w:pos="262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proprietary or confidential information of Ashland or any of its Affiliates to third parties or use any such proprietary or confidential information for the benefit of anyone other than Ashland and its Affiliates;</w:t>
      </w:r>
    </w:p>
    <w:p>
      <w:pPr>
        <w:spacing w:after="0" w:line="173"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1"/>
          <w:szCs w:val="21"/>
          <w:color w:val="auto"/>
        </w:rPr>
        <w:t>provided, however, that this Agreement shall not prohibit the Participant in any way from (1) filing and, as provided for under Section 21F of the Securities Exchange Act of 1934, maintaining the confidentiality of a claim with the United States Securities and Exchange Commission (the “SEC”); (2) providing proprietary or confidential information to the SEC, or providing the SEC with information that would otherwise violate clause (ii) above, to the extent permitted by Section 21F of the Securities Exchange Act of 1934; (3) cooperating, participating or assisting in an SEC investigation or proceeding without notifying Ashland; or (4) receiving a monetary award as set forth in Section 21F of the Securities Exchange Act of 1934. Furthermore, the Participant is advised that the Participant shall not be held criminally or civilly liable under any U.S. Federal or state trade secret law for the disclosure of any proprietary or confidential information that constitutes a trade secret to which the Defend Trade Secrets Act (18 U.S.C. Section 1833(b)) applies that is made</w:t>
      </w:r>
    </w:p>
    <w:p>
      <w:pPr>
        <w:spacing w:after="0" w:line="1" w:lineRule="exact"/>
        <w:rPr>
          <w:sz w:val="20"/>
          <w:szCs w:val="20"/>
          <w:color w:val="auto"/>
        </w:rPr>
      </w:pPr>
    </w:p>
    <w:p>
      <w:pPr>
        <w:jc w:val="both"/>
        <w:ind w:left="760" w:hanging="3"/>
        <w:spacing w:after="0" w:line="232" w:lineRule="auto"/>
        <w:tabs>
          <w:tab w:leader="none" w:pos="112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U.S.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 The Participant understands that if he or she makes a disclosure of proprietary or confidential information that is covered above, he or she is not required to inform Ashland, in advance or otherwise, that such disclosure(s) has been made. The restrictions in this paragraph are referred to herein as the “Participant Covenants”.</w:t>
      </w:r>
    </w:p>
    <w:p>
      <w:pPr>
        <w:spacing w:after="0" w:line="183"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1"/>
          <w:szCs w:val="21"/>
          <w:color w:val="auto"/>
        </w:rPr>
        <w:t>Notwithstanding any other provision of the Plan or this Agreement to the contrary, but subject to any applicable laws to the contrary, the Participant agrees that in the event the Participant fails to comply or otherwise breaches any of the Participant Covenants either during the Participant’s employment with Ashland or any of its Affiliates or within the Covenant Period for any reason Ashland may: (x) cancel this Award, (y) eliminate or reduce the amount of any compensation, benefit, or payment otherwise payable by Ashland or any of its Affiliates (either directly or under any employee benefit or compensation plan, agreement, or arrangement), except to the extent such compensation, benefit or payment constitutes deferred compensation under Section 409A of the Code and such elimination or reduction would trigger a tax or penalty under Section 409A of the Code, to or on behalf of the Participant in an amount up to the total amount paid (or the closing stock price of Shares on the payment date multiplied by the number of Shares awarded) or payable to the Participant under this Agreement; and/or (z) require the Participant to pay Ashland an amount up to the total amount paid (or the closing stock price of Shares on the payment date multiplied by the number of Shares awarded) to the Participant under this Agreement; in each case together with the amount of Ashland’s court costs, attorney fees, and other costs and expenses incurred in connection therewith; provided that the actions described in clauses (x), (y) and</w:t>
      </w:r>
    </w:p>
    <w:p>
      <w:pPr>
        <w:spacing w:after="0" w:line="4" w:lineRule="exact"/>
        <w:rPr>
          <w:sz w:val="20"/>
          <w:szCs w:val="20"/>
          <w:color w:val="auto"/>
        </w:rPr>
      </w:pPr>
    </w:p>
    <w:p>
      <w:pPr>
        <w:jc w:val="both"/>
        <w:ind w:left="760" w:hanging="3"/>
        <w:spacing w:after="0" w:line="234" w:lineRule="auto"/>
        <w:tabs>
          <w:tab w:leader="none" w:pos="106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taken with respect to the Award at any time following the third anniversary of the vesting of the Award (or the applicable portion thereof). To the extent a longer Covenant Period is specified in another agreement between the Participant and Ashland or its Affiliates, the provisions of this section 18 shall be extended to apply to such longer period.</w:t>
      </w:r>
    </w:p>
    <w:p>
      <w:pPr>
        <w:spacing w:after="0" w:line="173" w:lineRule="exact"/>
        <w:rPr>
          <w:rFonts w:ascii="Times New Roman" w:cs="Times New Roman" w:eastAsia="Times New Roman" w:hAnsi="Times New Roman"/>
          <w:sz w:val="22"/>
          <w:szCs w:val="22"/>
          <w:color w:val="auto"/>
        </w:rPr>
      </w:pPr>
    </w:p>
    <w:p>
      <w:pPr>
        <w:ind w:left="760" w:hanging="752"/>
        <w:spacing w:after="0" w:line="262" w:lineRule="auto"/>
        <w:tabs>
          <w:tab w:leader="none" w:pos="760" w:val="left"/>
        </w:tabs>
        <w:numPr>
          <w:ilvl w:val="0"/>
          <w:numId w:val="1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u w:val="single" w:color="auto"/>
          <w:color w:val="auto"/>
        </w:rPr>
        <w:t>Acceptance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This Award of Units is subject to and expressly conditioned upon the Participant’s online acceptance of the terms and conditions of the Plan, this Agreement,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jc w:val="both"/>
        <w:ind w:left="760"/>
        <w:spacing w:after="0" w:line="262" w:lineRule="auto"/>
        <w:rPr>
          <w:sz w:val="20"/>
          <w:szCs w:val="20"/>
          <w:color w:val="auto"/>
        </w:rPr>
      </w:pPr>
      <w:r>
        <w:rPr>
          <w:rFonts w:ascii="Times New Roman" w:cs="Times New Roman" w:eastAsia="Times New Roman" w:hAnsi="Times New Roman"/>
          <w:sz w:val="22"/>
          <w:szCs w:val="22"/>
          <w:b w:val="1"/>
          <w:bCs w:val="1"/>
          <w:color w:val="auto"/>
        </w:rPr>
        <w:t>the Award through the Fidelity website. The right to the Units shall expire if not accepted by #AcceptanceDeadline#.</w:t>
      </w:r>
    </w:p>
    <w:p>
      <w:pPr>
        <w:spacing w:after="0" w:line="154"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By accepting the terms and conditions of this Agreement, the Participant acknowledges has access to or the ability to request a copy of the Plan, Prospectus, and Ashland’s most recent Annual Report and Proxy Statement from Ashland’s intranet or your Fidelity account, the SEC’s EDGAR filing website, or by contacting Ashland’s Human Resources Department. The terms and provisions of the Plan are incorporated herein by reference. The Participant hereby accepts this Award on the terms and conditions set forth herein and, in the Plan, and acknowledges that he or she has had the opportunity to obtain independent legal advice at his or her expense prior to accepting this Award.</w:t>
      </w:r>
    </w:p>
    <w:p>
      <w:pPr>
        <w:spacing w:after="0" w:line="181"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IN WITNESS WHEREOF, Ashland Inc. has caused this instrument to be executed and delivered effective as of the Grant Date set forth above.</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Eileen Drury</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Senior Vice President and</w:t>
      </w:r>
    </w:p>
    <w:p>
      <w:pPr>
        <w:ind w:left="450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#Signature#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#ParticipantName#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#AcceptanceDate#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2"/>
          <w:szCs w:val="22"/>
          <w:color w:val="auto"/>
        </w:rPr>
        <w:t>ASHLAND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2021 OMNIBUS INCENTIVE COMPENSATION PLAN</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ADDENDUM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CASH-SETTLED PERFORMANCE UNIT AWARD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FOR NON-U.S. PARTICIPANTS</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provisions of the Plan and Agreement, the Units are subject to the following additional terms and conditions as set forth in this Addendum to the extent the Participant resides and/or is employed in one of the countries addressed herein. All defined terms as contained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Ashland determines, in its sole discretion, that the application of such terms and conditions is necessary or advisable in order to comply with local laws, rules and regulations, or to facilitate the operation and administration of the Units and the Plan (or Ashland may establish alternative terms and conditions as may be necessary or advisable to accommodate the Participant’s transfer).</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EUROPEAN UNION (“EU”) / EUROPEAN ECONOMIC UNION (“EEA”) / SWITZERLAND / THE UNITED KINGDOM</w:t>
      </w:r>
    </w:p>
    <w:p>
      <w:pPr>
        <w:spacing w:after="0" w:line="181" w:lineRule="exact"/>
        <w:rPr>
          <w:sz w:val="20"/>
          <w:szCs w:val="20"/>
          <w:color w:val="auto"/>
        </w:rPr>
      </w:pPr>
    </w:p>
    <w:p>
      <w:pPr>
        <w:ind w:left="1500" w:hanging="743"/>
        <w:spacing w:after="0"/>
        <w:tabs>
          <w:tab w:leader="none" w:pos="1500" w:val="left"/>
        </w:tabs>
        <w:numPr>
          <w:ilvl w:val="0"/>
          <w:numId w:val="1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See Section 12 above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AUSTRALIA</w:t>
      </w:r>
    </w:p>
    <w:p>
      <w:pPr>
        <w:spacing w:after="0" w:line="237" w:lineRule="exact"/>
        <w:rPr>
          <w:sz w:val="20"/>
          <w:szCs w:val="20"/>
          <w:color w:val="auto"/>
        </w:rPr>
      </w:pPr>
    </w:p>
    <w:p>
      <w:pPr>
        <w:jc w:val="both"/>
        <w:ind w:firstLine="757"/>
        <w:spacing w:after="0" w:line="239" w:lineRule="auto"/>
        <w:tabs>
          <w:tab w:leader="none" w:pos="118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Notice</w:t>
      </w:r>
      <w:r>
        <w:rPr>
          <w:rFonts w:ascii="Times New Roman" w:cs="Times New Roman" w:eastAsia="Times New Roman" w:hAnsi="Times New Roman"/>
          <w:sz w:val="22"/>
          <w:szCs w:val="22"/>
          <w:color w:val="auto"/>
        </w:rPr>
        <w:t>. The grant of Units is intended to comply with the provisions of the Corporations Act 2001, Australian Securities and Investments Commission (“ASIC”) Regulatory Guide 49 and ASIC Class Order 14/1000. Additional details are set forth in the offer document for the grant of Units to Australian residents, distributed to the Participant with the Plan documentation.</w:t>
      </w:r>
    </w:p>
    <w:p>
      <w:pPr>
        <w:spacing w:after="0" w:line="20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9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Units Conditioned on Satisfaction of Regulatory Obligations</w:t>
      </w:r>
      <w:r>
        <w:rPr>
          <w:rFonts w:ascii="Times New Roman" w:cs="Times New Roman" w:eastAsia="Times New Roman" w:hAnsi="Times New Roman"/>
          <w:sz w:val="22"/>
          <w:szCs w:val="22"/>
          <w:color w:val="auto"/>
        </w:rPr>
        <w:t>. If the Participant is (a) a director of an affiliate or subsidiary incorporated in Australia, or (b) a person who is a management-level executive of an affiliate or subsidiary incorporated in Australia and who also is a director of an affiliate or subsidiary incorporated outside of the Australia, the grant of the Units is conditioned upon satisfaction of the shareholder approval provisions of section 200B of the Corporations Act 2001 (Cth) and the Corporations Amendment (Improving Accountability on Termination Payments) Act in Australia.</w:t>
      </w:r>
    </w:p>
    <w:p>
      <w:pPr>
        <w:spacing w:after="0" w:line="20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Information</w:t>
      </w:r>
      <w:r>
        <w:rPr>
          <w:rFonts w:ascii="Times New Roman" w:cs="Times New Roman" w:eastAsia="Times New Roman" w:hAnsi="Times New Roman"/>
          <w:sz w:val="22"/>
          <w:szCs w:val="22"/>
          <w:color w:val="auto"/>
        </w:rPr>
        <w:t>. The Plan is a program to which Subdivision 83A-C of the Income Tax Assessment Act 1997 (Cth) (the “Act”) applies (subject to the conditions in that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BRAZIL</w:t>
      </w:r>
    </w:p>
    <w:p>
      <w:pPr>
        <w:spacing w:after="0" w:line="237" w:lineRule="exact"/>
        <w:rPr>
          <w:sz w:val="20"/>
          <w:szCs w:val="20"/>
          <w:color w:val="auto"/>
        </w:rPr>
      </w:pPr>
    </w:p>
    <w:p>
      <w:pPr>
        <w:jc w:val="both"/>
        <w:ind w:firstLine="757"/>
        <w:spacing w:after="0" w:line="239" w:lineRule="auto"/>
        <w:tabs>
          <w:tab w:leader="none" w:pos="118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Relationship</w:t>
      </w:r>
      <w:r>
        <w:rPr>
          <w:rFonts w:ascii="Times New Roman" w:cs="Times New Roman" w:eastAsia="Times New Roman" w:hAnsi="Times New Roman"/>
          <w:sz w:val="22"/>
          <w:szCs w:val="22"/>
          <w:color w:val="auto"/>
        </w:rPr>
        <w:t>. The Participant expressly acknowledges and agrees that the Participant’s participation in the Plan and Ashland’s grant of the Units does not constitute an employment relationship between the Participant and Ashland. The Participant has been granted the Units as a consequence of the commercial relationship between Ashland and such Affiliate of Ashland that employs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jc w:val="both"/>
        <w:spacing w:after="0" w:line="236" w:lineRule="auto"/>
        <w:rPr>
          <w:sz w:val="20"/>
          <w:szCs w:val="20"/>
          <w:color w:val="auto"/>
        </w:rPr>
      </w:pPr>
      <w:r>
        <w:rPr>
          <w:rFonts w:ascii="Times New Roman" w:cs="Times New Roman" w:eastAsia="Times New Roman" w:hAnsi="Times New Roman"/>
          <w:sz w:val="22"/>
          <w:szCs w:val="22"/>
          <w:color w:val="auto"/>
        </w:rPr>
        <w:t>Participant (the “Employer”), and such Affiliate is the Participant’s sole employer. Based on the foregoing, the Participant expressly recognizes that (a) the Plan and the benefits the Participant may derive from participation in the Plan do not establish any rights between the Participant and the Employer, (b) the Plan and the benefits the Participant may derive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w:t>
      </w:r>
    </w:p>
    <w:p>
      <w:pPr>
        <w:spacing w:after="0" w:line="208" w:lineRule="exact"/>
        <w:rPr>
          <w:sz w:val="20"/>
          <w:szCs w:val="20"/>
          <w:color w:val="auto"/>
        </w:rPr>
      </w:pPr>
    </w:p>
    <w:p>
      <w:pPr>
        <w:jc w:val="both"/>
        <w:ind w:firstLine="757"/>
        <w:spacing w:after="0" w:line="234" w:lineRule="auto"/>
        <w:tabs>
          <w:tab w:leader="none" w:pos="120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Item of Compensation</w:t>
      </w:r>
      <w:r>
        <w:rPr>
          <w:rFonts w:ascii="Times New Roman" w:cs="Times New Roman" w:eastAsia="Times New Roman" w:hAnsi="Times New Roman"/>
          <w:sz w:val="22"/>
          <w:szCs w:val="22"/>
          <w:color w:val="auto"/>
        </w:rPr>
        <w:t>. The Participant expressly acknowledges and agrees that the Participant’s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Units is an extraordinary item of compensation outside the scope of the Participant’s employment contract, if any. The Units are not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FRANCE</w:t>
      </w:r>
    </w:p>
    <w:p>
      <w:pPr>
        <w:spacing w:after="0" w:line="237" w:lineRule="exact"/>
        <w:rPr>
          <w:sz w:val="20"/>
          <w:szCs w:val="20"/>
          <w:color w:val="auto"/>
        </w:rPr>
      </w:pPr>
    </w:p>
    <w:p>
      <w:pPr>
        <w:jc w:val="both"/>
        <w:ind w:firstLine="757"/>
        <w:spacing w:after="0" w:line="244" w:lineRule="auto"/>
        <w:tabs>
          <w:tab w:leader="none" w:pos="122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English Language</w:t>
      </w:r>
      <w:r>
        <w:rPr>
          <w:rFonts w:ascii="Times New Roman" w:cs="Times New Roman" w:eastAsia="Times New Roman" w:hAnsi="Times New Roman"/>
          <w:sz w:val="22"/>
          <w:szCs w:val="22"/>
          <w:color w:val="auto"/>
        </w:rPr>
        <w:t>. By accepting the Award, the Participant acknowledges and agrees that it is the Participant’s wish that the Agreement, this Addendum, as well as all other documents, notices and legal proceedings entered into, given or instituted pursuant to the Award, either directly or indirectly, be drawn up in English.</w:t>
      </w:r>
    </w:p>
    <w:p>
      <w:pPr>
        <w:spacing w:after="0" w:line="6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Utilisation de l’anglais</w:t>
      </w:r>
      <w:r>
        <w:rPr>
          <w:rFonts w:ascii="Times New Roman" w:cs="Times New Roman" w:eastAsia="Times New Roman" w:hAnsi="Times New Roman"/>
          <w:sz w:val="22"/>
          <w:szCs w:val="22"/>
          <w:color w:val="auto"/>
        </w:rPr>
        <w:t>. En acceptant l'Attribution, le Participant reconnaît et accepte avoir expressément souhaité la rédaction en anglais du Contrat, de la présente Annexe, ainsi que de tous documents exécutés, avis donnés et procédures judiciaires intentées, directement ou indirectement, en vertu de l'Attribution</w:t>
      </w:r>
      <w:r>
        <w:rPr>
          <w:rFonts w:ascii="Times New Roman" w:cs="Times New Roman" w:eastAsia="Times New Roman" w:hAnsi="Times New Roman"/>
          <w:sz w:val="22"/>
          <w:szCs w:val="22"/>
          <w:color w:val="222222"/>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INDIA</w:t>
      </w:r>
    </w:p>
    <w:p>
      <w:pPr>
        <w:spacing w:after="0" w:line="237" w:lineRule="exact"/>
        <w:rPr>
          <w:sz w:val="20"/>
          <w:szCs w:val="20"/>
          <w:color w:val="auto"/>
        </w:rPr>
      </w:pPr>
    </w:p>
    <w:p>
      <w:pPr>
        <w:ind w:right="20" w:firstLine="757"/>
        <w:spacing w:after="0" w:line="258" w:lineRule="auto"/>
        <w:tabs>
          <w:tab w:leader="none" w:pos="1018" w:val="left"/>
        </w:tabs>
        <w:numPr>
          <w:ilvl w:val="0"/>
          <w:numId w:val="1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Labor Law Acknowledgement</w:t>
      </w:r>
      <w:r>
        <w:rPr>
          <w:rFonts w:ascii="Times New Roman" w:cs="Times New Roman" w:eastAsia="Times New Roman" w:hAnsi="Times New Roman"/>
          <w:sz w:val="22"/>
          <w:szCs w:val="22"/>
          <w:color w:val="auto"/>
        </w:rPr>
        <w:t>. The Units and any amount paid pursuant to the Award received under the Plan, and the income and value of same, are extraordinary items that are not part of your annual gross salary.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ITALY</w:t>
      </w:r>
    </w:p>
    <w:p>
      <w:pPr>
        <w:spacing w:after="0" w:line="237" w:lineRule="exact"/>
        <w:rPr>
          <w:sz w:val="20"/>
          <w:szCs w:val="20"/>
          <w:color w:val="auto"/>
        </w:rPr>
      </w:pPr>
    </w:p>
    <w:p>
      <w:pPr>
        <w:jc w:val="both"/>
        <w:ind w:firstLine="851"/>
        <w:spacing w:after="0" w:line="244" w:lineRule="auto"/>
        <w:tabs>
          <w:tab w:leader="none" w:pos="127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Document Acknowledgment</w:t>
      </w:r>
      <w:r>
        <w:rPr>
          <w:rFonts w:ascii="Times New Roman" w:cs="Times New Roman" w:eastAsia="Times New Roman" w:hAnsi="Times New Roman"/>
          <w:sz w:val="22"/>
          <w:szCs w:val="22"/>
          <w:color w:val="auto"/>
        </w:rPr>
        <w:t>. In accepting the Units, the Participant acknowledges that he or she received a copy of the Plan and the Agreement and reviewed the Plan and the Agreement, including this Addendum, in their entirety and fully understands and accepts all provisions of the Plan and the Agreement, including this Addendum.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jc w:val="both"/>
        <w:ind w:firstLine="843"/>
        <w:spacing w:after="0" w:line="239" w:lineRule="auto"/>
        <w:rPr>
          <w:sz w:val="20"/>
          <w:szCs w:val="20"/>
          <w:color w:val="auto"/>
        </w:rPr>
      </w:pPr>
      <w:r>
        <w:rPr>
          <w:rFonts w:ascii="Times New Roman" w:cs="Times New Roman" w:eastAsia="Times New Roman" w:hAnsi="Times New Roman"/>
          <w:sz w:val="22"/>
          <w:szCs w:val="22"/>
          <w:color w:val="auto"/>
        </w:rPr>
        <w:t>More specifically, the Participant acknowledges that he or she has read and specifically and expressly approves the following provisions of the Agreement: Section 1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Section 3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Section 9 (</w:t>
      </w: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Section 10 (</w:t>
      </w:r>
      <w:r>
        <w:rPr>
          <w:rFonts w:ascii="Times New Roman" w:cs="Times New Roman" w:eastAsia="Times New Roman" w:hAnsi="Times New Roman"/>
          <w:sz w:val="22"/>
          <w:szCs w:val="22"/>
          <w:u w:val="single" w:color="auto"/>
          <w:color w:val="auto"/>
        </w:rPr>
        <w:t>Acknowledgment and Waiver)</w:t>
      </w:r>
      <w:r>
        <w:rPr>
          <w:rFonts w:ascii="Times New Roman" w:cs="Times New Roman" w:eastAsia="Times New Roman" w:hAnsi="Times New Roman"/>
          <w:sz w:val="22"/>
          <w:szCs w:val="22"/>
          <w:color w:val="auto"/>
        </w:rPr>
        <w:t>; Section 11 (Data Privacy); Section 16(a) (</w:t>
      </w: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Section 16(e) (</w:t>
      </w:r>
      <w:r>
        <w:rPr>
          <w:rFonts w:ascii="Times New Roman" w:cs="Times New Roman" w:eastAsia="Times New Roman" w:hAnsi="Times New Roman"/>
          <w:sz w:val="22"/>
          <w:szCs w:val="22"/>
          <w:u w:val="single" w:color="auto"/>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and Participation</w:t>
      </w:r>
      <w:r>
        <w:rPr>
          <w:rFonts w:ascii="Times New Roman" w:cs="Times New Roman" w:eastAsia="Times New Roman" w:hAnsi="Times New Roman"/>
          <w:sz w:val="22"/>
          <w:szCs w:val="22"/>
          <w:color w:val="auto"/>
        </w:rPr>
        <w:t>); Section 16(f)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and Section 16(m) (</w:t>
      </w:r>
      <w:r>
        <w:rPr>
          <w:rFonts w:ascii="Times New Roman" w:cs="Times New Roman" w:eastAsia="Times New Roman" w:hAnsi="Times New Roman"/>
          <w:sz w:val="22"/>
          <w:szCs w:val="22"/>
          <w:u w:val="single" w:color="auto"/>
          <w:color w:val="auto"/>
        </w:rPr>
        <w:t>Addendum to Agreement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MEXICO</w:t>
      </w:r>
    </w:p>
    <w:p>
      <w:pPr>
        <w:spacing w:after="0" w:line="345" w:lineRule="exact"/>
        <w:rPr>
          <w:sz w:val="20"/>
          <w:szCs w:val="20"/>
          <w:color w:val="auto"/>
        </w:rPr>
      </w:pPr>
    </w:p>
    <w:p>
      <w:pPr>
        <w:jc w:val="both"/>
        <w:ind w:firstLine="757"/>
        <w:spacing w:after="0" w:line="234" w:lineRule="auto"/>
        <w:tabs>
          <w:tab w:leader="none" w:pos="119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 Policy and Acknowledgment</w:t>
      </w:r>
      <w:r>
        <w:rPr>
          <w:rFonts w:ascii="Times New Roman" w:cs="Times New Roman" w:eastAsia="Times New Roman" w:hAnsi="Times New Roman"/>
          <w:sz w:val="22"/>
          <w:szCs w:val="22"/>
          <w:color w:val="auto"/>
        </w:rPr>
        <w:t>. The Participant expressly recognizes that participation in the Plan and Ashland's grant of the Units does not constitute an employment relationship between the Participant and Ashland. The Participant has been granted the Units as a consequence of the commercial relationship between Ashland and such Affiliate of Ashland that employs Participant in Mexico (the “Employer”), and the Employer is the Participant’s sole employer. Based on the foregoing, the Participant expressly recognizes that (a) the Plan and the benefits derived from participation in the Plan do not establish any rights between the Participant and the Employer, (b) the Plan and the benefits derived from participation in the Plan are not part of the employment conditions and/or benefits provided by the Employer, and (c) any modifications or amendments of the Plan by Ashland, or a termination of the Plan by Ashland, shall not constitute a change or impairment of the terms and conditions of the Participant’s employment with the Employer in Mexico.</w:t>
      </w:r>
    </w:p>
    <w:p>
      <w:pPr>
        <w:spacing w:after="0" w:line="210" w:lineRule="exact"/>
        <w:rPr>
          <w:rFonts w:ascii="Times New Roman" w:cs="Times New Roman" w:eastAsia="Times New Roman" w:hAnsi="Times New Roman"/>
          <w:sz w:val="22"/>
          <w:szCs w:val="22"/>
          <w:color w:val="auto"/>
        </w:rPr>
      </w:pPr>
    </w:p>
    <w:p>
      <w:pPr>
        <w:jc w:val="both"/>
        <w:ind w:firstLine="757"/>
        <w:spacing w:after="0" w:line="247" w:lineRule="auto"/>
        <w:tabs>
          <w:tab w:leader="none" w:pos="1194"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Extraordinary Item of Compensation</w:t>
      </w:r>
      <w:r>
        <w:rPr>
          <w:rFonts w:ascii="Times New Roman" w:cs="Times New Roman" w:eastAsia="Times New Roman" w:hAnsi="Times New Roman"/>
          <w:sz w:val="21"/>
          <w:szCs w:val="21"/>
          <w:color w:val="auto"/>
        </w:rPr>
        <w:t>. The Participant expressly recognizes and acknowledges that participation in the Plan is a result of the discretionary and unilateral decision of Ashland, as well as the Participant’s free and voluntary decision to participate in the Plan in accord with the terms and conditions of the Plan, the Agreement and this Addendum. As such, the Participant acknowledges and agrees that Ashland may, in its sole discretion, amend and/or discontinue the Participant’s participation in the Plan at any time and without any liability. The value of the Units is an extraordinary item of compensation outside the scope of the employment contract, if any. The Units are not a part of the Participant’s regular or expected compensation for purposes of calculating any severance, resignation, redundancy, end of service payments, bonuses, long-service awards, pension or retirement benefits, or any similar mandatory payments, which are the exclusive obligations of the Employer.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NETHERLANDS</w:t>
      </w:r>
    </w:p>
    <w:p>
      <w:pPr>
        <w:spacing w:after="0" w:line="345" w:lineRule="exact"/>
        <w:rPr>
          <w:sz w:val="20"/>
          <w:szCs w:val="20"/>
          <w:color w:val="auto"/>
        </w:rPr>
      </w:pPr>
    </w:p>
    <w:p>
      <w:pPr>
        <w:jc w:val="both"/>
        <w:ind w:firstLine="757"/>
        <w:spacing w:after="0" w:line="239" w:lineRule="auto"/>
        <w:tabs>
          <w:tab w:leader="none" w:pos="118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Termination Rights</w:t>
      </w:r>
      <w:r>
        <w:rPr>
          <w:rFonts w:ascii="Times New Roman" w:cs="Times New Roman" w:eastAsia="Times New Roman" w:hAnsi="Times New Roman"/>
          <w:sz w:val="22"/>
          <w:szCs w:val="22"/>
          <w:color w:val="auto"/>
        </w:rPr>
        <w:t>. As a condition to the grant of the Units, the Participant hereby waives any and all rights to compensation or damages as a result of a termination of employment for any reason whatsoever, insofar as those rights result or may result from (a) the loss or diminution in value of such rights or entitlements under the Plan, or (b) the Participant ceasing to have rights under, or ceasing to be entitled to any awards under the Plan as a result of such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SPAIN</w:t>
      </w:r>
    </w:p>
    <w:p>
      <w:pPr>
        <w:spacing w:after="0" w:line="237" w:lineRule="exact"/>
        <w:rPr>
          <w:sz w:val="20"/>
          <w:szCs w:val="20"/>
          <w:color w:val="auto"/>
        </w:rPr>
      </w:pPr>
    </w:p>
    <w:p>
      <w:pPr>
        <w:jc w:val="both"/>
        <w:ind w:firstLine="757"/>
        <w:spacing w:after="0" w:line="255" w:lineRule="auto"/>
        <w:tabs>
          <w:tab w:leader="none" w:pos="119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 of Discretionary Nature of the Plan; No Vested Rights</w:t>
      </w:r>
      <w:r>
        <w:rPr>
          <w:rFonts w:ascii="Times New Roman" w:cs="Times New Roman" w:eastAsia="Times New Roman" w:hAnsi="Times New Roman"/>
          <w:sz w:val="21"/>
          <w:szCs w:val="21"/>
          <w:color w:val="auto"/>
        </w:rPr>
        <w:t>. By accepting the Units, the Participant consents to participation in the Plan and acknowledges receipt of a copy of the Plan. The Participant understands that Ashland has unilaterally, gratuitously and in its sole discretion granted the Units under the Plan to individuals who may be employees of Ashland or its Affiliates throughout the world. The decision is a limited decision that is entered into upon the express assumption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jc w:val="both"/>
        <w:spacing w:after="0" w:line="235" w:lineRule="auto"/>
        <w:rPr>
          <w:sz w:val="20"/>
          <w:szCs w:val="20"/>
          <w:color w:val="auto"/>
        </w:rPr>
      </w:pPr>
      <w:r>
        <w:rPr>
          <w:rFonts w:ascii="Times New Roman" w:cs="Times New Roman" w:eastAsia="Times New Roman" w:hAnsi="Times New Roman"/>
          <w:sz w:val="22"/>
          <w:szCs w:val="22"/>
          <w:color w:val="auto"/>
        </w:rPr>
        <w:t>and condition that any grant will not economically or otherwise bind Ashland or any of its Affiliates on an ongoing basis. Consequently, the Participant understands that the Units are granted on the assumption and condition that the Units and the cash payment in settlement of the Units shall not become a part of any employment contract (either with Ashland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Units shall be null and void.</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understands and agrees that, as a condition of the Units, unless otherwise provided in the Agreement, any unvested Units as of the date the Participant ceases employment will be forfeited without further entitlement or any amount of indemnification in the event of termination of employment. The Participant acknowledges that the Participant has read and specifically accepts the terms and conditions referred to in the Agreement regarding the impact of a termination of employment on the Units.</w:t>
      </w:r>
    </w:p>
    <w:p>
      <w:pPr>
        <w:spacing w:after="0" w:line="69" w:lineRule="exact"/>
        <w:rPr>
          <w:sz w:val="20"/>
          <w:szCs w:val="20"/>
          <w:color w:val="auto"/>
        </w:rPr>
      </w:pPr>
    </w:p>
    <w:p>
      <w:pPr>
        <w:jc w:val="both"/>
        <w:ind w:right="20" w:firstLine="757"/>
        <w:spacing w:after="0" w:line="238" w:lineRule="auto"/>
        <w:tabs>
          <w:tab w:leader="none" w:pos="119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Notwithstanding anything to the contrary in the Plan or the Agreement, “Cause” shall be defined as set forth in the Agreement, regardless of whether the termination is considered a fair termination (i.e., “despido procedente”) under Spanish legislation.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SWITZERLAND</w:t>
      </w:r>
    </w:p>
    <w:p>
      <w:pPr>
        <w:spacing w:after="0" w:line="209" w:lineRule="exact"/>
        <w:rPr>
          <w:sz w:val="20"/>
          <w:szCs w:val="20"/>
          <w:color w:val="auto"/>
        </w:rPr>
      </w:pPr>
    </w:p>
    <w:p>
      <w:pPr>
        <w:jc w:val="both"/>
        <w:ind w:firstLine="757"/>
        <w:spacing w:after="0" w:line="251" w:lineRule="auto"/>
        <w:tabs>
          <w:tab w:leader="none" w:pos="119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 Acknowledgment</w:t>
      </w:r>
      <w:r>
        <w:rPr>
          <w:rFonts w:ascii="Times New Roman" w:cs="Times New Roman" w:eastAsia="Times New Roman" w:hAnsi="Times New Roman"/>
          <w:sz w:val="21"/>
          <w:szCs w:val="21"/>
          <w:color w:val="auto"/>
        </w:rPr>
        <w:t>. Neither the Agreement, the Addendum nor any other materials relating to the Units (a) constitutes a prospectus according to articles 35 et seq. of the Swiss Federal Act on Financial Services (“FinSA”), (b) may be publicly distributed nor otherwise made publicly available in Switzerland to any person other than an employee of Ashland and its Affiliates or (c) has been or will be filed with, approved or supervised by any Swiss reviewing body according to article 51 of FinSA or any Swiss regulatory authority, including the Swiss Financial Market Supervisory Authority (“FINMA”).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37" w:lineRule="exact"/>
        <w:rPr>
          <w:sz w:val="20"/>
          <w:szCs w:val="20"/>
          <w:color w:val="auto"/>
        </w:rPr>
      </w:pPr>
    </w:p>
    <w:p>
      <w:pPr>
        <w:ind w:left="1180" w:hanging="423"/>
        <w:spacing w:after="0"/>
        <w:tabs>
          <w:tab w:leader="none" w:pos="11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supplements Section 4 of the Agreement:</w:t>
      </w:r>
    </w:p>
    <w:p>
      <w:pPr>
        <w:spacing w:after="0" w:line="23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Without limitation to Section 4 of the Agreement, the Participant agrees that he or she is liable for all Tax-Related Items and hereby covenants to pay all such Tax-Related Items as and when requested by Ashland, such Affiliate of Ashland that employs Participant (the “Employer”) or by Her Majesty’s Revenue and Customs (“HMRC”) (or any other tax authority or any other relevant authority). The Participant also agrees to indemnify and keep indemnified Ashland and the Employer against any taxes that they are required to pay or withhold or have paid or will pay to HMRC (or any other tax authority or any other relevant authority) on the Participant’s behalf.</w:t>
      </w:r>
    </w:p>
    <w:p>
      <w:pPr>
        <w:spacing w:after="0" w:line="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the foregoing, if the Participant is an executive officer or director (as within the meaning of Section 13(k) of the Exchange Act), the Participant understands that the terms of the immediately foregoing provision will not apply. In the event that the Participant is a director or an executive officer and income tax due is not collected from or paid by the Participant within 90 days after the end of the U.K. tax year in which the event giving rise to the income tax occurs (or such other period specified in U.K. law), the amount of any uncollected income tax may constitute a benefit to the Participant on which additional income tax and National Insurance Contributions (“NICs”) may be payable.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Participant acknowledges that, ultimately, the Participant is responsible for reporting and paying any income tax due on this additional benefit directly to HMRC under the self-assessment regime and for paying Ashland or the Employer (as applicable) the amount of any employee NICs due on this additional benefit. The Participant further acknowledges that Ashland or the Employer (as applicable) may recover such amounts from the Participant by any of the means referred to in Section 4 of the Agreement.</w:t>
      </w:r>
    </w:p>
    <w:p>
      <w:pPr>
        <w:spacing w:after="0" w:line="204" w:lineRule="exact"/>
        <w:rPr>
          <w:sz w:val="20"/>
          <w:szCs w:val="20"/>
          <w:color w:val="auto"/>
        </w:rPr>
      </w:pPr>
    </w:p>
    <w:p>
      <w:pPr>
        <w:jc w:val="both"/>
        <w:ind w:firstLine="757"/>
        <w:spacing w:after="0" w:line="238" w:lineRule="auto"/>
        <w:tabs>
          <w:tab w:leader="none" w:pos="120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 of Claim</w:t>
      </w:r>
      <w:r>
        <w:rPr>
          <w:rFonts w:ascii="Times New Roman" w:cs="Times New Roman" w:eastAsia="Times New Roman" w:hAnsi="Times New Roman"/>
          <w:sz w:val="22"/>
          <w:szCs w:val="22"/>
          <w:color w:val="auto"/>
        </w:rPr>
        <w:t>. The Participant acknowledges and agrees that the Participant shall have no entitlement to compensation or damages insofar as such entitlement arises or may arise from the Participant’s ceasing to have rights under or to be entitled to vest in the Units, whether or not as a result of such termination (whether the termination is in breach of contract or otherwise), or from the loss or diminution in value of the Units. Upon the grant of the Units, the Participant shall be deemed irrevocably to have waived any such entitlement.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and Confidential</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Policy</w:t>
            </w:r>
          </w:p>
        </w:tc>
        <w:tc>
          <w:tcPr>
            <w:tcW w:w="9500" w:type="dxa"/>
            <w:vAlign w:val="bottom"/>
          </w:tcPr>
          <w:p>
            <w:pPr>
              <w:ind w:left="460"/>
              <w:spacing w:after="0"/>
              <w:rPr>
                <w:sz w:val="20"/>
                <w:szCs w:val="20"/>
                <w:color w:val="auto"/>
              </w:rPr>
            </w:pPr>
            <w:r>
              <w:rPr>
                <w:rFonts w:ascii="Arial" w:cs="Arial" w:eastAsia="Arial" w:hAnsi="Arial"/>
                <w:sz w:val="18"/>
                <w:szCs w:val="18"/>
                <w:color w:val="auto"/>
              </w:rPr>
              <w:t>Ashland Inc. (“Ashland”) requires strict compliance with all applicable securities laws, including prohibitions</w:t>
            </w:r>
          </w:p>
        </w:tc>
      </w:tr>
      <w:tr>
        <w:trPr>
          <w:trHeight w:val="203"/>
        </w:trPr>
        <w:tc>
          <w:tcPr>
            <w:tcW w:w="17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Statement</w:t>
            </w: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against the insider trading laws of the United States and other applicable non-U.S. jurisdictions. This Insider</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Trading Policy (this “Policy”), which has been adopted by the Board of Directors (the “Board”) of Ashland,</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describes Ashland’s standards and expectations with respect to (a) insider trading by any person affiliated</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with Ashland and its subsidiaries, (b) heightened requirements and restrictions for certain identified Ashland</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individuals, and (c) special requirements for members of the Board and certain executive officers of Ashland</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who the Board has determined are subject to the reporting requirements of Section 16 of the Securities</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Exchange Act of 1934, as amended (“Section 16,” and the persons subject to Section 16 reporting including</w:t>
            </w:r>
          </w:p>
        </w:tc>
      </w:tr>
      <w:tr>
        <w:trPr>
          <w:trHeight w:val="239"/>
        </w:trPr>
        <w:tc>
          <w:tcPr>
            <w:tcW w:w="1740" w:type="dxa"/>
            <w:vAlign w:val="bottom"/>
          </w:tcPr>
          <w:p>
            <w:pPr>
              <w:spacing w:after="0"/>
              <w:rPr>
                <w:sz w:val="20"/>
                <w:szCs w:val="20"/>
                <w:color w:val="auto"/>
              </w:rPr>
            </w:pPr>
          </w:p>
        </w:tc>
        <w:tc>
          <w:tcPr>
            <w:tcW w:w="9500" w:type="dxa"/>
            <w:vAlign w:val="bottom"/>
          </w:tcPr>
          <w:p>
            <w:pPr>
              <w:ind w:left="460"/>
              <w:spacing w:after="0"/>
              <w:rPr>
                <w:sz w:val="20"/>
                <w:szCs w:val="20"/>
                <w:color w:val="auto"/>
              </w:rPr>
            </w:pPr>
            <w:r>
              <w:rPr>
                <w:rFonts w:ascii="Arial" w:cs="Arial" w:eastAsia="Arial" w:hAnsi="Arial"/>
                <w:sz w:val="18"/>
                <w:szCs w:val="18"/>
                <w:color w:val="auto"/>
              </w:rPr>
              <w:t>the members of the Board, the “Section 16 Persons”).</w:t>
            </w:r>
          </w:p>
        </w:tc>
      </w:tr>
      <w:tr>
        <w:trPr>
          <w:trHeight w:val="369"/>
        </w:trPr>
        <w:tc>
          <w:tcPr>
            <w:tcW w:w="17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Arial" w:cs="Arial" w:eastAsia="Arial" w:hAnsi="Arial"/>
                <w:sz w:val="18"/>
                <w:szCs w:val="18"/>
                <w:color w:val="auto"/>
              </w:rPr>
              <w:t>This Policy applies to all “Covered Persons,” which means all: (a) directors, officers, and employees</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(worldwide) of Ashland or its subsidiaries; (b) Family Members (as defined below) of, or entities controlled by,</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the foregoing persons; (c) contractors or consultants of Ashland; and (d) any other persons who may, from</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time to time, be deemed subject to this Policy by Ashland’s General Counsel. “Family Members” means (i)</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family members who reside with a Covered Person; (ii) any other person who lives in the same household as</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a Covered Person; (iii) family members who do not live in the same household as a Covered Person but</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color w:val="auto"/>
              </w:rPr>
              <w:t>whose transactions in Ashland securities are directed, influenced, or controlled by a Covered Person; and (iv)</w:t>
            </w:r>
          </w:p>
        </w:tc>
      </w:tr>
      <w:tr>
        <w:trPr>
          <w:trHeight w:val="239"/>
        </w:trPr>
        <w:tc>
          <w:tcPr>
            <w:tcW w:w="1740" w:type="dxa"/>
            <w:vAlign w:val="bottom"/>
          </w:tcPr>
          <w:p>
            <w:pPr>
              <w:spacing w:after="0"/>
              <w:rPr>
                <w:sz w:val="20"/>
                <w:szCs w:val="20"/>
                <w:color w:val="auto"/>
              </w:rPr>
            </w:pPr>
          </w:p>
        </w:tc>
        <w:tc>
          <w:tcPr>
            <w:tcW w:w="9500" w:type="dxa"/>
            <w:vAlign w:val="bottom"/>
          </w:tcPr>
          <w:p>
            <w:pPr>
              <w:ind w:left="460"/>
              <w:spacing w:after="0"/>
              <w:rPr>
                <w:sz w:val="20"/>
                <w:szCs w:val="20"/>
                <w:color w:val="auto"/>
              </w:rPr>
            </w:pPr>
            <w:r>
              <w:rPr>
                <w:rFonts w:ascii="Arial" w:cs="Arial" w:eastAsia="Arial" w:hAnsi="Arial"/>
                <w:sz w:val="18"/>
                <w:szCs w:val="18"/>
                <w:color w:val="auto"/>
              </w:rPr>
              <w:t>family trusts, family partnerships, or other similar entities controlled by or benefiting a Covered Person.</w:t>
            </w:r>
          </w:p>
        </w:tc>
      </w:tr>
      <w:tr>
        <w:trPr>
          <w:trHeight w:val="369"/>
        </w:trPr>
        <w:tc>
          <w:tcPr>
            <w:tcW w:w="1740" w:type="dxa"/>
            <w:vAlign w:val="bottom"/>
          </w:tcPr>
          <w:p>
            <w:pPr>
              <w:spacing w:after="0"/>
              <w:rPr>
                <w:sz w:val="24"/>
                <w:szCs w:val="24"/>
                <w:color w:val="auto"/>
              </w:rPr>
            </w:pPr>
          </w:p>
        </w:tc>
        <w:tc>
          <w:tcPr>
            <w:tcW w:w="9500" w:type="dxa"/>
            <w:vAlign w:val="bottom"/>
          </w:tcPr>
          <w:p>
            <w:pPr>
              <w:ind w:left="460"/>
              <w:spacing w:after="0"/>
              <w:rPr>
                <w:sz w:val="20"/>
                <w:szCs w:val="20"/>
                <w:color w:val="auto"/>
              </w:rPr>
            </w:pPr>
            <w:r>
              <w:rPr>
                <w:rFonts w:ascii="Arial" w:cs="Arial" w:eastAsia="Arial" w:hAnsi="Arial"/>
                <w:sz w:val="18"/>
                <w:szCs w:val="18"/>
                <w:b w:val="1"/>
                <w:bCs w:val="1"/>
                <w:color w:val="auto"/>
              </w:rPr>
              <w:t>INSIDER TRADING IS A VERY SERIOUS MATTER. INSIDER TRADING AND TIPPING INSIDER</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INFORMATION IS ILLEGAL AND CAN RESULT IN JAIL SENTENCES AS WELL AS SIGNIFICANT</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PERSONAL LIABILITY AND CIVIL AND CRIMINAL FINES AND PENALTIES. COVERED PERSONS</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WHO VIOLATE THIS POLICY MAY BE SUBJECT TO DISCIPLINARY ACTION BY THE COMPANY, UP</w:t>
            </w:r>
          </w:p>
        </w:tc>
      </w:tr>
      <w:tr>
        <w:trPr>
          <w:trHeight w:val="202"/>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TO AND INCLUDING TERMINATION FOR CAUSE. IF YOU HAVE ANY QUESTIONS OR DOUBT ABOUT</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THE APPLICABILITY OR INTERPRETATION OF THIS POLICY OR WHETHER ANY SECURITIES</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TRANSACTION SHOULD BE UNDERTAKEN, PLEASE SEEK CLARIFICATION FROM THE COMPANY’S</w:t>
            </w:r>
          </w:p>
        </w:tc>
      </w:tr>
      <w:tr>
        <w:trPr>
          <w:trHeight w:val="203"/>
        </w:trPr>
        <w:tc>
          <w:tcPr>
            <w:tcW w:w="1740" w:type="dxa"/>
            <w:vAlign w:val="bottom"/>
          </w:tcPr>
          <w:p>
            <w:pPr>
              <w:spacing w:after="0"/>
              <w:rPr>
                <w:sz w:val="17"/>
                <w:szCs w:val="17"/>
                <w:color w:val="auto"/>
              </w:rPr>
            </w:pPr>
          </w:p>
        </w:tc>
        <w:tc>
          <w:tcPr>
            <w:tcW w:w="9500" w:type="dxa"/>
            <w:vAlign w:val="bottom"/>
          </w:tcPr>
          <w:p>
            <w:pPr>
              <w:ind w:left="460"/>
              <w:spacing w:after="0" w:line="202" w:lineRule="exact"/>
              <w:rPr>
                <w:sz w:val="20"/>
                <w:szCs w:val="20"/>
                <w:color w:val="auto"/>
              </w:rPr>
            </w:pPr>
            <w:r>
              <w:rPr>
                <w:rFonts w:ascii="Arial" w:cs="Arial" w:eastAsia="Arial" w:hAnsi="Arial"/>
                <w:sz w:val="18"/>
                <w:szCs w:val="18"/>
                <w:b w:val="1"/>
                <w:bCs w:val="1"/>
                <w:color w:val="auto"/>
              </w:rPr>
              <w:t>LAW DEPARTMENT. DO NOT ATTEMPT TO RESOLVE UNCERTAINTIES ABOUT THIS POLICY</w:t>
            </w:r>
          </w:p>
        </w:tc>
      </w:tr>
      <w:tr>
        <w:trPr>
          <w:trHeight w:val="247"/>
        </w:trPr>
        <w:tc>
          <w:tcPr>
            <w:tcW w:w="1740" w:type="dxa"/>
            <w:vAlign w:val="bottom"/>
          </w:tcPr>
          <w:p>
            <w:pPr>
              <w:spacing w:after="0"/>
              <w:rPr>
                <w:sz w:val="21"/>
                <w:szCs w:val="21"/>
                <w:color w:val="auto"/>
              </w:rPr>
            </w:pPr>
          </w:p>
        </w:tc>
        <w:tc>
          <w:tcPr>
            <w:tcW w:w="9500" w:type="dxa"/>
            <w:vAlign w:val="bottom"/>
          </w:tcPr>
          <w:p>
            <w:pPr>
              <w:ind w:left="460"/>
              <w:spacing w:after="0"/>
              <w:rPr>
                <w:sz w:val="20"/>
                <w:szCs w:val="20"/>
                <w:color w:val="auto"/>
              </w:rPr>
            </w:pPr>
            <w:r>
              <w:rPr>
                <w:rFonts w:ascii="Arial" w:cs="Arial" w:eastAsia="Arial" w:hAnsi="Arial"/>
                <w:sz w:val="18"/>
                <w:szCs w:val="18"/>
                <w:b w:val="1"/>
                <w:bCs w:val="1"/>
                <w:color w:val="auto"/>
              </w:rPr>
              <w:t>WITHOUT THE LAW DEPARTMENT’S ASSISTANCE.</w:t>
            </w:r>
          </w:p>
        </w:tc>
      </w:tr>
      <w:tr>
        <w:trPr>
          <w:trHeight w:val="604"/>
        </w:trPr>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International</w:t>
            </w:r>
          </w:p>
        </w:tc>
        <w:tc>
          <w:tcPr>
            <w:tcW w:w="9500" w:type="dxa"/>
            <w:vAlign w:val="bottom"/>
          </w:tcPr>
          <w:p>
            <w:pPr>
              <w:ind w:left="440"/>
              <w:spacing w:after="0"/>
              <w:rPr>
                <w:sz w:val="20"/>
                <w:szCs w:val="20"/>
                <w:color w:val="auto"/>
              </w:rPr>
            </w:pPr>
            <w:r>
              <w:rPr>
                <w:rFonts w:ascii="Arial" w:cs="Arial" w:eastAsia="Arial" w:hAnsi="Arial"/>
                <w:sz w:val="18"/>
                <w:szCs w:val="18"/>
                <w:color w:val="auto"/>
              </w:rPr>
              <w:t>This Policy has been translated into multiple languages. Refer to AI-POL-004.024 to</w:t>
            </w:r>
          </w:p>
        </w:tc>
      </w:tr>
      <w:tr>
        <w:trPr>
          <w:trHeight w:val="247"/>
        </w:trPr>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Translations</w:t>
            </w:r>
          </w:p>
        </w:tc>
        <w:tc>
          <w:tcPr>
            <w:tcW w:w="9500" w:type="dxa"/>
            <w:vAlign w:val="bottom"/>
          </w:tcPr>
          <w:p>
            <w:pPr>
              <w:ind w:left="440"/>
              <w:spacing w:after="0"/>
              <w:rPr>
                <w:sz w:val="20"/>
                <w:szCs w:val="20"/>
                <w:color w:val="auto"/>
              </w:rPr>
            </w:pPr>
            <w:r>
              <w:rPr>
                <w:rFonts w:ascii="Arial" w:cs="Arial" w:eastAsia="Arial" w:hAnsi="Arial"/>
                <w:sz w:val="18"/>
                <w:szCs w:val="18"/>
                <w:color w:val="auto"/>
              </w:rPr>
              <w:t>access the Policy in a specific language.</w:t>
            </w:r>
          </w:p>
        </w:tc>
      </w:tr>
      <w:tr>
        <w:trPr>
          <w:trHeight w:val="778"/>
        </w:trPr>
        <w:tc>
          <w:tcPr>
            <w:tcW w:w="174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b w:val="1"/>
                <w:bCs w:val="1"/>
                <w:color w:val="auto"/>
              </w:rPr>
              <w:t>Prohibitions</w:t>
            </w:r>
          </w:p>
        </w:tc>
        <w:tc>
          <w:tcPr>
            <w:tcW w:w="8960" w:type="dxa"/>
            <w:vAlign w:val="bottom"/>
          </w:tcPr>
          <w:p>
            <w:pPr>
              <w:ind w:left="200"/>
              <w:spacing w:after="0"/>
              <w:rPr>
                <w:sz w:val="20"/>
                <w:szCs w:val="20"/>
                <w:color w:val="auto"/>
              </w:rPr>
            </w:pPr>
            <w:r>
              <w:rPr>
                <w:rFonts w:ascii="Arial" w:cs="Arial" w:eastAsia="Arial" w:hAnsi="Arial"/>
                <w:sz w:val="18"/>
                <w:szCs w:val="18"/>
                <w:color w:val="auto"/>
              </w:rPr>
              <w:t>U.S. securities laws prohibit individuals from purchasing or selling securities while in possession of “material,</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b w:val="1"/>
                <w:bCs w:val="1"/>
                <w:color w:val="auto"/>
              </w:rPr>
              <w:t>Against Trading</w:t>
            </w:r>
          </w:p>
        </w:tc>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non-public information” (as defined below). This conduct is referred to as “insider trading”.</w:t>
            </w: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b w:val="1"/>
                <w:bCs w:val="1"/>
                <w:color w:val="auto"/>
              </w:rPr>
              <w:t>While Aware of</w:t>
            </w:r>
          </w:p>
        </w:tc>
        <w:tc>
          <w:tcPr>
            <w:tcW w:w="8960" w:type="dxa"/>
            <w:vAlign w:val="bottom"/>
          </w:tcPr>
          <w:p>
            <w:pPr>
              <w:spacing w:after="0"/>
              <w:rPr>
                <w:sz w:val="17"/>
                <w:szCs w:val="17"/>
                <w:color w:val="auto"/>
              </w:rPr>
            </w:pPr>
          </w:p>
        </w:tc>
      </w:tr>
      <w:tr>
        <w:trPr>
          <w:trHeight w:val="203"/>
        </w:trPr>
        <w:tc>
          <w:tcPr>
            <w:tcW w:w="1780" w:type="dxa"/>
            <w:vAlign w:val="bottom"/>
          </w:tcPr>
          <w:p>
            <w:pPr>
              <w:spacing w:after="0" w:line="202" w:lineRule="exact"/>
              <w:rPr>
                <w:sz w:val="20"/>
                <w:szCs w:val="20"/>
                <w:color w:val="auto"/>
              </w:rPr>
            </w:pPr>
            <w:r>
              <w:rPr>
                <w:rFonts w:ascii="Arial" w:cs="Arial" w:eastAsia="Arial" w:hAnsi="Arial"/>
                <w:sz w:val="18"/>
                <w:szCs w:val="18"/>
                <w:b w:val="1"/>
                <w:bCs w:val="1"/>
                <w:color w:val="auto"/>
              </w:rPr>
              <w:t>Material, Non-</w:t>
            </w:r>
          </w:p>
        </w:tc>
        <w:tc>
          <w:tcPr>
            <w:tcW w:w="8960" w:type="dxa"/>
            <w:vAlign w:val="bottom"/>
          </w:tcPr>
          <w:p>
            <w:pPr>
              <w:ind w:left="240"/>
              <w:spacing w:after="0" w:line="202" w:lineRule="exact"/>
              <w:rPr>
                <w:sz w:val="20"/>
                <w:szCs w:val="20"/>
                <w:color w:val="auto"/>
              </w:rPr>
            </w:pPr>
            <w:r>
              <w:rPr>
                <w:rFonts w:ascii="Arial" w:cs="Arial" w:eastAsia="Arial" w:hAnsi="Arial"/>
                <w:sz w:val="18"/>
                <w:szCs w:val="18"/>
                <w:color w:val="auto"/>
              </w:rPr>
              <w:t>In accordance with U.S. securities laws and this Policy, Covered Persons are</w:t>
            </w:r>
          </w:p>
        </w:tc>
      </w:tr>
      <w:tr>
        <w:trPr>
          <w:trHeight w:val="216"/>
        </w:trPr>
        <w:tc>
          <w:tcPr>
            <w:tcW w:w="1780" w:type="dxa"/>
            <w:vAlign w:val="bottom"/>
          </w:tcPr>
          <w:p>
            <w:pPr>
              <w:spacing w:after="0"/>
              <w:rPr>
                <w:sz w:val="20"/>
                <w:szCs w:val="20"/>
                <w:color w:val="auto"/>
              </w:rPr>
            </w:pPr>
            <w:r>
              <w:rPr>
                <w:rFonts w:ascii="Arial" w:cs="Arial" w:eastAsia="Arial" w:hAnsi="Arial"/>
                <w:sz w:val="18"/>
                <w:szCs w:val="18"/>
                <w:b w:val="1"/>
                <w:bCs w:val="1"/>
                <w:color w:val="auto"/>
              </w:rPr>
              <w:t>Public Information</w:t>
            </w:r>
          </w:p>
        </w:tc>
        <w:tc>
          <w:tcPr>
            <w:tcW w:w="8960" w:type="dxa"/>
            <w:vAlign w:val="bottom"/>
          </w:tcPr>
          <w:p>
            <w:pPr>
              <w:ind w:left="240"/>
              <w:spacing w:after="0"/>
              <w:rPr>
                <w:sz w:val="20"/>
                <w:szCs w:val="20"/>
                <w:color w:val="auto"/>
              </w:rPr>
            </w:pPr>
            <w:r>
              <w:rPr>
                <w:rFonts w:ascii="Arial" w:cs="Arial" w:eastAsia="Arial" w:hAnsi="Arial"/>
                <w:sz w:val="18"/>
                <w:szCs w:val="18"/>
                <w:color w:val="auto"/>
              </w:rPr>
              <w:t>prohibited from engaging in insider trading, whether directly or indirectly. No Covered</w:t>
            </w:r>
          </w:p>
        </w:tc>
      </w:tr>
      <w:tr>
        <w:trPr>
          <w:trHeight w:val="239"/>
        </w:trPr>
        <w:tc>
          <w:tcPr>
            <w:tcW w:w="178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Arial" w:cs="Arial" w:eastAsia="Arial" w:hAnsi="Arial"/>
                <w:sz w:val="18"/>
                <w:szCs w:val="18"/>
                <w:color w:val="auto"/>
              </w:rPr>
              <w:t>Person who is aware of material, non-public information regarding Ashland may:</w:t>
            </w:r>
          </w:p>
        </w:tc>
      </w:tr>
    </w:tbl>
    <w:p>
      <w:pPr>
        <w:spacing w:after="0" w:line="166" w:lineRule="exact"/>
        <w:rPr>
          <w:sz w:val="20"/>
          <w:szCs w:val="20"/>
          <w:color w:val="auto"/>
        </w:rPr>
      </w:pPr>
    </w:p>
    <w:p>
      <w:pPr>
        <w:ind w:left="2560" w:hanging="280"/>
        <w:spacing w:after="0"/>
        <w:tabs>
          <w:tab w:leader="none" w:pos="2560" w:val="left"/>
        </w:tabs>
        <w:numPr>
          <w:ilvl w:val="0"/>
          <w:numId w:val="157"/>
        </w:numPr>
        <w:rPr>
          <w:rFonts w:ascii="Times New Roman" w:cs="Times New Roman" w:eastAsia="Times New Roman" w:hAnsi="Times New Roman"/>
          <w:sz w:val="18"/>
          <w:szCs w:val="18"/>
          <w:color w:val="auto"/>
        </w:rPr>
      </w:pPr>
      <w:r>
        <w:rPr>
          <w:rFonts w:ascii="Arial" w:cs="Arial" w:eastAsia="Arial" w:hAnsi="Arial"/>
          <w:sz w:val="18"/>
          <w:szCs w:val="18"/>
          <w:color w:val="auto"/>
        </w:rPr>
        <w:t>Purchase or sell (or recommend the purchase or sale of) the stock or other securities of Ashland;</w:t>
      </w:r>
    </w:p>
    <w:p>
      <w:pPr>
        <w:spacing w:after="0" w:line="210" w:lineRule="exact"/>
        <w:rPr>
          <w:rFonts w:ascii="Times New Roman" w:cs="Times New Roman" w:eastAsia="Times New Roman" w:hAnsi="Times New Roman"/>
          <w:sz w:val="18"/>
          <w:szCs w:val="18"/>
          <w:color w:val="auto"/>
        </w:rPr>
      </w:pPr>
    </w:p>
    <w:p>
      <w:pPr>
        <w:ind w:left="2560" w:right="260" w:hanging="280"/>
        <w:spacing w:after="0" w:line="270" w:lineRule="auto"/>
        <w:tabs>
          <w:tab w:leader="none" w:pos="2560" w:val="left"/>
        </w:tabs>
        <w:numPr>
          <w:ilvl w:val="0"/>
          <w:numId w:val="157"/>
        </w:numPr>
        <w:rPr>
          <w:rFonts w:ascii="Times New Roman" w:cs="Times New Roman" w:eastAsia="Times New Roman" w:hAnsi="Times New Roman"/>
          <w:sz w:val="18"/>
          <w:szCs w:val="18"/>
          <w:color w:val="auto"/>
        </w:rPr>
      </w:pPr>
      <w:r>
        <w:rPr>
          <w:rFonts w:ascii="Arial" w:cs="Arial" w:eastAsia="Arial" w:hAnsi="Arial"/>
          <w:sz w:val="18"/>
          <w:szCs w:val="18"/>
          <w:color w:val="auto"/>
        </w:rPr>
        <w:t>Change his or her investment election in or contributions to the Ashland Stock Fund under the Ashland Employee Savings Plan account; or</w:t>
      </w:r>
    </w:p>
    <w:p>
      <w:pPr>
        <w:spacing w:after="0" w:line="140" w:lineRule="exact"/>
        <w:rPr>
          <w:rFonts w:ascii="Times New Roman" w:cs="Times New Roman" w:eastAsia="Times New Roman" w:hAnsi="Times New Roman"/>
          <w:sz w:val="18"/>
          <w:szCs w:val="18"/>
          <w:color w:val="auto"/>
        </w:rPr>
      </w:pPr>
    </w:p>
    <w:p>
      <w:pPr>
        <w:ind w:left="2560" w:hanging="280"/>
        <w:spacing w:after="0"/>
        <w:tabs>
          <w:tab w:leader="none" w:pos="2560" w:val="left"/>
        </w:tabs>
        <w:numPr>
          <w:ilvl w:val="0"/>
          <w:numId w:val="157"/>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“cashless” exercises of Ashland stock options.</w:t>
      </w:r>
    </w:p>
    <w:p>
      <w:pPr>
        <w:spacing w:after="0" w:line="211" w:lineRule="exact"/>
        <w:rPr>
          <w:sz w:val="20"/>
          <w:szCs w:val="20"/>
          <w:color w:val="auto"/>
        </w:rPr>
      </w:pPr>
    </w:p>
    <w:p>
      <w:pPr>
        <w:jc w:val="both"/>
        <w:ind w:left="1980"/>
        <w:spacing w:after="0" w:line="253" w:lineRule="auto"/>
        <w:rPr>
          <w:sz w:val="20"/>
          <w:szCs w:val="20"/>
          <w:color w:val="auto"/>
        </w:rPr>
      </w:pPr>
      <w:r>
        <w:rPr>
          <w:rFonts w:ascii="Arial" w:cs="Arial" w:eastAsia="Arial" w:hAnsi="Arial"/>
          <w:sz w:val="18"/>
          <w:szCs w:val="18"/>
          <w:color w:val="auto"/>
        </w:rPr>
        <w:t xml:space="preserve">This Policy also prohibits insider trading of the securities of </w:t>
      </w:r>
      <w:r>
        <w:rPr>
          <w:rFonts w:ascii="Arial" w:cs="Arial" w:eastAsia="Arial" w:hAnsi="Arial"/>
          <w:sz w:val="18"/>
          <w:szCs w:val="18"/>
          <w:i w:val="1"/>
          <w:iCs w:val="1"/>
          <w:color w:val="auto"/>
        </w:rPr>
        <w:t>a publicly-traded company other than Ashland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(such as a customer or supplier) </w:t>
      </w:r>
      <w:r>
        <w:rPr>
          <w:rFonts w:ascii="Arial" w:cs="Arial" w:eastAsia="Arial" w:hAnsi="Arial"/>
          <w:sz w:val="18"/>
          <w:szCs w:val="18"/>
          <w:color w:val="auto"/>
        </w:rPr>
        <w:t>where material, non-public information about that company was acquired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course and scope of the Covered Person’s duties for Ashland.</w:t>
      </w:r>
    </w:p>
    <w:p>
      <w:pPr>
        <w:spacing w:after="0" w:line="169" w:lineRule="exact"/>
        <w:rPr>
          <w:sz w:val="20"/>
          <w:szCs w:val="20"/>
          <w:color w:val="auto"/>
        </w:rPr>
      </w:pPr>
    </w:p>
    <w:p>
      <w:pPr>
        <w:jc w:val="both"/>
        <w:ind w:left="1980"/>
        <w:spacing w:after="0" w:line="247" w:lineRule="auto"/>
        <w:rPr>
          <w:sz w:val="20"/>
          <w:szCs w:val="20"/>
          <w:color w:val="auto"/>
        </w:rPr>
      </w:pPr>
      <w:r>
        <w:rPr>
          <w:rFonts w:ascii="Arial" w:cs="Arial" w:eastAsia="Arial" w:hAnsi="Arial"/>
          <w:sz w:val="18"/>
          <w:szCs w:val="18"/>
          <w:color w:val="auto"/>
        </w:rPr>
        <w:t>These restrictions apply to any and all transactions in Ashland’s securities, including common stock, options to purchase common stock, notes, and any other type of securities that Ashland may issue from time to time. In addition, this policy applies to derivative securities relating to Ashland’s securities, including put or call options, swaps, warrants and other derivative securities.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These prohibitions do not apply to:</w:t>
      </w:r>
    </w:p>
    <w:p>
      <w:pPr>
        <w:spacing w:after="0" w:line="198" w:lineRule="exact"/>
        <w:rPr>
          <w:sz w:val="20"/>
          <w:szCs w:val="20"/>
          <w:color w:val="auto"/>
        </w:rPr>
      </w:pPr>
    </w:p>
    <w:p>
      <w:pPr>
        <w:ind w:left="2580" w:hanging="598"/>
        <w:spacing w:after="0" w:line="270" w:lineRule="auto"/>
        <w:tabs>
          <w:tab w:leader="none" w:pos="258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and sales of mutual funds, professionally managed “commingled pools,” or exchange-traded funds that invest in Ashland securities;</w:t>
      </w:r>
    </w:p>
    <w:p>
      <w:pPr>
        <w:spacing w:after="0" w:line="140" w:lineRule="exact"/>
        <w:rPr>
          <w:rFonts w:ascii="Times New Roman" w:cs="Times New Roman" w:eastAsia="Times New Roman" w:hAnsi="Times New Roman"/>
          <w:sz w:val="18"/>
          <w:szCs w:val="18"/>
          <w:color w:val="auto"/>
        </w:rPr>
      </w:pPr>
    </w:p>
    <w:p>
      <w:pPr>
        <w:ind w:left="2580" w:hanging="598"/>
        <w:spacing w:after="0" w:line="270" w:lineRule="auto"/>
        <w:tabs>
          <w:tab w:leader="none" w:pos="258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a cash exercise of a stock option (but note the Policy does apply to the open market sale of any Ashland securities received upon exercise of the option); and</w:t>
      </w:r>
    </w:p>
    <w:p>
      <w:pPr>
        <w:spacing w:after="0" w:line="140" w:lineRule="exact"/>
        <w:rPr>
          <w:rFonts w:ascii="Times New Roman" w:cs="Times New Roman" w:eastAsia="Times New Roman" w:hAnsi="Times New Roman"/>
          <w:sz w:val="18"/>
          <w:szCs w:val="18"/>
          <w:color w:val="auto"/>
        </w:rPr>
      </w:pPr>
    </w:p>
    <w:p>
      <w:pPr>
        <w:jc w:val="both"/>
        <w:ind w:left="2580" w:hanging="598"/>
        <w:spacing w:after="0" w:line="252" w:lineRule="auto"/>
        <w:tabs>
          <w:tab w:leader="none" w:pos="2580" w:val="left"/>
        </w:tabs>
        <w:numPr>
          <w:ilvl w:val="0"/>
          <w:numId w:val="158"/>
        </w:numPr>
        <w:rPr>
          <w:rFonts w:ascii="Times New Roman" w:cs="Times New Roman" w:eastAsia="Times New Roman" w:hAnsi="Times New Roman"/>
          <w:sz w:val="18"/>
          <w:szCs w:val="18"/>
          <w:color w:val="auto"/>
        </w:rPr>
      </w:pPr>
      <w:r>
        <w:rPr>
          <w:rFonts w:ascii="Arial" w:cs="Arial" w:eastAsia="Arial" w:hAnsi="Arial"/>
          <w:sz w:val="18"/>
          <w:szCs w:val="18"/>
          <w:color w:val="auto"/>
        </w:rPr>
        <w:t>the surrender of Ashland securities to Ashland, or the retention and withholding from delivery to the Covered Person of securities by Ashland, upon the vesting of restricted stock or restricted stock units in satisfaction of tax withholding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20" w:top="683" w:right="639" w:bottom="1440" w:gutter="0" w:footer="0" w:header="0"/>
        </w:sectPr>
      </w:pPr>
    </w:p>
    <w:bookmarkStart w:id="192" w:name="page193"/>
    <w:bookmarkEnd w:id="192"/>
    <w:p>
      <w:pPr>
        <w:ind w:left="200"/>
        <w:spacing w:after="0" w:line="311" w:lineRule="auto"/>
        <w:rPr>
          <w:sz w:val="20"/>
          <w:szCs w:val="20"/>
          <w:color w:val="auto"/>
        </w:rPr>
      </w:pPr>
      <w:r>
        <w:rPr>
          <w:rFonts w:ascii="Arial" w:cs="Arial" w:eastAsia="Arial" w:hAnsi="Arial"/>
          <w:sz w:val="17"/>
          <w:szCs w:val="17"/>
          <w:b w:val="1"/>
          <w:bCs w:val="1"/>
          <w:color w:val="auto"/>
        </w:rPr>
        <w:t>Material, Non-Public Information</w:t>
      </w:r>
    </w:p>
    <w:p>
      <w:pPr>
        <w:spacing w:after="0" w:line="20" w:lineRule="exact"/>
        <w:rPr>
          <w:sz w:val="20"/>
          <w:szCs w:val="20"/>
          <w:color w:val="auto"/>
        </w:rPr>
      </w:pPr>
      <w:r>
        <w:rPr>
          <w:sz w:val="20"/>
          <w:szCs w:val="20"/>
          <w:color w:val="auto"/>
        </w:rPr>
        <w:br w:type="column"/>
      </w:r>
    </w:p>
    <w:p>
      <w:pPr>
        <w:jc w:val="both"/>
        <w:ind w:right="360"/>
        <w:spacing w:after="0" w:line="247" w:lineRule="auto"/>
        <w:rPr>
          <w:sz w:val="20"/>
          <w:szCs w:val="20"/>
          <w:color w:val="auto"/>
        </w:rPr>
      </w:pPr>
      <w:r>
        <w:rPr>
          <w:rFonts w:ascii="Arial" w:cs="Arial" w:eastAsia="Arial" w:hAnsi="Arial"/>
          <w:sz w:val="18"/>
          <w:szCs w:val="18"/>
          <w:color w:val="auto"/>
        </w:rPr>
        <w:t>Information is “material” if there is a substantial likelihood that a reasonable investor would consider it important in making a decision to buy, hold, or sell securities of a company, or it significantly alters the total mix of information publicly available about a company. Generally, any information, whether positive or negative, that could be expected to affect a company’s stock price should be considered material.</w:t>
      </w:r>
    </w:p>
    <w:p>
      <w:pPr>
        <w:spacing w:after="0" w:line="174" w:lineRule="exact"/>
        <w:rPr>
          <w:sz w:val="20"/>
          <w:szCs w:val="20"/>
          <w:color w:val="auto"/>
        </w:rPr>
      </w:pPr>
    </w:p>
    <w:p>
      <w:pPr>
        <w:sectPr>
          <w:pgSz w:w="11900" w:h="16838" w:orient="portrait"/>
          <w:cols w:equalWidth="0" w:num="2">
            <w:col w:w="1780" w:space="400"/>
            <w:col w:w="9060"/>
          </w:cols>
          <w:pgMar w:left="320" w:top="1417" w:right="339" w:bottom="1440" w:gutter="0" w:footer="0" w:header="0"/>
        </w:sectPr>
      </w:pPr>
    </w:p>
    <w:p>
      <w:pPr>
        <w:ind w:left="2180" w:right="960"/>
        <w:spacing w:after="0" w:line="271" w:lineRule="auto"/>
        <w:rPr>
          <w:sz w:val="20"/>
          <w:szCs w:val="20"/>
          <w:color w:val="auto"/>
        </w:rPr>
      </w:pPr>
      <w:r>
        <w:rPr>
          <w:rFonts w:ascii="Arial" w:cs="Arial" w:eastAsia="Arial" w:hAnsi="Arial"/>
          <w:sz w:val="18"/>
          <w:szCs w:val="18"/>
          <w:color w:val="auto"/>
        </w:rPr>
        <w:t>It is impossible to catalogue all of the examples of material information, but some notable examples of material information include:</w:t>
      </w:r>
    </w:p>
    <w:p>
      <w:pPr>
        <w:spacing w:after="0" w:line="32" w:lineRule="exact"/>
        <w:rPr>
          <w:sz w:val="20"/>
          <w:szCs w:val="20"/>
          <w:color w:val="auto"/>
        </w:rPr>
      </w:pPr>
    </w:p>
    <w:p>
      <w:pPr>
        <w:ind w:left="2780" w:right="460" w:hanging="300"/>
        <w:spacing w:after="0" w:line="270" w:lineRule="auto"/>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about financial performance, including undisclosed quarterly or annual earnings or sales, or significant changes in financial performance or liquidity;</w:t>
      </w:r>
    </w:p>
    <w:p>
      <w:pPr>
        <w:spacing w:after="0" w:line="46" w:lineRule="exact"/>
        <w:rPr>
          <w:rFonts w:ascii="Times New Roman" w:cs="Times New Roman" w:eastAsia="Times New Roman" w:hAnsi="Times New Roman"/>
          <w:sz w:val="18"/>
          <w:szCs w:val="18"/>
          <w:color w:val="auto"/>
        </w:rPr>
      </w:pPr>
    </w:p>
    <w:p>
      <w:pPr>
        <w:ind w:left="2760" w:right="820" w:hanging="280"/>
        <w:spacing w:after="0" w:line="270" w:lineRule="auto"/>
        <w:tabs>
          <w:tab w:leader="none" w:pos="276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Projections of future earnings or losses, or other earnings guidance, or changes in projections or guidance;</w:t>
      </w:r>
    </w:p>
    <w:p>
      <w:pPr>
        <w:spacing w:after="0" w:line="32"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Other significant financial projections, strategic plans, forecasts or budgets;</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Proposed mergers, acquisitions, investments, or divestitures and joint ventures;</w:t>
      </w:r>
    </w:p>
    <w:p>
      <w:pPr>
        <w:spacing w:after="0" w:line="102"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Financings or corporate restructurings;</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Threatened or pending legal actions or governmental investigations;</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 or the Board;</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Public or private debt or equity offerings;</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An imminent change in Ashland’s credit or debt ratings by a rating agency;</w:t>
      </w:r>
    </w:p>
    <w:p>
      <w:pPr>
        <w:spacing w:after="0" w:line="102"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Execution or termination of significant contracts;</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Stock repurchases or repurchase programs;</w:t>
      </w:r>
    </w:p>
    <w:p>
      <w:pPr>
        <w:spacing w:after="0" w:line="116" w:lineRule="exact"/>
        <w:rPr>
          <w:rFonts w:ascii="Times New Roman" w:cs="Times New Roman" w:eastAsia="Times New Roman" w:hAnsi="Times New Roman"/>
          <w:sz w:val="18"/>
          <w:szCs w:val="18"/>
          <w:color w:val="auto"/>
        </w:rPr>
      </w:pPr>
    </w:p>
    <w:p>
      <w:pPr>
        <w:ind w:left="2780" w:hanging="300"/>
        <w:spacing w:after="0"/>
        <w:tabs>
          <w:tab w:leader="none" w:pos="278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Stock splits or dividend information;</w:t>
      </w:r>
    </w:p>
    <w:p>
      <w:pPr>
        <w:spacing w:after="0" w:line="116" w:lineRule="exact"/>
        <w:rPr>
          <w:rFonts w:ascii="Times New Roman" w:cs="Times New Roman" w:eastAsia="Times New Roman" w:hAnsi="Times New Roman"/>
          <w:sz w:val="18"/>
          <w:szCs w:val="18"/>
          <w:color w:val="auto"/>
        </w:rPr>
      </w:pPr>
    </w:p>
    <w:p>
      <w:pPr>
        <w:ind w:left="2760" w:right="900" w:hanging="280"/>
        <w:spacing w:after="0" w:line="270" w:lineRule="auto"/>
        <w:tabs>
          <w:tab w:leader="none" w:pos="276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breaches of information technology systems or other events impacting data security; and</w:t>
      </w:r>
    </w:p>
    <w:p>
      <w:pPr>
        <w:spacing w:after="0" w:line="32" w:lineRule="exact"/>
        <w:rPr>
          <w:rFonts w:ascii="Times New Roman" w:cs="Times New Roman" w:eastAsia="Times New Roman" w:hAnsi="Times New Roman"/>
          <w:sz w:val="18"/>
          <w:szCs w:val="18"/>
          <w:color w:val="auto"/>
        </w:rPr>
      </w:pPr>
    </w:p>
    <w:p>
      <w:pPr>
        <w:ind w:left="2760" w:right="1020" w:hanging="280"/>
        <w:spacing w:after="0" w:line="270" w:lineRule="auto"/>
        <w:tabs>
          <w:tab w:leader="none" w:pos="2760" w:val="left"/>
        </w:tabs>
        <w:numPr>
          <w:ilvl w:val="0"/>
          <w:numId w:val="159"/>
        </w:numPr>
        <w:rPr>
          <w:rFonts w:ascii="Times New Roman" w:cs="Times New Roman" w:eastAsia="Times New Roman" w:hAnsi="Times New Roman"/>
          <w:sz w:val="18"/>
          <w:szCs w:val="18"/>
          <w:color w:val="auto"/>
        </w:rPr>
      </w:pPr>
      <w:r>
        <w:rPr>
          <w:rFonts w:ascii="Arial" w:cs="Arial" w:eastAsia="Arial" w:hAnsi="Arial"/>
          <w:sz w:val="18"/>
          <w:szCs w:val="18"/>
          <w:color w:val="auto"/>
        </w:rPr>
        <w:t>Major discoveries or significant changes or developments in products, product lines, research, or technologies.</w:t>
      </w:r>
    </w:p>
    <w:p>
      <w:pPr>
        <w:spacing w:after="0" w:line="154" w:lineRule="exact"/>
        <w:rPr>
          <w:sz w:val="20"/>
          <w:szCs w:val="20"/>
          <w:color w:val="auto"/>
        </w:rPr>
      </w:pPr>
    </w:p>
    <w:p>
      <w:pPr>
        <w:jc w:val="both"/>
        <w:ind w:left="2180" w:right="360"/>
        <w:spacing w:after="0" w:line="242" w:lineRule="auto"/>
        <w:rPr>
          <w:sz w:val="20"/>
          <w:szCs w:val="20"/>
          <w:color w:val="auto"/>
        </w:rPr>
      </w:pPr>
      <w:r>
        <w:rPr>
          <w:rFonts w:ascii="Arial" w:cs="Arial" w:eastAsia="Arial" w:hAnsi="Arial"/>
          <w:sz w:val="18"/>
          <w:szCs w:val="18"/>
          <w:color w:val="auto"/>
        </w:rPr>
        <w:t>Information is considered to be “non-public” if it has not been broadly distributed to the public, such as by a news release or a filing with the Securities and Exchange Commission (“SEC”). Even after material information has been publicly disclosed, investors must be given reasonable opportunity to review and absorb it. As a rule of thumb, two (2) full business days following broad distribution of the information is regarded as a reasonable waiting period before the information is deemed to be “public.” For purposes of this Policy, a “trading day” means any day on which the New York Stock Exchange (“NYSE”) is open for trading.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200"/>
              <w:spacing w:after="0"/>
              <w:rPr>
                <w:sz w:val="20"/>
                <w:szCs w:val="20"/>
                <w:color w:val="auto"/>
              </w:rPr>
            </w:pPr>
            <w:r>
              <w:rPr>
                <w:rFonts w:ascii="Arial" w:cs="Arial" w:eastAsia="Arial" w:hAnsi="Arial"/>
                <w:sz w:val="18"/>
                <w:szCs w:val="18"/>
                <w:b w:val="1"/>
                <w:bCs w:val="1"/>
                <w:color w:val="auto"/>
              </w:rPr>
              <w:t>“Tipping” Material</w:t>
            </w:r>
          </w:p>
        </w:tc>
        <w:tc>
          <w:tcPr>
            <w:tcW w:w="9260" w:type="dxa"/>
            <w:vAlign w:val="bottom"/>
          </w:tcPr>
          <w:p>
            <w:pPr>
              <w:ind w:left="240"/>
              <w:spacing w:after="0"/>
              <w:rPr>
                <w:sz w:val="20"/>
                <w:szCs w:val="20"/>
                <w:color w:val="auto"/>
              </w:rPr>
            </w:pPr>
            <w:r>
              <w:rPr>
                <w:rFonts w:ascii="Arial" w:cs="Arial" w:eastAsia="Arial" w:hAnsi="Arial"/>
                <w:sz w:val="18"/>
                <w:szCs w:val="18"/>
                <w:color w:val="auto"/>
              </w:rPr>
              <w:t>It is also illegal under U.S. securities laws to disclose material non-public information to another person who</w:t>
            </w:r>
          </w:p>
        </w:tc>
      </w:tr>
      <w:tr>
        <w:trPr>
          <w:trHeight w:val="203"/>
        </w:trPr>
        <w:tc>
          <w:tcPr>
            <w:tcW w:w="19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Non-Public</w:t>
            </w:r>
          </w:p>
        </w:tc>
        <w:tc>
          <w:tcPr>
            <w:tcW w:w="9260" w:type="dxa"/>
            <w:vAlign w:val="bottom"/>
          </w:tcPr>
          <w:p>
            <w:pPr>
              <w:ind w:left="240"/>
              <w:spacing w:after="0" w:line="202" w:lineRule="exact"/>
              <w:rPr>
                <w:sz w:val="20"/>
                <w:szCs w:val="20"/>
                <w:color w:val="auto"/>
              </w:rPr>
            </w:pPr>
            <w:r>
              <w:rPr>
                <w:rFonts w:ascii="Arial" w:cs="Arial" w:eastAsia="Arial" w:hAnsi="Arial"/>
                <w:sz w:val="18"/>
                <w:szCs w:val="18"/>
                <w:color w:val="auto"/>
              </w:rPr>
              <w:t>then purchases or sells securities based on that information (known as “tipping”), even if the Covered Person</w:t>
            </w:r>
          </w:p>
        </w:tc>
      </w:tr>
      <w:tr>
        <w:trPr>
          <w:trHeight w:val="203"/>
        </w:trPr>
        <w:tc>
          <w:tcPr>
            <w:tcW w:w="19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Information is</w:t>
            </w:r>
          </w:p>
        </w:tc>
        <w:tc>
          <w:tcPr>
            <w:tcW w:w="9260" w:type="dxa"/>
            <w:vAlign w:val="bottom"/>
          </w:tcPr>
          <w:p>
            <w:pPr>
              <w:ind w:left="240"/>
              <w:spacing w:after="0" w:line="202" w:lineRule="exact"/>
              <w:rPr>
                <w:sz w:val="20"/>
                <w:szCs w:val="20"/>
                <w:color w:val="auto"/>
              </w:rPr>
            </w:pPr>
            <w:r>
              <w:rPr>
                <w:rFonts w:ascii="Arial" w:cs="Arial" w:eastAsia="Arial" w:hAnsi="Arial"/>
                <w:sz w:val="18"/>
                <w:szCs w:val="18"/>
                <w:color w:val="auto"/>
              </w:rPr>
              <w:t>does not receive any benefit from the other person’s use of that information. No Covered Person who knows</w:t>
            </w:r>
          </w:p>
        </w:tc>
      </w:tr>
      <w:tr>
        <w:trPr>
          <w:trHeight w:val="203"/>
        </w:trPr>
        <w:tc>
          <w:tcPr>
            <w:tcW w:w="19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Prohibited</w:t>
            </w:r>
          </w:p>
        </w:tc>
        <w:tc>
          <w:tcPr>
            <w:tcW w:w="9260" w:type="dxa"/>
            <w:vAlign w:val="bottom"/>
          </w:tcPr>
          <w:p>
            <w:pPr>
              <w:ind w:left="240"/>
              <w:spacing w:after="0" w:line="202" w:lineRule="exact"/>
              <w:rPr>
                <w:sz w:val="20"/>
                <w:szCs w:val="20"/>
                <w:color w:val="auto"/>
              </w:rPr>
            </w:pPr>
            <w:r>
              <w:rPr>
                <w:rFonts w:ascii="Arial" w:cs="Arial" w:eastAsia="Arial" w:hAnsi="Arial"/>
                <w:sz w:val="18"/>
                <w:szCs w:val="18"/>
                <w:color w:val="auto"/>
              </w:rPr>
              <w:t>of material non-public information about Ashland (or material non-public information about another company</w:t>
            </w:r>
          </w:p>
        </w:tc>
      </w:tr>
      <w:tr>
        <w:trPr>
          <w:trHeight w:val="203"/>
        </w:trPr>
        <w:tc>
          <w:tcPr>
            <w:tcW w:w="1980" w:type="dxa"/>
            <w:vAlign w:val="bottom"/>
          </w:tcPr>
          <w:p>
            <w:pPr>
              <w:spacing w:after="0"/>
              <w:rPr>
                <w:sz w:val="17"/>
                <w:szCs w:val="17"/>
                <w:color w:val="auto"/>
              </w:rPr>
            </w:pPr>
          </w:p>
        </w:tc>
        <w:tc>
          <w:tcPr>
            <w:tcW w:w="9260" w:type="dxa"/>
            <w:vAlign w:val="bottom"/>
          </w:tcPr>
          <w:p>
            <w:pPr>
              <w:ind w:left="240"/>
              <w:spacing w:after="0" w:line="202" w:lineRule="exact"/>
              <w:rPr>
                <w:sz w:val="20"/>
                <w:szCs w:val="20"/>
                <w:color w:val="auto"/>
              </w:rPr>
            </w:pPr>
            <w:r>
              <w:rPr>
                <w:rFonts w:ascii="Arial" w:cs="Arial" w:eastAsia="Arial" w:hAnsi="Arial"/>
                <w:sz w:val="18"/>
                <w:szCs w:val="18"/>
                <w:color w:val="auto"/>
              </w:rPr>
              <w:t>obtained because of their position with Ashland) may “tip” or otherwise disclose that information to any other</w:t>
            </w:r>
          </w:p>
        </w:tc>
      </w:tr>
      <w:tr>
        <w:trPr>
          <w:trHeight w:val="239"/>
        </w:trPr>
        <w:tc>
          <w:tcPr>
            <w:tcW w:w="1980" w:type="dxa"/>
            <w:vAlign w:val="bottom"/>
          </w:tcPr>
          <w:p>
            <w:pPr>
              <w:spacing w:after="0"/>
              <w:rPr>
                <w:sz w:val="20"/>
                <w:szCs w:val="20"/>
                <w:color w:val="auto"/>
              </w:rPr>
            </w:pPr>
          </w:p>
        </w:tc>
        <w:tc>
          <w:tcPr>
            <w:tcW w:w="9260" w:type="dxa"/>
            <w:vAlign w:val="bottom"/>
          </w:tcPr>
          <w:p>
            <w:pPr>
              <w:ind w:left="240"/>
              <w:spacing w:after="0"/>
              <w:rPr>
                <w:sz w:val="20"/>
                <w:szCs w:val="20"/>
                <w:color w:val="auto"/>
              </w:rPr>
            </w:pPr>
            <w:r>
              <w:rPr>
                <w:rFonts w:ascii="Arial" w:cs="Arial" w:eastAsia="Arial" w:hAnsi="Arial"/>
                <w:sz w:val="18"/>
                <w:szCs w:val="18"/>
                <w:color w:val="auto"/>
              </w:rPr>
              <w:t>person, including to Family Members, without the prior authorization of Ashland’s General Counsel.</w:t>
            </w:r>
          </w:p>
        </w:tc>
      </w:tr>
      <w:tr>
        <w:trPr>
          <w:trHeight w:val="1515"/>
        </w:trPr>
        <w:tc>
          <w:tcPr>
            <w:tcW w:w="198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93" w:name="page194"/>
    <w:bookmarkEnd w:id="193"/>
    <w:p>
      <w:pPr>
        <w:spacing w:after="0" w:line="36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Post-Employment</w:t>
      </w:r>
      <w:r>
        <w:rPr>
          <w:sz w:val="20"/>
          <w:szCs w:val="20"/>
          <w:color w:val="auto"/>
        </w:rPr>
        <w:tab/>
      </w:r>
      <w:r>
        <w:rPr>
          <w:rFonts w:ascii="Arial" w:cs="Arial" w:eastAsia="Arial" w:hAnsi="Arial"/>
          <w:sz w:val="18"/>
          <w:szCs w:val="18"/>
          <w:color w:val="auto"/>
        </w:rPr>
        <w:t>The prohibitions on insider trading and tipping continue to apply to any transactions in Ashland securities or</w:t>
      </w:r>
    </w:p>
    <w:p>
      <w:pPr>
        <w:spacing w:after="0" w:line="14" w:lineRule="exact"/>
        <w:rPr>
          <w:sz w:val="20"/>
          <w:szCs w:val="20"/>
          <w:color w:val="auto"/>
        </w:rPr>
      </w:pPr>
    </w:p>
    <w:p>
      <w:pPr>
        <w:jc w:val="both"/>
        <w:ind w:left="2020" w:right="140" w:hanging="2019"/>
        <w:spacing w:after="0" w:line="245" w:lineRule="auto"/>
        <w:tabs>
          <w:tab w:leader="none" w:pos="2000" w:val="left"/>
        </w:tabs>
        <w:rPr>
          <w:sz w:val="20"/>
          <w:szCs w:val="20"/>
          <w:color w:val="auto"/>
        </w:rPr>
      </w:pPr>
      <w:r>
        <w:rPr>
          <w:rFonts w:ascii="Arial" w:cs="Arial" w:eastAsia="Arial" w:hAnsi="Arial"/>
          <w:sz w:val="18"/>
          <w:szCs w:val="18"/>
          <w:b w:val="1"/>
          <w:bCs w:val="1"/>
          <w:color w:val="auto"/>
        </w:rPr>
        <w:t>Obligations</w:t>
      </w:r>
      <w:r>
        <w:rPr>
          <w:sz w:val="20"/>
          <w:szCs w:val="20"/>
          <w:color w:val="auto"/>
        </w:rPr>
        <w:tab/>
      </w:r>
      <w:r>
        <w:rPr>
          <w:rFonts w:ascii="Arial" w:cs="Arial" w:eastAsia="Arial" w:hAnsi="Arial"/>
          <w:sz w:val="18"/>
          <w:szCs w:val="18"/>
          <w:color w:val="auto"/>
        </w:rPr>
        <w:t>the securities of other public companies even after the Covered Person has separated for any reason from Ashland or the Board. Covered Persons who are in possession of material non-public information when their relationship with Ashland concludes may not trade in securities of Ashland (or another company to which such information relates) until after the information has become “public” for purposes of this Policy.</w:t>
      </w:r>
    </w:p>
    <w:p>
      <w:pPr>
        <w:sectPr>
          <w:pgSz w:w="11900" w:h="16838" w:orient="portrait"/>
          <w:cols w:equalWidth="0" w:num="1">
            <w:col w:w="10820"/>
          </w:cols>
          <w:pgMar w:left="520" w:top="144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Civil and Criminal Penalties for Violations of Insider Trading 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The federal securities laws of the United States provide for severe civil and criminal penalties for violations of insider trading laws. A person who purchases or sells (or recommends to another person to purchase or sell) a company’s securities while aware of material, non-public information with respect to such company may be subject to, among other things, (i) a civil penalty of up to three times the amount of profit gained or loss avoided (in addition to disgorgement of profits), (ii) a criminal fine of up to $5,000,000, and (iii) imprisonment for up to 20 years. In addition, Ashland and its directors, officers, and supervisory personnel (“Control Persons”) could be subject to liability if the Control Person knew, or was reckless in not knowing, that an employee under their control was likely to engage in insider trading and the Control Person failed to take appropriate steps before the violation occurred.</w:t>
      </w:r>
    </w:p>
    <w:p>
      <w:pPr>
        <w:spacing w:after="0" w:line="200" w:lineRule="exact"/>
        <w:rPr>
          <w:sz w:val="20"/>
          <w:szCs w:val="20"/>
          <w:color w:val="auto"/>
        </w:rPr>
      </w:pPr>
    </w:p>
    <w:p>
      <w:pPr>
        <w:sectPr>
          <w:pgSz w:w="11900" w:h="16838" w:orient="portrait"/>
          <w:cols w:equalWidth="0" w:num="2">
            <w:col w:w="1720" w:space="300"/>
            <w:col w:w="8800"/>
          </w:cols>
          <w:pgMar w:left="520" w:top="1440"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Additional Policies For Certain Covered Persons</w:t>
      </w:r>
    </w:p>
    <w:p>
      <w:pPr>
        <w:spacing w:after="0" w:line="18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Pre-clearance of</w:t>
      </w:r>
      <w:r>
        <w:rPr>
          <w:sz w:val="20"/>
          <w:szCs w:val="20"/>
          <w:color w:val="auto"/>
        </w:rPr>
        <w:tab/>
      </w:r>
      <w:r>
        <w:rPr>
          <w:rFonts w:ascii="Arial" w:cs="Arial" w:eastAsia="Arial" w:hAnsi="Arial"/>
          <w:sz w:val="18"/>
          <w:szCs w:val="18"/>
          <w:color w:val="auto"/>
        </w:rPr>
        <w:t>Except as permitted under Section C below pursuant to a Rule 10b5-1 Trading Plan, the Covered Persons</w:t>
      </w:r>
    </w:p>
    <w:p>
      <w:pPr>
        <w:spacing w:after="0" w:line="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Transactions and</w:t>
      </w:r>
      <w:r>
        <w:rPr>
          <w:sz w:val="20"/>
          <w:szCs w:val="20"/>
          <w:color w:val="auto"/>
        </w:rPr>
        <w:tab/>
      </w:r>
      <w:r>
        <w:rPr>
          <w:rFonts w:ascii="Arial" w:cs="Arial" w:eastAsia="Arial" w:hAnsi="Arial"/>
          <w:sz w:val="18"/>
          <w:szCs w:val="18"/>
          <w:color w:val="auto"/>
        </w:rPr>
        <w:t>specified in this Section A shall obtain the prior approval of the General Counsel or his or her designee (“pre-</w:t>
      </w:r>
    </w:p>
    <w:p>
      <w:pPr>
        <w:jc w:val="both"/>
        <w:ind w:right="60"/>
        <w:spacing w:after="0" w:line="234" w:lineRule="auto"/>
        <w:rPr>
          <w:sz w:val="20"/>
          <w:szCs w:val="20"/>
          <w:color w:val="auto"/>
        </w:rPr>
      </w:pPr>
      <w:r>
        <w:rPr>
          <w:rFonts w:ascii="Arial" w:cs="Arial" w:eastAsia="Arial" w:hAnsi="Arial"/>
          <w:sz w:val="18"/>
          <w:szCs w:val="18"/>
          <w:b w:val="1"/>
          <w:bCs w:val="1"/>
          <w:color w:val="auto"/>
        </w:rPr>
        <w:t xml:space="preserve">Advance Notice of </w:t>
      </w:r>
      <w:r>
        <w:rPr>
          <w:rFonts w:ascii="Arial" w:cs="Arial" w:eastAsia="Arial" w:hAnsi="Arial"/>
          <w:sz w:val="18"/>
          <w:szCs w:val="18"/>
          <w:color w:val="auto"/>
        </w:rPr>
        <w:t>clearance”) before engaging in any purchase or sale of the stock or other securities of Ashland. Persons</w:t>
      </w:r>
      <w:r>
        <w:rPr>
          <w:rFonts w:ascii="Arial" w:cs="Arial" w:eastAsia="Arial" w:hAnsi="Arial"/>
          <w:sz w:val="18"/>
          <w:szCs w:val="18"/>
          <w:b w:val="1"/>
          <w:bCs w:val="1"/>
          <w:color w:val="auto"/>
        </w:rPr>
        <w:t xml:space="preserve"> Stock Gifts (“Section </w:t>
      </w:r>
      <w:r>
        <w:rPr>
          <w:rFonts w:ascii="Arial" w:cs="Arial" w:eastAsia="Arial" w:hAnsi="Arial"/>
          <w:sz w:val="18"/>
          <w:szCs w:val="18"/>
          <w:color w:val="auto"/>
        </w:rPr>
        <w:t>requesting pre- clearance should notify the General Counsel or his or her designee at least two (2) business</w:t>
      </w:r>
    </w:p>
    <w:p>
      <w:pPr>
        <w:spacing w:after="0" w:line="1" w:lineRule="exact"/>
        <w:rPr>
          <w:sz w:val="20"/>
          <w:szCs w:val="20"/>
          <w:color w:val="auto"/>
        </w:rPr>
      </w:pPr>
    </w:p>
    <w:p>
      <w:pPr>
        <w:jc w:val="both"/>
        <w:ind w:left="2040" w:right="60" w:hanging="2039"/>
        <w:spacing w:after="0"/>
        <w:tabs>
          <w:tab w:leader="none" w:pos="20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days prior to the date of the requested transaction to allow sufficient time for pre-clearance procedures. Pre-clearance provided to a Covered Person shall expire at the close of business on the second business day following the date that pre-clearance is given unless the General Counsel or his or her designee provides for a different expiration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This Section A applies to the following Covered Persons:</w:t>
      </w:r>
    </w:p>
    <w:p>
      <w:pPr>
        <w:spacing w:after="0" w:line="225" w:lineRule="exact"/>
        <w:rPr>
          <w:sz w:val="20"/>
          <w:szCs w:val="20"/>
          <w:color w:val="auto"/>
        </w:rPr>
      </w:pPr>
    </w:p>
    <w:p>
      <w:pPr>
        <w:ind w:left="2620" w:hanging="291"/>
        <w:spacing w:after="0"/>
        <w:tabs>
          <w:tab w:leader="none" w:pos="262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Section 16 Persons and their respective Family Members; and</w:t>
      </w: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both"/>
        <w:ind w:left="2620" w:hanging="291"/>
        <w:spacing w:after="0" w:line="246" w:lineRule="auto"/>
        <w:tabs>
          <w:tab w:leader="none" w:pos="2620" w:val="left"/>
        </w:tabs>
        <w:numPr>
          <w:ilvl w:val="0"/>
          <w:numId w:val="160"/>
        </w:numPr>
        <w:rPr>
          <w:rFonts w:ascii="Times New Roman" w:cs="Times New Roman" w:eastAsia="Times New Roman" w:hAnsi="Times New Roman"/>
          <w:sz w:val="18"/>
          <w:szCs w:val="18"/>
          <w:color w:val="auto"/>
        </w:rPr>
      </w:pPr>
      <w:r>
        <w:rPr>
          <w:rFonts w:ascii="Arial" w:cs="Arial" w:eastAsia="Arial" w:hAnsi="Arial"/>
          <w:sz w:val="18"/>
          <w:szCs w:val="18"/>
          <w:color w:val="auto"/>
        </w:rPr>
        <w:t>The officers and employees of Ashland listed on Schedule A, as maintained by the Law Department, and their respective Family Members. Schedule A may be amended from time to time by the General Counsel or his or her designee. Each officer and employee listed on Schedule A will be notified by the General Counsel or his or her designee of the restrictions under this Section A.</w:t>
      </w:r>
    </w:p>
    <w:p>
      <w:pPr>
        <w:spacing w:after="0" w:line="200" w:lineRule="exact"/>
        <w:rPr>
          <w:sz w:val="20"/>
          <w:szCs w:val="20"/>
          <w:color w:val="auto"/>
        </w:rPr>
      </w:pPr>
    </w:p>
    <w:p>
      <w:pPr>
        <w:spacing w:after="0" w:line="260" w:lineRule="exact"/>
        <w:rPr>
          <w:sz w:val="20"/>
          <w:szCs w:val="20"/>
          <w:color w:val="auto"/>
        </w:rPr>
      </w:pPr>
    </w:p>
    <w:p>
      <w:pPr>
        <w:ind w:left="2040" w:right="20"/>
        <w:spacing w:after="0" w:line="253" w:lineRule="auto"/>
        <w:rPr>
          <w:sz w:val="20"/>
          <w:szCs w:val="20"/>
          <w:color w:val="auto"/>
        </w:rPr>
      </w:pPr>
      <w:r>
        <w:rPr>
          <w:rFonts w:ascii="Arial" w:cs="Arial" w:eastAsia="Arial" w:hAnsi="Arial"/>
          <w:sz w:val="18"/>
          <w:szCs w:val="18"/>
          <w:color w:val="auto"/>
        </w:rPr>
        <w:t xml:space="preserve">Each Covered Person subject to this Section A, who engages in a purchase or sale of stock or other securities of Ashland, shall notify the General Counsel or his or her designee of such transaction </w:t>
      </w:r>
      <w:r>
        <w:rPr>
          <w:rFonts w:ascii="Arial" w:cs="Arial" w:eastAsia="Arial" w:hAnsi="Arial"/>
          <w:sz w:val="18"/>
          <w:szCs w:val="18"/>
          <w:u w:val="single" w:color="auto"/>
          <w:color w:val="auto"/>
        </w:rPr>
        <w:t>no later than the close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business on the business day following the date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817880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20" w:top="1440" w:right="559" w:bottom="1440" w:gutter="0" w:footer="0" w:header="0"/>
          <w:type w:val="continuous"/>
        </w:sectPr>
      </w:pPr>
    </w:p>
    <w:bookmarkStart w:id="194" w:name="page195"/>
    <w:bookmarkEnd w:id="194"/>
    <w:p>
      <w:pPr>
        <w:spacing w:after="0" w:line="45" w:lineRule="exact"/>
        <w:rPr>
          <w:sz w:val="20"/>
          <w:szCs w:val="20"/>
          <w:color w:val="auto"/>
        </w:rPr>
      </w:pPr>
    </w:p>
    <w:p>
      <w:pPr>
        <w:ind w:left="1120"/>
        <w:spacing w:after="0" w:line="271" w:lineRule="auto"/>
        <w:rPr>
          <w:sz w:val="20"/>
          <w:szCs w:val="20"/>
          <w:color w:val="auto"/>
        </w:rPr>
      </w:pPr>
      <w:r>
        <w:rPr>
          <w:rFonts w:ascii="Arial" w:cs="Arial" w:eastAsia="Arial" w:hAnsi="Arial"/>
          <w:sz w:val="18"/>
          <w:szCs w:val="18"/>
          <w:color w:val="auto"/>
        </w:rPr>
        <w:t xml:space="preserve">In addition, all Section 16 Persons must provide the General Counsel or their designee with at least two (2) business days </w:t>
      </w:r>
      <w:r>
        <w:rPr>
          <w:rFonts w:ascii="Arial" w:cs="Arial" w:eastAsia="Arial" w:hAnsi="Arial"/>
          <w:sz w:val="18"/>
          <w:szCs w:val="18"/>
          <w:u w:val="single" w:color="auto"/>
          <w:color w:val="auto"/>
        </w:rPr>
        <w:t>prior notice</w:t>
      </w:r>
      <w:r>
        <w:rPr>
          <w:rFonts w:ascii="Arial" w:cs="Arial" w:eastAsia="Arial" w:hAnsi="Arial"/>
          <w:sz w:val="18"/>
          <w:szCs w:val="18"/>
          <w:color w:val="auto"/>
        </w:rPr>
        <w:t xml:space="preserve"> of any bona fide gift of stock or other securities of Ashland.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748030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1440" w:top="1440" w:right="519" w:bottom="1440" w:gutter="0" w:footer="0" w:header="0"/>
        </w:sectPr>
      </w:pPr>
    </w:p>
    <w:bookmarkStart w:id="195" w:name="page196"/>
    <w:bookmarkEnd w:id="195"/>
    <w:p>
      <w:pPr>
        <w:jc w:val="center"/>
        <w:ind w:right="-19"/>
        <w:spacing w:after="0"/>
        <w:tabs>
          <w:tab w:leader="none" w:pos="240" w:val="left"/>
        </w:tabs>
        <w:rPr>
          <w:sz w:val="20"/>
          <w:szCs w:val="20"/>
          <w:color w:val="auto"/>
        </w:rPr>
      </w:pPr>
      <w:r>
        <w:rPr>
          <w:rFonts w:ascii="Arial" w:cs="Arial" w:eastAsia="Arial" w:hAnsi="Arial"/>
          <w:sz w:val="18"/>
          <w:szCs w:val="18"/>
          <w:b w:val="1"/>
          <w:bCs w:val="1"/>
          <w:color w:val="auto"/>
        </w:rPr>
        <w:t>Prohibitions Against</w:t>
      </w:r>
      <w:r>
        <w:rPr>
          <w:sz w:val="20"/>
          <w:szCs w:val="20"/>
          <w:color w:val="auto"/>
        </w:rPr>
        <w:tab/>
      </w:r>
      <w:r>
        <w:rPr>
          <w:rFonts w:ascii="Arial" w:cs="Arial" w:eastAsia="Arial" w:hAnsi="Arial"/>
          <w:sz w:val="18"/>
          <w:szCs w:val="18"/>
          <w:color w:val="auto"/>
        </w:rPr>
        <w:t>Except as permitted under Section C below pursuant to a Rule 10b5-1 Trading Plan, the Covered Persons</w:t>
      </w:r>
    </w:p>
    <w:p>
      <w:pPr>
        <w:spacing w:after="0" w:line="9" w:lineRule="exact"/>
        <w:rPr>
          <w:sz w:val="20"/>
          <w:szCs w:val="20"/>
          <w:color w:val="auto"/>
        </w:rPr>
      </w:pPr>
    </w:p>
    <w:p>
      <w:pPr>
        <w:ind w:left="200"/>
        <w:spacing w:after="0"/>
        <w:tabs>
          <w:tab w:leader="none" w:pos="2200" w:val="left"/>
        </w:tabs>
        <w:rPr>
          <w:sz w:val="20"/>
          <w:szCs w:val="20"/>
          <w:color w:val="auto"/>
        </w:rPr>
      </w:pPr>
      <w:r>
        <w:rPr>
          <w:rFonts w:ascii="Arial" w:cs="Arial" w:eastAsia="Arial" w:hAnsi="Arial"/>
          <w:sz w:val="18"/>
          <w:szCs w:val="18"/>
          <w:b w:val="1"/>
          <w:bCs w:val="1"/>
          <w:color w:val="auto"/>
        </w:rPr>
        <w:t>Trading During</w:t>
      </w:r>
      <w:r>
        <w:rPr>
          <w:sz w:val="20"/>
          <w:szCs w:val="20"/>
          <w:color w:val="auto"/>
        </w:rPr>
        <w:tab/>
      </w:r>
      <w:r>
        <w:rPr>
          <w:rFonts w:ascii="Arial" w:cs="Arial" w:eastAsia="Arial" w:hAnsi="Arial"/>
          <w:sz w:val="18"/>
          <w:szCs w:val="18"/>
          <w:color w:val="auto"/>
        </w:rPr>
        <w:t>specified in this Section B shall not engage in any purchase or sale of the stock or other securities of Ashland</w:t>
      </w:r>
    </w:p>
    <w:p>
      <w:pPr>
        <w:ind w:left="200"/>
        <w:spacing w:after="0"/>
        <w:tabs>
          <w:tab w:leader="none" w:pos="2200" w:val="left"/>
        </w:tabs>
        <w:rPr>
          <w:sz w:val="20"/>
          <w:szCs w:val="20"/>
          <w:color w:val="auto"/>
        </w:rPr>
      </w:pPr>
      <w:r>
        <w:rPr>
          <w:rFonts w:ascii="Arial" w:cs="Arial" w:eastAsia="Arial" w:hAnsi="Arial"/>
          <w:sz w:val="18"/>
          <w:szCs w:val="18"/>
          <w:b w:val="1"/>
          <w:bCs w:val="1"/>
          <w:color w:val="auto"/>
        </w:rPr>
        <w:t>Blackout Periods</w:t>
      </w:r>
      <w:r>
        <w:rPr>
          <w:sz w:val="20"/>
          <w:szCs w:val="20"/>
          <w:color w:val="auto"/>
        </w:rPr>
        <w:tab/>
      </w:r>
      <w:r>
        <w:rPr>
          <w:rFonts w:ascii="Arial" w:cs="Arial" w:eastAsia="Arial" w:hAnsi="Arial"/>
          <w:sz w:val="17"/>
          <w:szCs w:val="17"/>
          <w:color w:val="auto"/>
        </w:rPr>
        <w:t>during any Blackout Period (defined below).</w:t>
      </w:r>
    </w:p>
    <w:p>
      <w:pPr>
        <w:ind w:left="200"/>
        <w:spacing w:after="0" w:line="235" w:lineRule="auto"/>
        <w:rPr>
          <w:sz w:val="20"/>
          <w:szCs w:val="20"/>
          <w:color w:val="auto"/>
        </w:rPr>
      </w:pPr>
      <w:r>
        <w:rPr>
          <w:rFonts w:ascii="Arial" w:cs="Arial" w:eastAsia="Arial" w:hAnsi="Arial"/>
          <w:sz w:val="18"/>
          <w:szCs w:val="18"/>
          <w:b w:val="1"/>
          <w:bCs w:val="1"/>
          <w:color w:val="auto"/>
        </w:rPr>
        <w:t>(“Section B”)</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This Section B applies to the following Covered Persons:</w:t>
      </w:r>
    </w:p>
    <w:p>
      <w:pPr>
        <w:spacing w:after="0" w:line="194" w:lineRule="exact"/>
        <w:rPr>
          <w:sz w:val="20"/>
          <w:szCs w:val="20"/>
          <w:color w:val="auto"/>
        </w:rPr>
      </w:pPr>
    </w:p>
    <w:p>
      <w:pPr>
        <w:ind w:left="2820" w:hanging="305"/>
        <w:spacing w:after="0"/>
        <w:tabs>
          <w:tab w:leader="none" w:pos="282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Section 16 Persons and their respective Family Members; and</w:t>
      </w:r>
    </w:p>
    <w:p>
      <w:pPr>
        <w:spacing w:after="0" w:line="224" w:lineRule="exact"/>
        <w:rPr>
          <w:rFonts w:ascii="Times New Roman" w:cs="Times New Roman" w:eastAsia="Times New Roman" w:hAnsi="Times New Roman"/>
          <w:sz w:val="18"/>
          <w:szCs w:val="18"/>
          <w:color w:val="auto"/>
        </w:rPr>
      </w:pPr>
    </w:p>
    <w:p>
      <w:pPr>
        <w:jc w:val="both"/>
        <w:ind w:left="2820" w:right="220" w:hanging="305"/>
        <w:spacing w:after="0" w:line="246" w:lineRule="auto"/>
        <w:tabs>
          <w:tab w:leader="none" w:pos="282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The officers and employees of Ashland listed on Schedule B, as maintained by the Law Department, and their respective Family Members. Schedule B may be amended from time to time by the General Counsel or his or her designee. Each officer and employee listed on Schedule B will be notified by the General Counsel or his or her designee of the restrictions under this section.</w:t>
      </w:r>
    </w:p>
    <w:p>
      <w:pPr>
        <w:spacing w:after="0" w:line="163" w:lineRule="exact"/>
        <w:rPr>
          <w:sz w:val="20"/>
          <w:szCs w:val="20"/>
          <w:color w:val="auto"/>
        </w:rPr>
      </w:pPr>
    </w:p>
    <w:p>
      <w:pPr>
        <w:jc w:val="both"/>
        <w:ind w:left="2220" w:right="240"/>
        <w:spacing w:after="0" w:line="238" w:lineRule="auto"/>
        <w:rPr>
          <w:sz w:val="20"/>
          <w:szCs w:val="20"/>
          <w:color w:val="auto"/>
        </w:rPr>
      </w:pPr>
      <w:r>
        <w:rPr>
          <w:rFonts w:ascii="Arial" w:cs="Arial" w:eastAsia="Arial" w:hAnsi="Arial"/>
          <w:sz w:val="18"/>
          <w:szCs w:val="18"/>
          <w:color w:val="auto"/>
        </w:rPr>
        <w:t>A “Blackout Period” is any period during which designated Covered Persons are prohibited from trading in the stock or other securities of Ashland. Ashland has four quarterly Blackout Periods which commence, respectively, when the New York Stock Exchange (“NYSE”) closes on March 1, June 1, September 1, and December 1 of each year. If any of the preceding dates fall on a weekend or a NYSE holiday, then the applicable Blackout Period shall commence when the NYSE closes on the last trading day prior to such weekend or NYSE holiday. Each Blackout Period shall end when the market opens on the third trading day after Ashland publicly issues its earnings release for the preceding fiscal period. In very limited hardship circumstances and subject to the pre-clearance procedures in Section A, the General Counsel may in their discretion permit a Covered Person subject to this Section B to trade during a quarterly Blackout Period, but only if the General Counsel concludes that such person does not possess any material, non-public information concerning Ashland.</w:t>
      </w:r>
    </w:p>
    <w:p>
      <w:pPr>
        <w:spacing w:after="0" w:line="172" w:lineRule="exact"/>
        <w:rPr>
          <w:sz w:val="20"/>
          <w:szCs w:val="20"/>
          <w:color w:val="auto"/>
        </w:rPr>
      </w:pPr>
    </w:p>
    <w:p>
      <w:pPr>
        <w:jc w:val="both"/>
        <w:ind w:left="2220" w:right="240"/>
        <w:spacing w:after="0" w:line="239" w:lineRule="auto"/>
        <w:rPr>
          <w:sz w:val="20"/>
          <w:szCs w:val="20"/>
          <w:color w:val="auto"/>
        </w:rPr>
      </w:pPr>
      <w:r>
        <w:rPr>
          <w:rFonts w:ascii="Arial" w:cs="Arial" w:eastAsia="Arial" w:hAnsi="Arial"/>
          <w:sz w:val="18"/>
          <w:szCs w:val="18"/>
          <w:color w:val="auto"/>
        </w:rPr>
        <w:t xml:space="preserve">In addition to the quarterly Blackout Periods, Ashland may from time to time designate other periods as special blackout periods in anticipation of the release of potentially material information (for example, updates to earnings guidance prior to an earnings release) or because of the occurrence of a potentially material event (for example, the announcement of a major acquisition) (a blackout for any such events, a “Special Blackout”). Covered Persons (which may include Covered Persons who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subject to quarterly Blackout Periods) will be notified that they are subject to a Special Blackout. An individual who becomes subject to a Special Blackout, may not purchase or sell Ashland stock, and may not disclose the fact that they are subject to a Special Blackout to any other person without the express permission of the General Counsel. The Special Blackout will continue until the individual is notified by the General Counsel that the Special Blackout has been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ind w:left="200"/>
              <w:spacing w:after="0"/>
              <w:rPr>
                <w:sz w:val="20"/>
                <w:szCs w:val="20"/>
                <w:color w:val="auto"/>
              </w:rPr>
            </w:pPr>
            <w:r>
              <w:rPr>
                <w:rFonts w:ascii="Arial" w:cs="Arial" w:eastAsia="Arial" w:hAnsi="Arial"/>
                <w:sz w:val="18"/>
                <w:szCs w:val="18"/>
                <w:b w:val="1"/>
                <w:bCs w:val="1"/>
                <w:color w:val="auto"/>
              </w:rPr>
              <w:t>Use of Pre-</w:t>
            </w:r>
          </w:p>
        </w:tc>
        <w:tc>
          <w:tcPr>
            <w:tcW w:w="9280" w:type="dxa"/>
            <w:vAlign w:val="bottom"/>
          </w:tcPr>
          <w:p>
            <w:pPr>
              <w:ind w:left="240"/>
              <w:spacing w:after="0"/>
              <w:rPr>
                <w:sz w:val="20"/>
                <w:szCs w:val="20"/>
                <w:color w:val="auto"/>
              </w:rPr>
            </w:pPr>
            <w:r>
              <w:rPr>
                <w:rFonts w:ascii="Arial" w:cs="Arial" w:eastAsia="Arial" w:hAnsi="Arial"/>
                <w:sz w:val="18"/>
                <w:szCs w:val="18"/>
                <w:color w:val="auto"/>
              </w:rPr>
              <w:t>Notwithstanding anything else in this Policy, in the event persons subject to Section B of this Policy desire to</w:t>
            </w:r>
          </w:p>
        </w:tc>
      </w:tr>
      <w:tr>
        <w:trPr>
          <w:trHeight w:val="203"/>
        </w:trPr>
        <w:tc>
          <w:tcPr>
            <w:tcW w:w="19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Approved Trading</w:t>
            </w: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enter into a trading plan, such trading plan must (i) comply with the requirements set forth on Appendix A; (ii)</w:t>
            </w:r>
          </w:p>
        </w:tc>
      </w:tr>
      <w:tr>
        <w:trPr>
          <w:trHeight w:val="203"/>
        </w:trPr>
        <w:tc>
          <w:tcPr>
            <w:tcW w:w="19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Plans</w:t>
            </w: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be adopted at a time when such person would otherwise have been permitted to trade under this Policy (i.e.,</w:t>
            </w:r>
          </w:p>
        </w:tc>
      </w:tr>
      <w:tr>
        <w:trPr>
          <w:trHeight w:val="203"/>
        </w:trPr>
        <w:tc>
          <w:tcPr>
            <w:tcW w:w="1960" w:type="dxa"/>
            <w:vAlign w:val="bottom"/>
          </w:tcPr>
          <w:p>
            <w:pPr>
              <w:spacing w:after="0"/>
              <w:rPr>
                <w:sz w:val="17"/>
                <w:szCs w:val="17"/>
                <w:color w:val="auto"/>
              </w:rPr>
            </w:pP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the individual is not subject to blackout and is not in possession of material, non-public information at the time</w:t>
            </w:r>
          </w:p>
        </w:tc>
      </w:tr>
      <w:tr>
        <w:trPr>
          <w:trHeight w:val="203"/>
        </w:trPr>
        <w:tc>
          <w:tcPr>
            <w:tcW w:w="1960" w:type="dxa"/>
            <w:vAlign w:val="bottom"/>
          </w:tcPr>
          <w:p>
            <w:pPr>
              <w:spacing w:after="0"/>
              <w:rPr>
                <w:sz w:val="17"/>
                <w:szCs w:val="17"/>
                <w:color w:val="auto"/>
              </w:rPr>
            </w:pP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the trading plan is adopted); and (iii) only be adopted following review and receipt of   the express</w:t>
            </w:r>
          </w:p>
        </w:tc>
      </w:tr>
      <w:tr>
        <w:trPr>
          <w:trHeight w:val="203"/>
        </w:trPr>
        <w:tc>
          <w:tcPr>
            <w:tcW w:w="1960" w:type="dxa"/>
            <w:vAlign w:val="bottom"/>
          </w:tcPr>
          <w:p>
            <w:pPr>
              <w:spacing w:after="0"/>
              <w:rPr>
                <w:sz w:val="17"/>
                <w:szCs w:val="17"/>
                <w:color w:val="auto"/>
              </w:rPr>
            </w:pP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authorization of the General Counsel or their designee. Any modification, amendment, or premature</w:t>
            </w:r>
          </w:p>
        </w:tc>
      </w:tr>
      <w:tr>
        <w:trPr>
          <w:trHeight w:val="203"/>
        </w:trPr>
        <w:tc>
          <w:tcPr>
            <w:tcW w:w="1960" w:type="dxa"/>
            <w:vAlign w:val="bottom"/>
          </w:tcPr>
          <w:p>
            <w:pPr>
              <w:spacing w:after="0"/>
              <w:rPr>
                <w:sz w:val="17"/>
                <w:szCs w:val="17"/>
                <w:color w:val="auto"/>
              </w:rPr>
            </w:pP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termination of a trading plan must also be reviewed and authorized by the General Counsel or their designee.</w:t>
            </w:r>
          </w:p>
        </w:tc>
      </w:tr>
      <w:tr>
        <w:trPr>
          <w:trHeight w:val="203"/>
        </w:trPr>
        <w:tc>
          <w:tcPr>
            <w:tcW w:w="1960" w:type="dxa"/>
            <w:vAlign w:val="bottom"/>
          </w:tcPr>
          <w:p>
            <w:pPr>
              <w:spacing w:after="0"/>
              <w:rPr>
                <w:sz w:val="17"/>
                <w:szCs w:val="17"/>
                <w:color w:val="auto"/>
              </w:rPr>
            </w:pP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Once a trading plan has been approved, no further pre-approval will be required for transactions conducted</w:t>
            </w:r>
          </w:p>
        </w:tc>
      </w:tr>
      <w:tr>
        <w:trPr>
          <w:trHeight w:val="203"/>
        </w:trPr>
        <w:tc>
          <w:tcPr>
            <w:tcW w:w="1960" w:type="dxa"/>
            <w:vAlign w:val="bottom"/>
          </w:tcPr>
          <w:p>
            <w:pPr>
              <w:spacing w:after="0"/>
              <w:rPr>
                <w:sz w:val="17"/>
                <w:szCs w:val="17"/>
                <w:color w:val="auto"/>
              </w:rPr>
            </w:pPr>
          </w:p>
        </w:tc>
        <w:tc>
          <w:tcPr>
            <w:tcW w:w="9280" w:type="dxa"/>
            <w:vAlign w:val="bottom"/>
          </w:tcPr>
          <w:p>
            <w:pPr>
              <w:ind w:left="240"/>
              <w:spacing w:after="0" w:line="202" w:lineRule="exact"/>
              <w:rPr>
                <w:sz w:val="20"/>
                <w:szCs w:val="20"/>
                <w:color w:val="auto"/>
              </w:rPr>
            </w:pPr>
            <w:r>
              <w:rPr>
                <w:rFonts w:ascii="Arial" w:cs="Arial" w:eastAsia="Arial" w:hAnsi="Arial"/>
                <w:sz w:val="18"/>
                <w:szCs w:val="18"/>
                <w:color w:val="auto"/>
              </w:rPr>
              <w:t>pursuant to that plan and no pre-clearance will be required for individuals subject to Section A of this Policy;</w:t>
            </w:r>
          </w:p>
        </w:tc>
      </w:tr>
      <w:tr>
        <w:trPr>
          <w:trHeight w:val="239"/>
        </w:trPr>
        <w:tc>
          <w:tcPr>
            <w:tcW w:w="1960" w:type="dxa"/>
            <w:vAlign w:val="bottom"/>
          </w:tcPr>
          <w:p>
            <w:pPr>
              <w:spacing w:after="0"/>
              <w:rPr>
                <w:sz w:val="20"/>
                <w:szCs w:val="20"/>
                <w:color w:val="auto"/>
              </w:rPr>
            </w:pPr>
          </w:p>
        </w:tc>
        <w:tc>
          <w:tcPr>
            <w:tcW w:w="9280" w:type="dxa"/>
            <w:vAlign w:val="bottom"/>
          </w:tcPr>
          <w:p>
            <w:pPr>
              <w:ind w:left="240"/>
              <w:spacing w:after="0"/>
              <w:rPr>
                <w:sz w:val="20"/>
                <w:szCs w:val="20"/>
                <w:color w:val="auto"/>
              </w:rPr>
            </w:pPr>
            <w:r>
              <w:rPr>
                <w:rFonts w:ascii="Arial" w:cs="Arial" w:eastAsia="Arial" w:hAnsi="Arial"/>
                <w:sz w:val="18"/>
                <w:szCs w:val="18"/>
                <w:color w:val="auto"/>
              </w:rPr>
              <w:t>provided, that all trading plan</w:t>
            </w:r>
          </w:p>
        </w:tc>
      </w:tr>
      <w:tr>
        <w:trPr>
          <w:trHeight w:val="961"/>
        </w:trPr>
        <w:tc>
          <w:tcPr>
            <w:tcW w:w="196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6" w:name="page197"/>
    <w:bookmarkEnd w:id="196"/>
    <w:p>
      <w:pPr>
        <w:ind w:left="2000" w:right="60"/>
        <w:spacing w:after="0" w:line="271" w:lineRule="auto"/>
        <w:rPr>
          <w:sz w:val="20"/>
          <w:szCs w:val="20"/>
          <w:color w:val="auto"/>
        </w:rPr>
      </w:pPr>
      <w:r>
        <w:rPr>
          <w:rFonts w:ascii="Arial" w:cs="Arial" w:eastAsia="Arial" w:hAnsi="Arial"/>
          <w:sz w:val="18"/>
          <w:szCs w:val="18"/>
          <w:color w:val="auto"/>
        </w:rPr>
        <w:t>transactions must be reported by Section 16 Persons to the General Counsel in accordance with the requirements on Section 16 persons described below.</w:t>
      </w:r>
    </w:p>
    <w:p>
      <w:pPr>
        <w:spacing w:after="0" w:line="200" w:lineRule="exact"/>
        <w:rPr>
          <w:sz w:val="20"/>
          <w:szCs w:val="20"/>
          <w:color w:val="auto"/>
        </w:rPr>
      </w:pPr>
    </w:p>
    <w:p>
      <w:pPr>
        <w:spacing w:after="0" w:line="25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Certain Hedging</w:t>
      </w:r>
      <w:r>
        <w:rPr>
          <w:sz w:val="20"/>
          <w:szCs w:val="20"/>
          <w:color w:val="auto"/>
        </w:rPr>
        <w:tab/>
      </w:r>
      <w:r>
        <w:rPr>
          <w:rFonts w:ascii="Arial" w:cs="Arial" w:eastAsia="Arial" w:hAnsi="Arial"/>
          <w:sz w:val="18"/>
          <w:szCs w:val="18"/>
          <w:color w:val="auto"/>
        </w:rPr>
        <w:t>No Covered Person (or their designee) may purchase any financial instruments (including prepaid variable</w:t>
      </w:r>
    </w:p>
    <w:p>
      <w:pPr>
        <w:spacing w:after="0" w:line="14" w:lineRule="exact"/>
        <w:rPr>
          <w:sz w:val="20"/>
          <w:szCs w:val="20"/>
          <w:color w:val="auto"/>
        </w:rPr>
      </w:pPr>
    </w:p>
    <w:p>
      <w:pPr>
        <w:jc w:val="both"/>
        <w:ind w:left="1980" w:right="40" w:hanging="1979"/>
        <w:spacing w:after="0" w:line="234" w:lineRule="auto"/>
        <w:tabs>
          <w:tab w:leader="none" w:pos="1960" w:val="left"/>
        </w:tabs>
        <w:rPr>
          <w:sz w:val="20"/>
          <w:szCs w:val="20"/>
          <w:color w:val="auto"/>
        </w:rPr>
      </w:pPr>
      <w:r>
        <w:rPr>
          <w:rFonts w:ascii="Arial" w:cs="Arial" w:eastAsia="Arial" w:hAnsi="Arial"/>
          <w:sz w:val="18"/>
          <w:szCs w:val="18"/>
          <w:b w:val="1"/>
          <w:bCs w:val="1"/>
          <w:color w:val="auto"/>
        </w:rPr>
        <w:t>Transactions</w:t>
      </w:r>
      <w:r>
        <w:rPr>
          <w:sz w:val="20"/>
          <w:szCs w:val="20"/>
          <w:color w:val="auto"/>
        </w:rPr>
        <w:tab/>
      </w:r>
      <w:r>
        <w:rPr>
          <w:rFonts w:ascii="Arial" w:cs="Arial" w:eastAsia="Arial" w:hAnsi="Arial"/>
          <w:sz w:val="18"/>
          <w:szCs w:val="18"/>
          <w:color w:val="auto"/>
        </w:rPr>
        <w:t>forward contracts, equity swaps, collars, and exchange funds) that are designed to hedge or offset any decrease in the market value of equity securities of Ashland: (i) granted to the Covered Person by Ashland as part of the Covered Person’s compensation or (ii) held, directly or indirectly, by the Covered</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Person.</w:t>
      </w:r>
    </w:p>
    <w:p>
      <w:pPr>
        <w:sectPr>
          <w:pgSz w:w="11900" w:h="16838" w:orient="portrait"/>
          <w:cols w:equalWidth="0" w:num="1">
            <w:col w:w="10760"/>
          </w:cols>
          <w:pgMar w:left="520" w:top="1403" w:right="6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Certain Pledging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All Board members and officers of Ashland (as designated by the Board) are prohibited from, directly or indirectly, pledging equity securities of Ashland. For these purposes, "pledging" includes the intentional creation of any form of pledge, security interest, deposit, lien or other hypothecation, including the holding of shares in a margin account, that entitles a third party to foreclose against, or otherwise sell, any equity securities, whether with or without notice, consent, default or otherwise, but does not include either the involuntary imposition of liens, such as tax liens or liens arising from legal proceedings, or customary purchase and sale agreements, such as Rule 10b5-1 Trading Plans. "Equity securities" include common stock, voting preferred stock and options and other securities exercisable for, or convertible into, settled in, or measured by reference to, any other equity security determined on an as-exercised and as-converted basis.</w:t>
      </w:r>
    </w:p>
    <w:p>
      <w:pPr>
        <w:spacing w:after="0" w:line="170"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equity securities attributable to a Board member or officer for these purposes shall include equity securities attributable to the Board member or officer under either Section 13 or Section 16 of the Securities Exchange Act of 1934, as amended.</w:t>
      </w:r>
    </w:p>
    <w:p>
      <w:pPr>
        <w:spacing w:after="0" w:line="200" w:lineRule="exact"/>
        <w:rPr>
          <w:sz w:val="20"/>
          <w:szCs w:val="20"/>
          <w:color w:val="auto"/>
        </w:rPr>
      </w:pPr>
    </w:p>
    <w:p>
      <w:pPr>
        <w:sectPr>
          <w:pgSz w:w="11900" w:h="16838" w:orient="portrait"/>
          <w:cols w:equalWidth="0" w:num="2">
            <w:col w:w="1440" w:space="560"/>
            <w:col w:w="8760"/>
          </w:cols>
          <w:pgMar w:left="520" w:top="1403"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Additional Requirements Applicable Only to Section 16 Persons</w:t>
      </w:r>
    </w:p>
    <w:p>
      <w:pPr>
        <w:spacing w:after="0" w:line="158" w:lineRule="exact"/>
        <w:rPr>
          <w:sz w:val="20"/>
          <w:szCs w:val="20"/>
          <w:color w:val="auto"/>
        </w:rPr>
      </w:pPr>
    </w:p>
    <w:p>
      <w:pPr>
        <w:jc w:val="both"/>
        <w:ind w:left="2040" w:hanging="2033"/>
        <w:spacing w:after="0" w:line="244" w:lineRule="auto"/>
        <w:tabs>
          <w:tab w:leader="none" w:pos="2020" w:val="left"/>
        </w:tabs>
        <w:rPr>
          <w:sz w:val="20"/>
          <w:szCs w:val="20"/>
          <w:color w:val="auto"/>
        </w:rPr>
      </w:pPr>
      <w:r>
        <w:rPr>
          <w:rFonts w:ascii="Arial" w:cs="Arial" w:eastAsia="Arial" w:hAnsi="Arial"/>
          <w:sz w:val="18"/>
          <w:szCs w:val="18"/>
          <w:b w:val="1"/>
          <w:bCs w:val="1"/>
          <w:color w:val="auto"/>
        </w:rPr>
        <w:t>Section 16 Reporting</w:t>
      </w:r>
      <w:r>
        <w:rPr>
          <w:sz w:val="20"/>
          <w:szCs w:val="20"/>
          <w:color w:val="auto"/>
        </w:rPr>
        <w:tab/>
      </w:r>
      <w:r>
        <w:rPr>
          <w:rFonts w:ascii="Arial" w:cs="Arial" w:eastAsia="Arial" w:hAnsi="Arial"/>
          <w:sz w:val="18"/>
          <w:szCs w:val="18"/>
          <w:color w:val="auto"/>
        </w:rPr>
        <w:t>U.S. securities laws require Section 16 Persons to report their beneficial ownership of Ashland securities, and any changes to that ownership or transactions in Ashland securities, to the SEC. At a high level, “beneficial ownership” means having, directly or indirectly, the right to vote or direct the voting of a security and/or the power to sell a security. Nearly all transactions in Ashland securities by a Section 16 Person must be reported to the SEC under Section 16, including:</w:t>
      </w:r>
    </w:p>
    <w:p>
      <w:pPr>
        <w:spacing w:after="0" w:line="82" w:lineRule="exact"/>
        <w:rPr>
          <w:sz w:val="20"/>
          <w:szCs w:val="20"/>
          <w:color w:val="auto"/>
        </w:rPr>
      </w:pPr>
    </w:p>
    <w:p>
      <w:pPr>
        <w:ind w:left="2960" w:hanging="595"/>
        <w:spacing w:after="0"/>
        <w:tabs>
          <w:tab w:leader="none" w:pos="29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and sales of Ashland securities;</w:t>
      </w:r>
    </w:p>
    <w:p>
      <w:pPr>
        <w:spacing w:after="0" w:line="116" w:lineRule="exact"/>
        <w:rPr>
          <w:rFonts w:ascii="Times New Roman" w:cs="Times New Roman" w:eastAsia="Times New Roman" w:hAnsi="Times New Roman"/>
          <w:sz w:val="18"/>
          <w:szCs w:val="18"/>
          <w:color w:val="auto"/>
        </w:rPr>
      </w:pPr>
    </w:p>
    <w:p>
      <w:pPr>
        <w:ind w:left="2960" w:hanging="595"/>
        <w:spacing w:after="0" w:line="270" w:lineRule="auto"/>
        <w:tabs>
          <w:tab w:leader="none" w:pos="29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a grant of, and the vesting of, stock options, restricted stock, restricted stock units, performance shares and other equity-based awards;</w:t>
      </w:r>
    </w:p>
    <w:p>
      <w:pPr>
        <w:spacing w:after="0" w:line="46" w:lineRule="exact"/>
        <w:rPr>
          <w:rFonts w:ascii="Times New Roman" w:cs="Times New Roman" w:eastAsia="Times New Roman" w:hAnsi="Times New Roman"/>
          <w:sz w:val="18"/>
          <w:szCs w:val="18"/>
          <w:color w:val="auto"/>
        </w:rPr>
      </w:pPr>
    </w:p>
    <w:p>
      <w:pPr>
        <w:ind w:left="2960" w:hanging="595"/>
        <w:spacing w:after="0"/>
        <w:tabs>
          <w:tab w:leader="none" w:pos="29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 exercises;</w:t>
      </w:r>
    </w:p>
    <w:p>
      <w:pPr>
        <w:spacing w:after="0" w:line="116" w:lineRule="exact"/>
        <w:rPr>
          <w:rFonts w:ascii="Times New Roman" w:cs="Times New Roman" w:eastAsia="Times New Roman" w:hAnsi="Times New Roman"/>
          <w:sz w:val="18"/>
          <w:szCs w:val="18"/>
          <w:color w:val="auto"/>
        </w:rPr>
      </w:pPr>
    </w:p>
    <w:p>
      <w:pPr>
        <w:ind w:left="2960" w:hanging="595"/>
        <w:spacing w:after="0"/>
        <w:tabs>
          <w:tab w:leader="none" w:pos="29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involving family members or family trusts; and</w:t>
      </w:r>
    </w:p>
    <w:p>
      <w:pPr>
        <w:spacing w:after="0" w:line="116" w:lineRule="exact"/>
        <w:rPr>
          <w:rFonts w:ascii="Times New Roman" w:cs="Times New Roman" w:eastAsia="Times New Roman" w:hAnsi="Times New Roman"/>
          <w:sz w:val="18"/>
          <w:szCs w:val="18"/>
          <w:color w:val="auto"/>
        </w:rPr>
      </w:pPr>
    </w:p>
    <w:p>
      <w:pPr>
        <w:ind w:left="2960" w:hanging="595"/>
        <w:spacing w:after="0"/>
        <w:tabs>
          <w:tab w:leader="none" w:pos="296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Gifts of Ashland securities.</w:t>
      </w:r>
    </w:p>
    <w:p>
      <w:pPr>
        <w:spacing w:after="0" w:line="116" w:lineRule="exact"/>
        <w:rPr>
          <w:sz w:val="20"/>
          <w:szCs w:val="20"/>
          <w:color w:val="auto"/>
        </w:rPr>
      </w:pPr>
    </w:p>
    <w:p>
      <w:pPr>
        <w:jc w:val="both"/>
        <w:ind w:left="2040"/>
        <w:spacing w:after="0" w:line="242" w:lineRule="auto"/>
        <w:rPr>
          <w:sz w:val="20"/>
          <w:szCs w:val="20"/>
          <w:color w:val="auto"/>
        </w:rPr>
      </w:pPr>
      <w:r>
        <w:rPr>
          <w:rFonts w:ascii="Arial" w:cs="Arial" w:eastAsia="Arial" w:hAnsi="Arial"/>
          <w:sz w:val="18"/>
          <w:szCs w:val="18"/>
          <w:color w:val="auto"/>
        </w:rPr>
        <w:t xml:space="preserve">In addition to obtaining pre-clearance in accordance with this Policy, Section 16 Persons should arrange for details of the transaction (or a copy of the executed trade order) including the trade date, type of transaction, shares traded, and the price per share, to be submitted to the General Counsel or their designee as soon as possible after the trade is completed. Section 16 requires that most reportable transactions by Section 16 Persons be reported to the SEC within two (2) trading days after the date of the transaction. </w:t>
      </w:r>
      <w:r>
        <w:rPr>
          <w:rFonts w:ascii="Arial" w:cs="Arial" w:eastAsia="Arial" w:hAnsi="Arial"/>
          <w:sz w:val="18"/>
          <w:szCs w:val="18"/>
          <w:b w:val="1"/>
          <w:bCs w:val="1"/>
          <w:color w:val="auto"/>
        </w:rPr>
        <w:t>The SEC holds</w:t>
      </w:r>
      <w:r>
        <w:rPr>
          <w:rFonts w:ascii="Arial" w:cs="Arial" w:eastAsia="Arial" w:hAnsi="Arial"/>
          <w:sz w:val="18"/>
          <w:szCs w:val="18"/>
          <w:color w:val="auto"/>
        </w:rPr>
        <w:t xml:space="preserve"> </w:t>
      </w:r>
      <w:r>
        <w:rPr>
          <w:rFonts w:ascii="Arial" w:cs="Arial" w:eastAsia="Arial" w:hAnsi="Arial"/>
          <w:sz w:val="18"/>
          <w:szCs w:val="18"/>
          <w:b w:val="1"/>
          <w:bCs w:val="1"/>
          <w:color w:val="auto"/>
        </w:rPr>
        <w:t>individual Section 16 Persons responsible for their failure to file Section 16 reports, even when a company assists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20" w:top="1403" w:right="619" w:bottom="1440" w:gutter="0" w:footer="0" w:header="0"/>
          <w:type w:val="continuous"/>
        </w:sectPr>
      </w:pPr>
    </w:p>
    <w:bookmarkStart w:id="197" w:name="page198"/>
    <w:bookmarkEnd w:id="197"/>
    <w:p>
      <w:pPr>
        <w:jc w:val="both"/>
        <w:ind w:left="2240" w:right="280"/>
        <w:spacing w:after="0" w:line="253" w:lineRule="auto"/>
        <w:rPr>
          <w:sz w:val="20"/>
          <w:szCs w:val="20"/>
          <w:color w:val="auto"/>
        </w:rPr>
      </w:pPr>
      <w:r>
        <w:rPr>
          <w:rFonts w:ascii="Arial" w:cs="Arial" w:eastAsia="Arial" w:hAnsi="Arial"/>
          <w:sz w:val="18"/>
          <w:szCs w:val="18"/>
          <w:b w:val="1"/>
          <w:bCs w:val="1"/>
          <w:color w:val="auto"/>
        </w:rPr>
        <w:t xml:space="preserve">filing of the reports. </w:t>
      </w:r>
      <w:r>
        <w:rPr>
          <w:rFonts w:ascii="Arial" w:cs="Arial" w:eastAsia="Arial" w:hAnsi="Arial"/>
          <w:sz w:val="18"/>
          <w:szCs w:val="18"/>
          <w:color w:val="auto"/>
        </w:rPr>
        <w:t>It is therefore critical that Section 16 Persons communicate transaction information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Counsel or their designee promptly to ensure that all transactions are properly and timely reported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tabs>
          <w:tab w:leader="none" w:pos="2220" w:val="left"/>
        </w:tabs>
        <w:rPr>
          <w:sz w:val="20"/>
          <w:szCs w:val="20"/>
          <w:color w:val="auto"/>
        </w:rPr>
      </w:pPr>
      <w:r>
        <w:rPr>
          <w:rFonts w:ascii="Arial" w:cs="Arial" w:eastAsia="Arial" w:hAnsi="Arial"/>
          <w:sz w:val="18"/>
          <w:szCs w:val="18"/>
          <w:b w:val="1"/>
          <w:bCs w:val="1"/>
          <w:color w:val="auto"/>
        </w:rPr>
        <w:t>Cautionary Note</w:t>
      </w:r>
      <w:r>
        <w:rPr>
          <w:sz w:val="20"/>
          <w:szCs w:val="20"/>
          <w:color w:val="auto"/>
        </w:rPr>
        <w:tab/>
      </w:r>
      <w:r>
        <w:rPr>
          <w:rFonts w:ascii="Arial" w:cs="Arial" w:eastAsia="Arial" w:hAnsi="Arial"/>
          <w:sz w:val="18"/>
          <w:szCs w:val="18"/>
          <w:color w:val="auto"/>
        </w:rPr>
        <w:t>Section 16 Persons are required by U.S. securities laws to return to Ashland, any profits made from a</w:t>
      </w:r>
    </w:p>
    <w:p>
      <w:pPr>
        <w:spacing w:after="0" w:line="14" w:lineRule="exact"/>
        <w:rPr>
          <w:sz w:val="20"/>
          <w:szCs w:val="20"/>
          <w:color w:val="auto"/>
        </w:rPr>
      </w:pPr>
    </w:p>
    <w:p>
      <w:pPr>
        <w:jc w:val="right"/>
        <w:ind w:left="200" w:right="180"/>
        <w:spacing w:after="0"/>
        <w:rPr>
          <w:sz w:val="20"/>
          <w:szCs w:val="20"/>
          <w:color w:val="auto"/>
        </w:rPr>
      </w:pPr>
      <w:r>
        <w:rPr>
          <w:rFonts w:ascii="Arial" w:cs="Arial" w:eastAsia="Arial" w:hAnsi="Arial"/>
          <w:sz w:val="18"/>
          <w:szCs w:val="18"/>
          <w:b w:val="1"/>
          <w:bCs w:val="1"/>
          <w:color w:val="auto"/>
        </w:rPr>
        <w:t xml:space="preserve">Regarding Short-      </w:t>
      </w:r>
      <w:r>
        <w:rPr>
          <w:rFonts w:ascii="Arial" w:cs="Arial" w:eastAsia="Arial" w:hAnsi="Arial"/>
          <w:sz w:val="18"/>
          <w:szCs w:val="18"/>
          <w:color w:val="auto"/>
        </w:rPr>
        <w:t>purchase and a subsequent sale, or the sale and subsequent purchase, of Ashland securities if both</w:t>
      </w:r>
      <w:r>
        <w:rPr>
          <w:rFonts w:ascii="Arial" w:cs="Arial" w:eastAsia="Arial" w:hAnsi="Arial"/>
          <w:sz w:val="18"/>
          <w:szCs w:val="18"/>
          <w:b w:val="1"/>
          <w:bCs w:val="1"/>
          <w:color w:val="auto"/>
        </w:rPr>
        <w:t xml:space="preserve"> Swing Transactions    </w:t>
      </w:r>
      <w:r>
        <w:rPr>
          <w:rFonts w:ascii="Arial" w:cs="Arial" w:eastAsia="Arial" w:hAnsi="Arial"/>
          <w:sz w:val="18"/>
          <w:szCs w:val="18"/>
          <w:color w:val="auto"/>
        </w:rPr>
        <w:t>transactions occur within a six (6)-month period (“short-swing profits”). The terms “purchase” and “sale”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broadly in this context and may apply in situations that would not ordinarily be considered a “purchase” or “sale” (such as a gift or a transaction by a Family Member). SEC rules specifically authorize any shareholder of Ashland to seek recovery of short-swing profits on Ashland’s behalf if Ashland fails or refuses to do so. Section 16 filings are regularly monitored by shareholders and plaintiff’s counsel, who frequently threaten litigation to recover short-swing profits (and for payment of their attorneys’ fees). Accordingly, it is critical that Section 16 Persons timely provide all information about a potential transaction in Ashland securities, in advance, to the General Counsel or their designee so that Section 16 reports may be timely filed</w:t>
      </w:r>
    </w:p>
    <w:p>
      <w:pPr>
        <w:spacing w:after="0" w:line="16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and short-swing profit liability can be assessed.</w:t>
      </w:r>
    </w:p>
    <w:p>
      <w:pPr>
        <w:spacing w:after="0" w:line="200" w:lineRule="exact"/>
        <w:rPr>
          <w:sz w:val="20"/>
          <w:szCs w:val="20"/>
          <w:color w:val="auto"/>
        </w:rPr>
      </w:pPr>
    </w:p>
    <w:p>
      <w:pPr>
        <w:spacing w:after="0" w:line="223" w:lineRule="exact"/>
        <w:rPr>
          <w:sz w:val="20"/>
          <w:szCs w:val="20"/>
          <w:color w:val="auto"/>
        </w:rPr>
      </w:pPr>
    </w:p>
    <w:p>
      <w:pPr>
        <w:ind w:left="2160" w:right="520" w:hanging="1966"/>
        <w:spacing w:after="0" w:line="245" w:lineRule="auto"/>
        <w:tabs>
          <w:tab w:leader="none" w:pos="2140" w:val="left"/>
        </w:tabs>
        <w:rPr>
          <w:sz w:val="20"/>
          <w:szCs w:val="20"/>
          <w:color w:val="auto"/>
        </w:rPr>
      </w:pPr>
      <w:r>
        <w:rPr>
          <w:rFonts w:ascii="Arial" w:cs="Arial" w:eastAsia="Arial" w:hAnsi="Arial"/>
          <w:sz w:val="18"/>
          <w:szCs w:val="18"/>
          <w:b w:val="1"/>
          <w:bCs w:val="1"/>
          <w:color w:val="auto"/>
        </w:rPr>
        <w:t>Responsible Party</w:t>
      </w:r>
      <w:r>
        <w:rPr>
          <w:sz w:val="20"/>
          <w:szCs w:val="20"/>
          <w:color w:val="auto"/>
        </w:rPr>
        <w:tab/>
      </w:r>
      <w:r>
        <w:rPr>
          <w:rFonts w:ascii="Arial" w:cs="Arial" w:eastAsia="Arial" w:hAnsi="Arial"/>
          <w:sz w:val="18"/>
          <w:szCs w:val="18"/>
          <w:color w:val="auto"/>
        </w:rPr>
        <w:t>Ashland’s General Counsel is responsible for the implementation of, and amendments to, this Policy. Any questions about this Policy, its application to a</w:t>
      </w:r>
    </w:p>
    <w:p>
      <w:pPr>
        <w:ind w:left="2160" w:right="520"/>
        <w:spacing w:after="0" w:line="250" w:lineRule="auto"/>
        <w:rPr>
          <w:sz w:val="20"/>
          <w:szCs w:val="20"/>
          <w:color w:val="auto"/>
        </w:rPr>
      </w:pPr>
      <w:r>
        <w:rPr>
          <w:rFonts w:ascii="Arial" w:cs="Arial" w:eastAsia="Arial" w:hAnsi="Arial"/>
          <w:sz w:val="18"/>
          <w:szCs w:val="18"/>
          <w:color w:val="auto"/>
        </w:rPr>
        <w:t>proposed transaction, or the requirements of applicable laws should be directed to the General Counsel or their designee.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Scope</w:t>
            </w: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This Policy applies to Ashland and all Covered Persons.</w:t>
            </w: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648"/>
        </w:trPr>
        <w:tc>
          <w:tcPr>
            <w:tcW w:w="1920" w:type="dxa"/>
            <w:vAlign w:val="bottom"/>
          </w:tcPr>
          <w:p>
            <w:pPr>
              <w:ind w:left="200"/>
              <w:spacing w:after="0"/>
              <w:rPr>
                <w:sz w:val="20"/>
                <w:szCs w:val="20"/>
                <w:color w:val="auto"/>
              </w:rPr>
            </w:pPr>
            <w:r>
              <w:rPr>
                <w:rFonts w:ascii="Arial" w:cs="Arial" w:eastAsia="Arial" w:hAnsi="Arial"/>
                <w:sz w:val="18"/>
                <w:szCs w:val="18"/>
                <w:b w:val="1"/>
                <w:bCs w:val="1"/>
                <w:color w:val="auto"/>
              </w:rPr>
              <w:t>Effective Date</w:t>
            </w:r>
          </w:p>
        </w:tc>
        <w:tc>
          <w:tcPr>
            <w:tcW w:w="2280" w:type="dxa"/>
            <w:vAlign w:val="bottom"/>
          </w:tcPr>
          <w:p>
            <w:pPr>
              <w:ind w:left="200"/>
              <w:spacing w:after="0"/>
              <w:rPr>
                <w:sz w:val="20"/>
                <w:szCs w:val="20"/>
                <w:color w:val="auto"/>
              </w:rPr>
            </w:pPr>
            <w:r>
              <w:rPr>
                <w:rFonts w:ascii="Arial" w:cs="Arial" w:eastAsia="Arial" w:hAnsi="Arial"/>
                <w:sz w:val="18"/>
                <w:szCs w:val="18"/>
                <w:color w:val="auto"/>
              </w:rPr>
              <w:t>November 13, 2024</w:t>
            </w:r>
          </w:p>
        </w:tc>
        <w:tc>
          <w:tcPr>
            <w:tcW w:w="4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35"/>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References</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The following reference documents apply to this policy:</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4"/>
        </w:trPr>
        <w:tc>
          <w:tcPr>
            <w:tcW w:w="1920" w:type="dxa"/>
            <w:vAlign w:val="bottom"/>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176"/>
        </w:trPr>
        <w:tc>
          <w:tcPr>
            <w:tcW w:w="1920" w:type="dxa"/>
            <w:vAlign w:val="bottom"/>
            <w:tcBorders>
              <w:right w:val="single" w:sz="8" w:color="auto"/>
            </w:tcBorders>
          </w:tcPr>
          <w:p>
            <w:pPr>
              <w:spacing w:after="0"/>
              <w:rPr>
                <w:sz w:val="15"/>
                <w:szCs w:val="15"/>
                <w:color w:val="auto"/>
              </w:rPr>
            </w:pPr>
          </w:p>
        </w:tc>
        <w:tc>
          <w:tcPr>
            <w:tcW w:w="2280" w:type="dxa"/>
            <w:vAlign w:val="bottom"/>
            <w:tcBorders>
              <w:bottom w:val="single" w:sz="8" w:color="auto"/>
              <w:right w:val="single" w:sz="8" w:color="auto"/>
            </w:tcBorders>
          </w:tcPr>
          <w:p>
            <w:pPr>
              <w:ind w:left="20"/>
              <w:spacing w:after="0" w:line="156" w:lineRule="exact"/>
              <w:rPr>
                <w:sz w:val="20"/>
                <w:szCs w:val="20"/>
                <w:color w:val="auto"/>
              </w:rPr>
            </w:pPr>
            <w:r>
              <w:rPr>
                <w:rFonts w:ascii="Arial" w:cs="Arial" w:eastAsia="Arial" w:hAnsi="Arial"/>
                <w:sz w:val="18"/>
                <w:szCs w:val="18"/>
                <w:b w:val="1"/>
                <w:bCs w:val="1"/>
                <w:color w:val="auto"/>
              </w:rPr>
              <w:t>Document Number</w:t>
            </w:r>
          </w:p>
        </w:tc>
        <w:tc>
          <w:tcPr>
            <w:tcW w:w="4680" w:type="dxa"/>
            <w:vAlign w:val="bottom"/>
            <w:tcBorders>
              <w:bottom w:val="single" w:sz="8" w:color="auto"/>
              <w:right w:val="single" w:sz="8" w:color="auto"/>
            </w:tcBorders>
          </w:tcPr>
          <w:p>
            <w:pPr>
              <w:ind w:left="40"/>
              <w:spacing w:after="0" w:line="156" w:lineRule="exact"/>
              <w:rPr>
                <w:sz w:val="20"/>
                <w:szCs w:val="20"/>
                <w:color w:val="auto"/>
              </w:rPr>
            </w:pPr>
            <w:r>
              <w:rPr>
                <w:rFonts w:ascii="Arial" w:cs="Arial" w:eastAsia="Arial" w:hAnsi="Arial"/>
                <w:sz w:val="18"/>
                <w:szCs w:val="18"/>
                <w:b w:val="1"/>
                <w:bCs w:val="1"/>
                <w:color w:val="auto"/>
              </w:rPr>
              <w:t>Document Title</w:t>
            </w:r>
          </w:p>
        </w:tc>
        <w:tc>
          <w:tcPr>
            <w:tcW w:w="2000" w:type="dxa"/>
            <w:vAlign w:val="bottom"/>
            <w:tcBorders>
              <w:bottom w:val="single" w:sz="8" w:color="auto"/>
              <w:right w:val="single" w:sz="8" w:color="auto"/>
            </w:tcBorders>
          </w:tcPr>
          <w:p>
            <w:pPr>
              <w:ind w:left="20"/>
              <w:spacing w:after="0" w:line="156" w:lineRule="exact"/>
              <w:rPr>
                <w:sz w:val="20"/>
                <w:szCs w:val="20"/>
                <w:color w:val="auto"/>
              </w:rPr>
            </w:pPr>
            <w:r>
              <w:rPr>
                <w:rFonts w:ascii="Arial" w:cs="Arial" w:eastAsia="Arial" w:hAnsi="Arial"/>
                <w:sz w:val="18"/>
                <w:szCs w:val="18"/>
                <w:b w:val="1"/>
                <w:bCs w:val="1"/>
                <w:color w:val="auto"/>
              </w:rPr>
              <w:t>Document Type</w:t>
            </w:r>
          </w:p>
        </w:tc>
        <w:tc>
          <w:tcPr>
            <w:tcW w:w="360" w:type="dxa"/>
            <w:vAlign w:val="bottom"/>
          </w:tcPr>
          <w:p>
            <w:pPr>
              <w:spacing w:after="0"/>
              <w:rPr>
                <w:sz w:val="15"/>
                <w:szCs w:val="15"/>
                <w:color w:val="auto"/>
              </w:rPr>
            </w:pPr>
          </w:p>
        </w:tc>
      </w:tr>
      <w:tr>
        <w:trPr>
          <w:trHeight w:val="219"/>
        </w:trPr>
        <w:tc>
          <w:tcPr>
            <w:tcW w:w="19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AI-POL-001.000</w:t>
            </w: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Establishment and Application of Ashland Policies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Policy</w:t>
            </w:r>
          </w:p>
        </w:tc>
        <w:tc>
          <w:tcPr>
            <w:tcW w:w="360" w:type="dxa"/>
            <w:vAlign w:val="bottom"/>
          </w:tcPr>
          <w:p>
            <w:pPr>
              <w:spacing w:after="0"/>
              <w:rPr>
                <w:sz w:val="19"/>
                <w:szCs w:val="19"/>
                <w:color w:val="auto"/>
              </w:rPr>
            </w:pPr>
          </w:p>
        </w:tc>
      </w:tr>
      <w:tr>
        <w:trPr>
          <w:trHeight w:val="163"/>
        </w:trPr>
        <w:tc>
          <w:tcPr>
            <w:tcW w:w="1920" w:type="dxa"/>
            <w:vAlign w:val="bottom"/>
            <w:tcBorders>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spacing w:after="0"/>
              <w:rPr>
                <w:sz w:val="14"/>
                <w:szCs w:val="14"/>
                <w:color w:val="auto"/>
              </w:rPr>
            </w:pPr>
          </w:p>
        </w:tc>
        <w:tc>
          <w:tcPr>
            <w:tcW w:w="4680" w:type="dxa"/>
            <w:vAlign w:val="bottom"/>
            <w:tcBorders>
              <w:bottom w:val="single" w:sz="8" w:color="auto"/>
              <w:right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96"/>
        </w:trPr>
        <w:tc>
          <w:tcPr>
            <w:tcW w:w="1920" w:type="dxa"/>
            <w:vAlign w:val="bottom"/>
            <w:tcBorders>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AI-POL-002.012</w:t>
            </w:r>
          </w:p>
        </w:tc>
        <w:tc>
          <w:tcPr>
            <w:tcW w:w="46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Public Disclosure of Information</w:t>
            </w:r>
          </w:p>
        </w:tc>
        <w:tc>
          <w:tcPr>
            <w:tcW w:w="20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Policy</w:t>
            </w:r>
          </w:p>
        </w:tc>
        <w:tc>
          <w:tcPr>
            <w:tcW w:w="360" w:type="dxa"/>
            <w:vAlign w:val="bottom"/>
          </w:tcPr>
          <w:p>
            <w:pPr>
              <w:spacing w:after="0"/>
              <w:rPr>
                <w:sz w:val="17"/>
                <w:szCs w:val="17"/>
                <w:color w:val="auto"/>
              </w:rPr>
            </w:pPr>
          </w:p>
        </w:tc>
      </w:tr>
      <w:tr>
        <w:trPr>
          <w:trHeight w:val="196"/>
        </w:trPr>
        <w:tc>
          <w:tcPr>
            <w:tcW w:w="1920" w:type="dxa"/>
            <w:vAlign w:val="bottom"/>
            <w:tcBorders>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AI-POL-004.000</w:t>
            </w:r>
          </w:p>
        </w:tc>
        <w:tc>
          <w:tcPr>
            <w:tcW w:w="46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Legal Compliance</w:t>
            </w:r>
          </w:p>
        </w:tc>
        <w:tc>
          <w:tcPr>
            <w:tcW w:w="20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Policy</w:t>
            </w:r>
          </w:p>
        </w:tc>
        <w:tc>
          <w:tcPr>
            <w:tcW w:w="360" w:type="dxa"/>
            <w:vAlign w:val="bottom"/>
          </w:tcPr>
          <w:p>
            <w:pPr>
              <w:spacing w:after="0"/>
              <w:rPr>
                <w:sz w:val="17"/>
                <w:szCs w:val="17"/>
                <w:color w:val="auto"/>
              </w:rPr>
            </w:pPr>
          </w:p>
        </w:tc>
      </w:tr>
      <w:tr>
        <w:trPr>
          <w:trHeight w:val="196"/>
        </w:trPr>
        <w:tc>
          <w:tcPr>
            <w:tcW w:w="1920" w:type="dxa"/>
            <w:vAlign w:val="bottom"/>
            <w:tcBorders>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AI-POL-007.004</w:t>
            </w:r>
          </w:p>
        </w:tc>
        <w:tc>
          <w:tcPr>
            <w:tcW w:w="46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Reporting Obligations</w:t>
            </w:r>
          </w:p>
        </w:tc>
        <w:tc>
          <w:tcPr>
            <w:tcW w:w="20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Policy</w:t>
            </w:r>
          </w:p>
        </w:tc>
        <w:tc>
          <w:tcPr>
            <w:tcW w:w="360" w:type="dxa"/>
            <w:vAlign w:val="bottom"/>
          </w:tcPr>
          <w:p>
            <w:pPr>
              <w:spacing w:after="0"/>
              <w:rPr>
                <w:sz w:val="17"/>
                <w:szCs w:val="17"/>
                <w:color w:val="auto"/>
              </w:rPr>
            </w:pPr>
          </w:p>
        </w:tc>
      </w:tr>
      <w:tr>
        <w:trPr>
          <w:trHeight w:val="177"/>
        </w:trPr>
        <w:tc>
          <w:tcPr>
            <w:tcW w:w="192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AI-POL-004.024</w:t>
            </w:r>
          </w:p>
        </w:tc>
        <w:tc>
          <w:tcPr>
            <w:tcW w:w="4680" w:type="dxa"/>
            <w:vAlign w:val="bottom"/>
            <w:tcBorders>
              <w:right w:val="single" w:sz="8" w:color="auto"/>
            </w:tcBorders>
          </w:tcPr>
          <w:p>
            <w:pPr>
              <w:ind w:left="40"/>
              <w:spacing w:after="0" w:line="177" w:lineRule="exact"/>
              <w:rPr>
                <w:sz w:val="20"/>
                <w:szCs w:val="20"/>
                <w:color w:val="auto"/>
              </w:rPr>
            </w:pPr>
            <w:r>
              <w:rPr>
                <w:rFonts w:ascii="Arial" w:cs="Arial" w:eastAsia="Arial" w:hAnsi="Arial"/>
                <w:sz w:val="18"/>
                <w:szCs w:val="18"/>
                <w:color w:val="auto"/>
              </w:rPr>
              <w:t>Securities Laws and Insider Trading International</w:t>
            </w:r>
          </w:p>
        </w:tc>
        <w:tc>
          <w:tcPr>
            <w:tcW w:w="200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8"/>
                <w:szCs w:val="18"/>
                <w:color w:val="auto"/>
              </w:rPr>
              <w:t>Reference</w:t>
            </w:r>
          </w:p>
        </w:tc>
        <w:tc>
          <w:tcPr>
            <w:tcW w:w="360" w:type="dxa"/>
            <w:vAlign w:val="bottom"/>
          </w:tcPr>
          <w:p>
            <w:pPr>
              <w:spacing w:after="0"/>
              <w:rPr>
                <w:sz w:val="15"/>
                <w:szCs w:val="15"/>
                <w:color w:val="auto"/>
              </w:rPr>
            </w:pPr>
          </w:p>
        </w:tc>
      </w:tr>
      <w:tr>
        <w:trPr>
          <w:trHeight w:val="221"/>
        </w:trPr>
        <w:tc>
          <w:tcPr>
            <w:tcW w:w="1920" w:type="dxa"/>
            <w:vAlign w:val="bottom"/>
            <w:tcBorders>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c>
          <w:tcPr>
            <w:tcW w:w="46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Translations</w:t>
            </w:r>
          </w:p>
        </w:tc>
        <w:tc>
          <w:tcPr>
            <w:tcW w:w="2000" w:type="dxa"/>
            <w:vAlign w:val="bottom"/>
            <w:tcBorders>
              <w:bottom w:val="single" w:sz="8" w:color="auto"/>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196"/>
        </w:trPr>
        <w:tc>
          <w:tcPr>
            <w:tcW w:w="1920" w:type="dxa"/>
            <w:vAlign w:val="bottom"/>
            <w:tcBorders>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FirstHand Link</w:t>
            </w:r>
          </w:p>
        </w:tc>
        <w:tc>
          <w:tcPr>
            <w:tcW w:w="46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Global Code of Conduct</w:t>
            </w:r>
          </w:p>
        </w:tc>
        <w:tc>
          <w:tcPr>
            <w:tcW w:w="20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Reference</w:t>
            </w:r>
          </w:p>
        </w:tc>
        <w:tc>
          <w:tcPr>
            <w:tcW w:w="360" w:type="dxa"/>
            <w:vAlign w:val="bottom"/>
          </w:tcPr>
          <w:p>
            <w:pPr>
              <w:spacing w:after="0"/>
              <w:rPr>
                <w:sz w:val="17"/>
                <w:szCs w:val="17"/>
                <w:color w:val="auto"/>
              </w:rPr>
            </w:pPr>
          </w:p>
        </w:tc>
      </w:tr>
      <w:tr>
        <w:trPr>
          <w:trHeight w:val="196"/>
        </w:trPr>
        <w:tc>
          <w:tcPr>
            <w:tcW w:w="1920" w:type="dxa"/>
            <w:vAlign w:val="bottom"/>
            <w:tcBorders>
              <w:right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REF-000004</w:t>
            </w:r>
          </w:p>
        </w:tc>
        <w:tc>
          <w:tcPr>
            <w:tcW w:w="468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Glossary</w:t>
            </w:r>
          </w:p>
        </w:tc>
        <w:tc>
          <w:tcPr>
            <w:tcW w:w="2000" w:type="dxa"/>
            <w:vAlign w:val="bottom"/>
            <w:tcBorders>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Reference</w:t>
            </w:r>
          </w:p>
        </w:tc>
        <w:tc>
          <w:tcPr>
            <w:tcW w:w="360" w:type="dxa"/>
            <w:vAlign w:val="bottom"/>
          </w:tcPr>
          <w:p>
            <w:pPr>
              <w:spacing w:after="0"/>
              <w:rPr>
                <w:sz w:val="17"/>
                <w:szCs w:val="17"/>
                <w:color w:val="auto"/>
              </w:rPr>
            </w:pPr>
          </w:p>
        </w:tc>
      </w:tr>
      <w:tr>
        <w:trPr>
          <w:trHeight w:val="1189"/>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Pre-Approved Trading Plans</w:t>
      </w:r>
    </w:p>
    <w:p>
      <w:pPr>
        <w:spacing w:after="0" w:line="194" w:lineRule="exact"/>
        <w:rPr>
          <w:sz w:val="20"/>
          <w:szCs w:val="20"/>
          <w:color w:val="auto"/>
        </w:rPr>
      </w:pPr>
    </w:p>
    <w:p>
      <w:pPr>
        <w:ind w:left="760" w:hanging="752"/>
        <w:spacing w:after="0"/>
        <w:tabs>
          <w:tab w:leader="none" w:pos="760" w:val="left"/>
        </w:tabs>
        <w:numPr>
          <w:ilvl w:val="0"/>
          <w:numId w:val="163"/>
        </w:numPr>
        <w:rPr>
          <w:rFonts w:ascii="Times New Roman" w:cs="Times New Roman" w:eastAsia="Times New Roman" w:hAnsi="Times New Roman"/>
          <w:sz w:val="18"/>
          <w:szCs w:val="18"/>
          <w:b w:val="1"/>
          <w:bCs w:val="1"/>
          <w:u w:val="single" w:color="auto"/>
          <w:color w:val="auto"/>
        </w:rPr>
      </w:pPr>
      <w:r>
        <w:rPr>
          <w:rFonts w:ascii="Arial" w:cs="Arial" w:eastAsia="Arial" w:hAnsi="Arial"/>
          <w:sz w:val="18"/>
          <w:szCs w:val="18"/>
          <w:b w:val="1"/>
          <w:bCs w:val="1"/>
          <w:u w:val="single" w:color="auto"/>
          <w:color w:val="auto"/>
        </w:rPr>
        <w:t>RULE 10B5-1 TRADING PLANS</w:t>
      </w:r>
    </w:p>
    <w:p>
      <w:pPr>
        <w:spacing w:after="0" w:line="224" w:lineRule="exact"/>
        <w:rPr>
          <w:rFonts w:ascii="Times New Roman" w:cs="Times New Roman" w:eastAsia="Times New Roman" w:hAnsi="Times New Roman"/>
          <w:sz w:val="18"/>
          <w:szCs w:val="18"/>
          <w:b w:val="1"/>
          <w:bCs w:val="1"/>
          <w:u w:val="single" w:color="auto"/>
          <w:color w:val="auto"/>
        </w:rPr>
      </w:pPr>
    </w:p>
    <w:p>
      <w:pPr>
        <w:ind w:left="1500" w:hanging="743"/>
        <w:spacing w:after="0"/>
        <w:tabs>
          <w:tab w:leader="none" w:pos="1500" w:val="left"/>
        </w:tabs>
        <w:numPr>
          <w:ilvl w:val="1"/>
          <w:numId w:val="163"/>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Overview</w:t>
      </w:r>
      <w:r>
        <w:rPr>
          <w:rFonts w:ascii="Arial" w:cs="Arial" w:eastAsia="Arial" w:hAnsi="Arial"/>
          <w:sz w:val="18"/>
          <w:szCs w:val="18"/>
          <w:color w:val="auto"/>
        </w:rPr>
        <w:t>.</w:t>
      </w:r>
    </w:p>
    <w:p>
      <w:pPr>
        <w:spacing w:after="0" w:line="211" w:lineRule="exact"/>
        <w:rPr>
          <w:rFonts w:ascii="Arial" w:cs="Arial" w:eastAsia="Arial" w:hAnsi="Arial"/>
          <w:sz w:val="18"/>
          <w:szCs w:val="18"/>
          <w:u w:val="single" w:color="auto"/>
          <w:color w:val="auto"/>
        </w:rPr>
      </w:pPr>
    </w:p>
    <w:p>
      <w:pPr>
        <w:jc w:val="both"/>
        <w:ind w:firstLine="1505"/>
        <w:spacing w:after="0" w:line="247" w:lineRule="auto"/>
        <w:tabs>
          <w:tab w:leader="none" w:pos="2036"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color w:val="auto"/>
        </w:rPr>
        <w:t>SEC Rule 10b5-1(c) provides an affirmative defense from insider trading liability for securities transactions that occur pursuant to a prearranged contract, plan, or instruction to trade (a “</w:t>
      </w:r>
      <w:r>
        <w:rPr>
          <w:rFonts w:ascii="Arial" w:cs="Arial" w:eastAsia="Arial" w:hAnsi="Arial"/>
          <w:sz w:val="18"/>
          <w:szCs w:val="18"/>
          <w:b w:val="1"/>
          <w:bCs w:val="1"/>
          <w:color w:val="auto"/>
        </w:rPr>
        <w:t>Rule 10b5-1 Trading Plan</w:t>
      </w:r>
      <w:r>
        <w:rPr>
          <w:rFonts w:ascii="Arial" w:cs="Arial" w:eastAsia="Arial" w:hAnsi="Arial"/>
          <w:sz w:val="18"/>
          <w:szCs w:val="18"/>
          <w:color w:val="auto"/>
        </w:rPr>
        <w:t>”) which was adopted in good faith at a time when the person was not aware of material non-public information, and which trading plan complies with the requirements set forth in Rule 10b5-1 and all applicable state laws.</w:t>
      </w:r>
    </w:p>
    <w:p>
      <w:pPr>
        <w:spacing w:after="0" w:line="173" w:lineRule="exact"/>
        <w:rPr>
          <w:rFonts w:ascii="Arial" w:cs="Arial" w:eastAsia="Arial" w:hAnsi="Arial"/>
          <w:sz w:val="18"/>
          <w:szCs w:val="18"/>
          <w:u w:val="single" w:color="auto"/>
          <w:color w:val="auto"/>
        </w:rPr>
      </w:pPr>
    </w:p>
    <w:p>
      <w:pPr>
        <w:jc w:val="both"/>
        <w:ind w:firstLine="1505"/>
        <w:spacing w:after="0" w:line="247" w:lineRule="auto"/>
        <w:tabs>
          <w:tab w:leader="none" w:pos="2036"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color w:val="auto"/>
        </w:rPr>
        <w:t>If a Rule 10b5-1 Trading Plan meets all of the requirements of SEC Rule 10b5-1(c), as described below, and transactions in Ashland securities are made in accordance with the terms and conditions of that plan, the trades will not be deemed to have been made “on the basis of” material non-public information, even if the Covered Person who established the Rule 10b5-1 Trading Plan is actually aware of material non-public information at the time plan-based transactions are executed.</w:t>
      </w:r>
    </w:p>
    <w:p>
      <w:pPr>
        <w:spacing w:after="0" w:line="173" w:lineRule="exact"/>
        <w:rPr>
          <w:rFonts w:ascii="Arial" w:cs="Arial" w:eastAsia="Arial" w:hAnsi="Arial"/>
          <w:sz w:val="18"/>
          <w:szCs w:val="18"/>
          <w:u w:val="single" w:color="auto"/>
          <w:color w:val="auto"/>
        </w:rPr>
      </w:pPr>
    </w:p>
    <w:p>
      <w:pPr>
        <w:ind w:firstLine="1505"/>
        <w:spacing w:after="0" w:line="271" w:lineRule="auto"/>
        <w:tabs>
          <w:tab w:leader="none" w:pos="2036"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color w:val="auto"/>
        </w:rPr>
        <w:t>Any Covered Person may adopt a Rule 10b5-1 Trading Plan. Officers and members of the Board who intend to regularly sell Ashland securities to meet liquidity needs are encouraged to adopt a Rule 10b5-1 Trading Plan for that purpose.</w:t>
      </w:r>
    </w:p>
    <w:p>
      <w:pPr>
        <w:spacing w:after="0" w:line="153" w:lineRule="exact"/>
        <w:rPr>
          <w:rFonts w:ascii="Arial" w:cs="Arial" w:eastAsia="Arial" w:hAnsi="Arial"/>
          <w:sz w:val="18"/>
          <w:szCs w:val="18"/>
          <w:u w:val="single" w:color="auto"/>
          <w:color w:val="auto"/>
        </w:rPr>
      </w:pPr>
    </w:p>
    <w:p>
      <w:pPr>
        <w:ind w:left="1500" w:hanging="743"/>
        <w:spacing w:after="0"/>
        <w:tabs>
          <w:tab w:leader="none" w:pos="1500" w:val="left"/>
        </w:tabs>
        <w:numPr>
          <w:ilvl w:val="1"/>
          <w:numId w:val="163"/>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Rule 10b5-1 Trading Plan Requirements</w:t>
      </w:r>
      <w:r>
        <w:rPr>
          <w:rFonts w:ascii="Arial" w:cs="Arial" w:eastAsia="Arial" w:hAnsi="Arial"/>
          <w:sz w:val="18"/>
          <w:szCs w:val="18"/>
          <w:color w:val="auto"/>
        </w:rPr>
        <w:t>.</w:t>
      </w:r>
    </w:p>
    <w:p>
      <w:pPr>
        <w:spacing w:after="0" w:line="211" w:lineRule="exact"/>
        <w:rPr>
          <w:rFonts w:ascii="Arial" w:cs="Arial" w:eastAsia="Arial" w:hAnsi="Arial"/>
          <w:sz w:val="18"/>
          <w:szCs w:val="18"/>
          <w:u w:val="single" w:color="auto"/>
          <w:color w:val="auto"/>
        </w:rPr>
      </w:pPr>
    </w:p>
    <w:p>
      <w:pPr>
        <w:jc w:val="both"/>
        <w:ind w:firstLine="1505"/>
        <w:spacing w:after="0"/>
        <w:tabs>
          <w:tab w:leader="none" w:pos="2036"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Pre-Approval</w:t>
      </w:r>
      <w:r>
        <w:rPr>
          <w:rFonts w:ascii="Arial" w:cs="Arial" w:eastAsia="Arial" w:hAnsi="Arial"/>
          <w:sz w:val="18"/>
          <w:szCs w:val="18"/>
          <w:color w:val="auto"/>
        </w:rPr>
        <w:t>. Each Rule 10b5-1 Trading Plan must be reviewed and pre-authorized by the General Counsel or his or her designee to ensure compliance with these requirements. Any amendments or modifications to an existing Rule 10b5-1 Trading Plan, or any premature termination of a Rule 10b5-1 Trading Plan, must also be reviewed and pre-authorized by the General Counsel or his or her designee. Notwithstanding any review or pre-authorization of a Rule 10b5-1 Trading Plan, none of Ashland or its directors, officers, or other employees assume any liability for any trades made pursuant to such plan. Transactions entered into pursuant to a pre-approved Rule 10b5-1 Trading Plan will not require any further pre-approval at the time of the transaction (including pre-clearance for the Rule 10b5-1 Trading Plan transactions for persons subject to Section A of the Policy).</w:t>
      </w:r>
    </w:p>
    <w:p>
      <w:pPr>
        <w:spacing w:after="0" w:line="184" w:lineRule="exact"/>
        <w:rPr>
          <w:rFonts w:ascii="Arial" w:cs="Arial" w:eastAsia="Arial" w:hAnsi="Arial"/>
          <w:sz w:val="18"/>
          <w:szCs w:val="18"/>
          <w:u w:val="single" w:color="auto"/>
          <w:color w:val="auto"/>
        </w:rPr>
      </w:pPr>
    </w:p>
    <w:p>
      <w:pPr>
        <w:jc w:val="both"/>
        <w:ind w:firstLine="1505"/>
        <w:spacing w:after="0" w:line="253" w:lineRule="auto"/>
        <w:tabs>
          <w:tab w:leader="none" w:pos="2036"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Each Rule 10b5-1 Trading Plan must include a representation certifying that, at the time of the adoption or modification of the plan, the person entering into such plan (A) is doing so in good faith and not as part of a plan or scheme to evade the prohibitions of Rule 10b-5 and (B) is not aware of any material non-public information concerning Ashland.</w:t>
      </w:r>
    </w:p>
    <w:p>
      <w:pPr>
        <w:spacing w:after="0" w:line="168" w:lineRule="exact"/>
        <w:rPr>
          <w:rFonts w:ascii="Arial" w:cs="Arial" w:eastAsia="Arial" w:hAnsi="Arial"/>
          <w:sz w:val="18"/>
          <w:szCs w:val="18"/>
          <w:u w:val="single" w:color="auto"/>
          <w:color w:val="auto"/>
        </w:rPr>
      </w:pPr>
    </w:p>
    <w:p>
      <w:pPr>
        <w:ind w:left="2040" w:hanging="535"/>
        <w:spacing w:after="0"/>
        <w:tabs>
          <w:tab w:leader="none" w:pos="2040"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Plan Terms</w:t>
      </w:r>
      <w:r>
        <w:rPr>
          <w:rFonts w:ascii="Arial" w:cs="Arial" w:eastAsia="Arial" w:hAnsi="Arial"/>
          <w:sz w:val="18"/>
          <w:szCs w:val="18"/>
          <w:color w:val="auto"/>
        </w:rPr>
        <w:t>.  Each Rule 10b5-1 Trading Plan must either (A) specify the amount, price, and dates of the trades or</w:t>
      </w:r>
    </w:p>
    <w:p>
      <w:pPr>
        <w:spacing w:after="0" w:line="13" w:lineRule="exact"/>
        <w:rPr>
          <w:rFonts w:ascii="Arial" w:cs="Arial" w:eastAsia="Arial" w:hAnsi="Arial"/>
          <w:sz w:val="18"/>
          <w:szCs w:val="18"/>
          <w:u w:val="single" w:color="auto"/>
          <w:color w:val="auto"/>
        </w:rPr>
      </w:pPr>
    </w:p>
    <w:p>
      <w:pPr>
        <w:jc w:val="both"/>
        <w:spacing w:after="0" w:line="239" w:lineRule="auto"/>
        <w:rPr>
          <w:rFonts w:ascii="Arial" w:cs="Arial" w:eastAsia="Arial" w:hAnsi="Arial"/>
          <w:sz w:val="18"/>
          <w:szCs w:val="18"/>
          <w:u w:val="single" w:color="auto"/>
          <w:color w:val="auto"/>
        </w:rPr>
      </w:pPr>
      <w:r>
        <w:rPr>
          <w:rFonts w:ascii="Arial" w:cs="Arial" w:eastAsia="Arial" w:hAnsi="Arial"/>
          <w:sz w:val="18"/>
          <w:szCs w:val="18"/>
          <w:color w:val="auto"/>
        </w:rPr>
        <w:t>(B) provide a formula, algorithm, or computer program for determining the amount, price, and dates of the trades. Alternatively, the Covered Person may exclusively authorize a third party (such as a designated broker) to determine the timing, amount, and price of transactions under the Rule 10b5-1 Trading Plan, without any exercise of influence or control by the Covered Person. Until the expiration of the Rule 10b5-1 Trading Plan, communications between the Covered Person and such third party regarding the Rule 10b5-1 Trading Plan should be limited to information about transactions that have already been conducted by such third party.</w:t>
      </w:r>
    </w:p>
    <w:p>
      <w:pPr>
        <w:spacing w:after="0" w:line="179" w:lineRule="exact"/>
        <w:rPr>
          <w:rFonts w:ascii="Arial" w:cs="Arial" w:eastAsia="Arial" w:hAnsi="Arial"/>
          <w:sz w:val="18"/>
          <w:szCs w:val="18"/>
          <w:u w:val="single" w:color="auto"/>
          <w:color w:val="auto"/>
        </w:rPr>
      </w:pPr>
    </w:p>
    <w:p>
      <w:pPr>
        <w:jc w:val="both"/>
        <w:ind w:firstLine="1505"/>
        <w:spacing w:after="0" w:line="247" w:lineRule="auto"/>
        <w:tabs>
          <w:tab w:leader="none" w:pos="2036" w:val="left"/>
        </w:tabs>
        <w:numPr>
          <w:ilvl w:val="2"/>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Cooling-Off Periods</w:t>
      </w:r>
      <w:r>
        <w:rPr>
          <w:rFonts w:ascii="Arial" w:cs="Arial" w:eastAsia="Arial" w:hAnsi="Arial"/>
          <w:sz w:val="18"/>
          <w:szCs w:val="18"/>
          <w:color w:val="auto"/>
        </w:rPr>
        <w:t>. The first transaction under a new Rule 10b5-1 Trading Plan may not begin until the expiration of a “cooling-off” period. For Section 16 Persons, the cooling-off period expires on the later of (A) ninety (90) days after the plan is adopted or modified and (B) two (2) business days following Ashland’s filing of its Form 10-Q or Form 10-K, as applicable, for the fiscal quarter in which the plan was adopted or modified, up to a maximum of one hundred twenty (120) days. For all other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9" w:name="page200"/>
    <w:bookmarkEnd w:id="199"/>
    <w:p>
      <w:pPr>
        <w:spacing w:after="0" w:line="271" w:lineRule="auto"/>
        <w:rPr>
          <w:sz w:val="20"/>
          <w:szCs w:val="20"/>
          <w:color w:val="auto"/>
        </w:rPr>
      </w:pPr>
      <w:r>
        <w:rPr>
          <w:rFonts w:ascii="Arial" w:cs="Arial" w:eastAsia="Arial" w:hAnsi="Arial"/>
          <w:sz w:val="18"/>
          <w:szCs w:val="18"/>
          <w:color w:val="auto"/>
        </w:rPr>
        <w:t>Persons who enter into a Rule 10b5-1 Trading Plan, the cooling-off period shall be at least thirty (30) days from the date on which the plan was adopted or modified.</w:t>
      </w:r>
    </w:p>
    <w:p>
      <w:pPr>
        <w:spacing w:after="0" w:line="154" w:lineRule="exact"/>
        <w:rPr>
          <w:sz w:val="20"/>
          <w:szCs w:val="20"/>
          <w:color w:val="auto"/>
        </w:rPr>
      </w:pPr>
    </w:p>
    <w:p>
      <w:pPr>
        <w:jc w:val="both"/>
        <w:ind w:firstLine="1505"/>
        <w:spacing w:after="0" w:line="253" w:lineRule="auto"/>
        <w:tabs>
          <w:tab w:leader="none" w:pos="2036" w:val="left"/>
        </w:tabs>
        <w:numPr>
          <w:ilvl w:val="2"/>
          <w:numId w:val="16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Good Faith</w:t>
      </w:r>
      <w:r>
        <w:rPr>
          <w:rFonts w:ascii="Arial" w:cs="Arial" w:eastAsia="Arial" w:hAnsi="Arial"/>
          <w:sz w:val="18"/>
          <w:szCs w:val="18"/>
          <w:color w:val="auto"/>
        </w:rPr>
        <w:t xml:space="preserve">. All Covered Persons entering into a Rule 10b5-1 Trading Plan must act in good faith with respect to that plan. This means that the person not only has an obligation to act in good faith in entering the Rule 10b5-1 Trading Plan but also an </w:t>
      </w:r>
      <w:r>
        <w:rPr>
          <w:rFonts w:ascii="Arial" w:cs="Arial" w:eastAsia="Arial" w:hAnsi="Arial"/>
          <w:sz w:val="18"/>
          <w:szCs w:val="18"/>
          <w:u w:val="single" w:color="auto"/>
          <w:color w:val="auto"/>
        </w:rPr>
        <w:t>ongoing and continuous obligation to act good faith</w:t>
      </w:r>
      <w:r>
        <w:rPr>
          <w:rFonts w:ascii="Arial" w:cs="Arial" w:eastAsia="Arial" w:hAnsi="Arial"/>
          <w:sz w:val="18"/>
          <w:szCs w:val="18"/>
          <w:color w:val="auto"/>
        </w:rPr>
        <w:t xml:space="preserve"> with respect to such plan.</w:t>
      </w:r>
    </w:p>
    <w:p>
      <w:pPr>
        <w:spacing w:after="0" w:line="168" w:lineRule="exact"/>
        <w:rPr>
          <w:rFonts w:ascii="Arial" w:cs="Arial" w:eastAsia="Arial" w:hAnsi="Arial"/>
          <w:sz w:val="18"/>
          <w:szCs w:val="18"/>
          <w:u w:val="single" w:color="auto"/>
          <w:color w:val="auto"/>
        </w:rPr>
      </w:pPr>
    </w:p>
    <w:p>
      <w:pPr>
        <w:jc w:val="both"/>
        <w:ind w:firstLine="757"/>
        <w:spacing w:after="0" w:line="253" w:lineRule="auto"/>
        <w:tabs>
          <w:tab w:leader="none" w:pos="1018" w:val="left"/>
        </w:tabs>
        <w:numPr>
          <w:ilvl w:val="1"/>
          <w:numId w:val="165"/>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Restrictions on Rule 10b5-1 Trading Plans</w:t>
      </w:r>
      <w:r>
        <w:rPr>
          <w:rFonts w:ascii="Arial" w:cs="Arial" w:eastAsia="Arial" w:hAnsi="Arial"/>
          <w:sz w:val="18"/>
          <w:szCs w:val="18"/>
          <w:color w:val="auto"/>
        </w:rPr>
        <w:t>. No Covered Person may enter into (i) multiple, overlapping Rule 10b5-1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Plans or (ii) multiple Rule 10b5-1 Trading Plans within a consecutive twelve (12)-month period, each of which authorizes only a single transaction.</w:t>
      </w:r>
    </w:p>
    <w:p>
      <w:pPr>
        <w:spacing w:after="0" w:line="168" w:lineRule="exact"/>
        <w:rPr>
          <w:rFonts w:ascii="Arial" w:cs="Arial" w:eastAsia="Arial" w:hAnsi="Arial"/>
          <w:sz w:val="18"/>
          <w:szCs w:val="18"/>
          <w:u w:val="single" w:color="auto"/>
          <w:color w:val="auto"/>
        </w:rPr>
      </w:pPr>
    </w:p>
    <w:p>
      <w:pPr>
        <w:ind w:left="760" w:hanging="752"/>
        <w:spacing w:after="0"/>
        <w:tabs>
          <w:tab w:leader="none" w:pos="760" w:val="left"/>
        </w:tabs>
        <w:numPr>
          <w:ilvl w:val="0"/>
          <w:numId w:val="166"/>
        </w:numPr>
        <w:rPr>
          <w:rFonts w:ascii="Times New Roman" w:cs="Times New Roman" w:eastAsia="Times New Roman" w:hAnsi="Times New Roman"/>
          <w:sz w:val="18"/>
          <w:szCs w:val="18"/>
          <w:b w:val="1"/>
          <w:bCs w:val="1"/>
          <w:u w:val="single" w:color="auto"/>
          <w:color w:val="auto"/>
        </w:rPr>
      </w:pPr>
      <w:r>
        <w:rPr>
          <w:rFonts w:ascii="Arial" w:cs="Arial" w:eastAsia="Arial" w:hAnsi="Arial"/>
          <w:sz w:val="18"/>
          <w:szCs w:val="18"/>
          <w:b w:val="1"/>
          <w:bCs w:val="1"/>
          <w:u w:val="single" w:color="auto"/>
          <w:color w:val="auto"/>
        </w:rPr>
        <w:t>NON-RULE 10B5-1 TRADING ARRANGEMENT</w:t>
      </w:r>
    </w:p>
    <w:p>
      <w:pPr>
        <w:spacing w:after="0" w:line="224" w:lineRule="exact"/>
        <w:rPr>
          <w:rFonts w:ascii="Times New Roman" w:cs="Times New Roman" w:eastAsia="Times New Roman" w:hAnsi="Times New Roman"/>
          <w:sz w:val="18"/>
          <w:szCs w:val="18"/>
          <w:b w:val="1"/>
          <w:bCs w:val="1"/>
          <w:u w:val="single" w:color="auto"/>
          <w:color w:val="auto"/>
        </w:rPr>
      </w:pPr>
    </w:p>
    <w:p>
      <w:pPr>
        <w:ind w:left="1500" w:hanging="743"/>
        <w:spacing w:after="0"/>
        <w:tabs>
          <w:tab w:leader="none" w:pos="1500" w:val="left"/>
        </w:tabs>
        <w:numPr>
          <w:ilvl w:val="1"/>
          <w:numId w:val="166"/>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Overview</w:t>
      </w:r>
      <w:r>
        <w:rPr>
          <w:rFonts w:ascii="Arial" w:cs="Arial" w:eastAsia="Arial" w:hAnsi="Arial"/>
          <w:sz w:val="18"/>
          <w:szCs w:val="18"/>
          <w:color w:val="auto"/>
        </w:rPr>
        <w:t>.</w:t>
      </w:r>
    </w:p>
    <w:p>
      <w:pPr>
        <w:spacing w:after="0" w:line="211" w:lineRule="exact"/>
        <w:rPr>
          <w:rFonts w:ascii="Arial" w:cs="Arial" w:eastAsia="Arial" w:hAnsi="Arial"/>
          <w:sz w:val="18"/>
          <w:szCs w:val="18"/>
          <w:u w:val="single" w:color="auto"/>
          <w:color w:val="auto"/>
        </w:rPr>
      </w:pPr>
    </w:p>
    <w:p>
      <w:pPr>
        <w:jc w:val="both"/>
        <w:ind w:firstLine="1505"/>
        <w:spacing w:after="0" w:line="250" w:lineRule="auto"/>
        <w:tabs>
          <w:tab w:leader="none" w:pos="2036" w:val="left"/>
        </w:tabs>
        <w:numPr>
          <w:ilvl w:val="2"/>
          <w:numId w:val="166"/>
        </w:numPr>
        <w:rPr>
          <w:rFonts w:ascii="Arial" w:cs="Arial" w:eastAsia="Arial" w:hAnsi="Arial"/>
          <w:sz w:val="18"/>
          <w:szCs w:val="18"/>
          <w:u w:val="single" w:color="auto"/>
          <w:color w:val="auto"/>
        </w:rPr>
      </w:pPr>
      <w:r>
        <w:rPr>
          <w:rFonts w:ascii="Arial" w:cs="Arial" w:eastAsia="Arial" w:hAnsi="Arial"/>
          <w:sz w:val="18"/>
          <w:szCs w:val="18"/>
          <w:color w:val="auto"/>
        </w:rPr>
        <w:t>Covered Persons may also enter into a written arrangement for the trading of Ashland securities pursuant to which the Covered Person asserts that such person entered into the trading arrangement at a time when such person was not aware of material non-public information about Ashland or its securities, but which does not otherwise comply with other requirements of Rule 10b5-1(c) (such as its cooling-off period requirements) (such an arrangement, a “</w:t>
      </w:r>
      <w:r>
        <w:rPr>
          <w:rFonts w:ascii="Arial" w:cs="Arial" w:eastAsia="Arial" w:hAnsi="Arial"/>
          <w:sz w:val="18"/>
          <w:szCs w:val="18"/>
          <w:b w:val="1"/>
          <w:bCs w:val="1"/>
          <w:color w:val="auto"/>
        </w:rPr>
        <w:t>Non-Rule 10b5-1 Trading Arrangement</w:t>
      </w:r>
      <w:r>
        <w:rPr>
          <w:rFonts w:ascii="Arial" w:cs="Arial" w:eastAsia="Arial" w:hAnsi="Arial"/>
          <w:sz w:val="18"/>
          <w:szCs w:val="18"/>
          <w:color w:val="auto"/>
        </w:rPr>
        <w:t>”).</w:t>
      </w:r>
    </w:p>
    <w:p>
      <w:pPr>
        <w:spacing w:after="0" w:line="164" w:lineRule="exact"/>
        <w:rPr>
          <w:sz w:val="20"/>
          <w:szCs w:val="20"/>
          <w:color w:val="auto"/>
        </w:rPr>
      </w:pPr>
    </w:p>
    <w:p>
      <w:pPr>
        <w:jc w:val="both"/>
        <w:ind w:firstLine="1505"/>
        <w:spacing w:after="0" w:line="253" w:lineRule="auto"/>
        <w:tabs>
          <w:tab w:leader="none" w:pos="2036" w:val="left"/>
        </w:tabs>
        <w:numPr>
          <w:ilvl w:val="1"/>
          <w:numId w:val="167"/>
        </w:numPr>
        <w:rPr>
          <w:rFonts w:ascii="Arial" w:cs="Arial" w:eastAsia="Arial" w:hAnsi="Arial"/>
          <w:sz w:val="18"/>
          <w:szCs w:val="18"/>
          <w:u w:val="single" w:color="auto"/>
          <w:color w:val="auto"/>
        </w:rPr>
      </w:pPr>
      <w:r>
        <w:rPr>
          <w:rFonts w:ascii="Arial" w:cs="Arial" w:eastAsia="Arial" w:hAnsi="Arial"/>
          <w:sz w:val="18"/>
          <w:szCs w:val="18"/>
          <w:color w:val="auto"/>
        </w:rPr>
        <w:t xml:space="preserve">A Non-Rule 10b5-1 Trading Arrangement does not provide an </w:t>
      </w:r>
      <w:r>
        <w:rPr>
          <w:rFonts w:ascii="Arial" w:cs="Arial" w:eastAsia="Arial" w:hAnsi="Arial"/>
          <w:sz w:val="18"/>
          <w:szCs w:val="18"/>
          <w:u w:val="single" w:color="auto"/>
          <w:color w:val="auto"/>
        </w:rPr>
        <w:t>affirmative</w:t>
      </w:r>
      <w:r>
        <w:rPr>
          <w:rFonts w:ascii="Arial" w:cs="Arial" w:eastAsia="Arial" w:hAnsi="Arial"/>
          <w:sz w:val="18"/>
          <w:szCs w:val="18"/>
          <w:color w:val="auto"/>
        </w:rPr>
        <w:t xml:space="preserve"> defense to insider trading, and while there are valid reasons why a Covered Person may desire or need to enter a Non-Rule 10b5-1 Trading Arrangement, Covered Persons are encouraged to enter into Rule 10b5-1 Trading Plans whenever possible.</w:t>
      </w:r>
    </w:p>
    <w:p>
      <w:pPr>
        <w:spacing w:after="0" w:line="168" w:lineRule="exact"/>
        <w:rPr>
          <w:rFonts w:ascii="Arial" w:cs="Arial" w:eastAsia="Arial" w:hAnsi="Arial"/>
          <w:sz w:val="18"/>
          <w:szCs w:val="18"/>
          <w:u w:val="single" w:color="auto"/>
          <w:color w:val="auto"/>
        </w:rPr>
      </w:pPr>
    </w:p>
    <w:p>
      <w:pPr>
        <w:ind w:left="1500" w:hanging="743"/>
        <w:spacing w:after="0"/>
        <w:tabs>
          <w:tab w:leader="none" w:pos="1500" w:val="left"/>
        </w:tabs>
        <w:numPr>
          <w:ilvl w:val="0"/>
          <w:numId w:val="168"/>
        </w:numPr>
        <w:rPr>
          <w:rFonts w:ascii="Arial" w:cs="Arial" w:eastAsia="Arial" w:hAnsi="Arial"/>
          <w:sz w:val="18"/>
          <w:szCs w:val="18"/>
          <w:u w:val="single" w:color="auto"/>
          <w:color w:val="auto"/>
        </w:rPr>
      </w:pPr>
      <w:r>
        <w:rPr>
          <w:rFonts w:ascii="Arial" w:cs="Arial" w:eastAsia="Arial" w:hAnsi="Arial"/>
          <w:sz w:val="18"/>
          <w:szCs w:val="18"/>
          <w:b w:val="1"/>
          <w:bCs w:val="1"/>
          <w:u w:val="single" w:color="auto"/>
          <w:color w:val="auto"/>
        </w:rPr>
        <w:t>Non-Rule 10b5-1 Trading Arrangement Requirements</w:t>
      </w:r>
      <w:r>
        <w:rPr>
          <w:rFonts w:ascii="Arial" w:cs="Arial" w:eastAsia="Arial" w:hAnsi="Arial"/>
          <w:sz w:val="18"/>
          <w:szCs w:val="18"/>
          <w:color w:val="auto"/>
        </w:rPr>
        <w:t>.</w:t>
      </w:r>
    </w:p>
    <w:p>
      <w:pPr>
        <w:spacing w:after="0" w:line="211" w:lineRule="exact"/>
        <w:rPr>
          <w:rFonts w:ascii="Arial" w:cs="Arial" w:eastAsia="Arial" w:hAnsi="Arial"/>
          <w:sz w:val="18"/>
          <w:szCs w:val="18"/>
          <w:u w:val="single" w:color="auto"/>
          <w:color w:val="auto"/>
        </w:rPr>
      </w:pPr>
    </w:p>
    <w:p>
      <w:pPr>
        <w:jc w:val="both"/>
        <w:ind w:firstLine="1505"/>
        <w:spacing w:after="0" w:line="242" w:lineRule="auto"/>
        <w:tabs>
          <w:tab w:leader="none" w:pos="2036" w:val="left"/>
        </w:tabs>
        <w:numPr>
          <w:ilvl w:val="1"/>
          <w:numId w:val="1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Pre-Approval</w:t>
      </w:r>
      <w:r>
        <w:rPr>
          <w:rFonts w:ascii="Arial" w:cs="Arial" w:eastAsia="Arial" w:hAnsi="Arial"/>
          <w:sz w:val="18"/>
          <w:szCs w:val="18"/>
          <w:color w:val="auto"/>
        </w:rPr>
        <w:t>. Each Non-Rule 10b5-1 Trading Arrangement must be pre-approved by the General Counsel. Any amendments or modifications to an existing Non-Rule 10b5-1 Trading Arrangement must also be pre-approved by the General Counsel. Notwithstanding any review or pre-approval of a Non-Rule 10b5-1 Trading Arrangement, none of Ashland or its directors, officers, or other employees assume any liability for any trades made pursuant to such arrangement. Transactions entered into pursuant to a pre-approved Non-Rule 10b5-1 Trading Arrangement will not require any further pre-approval at the time of the transaction (including pre-clearance for the Non-Rule 10b5-1 Trading Arrangement transactions for persons subject to Section A of the Policy).</w:t>
      </w:r>
    </w:p>
    <w:p>
      <w:pPr>
        <w:spacing w:after="0" w:line="179" w:lineRule="exact"/>
        <w:rPr>
          <w:sz w:val="20"/>
          <w:szCs w:val="20"/>
          <w:color w:val="auto"/>
        </w:rPr>
      </w:pPr>
    </w:p>
    <w:p>
      <w:pPr>
        <w:jc w:val="both"/>
        <w:ind w:firstLine="1505"/>
        <w:spacing w:after="0" w:line="242" w:lineRule="auto"/>
        <w:tabs>
          <w:tab w:leader="none" w:pos="2036" w:val="left"/>
        </w:tabs>
        <w:numPr>
          <w:ilvl w:val="0"/>
          <w:numId w:val="1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Plan Terms</w:t>
      </w:r>
      <w:r>
        <w:rPr>
          <w:rFonts w:ascii="Arial" w:cs="Arial" w:eastAsia="Arial" w:hAnsi="Arial"/>
          <w:sz w:val="18"/>
          <w:szCs w:val="18"/>
          <w:color w:val="auto"/>
        </w:rPr>
        <w:t xml:space="preserve">. The Non-Rule 10b5-1 Trading Arrangement must (A) specify the amount of securities to be purchased or sold and the price at which and the date on which the securities are to be purchased or sold; (B) include a written formula or algorithm, or computer program, for determining the amount of securities to be purchased or sold and the price at which the securities are to be purchased or sold; or (C) not permit the Covered Person to exercise any subsequent influence over how, when, or whether to effect purchases or sales;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any other person who, pursuant to the trading arrangement, does exercise such influence must not have been aware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when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Subsidiaries of Ashland Inc. (“Ashland”) at September 30, 2024, included the companies listed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191"/>
        </w:trPr>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565 Corporation</w:t>
            </w:r>
          </w:p>
        </w:tc>
        <w:tc>
          <w:tcPr>
            <w:tcW w:w="2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6"/>
                <w:szCs w:val="16"/>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GH One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GH Switzerland GmbH</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Global Holdings Two B.V.</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GP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Junior Global Holding One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Junior Global Holding Two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 Swiss Holding Two GmbH</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(Australasia) Pty.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(China) Holdings Co.,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(Gibraltar) One Holding,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(Thailand) Co.,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Argentina S.R.L.</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Canada Corp./Corporation Ashland Canada</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Province of Nova Scotia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Canada Holdings B.V.</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Chemical De Mexico S.A. De C.V.</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Chemical Trading (Shanghai) Company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Chemicals (Nanjing) Company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Colombia S.A.S.</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Comercio de Especialidades Quimicas do Brasil Ltda.</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CZ s.r.o.</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Eastern Markets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Ethanol,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India Private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Industria de Ingredientes do Brasil Ltda.</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Deutschland GmbH</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Europe GmbH</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France SAS</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Italia S.r.l.</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Industries Nederland B.V.</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Ingredients Poland Sp. z.o.o.</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International Receivables DAC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Italia S.r.l.</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Japan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Licensing and Intellectual Property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Nigeria Exploration Unlimited</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Nigeria</w:t>
            </w:r>
          </w:p>
        </w:tc>
        <w:tc>
          <w:tcPr>
            <w:tcW w:w="460" w:type="dxa"/>
            <w:vAlign w:val="bottom"/>
          </w:tcPr>
          <w:p>
            <w:pPr>
              <w:spacing w:after="0"/>
              <w:rPr>
                <w:sz w:val="20"/>
                <w:szCs w:val="20"/>
                <w:color w:val="auto"/>
              </w:rPr>
            </w:pPr>
          </w:p>
        </w:tc>
      </w:tr>
      <w:tr>
        <w:trPr>
          <w:trHeight w:val="1006"/>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4"/>
        </w:trPr>
        <w:tc>
          <w:tcPr>
            <w:tcW w:w="52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191"/>
        </w:trPr>
        <w:tc>
          <w:tcPr>
            <w:tcW w:w="52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Ashland Oil (Nigeria) Company Unlimited</w:t>
            </w:r>
          </w:p>
        </w:tc>
        <w:tc>
          <w:tcPr>
            <w:tcW w:w="240" w:type="dxa"/>
            <w:vAlign w:val="bottom"/>
          </w:tcPr>
          <w:p>
            <w:pPr>
              <w:spacing w:after="0"/>
              <w:rPr>
                <w:sz w:val="16"/>
                <w:szCs w:val="16"/>
                <w:color w:val="auto"/>
              </w:rPr>
            </w:pPr>
          </w:p>
        </w:tc>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Nigeria</w:t>
            </w:r>
          </w:p>
        </w:tc>
        <w:tc>
          <w:tcPr>
            <w:tcW w:w="460" w:type="dxa"/>
            <w:vAlign w:val="bottom"/>
          </w:tcPr>
          <w:p>
            <w:pPr>
              <w:spacing w:after="0"/>
              <w:rPr>
                <w:sz w:val="16"/>
                <w:szCs w:val="16"/>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Oil,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Kentucky</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Services B.V.</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Singapore Pte.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Spain Real Estate Holdings, S.L.</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Austria GmbH</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Belgium BVBA</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Deutschland GmbH</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France S.a.r.l.</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Hispania S.L.</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Ireland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(Shanghai) Co.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Sverige AB</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Specialties UK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Chemical (Singapore) PTE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Chemicals Commerce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Chemical Korea Co.,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Chemicals (Malaysia) SDN BHD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Ashland Specialty Ingredients G.P.</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Ashmont Insurance Company,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Ashprop Two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Belleville Realty Corp.</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Blazer Properties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Bluegrass Insurance Company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CLTA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Curtis Bay Insurance Co. Ltd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CVG Capital III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Bay Realty Services,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FJR,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Hercofina</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Holding BVBA</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Hydrocarbon Holdings,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International Limited, LLC</w:t>
            </w:r>
          </w:p>
        </w:tc>
        <w:tc>
          <w:tcPr>
            <w:tcW w:w="2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9"/>
                <w:szCs w:val="19"/>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Investment ApS</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Investments Netherlands B.V.</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Islands Corporation</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Virgin Islands (US)</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Hercules Paper Holdings, Inc.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Holdings LLC</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Products (India) Private Limited</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Products Funding Corporation</w:t>
            </w:r>
          </w:p>
        </w:tc>
        <w:tc>
          <w:tcPr>
            <w:tcW w:w="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Specialty Products Inc.</w:t>
            </w:r>
          </w:p>
        </w:tc>
        <w:tc>
          <w:tcPr>
            <w:tcW w:w="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1006"/>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Company</w:t>
            </w:r>
          </w:p>
        </w:tc>
        <w:tc>
          <w:tcPr>
            <w:tcW w:w="56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60" w:type="dxa"/>
            <w:vAlign w:val="bottom"/>
          </w:tcPr>
          <w:p>
            <w:pPr>
              <w:spacing w:after="0"/>
              <w:rPr>
                <w:sz w:val="20"/>
                <w:szCs w:val="20"/>
                <w:color w:val="auto"/>
              </w:rPr>
            </w:pPr>
          </w:p>
        </w:tc>
      </w:tr>
      <w:tr>
        <w:trPr>
          <w:trHeight w:val="191"/>
        </w:trPr>
        <w:tc>
          <w:tcPr>
            <w:tcW w:w="51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ISP Alginates Inc.</w:t>
            </w:r>
          </w:p>
        </w:tc>
        <w:tc>
          <w:tcPr>
            <w:tcW w:w="560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6"/>
                <w:szCs w:val="16"/>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Capital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Chemco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Chemical Products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Chemicals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Environmental Services Inc.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France Holding SARL</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France Marketing SARL</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Freetown Fine Chemicals Inc.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Freight Services N.V.</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Belgium</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Global Technologies Deutschland Unterstutzungskasse GmbH</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Global Technologies Inc.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Global Technologies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Holdings (U.K.) Ltd.</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International Corp.</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Investments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Lima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Management Company, Inc.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Microcaps (U.K.) Limited</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Pharma Systems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Real Estate Company, Inc.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Singapore Holding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Technologies Inc.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Technologies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 Gum Industries (Private) Limited</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Pakistan</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Progiven S.A.S.</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PT. Ashland Specialty Chemicals Indonesia</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Indonesia</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Ashland Chemical Technology Development Co., Ltd.</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 Peoples Republic of</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Croix Petrochemical Corp</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Virgin Islands (US)</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Ashland Co., Ltd.</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Taiwan</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Tamaulipas Property Holdings S. de R.L. de C.V.</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Techwax Limited</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Tri-State Growth Capital Fund I, L.P.</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18"/>
                <w:szCs w:val="18"/>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WSP LLC</w:t>
            </w:r>
          </w:p>
        </w:tc>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0"/>
                <w:szCs w:val="20"/>
                <w:color w:val="auto"/>
              </w:rPr>
            </w:pPr>
          </w:p>
        </w:tc>
      </w:tr>
      <w:tr>
        <w:trPr>
          <w:trHeight w:val="1438"/>
        </w:trPr>
        <w:tc>
          <w:tcPr>
            <w:tcW w:w="51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color w:val="auto"/>
        </w:rPr>
        <w:t>EXHIBIT 23.1</w:t>
      </w:r>
    </w:p>
    <w:p>
      <w:pPr>
        <w:spacing w:after="0" w:line="200" w:lineRule="exact"/>
        <w:rPr>
          <w:sz w:val="20"/>
          <w:szCs w:val="20"/>
          <w:color w:val="auto"/>
        </w:rPr>
      </w:pPr>
    </w:p>
    <w:p>
      <w:pPr>
        <w:spacing w:after="0" w:line="25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29" w:lineRule="exact"/>
        <w:rPr>
          <w:sz w:val="20"/>
          <w:szCs w:val="20"/>
          <w:color w:val="auto"/>
        </w:rPr>
      </w:pP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333-131792-01) pertaining to the 2006 Ashland Inc. Incentive Plan,</w:t>
      </w:r>
    </w:p>
    <w:p>
      <w:pPr>
        <w:spacing w:after="0" w:line="21" w:lineRule="exact"/>
        <w:rPr>
          <w:rFonts w:ascii="Times New Roman" w:cs="Times New Roman" w:eastAsia="Times New Roman" w:hAnsi="Times New Roman"/>
          <w:sz w:val="20"/>
          <w:szCs w:val="20"/>
          <w:color w:val="auto"/>
        </w:rPr>
      </w:pPr>
    </w:p>
    <w:p>
      <w:pPr>
        <w:ind w:left="760" w:right="46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(Nos. 333-172019-01 and 333-186408-01) pertaining to the Amended and Restated 2011 Ashland Inc. Incentive Plan,</w:t>
      </w:r>
    </w:p>
    <w:p>
      <w:pPr>
        <w:ind w:left="760" w:right="36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333-201895-01) pertaining to the Amended and Restated 2015 Ashland Inc. Incentive Plan,</w:t>
      </w:r>
    </w:p>
    <w:p>
      <w:pPr>
        <w:ind w:left="760" w:right="38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333-222841) pertaining to the Ashland Global Holdings Inc. 2021 Omnibus Incentive Compensation Plan and the Ashland Global Holdings Inc. 2018 Omnibus Incentive Compensation Plan,</w:t>
      </w: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33-62091-01) pertaining to the Ashland Inc. Deferred Compensation Plan,</w:t>
      </w:r>
    </w:p>
    <w:p>
      <w:pPr>
        <w:ind w:left="760" w:right="32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33-52125-01) pertaining to the Ashland Inc. Deferred Compensation Plan for Non-Employee Directors (Formerly known as Ashland Oil, Inc. Deferred Compensation and Stock Incentive Plan for Non-Employee Directors),</w:t>
      </w:r>
    </w:p>
    <w:p>
      <w:pPr>
        <w:spacing w:after="0" w:line="1" w:lineRule="exact"/>
        <w:rPr>
          <w:rFonts w:ascii="Times New Roman" w:cs="Times New Roman" w:eastAsia="Times New Roman" w:hAnsi="Times New Roman"/>
          <w:sz w:val="20"/>
          <w:szCs w:val="20"/>
          <w:color w:val="auto"/>
        </w:rPr>
      </w:pPr>
    </w:p>
    <w:p>
      <w:pPr>
        <w:ind w:left="760" w:right="86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333-122269-01) pertaining to the Ashland Inc. Deferred Compensation Plan for Employees (2005),</w:t>
      </w:r>
    </w:p>
    <w:p>
      <w:pPr>
        <w:ind w:left="760" w:right="40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333-122270-01) pertaining to the Ashland Inc. Deferred Compensation Plan for Non-Employee Directors (2005),</w:t>
      </w: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(Nos. 33-32612-100, and 333-157040-01) pertaining to the Ashland Employee Savings Plan,</w:t>
      </w:r>
    </w:p>
    <w:p>
      <w:pPr>
        <w:ind w:left="760" w:right="50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333-155396-01) pertaining to the Ashland Union Employee Savings Plan (Formerly known as the Hercules Incorporated Savings and Investment Plan),</w:t>
      </w:r>
    </w:p>
    <w:p>
      <w:pPr>
        <w:ind w:left="760" w:right="52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333-184109-01) Pertaining to the Ashland Inc. International Specialty Products Inc. 401(k) Plan,</w:t>
      </w:r>
    </w:p>
    <w:p>
      <w:pPr>
        <w:ind w:left="760" w:right="440" w:hanging="378"/>
        <w:spacing w:after="0" w:line="239"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333-203840-01) pertaining to the Ashland Inc. Employee Savings Plan, International Specialty Products Inc. 401(k) Plan, and Ashland Inc. Union Employee Savings Plan,</w:t>
      </w:r>
    </w:p>
    <w:p>
      <w:pPr>
        <w:ind w:left="760" w:hanging="378"/>
        <w:spacing w:after="0"/>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S-3ASR (No. 333-214069) of Ashland Global Holdings Inc.,</w:t>
      </w:r>
    </w:p>
    <w:p>
      <w:pPr>
        <w:ind w:left="760" w:right="500" w:hanging="378"/>
        <w:spacing w:after="0" w:line="242" w:lineRule="auto"/>
        <w:tabs>
          <w:tab w:leader="none" w:pos="76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November 18, 2024, with respect to the consolidated financial statements of Ashland Inc. and Consolidated Subsidiaries and the effectiveness of internal control over financial reporting of Ashland Inc. and Consolidated Subsidiaries included in this Annual Report (Form 10-K) of Ashland Inc. for the year ended September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Grandview Heights, Ohio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4" w:name="page205"/>
    <w:bookmarkEnd w:id="204"/>
    <w:p>
      <w:pPr>
        <w:ind w:left="10120"/>
        <w:spacing w:after="0"/>
        <w:rPr>
          <w:sz w:val="20"/>
          <w:szCs w:val="20"/>
          <w:color w:val="auto"/>
        </w:rPr>
      </w:pPr>
      <w:r>
        <w:rPr>
          <w:rFonts w:ascii="Times New Roman" w:cs="Times New Roman" w:eastAsia="Times New Roman" w:hAnsi="Times New Roman"/>
          <w:sz w:val="22"/>
          <w:szCs w:val="22"/>
          <w:color w:val="auto"/>
        </w:rPr>
        <w:t>Exhibit 23.2</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CONSENT OF GNARUS ADVISORS LLC</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consent to being named in Ashland Inc.’s Annual Report on Form 10-K for the year ended September 30, 2024 in the form and context in which we are named. We do not authorize or cause the filing of such Annual Report and do not make or purport to make any statement other than as reflected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Jessica B. Horewitz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Gnarus Advisors LLC</w:t>
      </w:r>
    </w:p>
    <w:p>
      <w:pPr>
        <w:spacing w:after="0"/>
        <w:rPr>
          <w:sz w:val="20"/>
          <w:szCs w:val="20"/>
          <w:color w:val="auto"/>
        </w:rPr>
      </w:pPr>
      <w:r>
        <w:rPr>
          <w:rFonts w:ascii="Times New Roman" w:cs="Times New Roman" w:eastAsia="Times New Roman" w:hAnsi="Times New Roman"/>
          <w:sz w:val="22"/>
          <w:szCs w:val="22"/>
          <w:color w:val="auto"/>
        </w:rPr>
        <w:t>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1251585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color w:val="auto"/>
        </w:rPr>
        <w:t>EXHIBIT 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14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Each of the undersigned Directors and Officers of ASHLAND INC., a Delaware corporation (the “Corporation”), which anticipates filing an Annual Report on Form 10-K with the Securities and Exchange Commission, under the provisions of the Securities Act of 1933, as amended, hereby constitute and appoint GUILLERMO NOVO and ROBIN LAMPKIN,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18, 2024</w:t>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Guillermo Novo</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Guillermo Novo,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306006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20"/>
        <w:spacing w:after="0" w:line="232" w:lineRule="auto"/>
        <w:rPr>
          <w:sz w:val="20"/>
          <w:szCs w:val="20"/>
          <w:color w:val="auto"/>
        </w:rPr>
      </w:pPr>
      <w:r>
        <w:rPr>
          <w:rFonts w:ascii="Times New Roman" w:cs="Times New Roman" w:eastAsia="Times New Roman" w:hAnsi="Times New Roman"/>
          <w:sz w:val="22"/>
          <w:szCs w:val="22"/>
          <w:color w:val="auto"/>
        </w:rPr>
        <w:t>and Chief Executive Officer</w:t>
      </w:r>
    </w:p>
    <w:p>
      <w:pPr>
        <w:ind w:left="20"/>
        <w:spacing w:after="0"/>
        <w:rPr>
          <w:sz w:val="20"/>
          <w:szCs w:val="20"/>
          <w:color w:val="auto"/>
        </w:rPr>
      </w:pPr>
      <w:r>
        <w:rPr>
          <w:rFonts w:ascii="Times New Roman" w:cs="Times New Roman" w:eastAsia="Times New Roman" w:hAnsi="Times New Roman"/>
          <w:sz w:val="22"/>
          <w:szCs w:val="22"/>
          <w:color w:val="auto"/>
        </w:rPr>
        <w:t>(Principal Executive Officer)</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J. Kevin Willis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J. Kevin Willis, Senior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306006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5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Financial Officer</w:t>
      </w:r>
    </w:p>
    <w:p>
      <w:pPr>
        <w:ind w:left="2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Eric N. Boni</w:t>
      </w:r>
    </w:p>
    <w:p>
      <w:pPr>
        <w:spacing w:after="0" w:line="29" w:lineRule="exact"/>
        <w:rPr>
          <w:sz w:val="20"/>
          <w:szCs w:val="20"/>
          <w:color w:val="auto"/>
        </w:rPr>
      </w:pPr>
    </w:p>
    <w:p>
      <w:pPr>
        <w:ind w:left="20" w:right="1500"/>
        <w:spacing w:after="0" w:line="246" w:lineRule="auto"/>
        <w:rPr>
          <w:sz w:val="20"/>
          <w:szCs w:val="20"/>
          <w:color w:val="auto"/>
        </w:rPr>
      </w:pPr>
      <w:r>
        <w:rPr>
          <w:rFonts w:ascii="Times New Roman" w:cs="Times New Roman" w:eastAsia="Times New Roman" w:hAnsi="Times New Roman"/>
          <w:sz w:val="22"/>
          <w:szCs w:val="22"/>
          <w:color w:val="auto"/>
        </w:rPr>
        <w:t>Eric N. Boni, Vice President and Controller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-327660</wp:posOffset>
            </wp:positionV>
            <wp:extent cx="306006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Steven D. Bishop</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Steven D. Bishop,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306006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5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Sanat Chattopadhyay</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Sanat Chattopadhyay,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306006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5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Suzan F. Harrison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Suzan F. Harrison,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306006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Wetteny Joseph</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Wetteny Joseph,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306006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5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Ashish K. Kulkarni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Ashish K. Kulkarni,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310324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5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Susan L. Main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Susan L. Main,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310324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5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Sergio Pedreiro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Sergio Pedreiro,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310324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6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Jerome A. Peribere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Jerome A. Peribere,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310324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6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Janice J. Teal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Janice J. Teal,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310324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6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Scott A. Tozier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Scott A. Tozier,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-158750</wp:posOffset>
            </wp:positionV>
            <wp:extent cx="310324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63">
                      <a:extLst>
                        <a:ext uri="{28A0092B-C50C-407E-A947-70E740481C1C}"/>
                      </a:extLst>
                    </a:blip>
                    <a:srcRect/>
                    <a:stretch>
                      <a:fillRect/>
                    </a:stretch>
                  </pic:blipFill>
                  <pic:spPr bwMode="auto">
                    <a:xfrm>
                      <a:off x="0" y="0"/>
                      <a:ext cx="3103245" cy="889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1353820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80" w:space="720"/>
            <w:col w:w="5240"/>
          </w:cols>
          <w:pgMar w:left="320" w:top="760" w:right="339" w:bottom="1440" w:gutter="0" w:footer="0" w:header="0"/>
          <w:type w:val="continuous"/>
        </w:sectPr>
      </w:pPr>
    </w:p>
    <w:bookmarkStart w:id="206" w:name="page207"/>
    <w:bookmarkEnd w:id="206"/>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324" w:lineRule="exact"/>
        <w:rPr>
          <w:sz w:val="20"/>
          <w:szCs w:val="20"/>
          <w:color w:val="auto"/>
        </w:rPr>
      </w:pPr>
    </w:p>
    <w:p>
      <w:pPr>
        <w:ind w:left="300" w:hanging="279"/>
        <w:spacing w:after="0"/>
        <w:tabs>
          <w:tab w:leader="none" w:pos="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Ashland Inc.;</w:t>
      </w:r>
    </w:p>
    <w:p>
      <w:pPr>
        <w:spacing w:after="0" w:line="94" w:lineRule="exact"/>
        <w:rPr>
          <w:rFonts w:ascii="Times New Roman" w:cs="Times New Roman" w:eastAsia="Times New Roman" w:hAnsi="Times New Roman"/>
          <w:sz w:val="20"/>
          <w:szCs w:val="20"/>
          <w:color w:val="auto"/>
        </w:rPr>
      </w:pPr>
    </w:p>
    <w:p>
      <w:pPr>
        <w:jc w:val="both"/>
        <w:ind w:left="300" w:right="20" w:hanging="279"/>
        <w:spacing w:after="0" w:line="254" w:lineRule="auto"/>
        <w:tabs>
          <w:tab w:leader="none" w:pos="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Times New Roman" w:cs="Times New Roman" w:eastAsia="Times New Roman" w:hAnsi="Times New Roman"/>
          <w:sz w:val="20"/>
          <w:szCs w:val="20"/>
          <w:color w:val="auto"/>
        </w:rPr>
      </w:pPr>
    </w:p>
    <w:p>
      <w:pPr>
        <w:ind w:left="300" w:right="20" w:hanging="279"/>
        <w:spacing w:after="0" w:line="269" w:lineRule="auto"/>
        <w:tabs>
          <w:tab w:leader="none" w:pos="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20"/>
          <w:szCs w:val="20"/>
          <w:color w:val="auto"/>
        </w:rPr>
      </w:pPr>
    </w:p>
    <w:p>
      <w:pPr>
        <w:jc w:val="both"/>
        <w:ind w:left="300" w:right="20" w:hanging="279"/>
        <w:spacing w:after="0" w:line="264" w:lineRule="auto"/>
        <w:tabs>
          <w:tab w:leader="none" w:pos="30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40" w:right="20" w:hanging="371"/>
        <w:spacing w:after="0" w:line="247" w:lineRule="auto"/>
        <w:tabs>
          <w:tab w:leader="none" w:pos="10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040" w:right="20" w:hanging="371"/>
        <w:spacing w:after="0" w:line="239" w:lineRule="auto"/>
        <w:tabs>
          <w:tab w:leader="none" w:pos="10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1040" w:right="20" w:hanging="371"/>
        <w:spacing w:after="0" w:line="239" w:lineRule="auto"/>
        <w:tabs>
          <w:tab w:leader="none" w:pos="10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1040" w:right="20" w:hanging="371"/>
        <w:spacing w:after="0" w:line="242" w:lineRule="auto"/>
        <w:tabs>
          <w:tab w:leader="none" w:pos="10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934720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jc w:val="both"/>
        <w:ind w:left="300" w:hanging="279"/>
        <w:spacing w:after="0" w:line="254" w:lineRule="auto"/>
        <w:tabs>
          <w:tab w:leader="none" w:pos="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1000" w:hanging="361"/>
        <w:spacing w:after="0" w:line="247" w:lineRule="auto"/>
        <w:tabs>
          <w:tab w:leader="none" w:pos="1051"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00" w:hanging="361"/>
        <w:spacing w:after="0" w:line="246" w:lineRule="auto"/>
        <w:tabs>
          <w:tab w:leader="none" w:pos="100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18, 2024</w:t>
      </w:r>
    </w:p>
    <w:p>
      <w:pPr>
        <w:spacing w:after="0" w:line="25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148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6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Guillermo Novo</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Chair and Chief Executive Officer</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Kevin Willis, certify that:</w:t>
      </w:r>
    </w:p>
    <w:p>
      <w:pPr>
        <w:spacing w:after="0" w:line="324" w:lineRule="exact"/>
        <w:rPr>
          <w:sz w:val="20"/>
          <w:szCs w:val="20"/>
          <w:color w:val="auto"/>
        </w:rPr>
      </w:pPr>
    </w:p>
    <w:p>
      <w:pPr>
        <w:ind w:left="300" w:hanging="279"/>
        <w:spacing w:after="0"/>
        <w:tabs>
          <w:tab w:leader="none" w:pos="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Ashland Inc.;</w:t>
      </w:r>
    </w:p>
    <w:p>
      <w:pPr>
        <w:spacing w:after="0" w:line="94" w:lineRule="exact"/>
        <w:rPr>
          <w:rFonts w:ascii="Times New Roman" w:cs="Times New Roman" w:eastAsia="Times New Roman" w:hAnsi="Times New Roman"/>
          <w:sz w:val="20"/>
          <w:szCs w:val="20"/>
          <w:color w:val="auto"/>
        </w:rPr>
      </w:pPr>
    </w:p>
    <w:p>
      <w:pPr>
        <w:jc w:val="both"/>
        <w:ind w:left="300" w:right="20" w:hanging="279"/>
        <w:spacing w:after="0" w:line="254" w:lineRule="auto"/>
        <w:tabs>
          <w:tab w:leader="none" w:pos="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Times New Roman" w:cs="Times New Roman" w:eastAsia="Times New Roman" w:hAnsi="Times New Roman"/>
          <w:sz w:val="20"/>
          <w:szCs w:val="20"/>
          <w:color w:val="auto"/>
        </w:rPr>
      </w:pPr>
    </w:p>
    <w:p>
      <w:pPr>
        <w:ind w:left="300" w:right="20" w:hanging="279"/>
        <w:spacing w:after="0" w:line="269" w:lineRule="auto"/>
        <w:tabs>
          <w:tab w:leader="none" w:pos="3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Times New Roman" w:cs="Times New Roman" w:eastAsia="Times New Roman" w:hAnsi="Times New Roman"/>
          <w:sz w:val="20"/>
          <w:szCs w:val="20"/>
          <w:color w:val="auto"/>
        </w:rPr>
      </w:pPr>
    </w:p>
    <w:p>
      <w:pPr>
        <w:jc w:val="both"/>
        <w:ind w:left="300" w:right="20" w:hanging="279"/>
        <w:spacing w:after="0" w:line="264" w:lineRule="auto"/>
        <w:tabs>
          <w:tab w:leader="none" w:pos="30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40" w:right="20" w:hanging="371"/>
        <w:spacing w:after="0" w:line="247" w:lineRule="auto"/>
        <w:tabs>
          <w:tab w:leader="none" w:pos="104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040" w:right="20" w:hanging="371"/>
        <w:spacing w:after="0" w:line="239" w:lineRule="auto"/>
        <w:tabs>
          <w:tab w:leader="none" w:pos="104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1040" w:right="20" w:hanging="371"/>
        <w:spacing w:after="0" w:line="239" w:lineRule="auto"/>
        <w:tabs>
          <w:tab w:leader="none" w:pos="104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jc w:val="both"/>
        <w:ind w:left="1040" w:right="20" w:hanging="371"/>
        <w:spacing w:after="0" w:line="242" w:lineRule="auto"/>
        <w:tabs>
          <w:tab w:leader="none" w:pos="104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934720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jc w:val="both"/>
        <w:ind w:left="300" w:hanging="279"/>
        <w:spacing w:after="0" w:line="254" w:lineRule="auto"/>
        <w:tabs>
          <w:tab w:leader="none" w:pos="3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jc w:val="both"/>
        <w:ind w:left="1000" w:hanging="361"/>
        <w:spacing w:after="0" w:line="247" w:lineRule="auto"/>
        <w:tabs>
          <w:tab w:leader="none" w:pos="1051"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00" w:hanging="361"/>
        <w:spacing w:after="0" w:line="246" w:lineRule="auto"/>
        <w:tabs>
          <w:tab w:leader="none" w:pos="10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18, 2024</w:t>
      </w:r>
    </w:p>
    <w:p>
      <w:pPr>
        <w:spacing w:after="0" w:line="25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31115</wp:posOffset>
            </wp:positionV>
            <wp:extent cx="299148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6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J. Kevin Willis</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5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color w:val="auto"/>
        </w:rPr>
        <w:t>Exhibit 32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ASHLAND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3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Ashland Inc. (the “Company”) on Form 10-K for the period ended September 30, 2024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1160" w:right="660" w:hanging="764"/>
        <w:spacing w:after="0" w:line="258" w:lineRule="auto"/>
        <w:tabs>
          <w:tab w:leader="none" w:pos="11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1160" w:right="660" w:hanging="764"/>
        <w:spacing w:after="0" w:line="258" w:lineRule="auto"/>
        <w:tabs>
          <w:tab w:leader="none" w:pos="116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57771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71">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Guillermo Novo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Chief Executive Officer</w:t>
      </w:r>
    </w:p>
    <w:p>
      <w:pPr>
        <w:ind w:left="40"/>
        <w:spacing w:after="0"/>
        <w:rPr>
          <w:sz w:val="20"/>
          <w:szCs w:val="20"/>
          <w:color w:val="auto"/>
        </w:rPr>
      </w:pPr>
      <w:r>
        <w:rPr>
          <w:rFonts w:ascii="Times New Roman" w:cs="Times New Roman" w:eastAsia="Times New Roman" w:hAnsi="Times New Roman"/>
          <w:sz w:val="22"/>
          <w:szCs w:val="22"/>
          <w:color w:val="auto"/>
        </w:rPr>
        <w:t>November 18, 2024</w:t>
      </w: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457771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72">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 Kevin Willis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Chief Financial Officer</w:t>
      </w:r>
    </w:p>
    <w:p>
      <w:pPr>
        <w:ind w:left="40"/>
        <w:spacing w:after="0"/>
        <w:rPr>
          <w:sz w:val="20"/>
          <w:szCs w:val="20"/>
          <w:color w:val="auto"/>
        </w:rPr>
      </w:pPr>
      <w:r>
        <w:rPr>
          <w:rFonts w:ascii="Times New Roman" w:cs="Times New Roman" w:eastAsia="Times New Roman" w:hAnsi="Times New Roman"/>
          <w:sz w:val="22"/>
          <w:szCs w:val="22"/>
          <w:color w:val="auto"/>
        </w:rPr>
        <w:t>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1294765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2F2F2F"/>
        </w:rPr>
        <w:t>DODD-FRANK COMPENSATION RECOUPMENT POLICY</w:t>
      </w:r>
    </w:p>
    <w:p>
      <w:pPr>
        <w:spacing w:after="0" w:line="227"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2F2F2F"/>
        </w:rPr>
        <w:t xml:space="preserve">The purpose of this Dodd-Frank Compensation Recoupment Policy, which has been adopted by the Board of Directors of Ashland Inc., is to </w:t>
      </w:r>
      <w:r>
        <w:rPr>
          <w:rFonts w:ascii="Times New Roman" w:cs="Times New Roman" w:eastAsia="Times New Roman" w:hAnsi="Times New Roman"/>
          <w:sz w:val="22"/>
          <w:szCs w:val="22"/>
          <w:color w:val="000000"/>
        </w:rPr>
        <w:t>describe the</w:t>
      </w:r>
      <w:r>
        <w:rPr>
          <w:rFonts w:ascii="Times New Roman" w:cs="Times New Roman" w:eastAsia="Times New Roman" w:hAnsi="Times New Roman"/>
          <w:sz w:val="22"/>
          <w:szCs w:val="22"/>
          <w:color w:val="2F2F2F"/>
        </w:rPr>
        <w:t xml:space="preserve"> circumstances in which Executive Officers will be required to repay or return Excess Incentive-Based Compensation to Ashland Inc. (the “Company”). It is the intention of the Board of Directors that this Dodd-Frank Recoupment Policy be interpreted and administered by the Compensation Committee in a manner consistent with applicable laws and regulations and Securities Exchange listing requirements, including without limitation Section 954 of the Dodd-Frank Wall Street Reform and Consumer Protection Act of 2010, Rule 10D-1 of the Securities Exchange Act of 1934, and Section 303A.14 of the New York Stock Exchange Listed Company Manual. This Dodd-Frank Recoupment Policy applies to awards of Incentive-Based Compensation received on or after the Effective Date by Executive Officers of the Company. The prior Executive Compensation Recovery Policy shall apply to awards of Incentive-Based Compensation received before the Effective Date.</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2F2F2F"/>
        </w:rPr>
        <w:t>Definitions</w:t>
      </w: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F2F2F"/>
        </w:rPr>
        <w:t>“Board” means the Board of Directors of the Company.</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F2F2F"/>
        </w:rPr>
        <w:t>“Committee” means the Compensation Committee of the Board of Directors of the Company.</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F2F2F"/>
        </w:rPr>
        <w:t>“Company” means Ashland, Inc.</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F2F2F"/>
        </w:rPr>
        <w:t>“Effective Date” means October 2, 2023</w:t>
      </w:r>
    </w:p>
    <w:p>
      <w:pPr>
        <w:spacing w:after="0" w:line="233" w:lineRule="exact"/>
        <w:rPr>
          <w:sz w:val="20"/>
          <w:szCs w:val="20"/>
          <w:color w:val="auto"/>
        </w:rPr>
      </w:pPr>
    </w:p>
    <w:p>
      <w:pPr>
        <w:jc w:val="both"/>
        <w:ind w:left="40" w:right="60"/>
        <w:spacing w:after="0" w:line="239" w:lineRule="auto"/>
        <w:rPr>
          <w:sz w:val="20"/>
          <w:szCs w:val="20"/>
          <w:color w:val="auto"/>
        </w:rPr>
      </w:pPr>
      <w:r>
        <w:rPr>
          <w:rFonts w:ascii="Times New Roman" w:cs="Times New Roman" w:eastAsia="Times New Roman" w:hAnsi="Times New Roman"/>
          <w:sz w:val="22"/>
          <w:szCs w:val="22"/>
          <w:color w:val="2F2F2F"/>
        </w:rPr>
        <w:t>“Executive Officer” 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w:t>
      </w:r>
    </w:p>
    <w:p>
      <w:pPr>
        <w:spacing w:after="0" w:line="248" w:lineRule="exact"/>
        <w:rPr>
          <w:sz w:val="20"/>
          <w:szCs w:val="20"/>
          <w:color w:val="auto"/>
        </w:rPr>
      </w:pPr>
    </w:p>
    <w:p>
      <w:pPr>
        <w:jc w:val="both"/>
        <w:ind w:left="40" w:right="60"/>
        <w:spacing w:after="0" w:line="247" w:lineRule="auto"/>
        <w:rPr>
          <w:sz w:val="20"/>
          <w:szCs w:val="20"/>
          <w:color w:val="auto"/>
        </w:rPr>
      </w:pPr>
      <w:r>
        <w:rPr>
          <w:rFonts w:ascii="Times New Roman" w:cs="Times New Roman" w:eastAsia="Times New Roman" w:hAnsi="Times New Roman"/>
          <w:sz w:val="21"/>
          <w:szCs w:val="21"/>
          <w:color w:val="2F2F2F"/>
        </w:rPr>
        <w:t>“Excess Incentive-Based Compensation” means the amount of Incentive-Based Compensation received by a current or former Executive Officer that exceeds the amount of Incentive-Based Compensation that otherwise would have been received had the amount of such Incentive-Based Compensation been determined based on the accounting restatement, computed without regard to taxes paid by the Executive Officer. For Incentive-Based Compensation based on stock price or total shareholder return, where the amount of Excess Incentive-Based Compensation is not subject to mathematical recalculation directly from the information in an accounting restatement, Excess Incentive-Based Compensation means a reasonable estimate of the effect of the accounting restatement on the applicable Financial Reporting Measure. The Committee must maintain documentation of the determination of such reasonable estimate and provide such documentation to the Securities Exchange.</w:t>
      </w:r>
    </w:p>
    <w:p>
      <w:pPr>
        <w:spacing w:after="0" w:line="199" w:lineRule="exact"/>
        <w:rPr>
          <w:sz w:val="20"/>
          <w:szCs w:val="20"/>
          <w:color w:val="auto"/>
        </w:rPr>
      </w:pPr>
    </w:p>
    <w:p>
      <w:pPr>
        <w:jc w:val="both"/>
        <w:ind w:left="40" w:right="60"/>
        <w:spacing w:after="0" w:line="239" w:lineRule="auto"/>
        <w:rPr>
          <w:sz w:val="20"/>
          <w:szCs w:val="20"/>
          <w:color w:val="auto"/>
        </w:rPr>
      </w:pPr>
      <w:r>
        <w:rPr>
          <w:rFonts w:ascii="Times New Roman" w:cs="Times New Roman" w:eastAsia="Times New Roman" w:hAnsi="Times New Roman"/>
          <w:sz w:val="22"/>
          <w:szCs w:val="22"/>
          <w:color w:val="2F2F2F"/>
        </w:rPr>
        <w:t>“Financial Reporting Measure” means any measure that is determined and presented in accordance with the accounting principles used to preparing the Company’s financial statements, and any measures that are derived wholly or in part from such measures. “Stock price” and “total shareholder return” metrics are also Financial Reporting Measures. For the avoidance of doubt,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599440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69" w:right="339" w:bottom="1440" w:gutter="0" w:footer="0" w:header="0"/>
        </w:sectPr>
      </w:pPr>
    </w:p>
    <w:bookmarkStart w:id="212" w:name="page213"/>
    <w:bookmarkEnd w:id="212"/>
    <w:p>
      <w:pPr>
        <w:ind w:left="100"/>
        <w:spacing w:after="0"/>
        <w:rPr>
          <w:sz w:val="20"/>
          <w:szCs w:val="20"/>
          <w:color w:val="auto"/>
        </w:rPr>
      </w:pPr>
      <w:r>
        <w:rPr>
          <w:rFonts w:ascii="Times New Roman" w:cs="Times New Roman" w:eastAsia="Times New Roman" w:hAnsi="Times New Roman"/>
          <w:sz w:val="21"/>
          <w:szCs w:val="21"/>
          <w:color w:val="2F2F2F"/>
        </w:rPr>
        <w:t>Financial Reporting Measure need not be presented in the Company’s financial statements or included in a filing with the U.S.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2F2F2F"/>
        </w:rPr>
        <w:t>Securities and Exchange Commission.</w:t>
      </w:r>
    </w:p>
    <w:p>
      <w:pPr>
        <w:spacing w:after="0" w:line="250" w:lineRule="exact"/>
        <w:rPr>
          <w:sz w:val="20"/>
          <w:szCs w:val="20"/>
          <w:color w:val="auto"/>
        </w:rPr>
      </w:pPr>
    </w:p>
    <w:p>
      <w:pPr>
        <w:jc w:val="both"/>
        <w:ind w:left="100"/>
        <w:spacing w:after="0" w:line="258" w:lineRule="auto"/>
        <w:rPr>
          <w:sz w:val="20"/>
          <w:szCs w:val="20"/>
          <w:color w:val="auto"/>
        </w:rPr>
      </w:pPr>
      <w:r>
        <w:rPr>
          <w:rFonts w:ascii="Times New Roman" w:cs="Times New Roman" w:eastAsia="Times New Roman" w:hAnsi="Times New Roman"/>
          <w:sz w:val="22"/>
          <w:szCs w:val="22"/>
          <w:color w:val="2F2F2F"/>
        </w:rPr>
        <w:t>“Incentive-Based Compensation” means any compensation that is granted, earned, or vested based wholly or in part upon the attainment of a Financial Reporting Measure.</w:t>
      </w:r>
    </w:p>
    <w:p>
      <w:pPr>
        <w:spacing w:after="0" w:line="226" w:lineRule="exact"/>
        <w:rPr>
          <w:sz w:val="20"/>
          <w:szCs w:val="20"/>
          <w:color w:val="auto"/>
        </w:rPr>
      </w:pPr>
    </w:p>
    <w:p>
      <w:pPr>
        <w:jc w:val="both"/>
        <w:ind w:left="100"/>
        <w:spacing w:after="0" w:line="236" w:lineRule="auto"/>
        <w:rPr>
          <w:sz w:val="20"/>
          <w:szCs w:val="20"/>
          <w:color w:val="auto"/>
        </w:rPr>
      </w:pPr>
      <w:r>
        <w:rPr>
          <w:rFonts w:ascii="Times New Roman" w:cs="Times New Roman" w:eastAsia="Times New Roman" w:hAnsi="Times New Roman"/>
          <w:sz w:val="22"/>
          <w:szCs w:val="22"/>
          <w:color w:val="2F2F2F"/>
        </w:rPr>
        <w:t xml:space="preserve">“Lookback Period” means the three-year period preceding the date on which the Company is required to prepare an accounting restatement. </w:t>
      </w:r>
      <w:r>
        <w:rPr>
          <w:rFonts w:ascii="Times New Roman" w:cs="Times New Roman" w:eastAsia="Times New Roman" w:hAnsi="Times New Roman"/>
          <w:sz w:val="22"/>
          <w:szCs w:val="22"/>
          <w:color w:val="000000"/>
        </w:rPr>
        <w:t>For purposes of this definition, the date on which the Company is required to prepare an accounting restatement</w:t>
      </w:r>
      <w:r>
        <w:rPr>
          <w:rFonts w:ascii="Times New Roman" w:cs="Times New Roman" w:eastAsia="Times New Roman" w:hAnsi="Times New Roman"/>
          <w:sz w:val="22"/>
          <w:szCs w:val="22"/>
          <w:color w:val="2F2F2F"/>
        </w:rPr>
        <w:t xml:space="preserve"> </w:t>
      </w:r>
      <w:r>
        <w:rPr>
          <w:rFonts w:ascii="Times New Roman" w:cs="Times New Roman" w:eastAsia="Times New Roman" w:hAnsi="Times New Roman"/>
          <w:sz w:val="22"/>
          <w:szCs w:val="22"/>
          <w:color w:val="000000"/>
        </w:rPr>
        <w:t>shall be deemed to be the earlier of (i) the date the Company’s Board, a committee of the Board, or the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208" w:lineRule="exact"/>
        <w:rPr>
          <w:sz w:val="20"/>
          <w:szCs w:val="20"/>
          <w:color w:val="auto"/>
        </w:rPr>
      </w:pPr>
    </w:p>
    <w:p>
      <w:pPr>
        <w:jc w:val="both"/>
        <w:ind w:left="100" w:right="20"/>
        <w:spacing w:after="0" w:line="258" w:lineRule="auto"/>
        <w:rPr>
          <w:sz w:val="20"/>
          <w:szCs w:val="20"/>
          <w:color w:val="auto"/>
        </w:rPr>
      </w:pPr>
      <w:r>
        <w:rPr>
          <w:rFonts w:ascii="Times New Roman" w:cs="Times New Roman" w:eastAsia="Times New Roman" w:hAnsi="Times New Roman"/>
          <w:sz w:val="22"/>
          <w:szCs w:val="22"/>
          <w:color w:val="auto"/>
        </w:rPr>
        <w:t>“Securities Exchange” means the securities exchange upon which the Company’s Common Stock, par value $0.01 per share, trades.</w:t>
      </w: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2F2F2F"/>
        </w:rPr>
        <w:t>Recoupment for an Accounting Restatement</w:t>
      </w:r>
    </w:p>
    <w:p>
      <w:pPr>
        <w:spacing w:after="0" w:line="278" w:lineRule="exact"/>
        <w:rPr>
          <w:sz w:val="20"/>
          <w:szCs w:val="20"/>
          <w:color w:val="auto"/>
        </w:rPr>
      </w:pPr>
    </w:p>
    <w:p>
      <w:pPr>
        <w:jc w:val="both"/>
        <w:ind w:left="100" w:right="20"/>
        <w:spacing w:after="0" w:line="233" w:lineRule="auto"/>
        <w:rPr>
          <w:sz w:val="20"/>
          <w:szCs w:val="20"/>
          <w:color w:val="auto"/>
        </w:rPr>
      </w:pPr>
      <w:r>
        <w:rPr>
          <w:rFonts w:ascii="Times New Roman" w:cs="Times New Roman" w:eastAsia="Times New Roman" w:hAnsi="Times New Roman"/>
          <w:sz w:val="22"/>
          <w:szCs w:val="22"/>
          <w:color w:val="auto"/>
        </w:rPr>
        <w:t>The Company shall recover reasonably promptly any Excess Incentive-Based Compensation in the event that the Company is required to restate its financial statements due to the material noncompliance of the Company with any financial reporting requirement under the federal securities laws, including any required accounting restatement to correct an error (i) in previously issued financial statements that is material to the previously issued financial statements or (ii) that would result in a material misstatement if the error were corrected in the current period or left uncorrected in the current period. The preceding sentence shall apply to Excess Incentive-Based Compensation received by any current or former Executive Officer: (a) after beginning service as an Executive Officer; (b) who served as an Executive Officer at any time during the performance period for the applicable Incentive-Based Compensation; (c) while the Company has a class of securities listed on a national securities exchange or a national securities association; and (d) during the Lookback Period. For purposes of this paragraph, Incentive-Based Compensation is deemed “received” in the Company’s fiscal period during which the Financial Reporting Measure specified in the Incentive-Based Compensation is attained, even if the payment or grant of the Incentive-Based Compensation occurs after the end of that period.</w:t>
      </w:r>
    </w:p>
    <w:p>
      <w:pPr>
        <w:spacing w:after="0" w:line="212" w:lineRule="exact"/>
        <w:rPr>
          <w:sz w:val="20"/>
          <w:szCs w:val="20"/>
          <w:color w:val="auto"/>
        </w:rPr>
      </w:pPr>
    </w:p>
    <w:p>
      <w:pPr>
        <w:jc w:val="both"/>
        <w:ind w:left="100" w:right="40"/>
        <w:spacing w:after="0" w:line="282" w:lineRule="auto"/>
        <w:rPr>
          <w:sz w:val="20"/>
          <w:szCs w:val="20"/>
          <w:color w:val="auto"/>
        </w:rPr>
      </w:pPr>
      <w:r>
        <w:rPr>
          <w:rFonts w:ascii="Times New Roman" w:cs="Times New Roman" w:eastAsia="Times New Roman" w:hAnsi="Times New Roman"/>
          <w:sz w:val="21"/>
          <w:szCs w:val="21"/>
          <w:color w:val="auto"/>
        </w:rPr>
        <w:t>Notwithstanding the foregoing, if the Committee makes a determination that recovery would be impracticable, and one of the following enumerated conditions is satisfied, the Company need not recover such Excess Incentive-Based Compensation.</w:t>
      </w:r>
    </w:p>
    <w:p>
      <w:pPr>
        <w:spacing w:after="0" w:line="162" w:lineRule="exact"/>
        <w:rPr>
          <w:sz w:val="20"/>
          <w:szCs w:val="20"/>
          <w:color w:val="auto"/>
        </w:rPr>
      </w:pPr>
    </w:p>
    <w:p>
      <w:pPr>
        <w:jc w:val="both"/>
        <w:ind w:left="840" w:right="20" w:hanging="378"/>
        <w:spacing w:after="0" w:line="236" w:lineRule="auto"/>
        <w:tabs>
          <w:tab w:leader="none" w:pos="840" w:val="left"/>
        </w:tabs>
        <w:numPr>
          <w:ilvl w:val="0"/>
          <w:numId w:val="1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Expenses Exceed Recovery Amount</w:t>
      </w:r>
      <w:r>
        <w:rPr>
          <w:rFonts w:ascii="Times New Roman" w:cs="Times New Roman" w:eastAsia="Times New Roman" w:hAnsi="Times New Roman"/>
          <w:sz w:val="22"/>
          <w:szCs w:val="22"/>
          <w:color w:val="auto"/>
        </w:rPr>
        <w:t>: The Company need not recover the Excess Incentive-Based Compensation at issue if the direct expense to be paid to a third party to assist in enforcing this Dodd-Frank Recoupment Policy would exceed the amount to be recovered; provided, however, that the Company must make a reasonable attempt to recover the Excess Incentive-Based Compensation and document such attempt(s) prior to the Committee’s determination that recovery would be impracticable. The Company must provide the documentation evidencing the attempt(s) to the Securities Exchange consistent with the listing standards of the Securities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F2F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1192" w:right="399" w:bottom="1440" w:gutter="0" w:footer="0" w:header="0"/>
        </w:sectPr>
      </w:pPr>
    </w:p>
    <w:bookmarkStart w:id="213" w:name="page214"/>
    <w:bookmarkEnd w:id="213"/>
    <w:p>
      <w:pPr>
        <w:jc w:val="both"/>
        <w:ind w:left="840" w:hanging="378"/>
        <w:spacing w:after="0" w:line="238" w:lineRule="auto"/>
        <w:tabs>
          <w:tab w:leader="none" w:pos="840" w:val="left"/>
        </w:tabs>
        <w:numPr>
          <w:ilvl w:val="0"/>
          <w:numId w:val="1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Recovery Would Violate Home Country Law</w:t>
      </w:r>
      <w:r>
        <w:rPr>
          <w:rFonts w:ascii="Times New Roman" w:cs="Times New Roman" w:eastAsia="Times New Roman" w:hAnsi="Times New Roman"/>
          <w:sz w:val="22"/>
          <w:szCs w:val="22"/>
          <w:color w:val="auto"/>
        </w:rPr>
        <w:t>: The Company need not recover the Excess Incentive-Based Compensation at issue if recovery would violate home country law where that law was adopted prior to November 28, 2022; provided, however, that the Company must obtain an opinion of home country counsel, in a form acceptable to the Securities Exchange, that recovery would result in such violation. The Company must provide the opinion to the Securities Exchange consistent with the listing standards of the Securities Exchange.</w:t>
      </w:r>
    </w:p>
    <w:p>
      <w:pPr>
        <w:spacing w:after="0" w:line="203" w:lineRule="exact"/>
        <w:rPr>
          <w:rFonts w:ascii="Times New Roman" w:cs="Times New Roman" w:eastAsia="Times New Roman" w:hAnsi="Times New Roman"/>
          <w:sz w:val="22"/>
          <w:szCs w:val="22"/>
          <w:u w:val="single" w:color="auto"/>
          <w:color w:val="auto"/>
        </w:rPr>
      </w:pPr>
    </w:p>
    <w:p>
      <w:pPr>
        <w:jc w:val="both"/>
        <w:ind w:left="840" w:hanging="378"/>
        <w:spacing w:after="0" w:line="239" w:lineRule="auto"/>
        <w:tabs>
          <w:tab w:leader="none" w:pos="840" w:val="left"/>
        </w:tabs>
        <w:numPr>
          <w:ilvl w:val="0"/>
          <w:numId w:val="1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Recovery Would Violate ERISA Anti-Alienation Provisions</w:t>
      </w:r>
      <w:r>
        <w:rPr>
          <w:rFonts w:ascii="Times New Roman" w:cs="Times New Roman" w:eastAsia="Times New Roman" w:hAnsi="Times New Roman"/>
          <w:sz w:val="22"/>
          <w:szCs w:val="22"/>
          <w:color w:val="auto"/>
        </w:rPr>
        <w:t>: The Company need not recover the Excess Incentive-Based Compensation at issue if recovery would violate the anti-alienation provisions of the Employee Retirement Income Security Act of 1974, as amended, contained in 26 U.S.C. § 401(a)(13) or 26 U.S.C. § 411(a), or regulations promulgated thereunder.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2F2F2F"/>
        </w:rPr>
        <w:t>Method of Recoupment</w:t>
      </w:r>
    </w:p>
    <w:p>
      <w:pPr>
        <w:spacing w:after="0" w:line="237" w:lineRule="exact"/>
        <w:rPr>
          <w:sz w:val="20"/>
          <w:szCs w:val="20"/>
          <w:color w:val="auto"/>
        </w:rPr>
      </w:pPr>
    </w:p>
    <w:p>
      <w:pPr>
        <w:jc w:val="both"/>
        <w:ind w:left="100"/>
        <w:spacing w:after="0" w:line="233" w:lineRule="auto"/>
        <w:rPr>
          <w:sz w:val="20"/>
          <w:szCs w:val="20"/>
          <w:color w:val="auto"/>
        </w:rPr>
      </w:pPr>
      <w:r>
        <w:rPr>
          <w:rFonts w:ascii="Times New Roman" w:cs="Times New Roman" w:eastAsia="Times New Roman" w:hAnsi="Times New Roman"/>
          <w:sz w:val="22"/>
          <w:szCs w:val="22"/>
          <w:color w:val="auto"/>
        </w:rPr>
        <w:t>The Committee shall have the sole discretion and authority to determine the means, timing (which shall in all circumstances be reasonably prompt) and any other requirements by which any recoupment required by this Dodd-Frank Recoupment Policy shall occur and impose any other terms, conditions or procedures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imposition of interest charges on un-repaid amounts) to govern the current or former Executive Officer’s repayment of Excess Incentive-Based Compensation. Such methods for recoupment may include, without limitation, (i) seeking reimbursement of all or part of any cash or equity-based award, (ii) cancelling prior cash or equity-based awards, whether vested or unvested or paid or unpaid, (iii) cancelling or offsetting against any planned future cash or equity-based awards, (iv) forfeiture of deferred compensation, subject to compliance with Section 409A of the Internal Revenue Code and the regulations promulgated thereunder, and (v) any other method authorized by applicable law or contract. Subject to compliance with any applicable law, the Committee may affect recovery under this Dodd-Frank Recoupment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2F2F2F"/>
        </w:rPr>
        <w:t>Other Policy Terms</w:t>
      </w:r>
    </w:p>
    <w:p>
      <w:pPr>
        <w:spacing w:after="0" w:line="278" w:lineRule="exact"/>
        <w:rPr>
          <w:sz w:val="20"/>
          <w:szCs w:val="20"/>
          <w:color w:val="auto"/>
        </w:rPr>
      </w:pPr>
    </w:p>
    <w:p>
      <w:pPr>
        <w:jc w:val="both"/>
        <w:ind w:left="100"/>
        <w:spacing w:after="0" w:line="238" w:lineRule="auto"/>
        <w:rPr>
          <w:sz w:val="20"/>
          <w:szCs w:val="20"/>
          <w:color w:val="auto"/>
        </w:rPr>
      </w:pPr>
      <w:r>
        <w:rPr>
          <w:rFonts w:ascii="Times New Roman" w:cs="Times New Roman" w:eastAsia="Times New Roman" w:hAnsi="Times New Roman"/>
          <w:sz w:val="22"/>
          <w:szCs w:val="22"/>
          <w:color w:val="auto"/>
        </w:rPr>
        <w:t>Any applicable award agreement, plan or other document setting forth the terms and conditions of any Incentive-Based Compensation covered by this Dodd-Frank Recoupment Policy shall be deemed to (i) incorporate this Dodd-Frank Recoupment Policy by reference; and (ii) be governed by the terms of this Dodd-Frank Recoupment Policy in the event of any inconsistency with the terms of the Incentive-Based Compensation. Acceptance of any Incentive-Based Compensation shall be deemed to include acceptance of this Dodd-Frank Recoupment Policy.</w:t>
      </w:r>
    </w:p>
    <w:p>
      <w:pPr>
        <w:spacing w:after="0" w:line="244" w:lineRule="exact"/>
        <w:rPr>
          <w:sz w:val="20"/>
          <w:szCs w:val="20"/>
          <w:color w:val="auto"/>
        </w:rPr>
      </w:pPr>
    </w:p>
    <w:p>
      <w:pPr>
        <w:jc w:val="both"/>
        <w:ind w:left="100"/>
        <w:spacing w:after="0" w:line="239" w:lineRule="auto"/>
        <w:rPr>
          <w:sz w:val="20"/>
          <w:szCs w:val="20"/>
          <w:color w:val="auto"/>
        </w:rPr>
      </w:pPr>
      <w:r>
        <w:rPr>
          <w:rFonts w:ascii="Times New Roman" w:cs="Times New Roman" w:eastAsia="Times New Roman" w:hAnsi="Times New Roman"/>
          <w:sz w:val="22"/>
          <w:szCs w:val="22"/>
          <w:color w:val="auto"/>
        </w:rPr>
        <w:t>Any recoupment under this Dodd-Frank Recoupment Policy is in addition to, and not in lieu of, any other remedies or rights that may be available to the Company or its affiliates under applicable law, including, without limitation: (i) dismissing the current or former Executive Officer; (ii) adjusting the future compensation of the current or former Executive Officer; or (iii) authorizing legal action or taking such other action to enforce the current or former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F2F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60" w:top="1435" w:right="419" w:bottom="1440" w:gutter="0" w:footer="0" w:header="0"/>
        </w:sectPr>
      </w:pPr>
    </w:p>
    <w:bookmarkStart w:id="214" w:name="page215"/>
    <w:bookmarkEnd w:id="214"/>
    <w:p>
      <w:pPr>
        <w:jc w:val="both"/>
        <w:ind w:left="100"/>
        <w:spacing w:after="0" w:line="258" w:lineRule="auto"/>
        <w:rPr>
          <w:sz w:val="20"/>
          <w:szCs w:val="20"/>
          <w:color w:val="auto"/>
        </w:rPr>
      </w:pPr>
      <w:r>
        <w:rPr>
          <w:rFonts w:ascii="Times New Roman" w:cs="Times New Roman" w:eastAsia="Times New Roman" w:hAnsi="Times New Roman"/>
          <w:sz w:val="22"/>
          <w:szCs w:val="22"/>
          <w:color w:val="auto"/>
        </w:rPr>
        <w:t>obligations to the Company or its affiliates as it may deem appropriate in view of all of the facts and circumstances surrounding the particular case.</w:t>
      </w:r>
    </w:p>
    <w:p>
      <w:pPr>
        <w:spacing w:after="0" w:line="185" w:lineRule="exact"/>
        <w:rPr>
          <w:sz w:val="20"/>
          <w:szCs w:val="20"/>
          <w:color w:val="auto"/>
        </w:rPr>
      </w:pPr>
    </w:p>
    <w:p>
      <w:pPr>
        <w:jc w:val="both"/>
        <w:ind w:left="100"/>
        <w:spacing w:after="0" w:line="239" w:lineRule="auto"/>
        <w:rPr>
          <w:sz w:val="20"/>
          <w:szCs w:val="20"/>
          <w:color w:val="auto"/>
        </w:rPr>
      </w:pPr>
      <w:r>
        <w:rPr>
          <w:rFonts w:ascii="Times New Roman" w:cs="Times New Roman" w:eastAsia="Times New Roman" w:hAnsi="Times New Roman"/>
          <w:sz w:val="22"/>
          <w:szCs w:val="22"/>
          <w:color w:val="auto"/>
        </w:rPr>
        <w:t>Incentive-Based Compensation and other compensation paid to employees of the Company and its affiliates may also be subject to other recoupment or similar policies, and this policy does not supersede any such other policies. However, in the event of any conflict between any such policy and this Dodd-Frank Recoupment Policy, this policy shall govern. In addition, no Executive Officer shall be subject to recoupment more than one time with respect to the same compensation.</w:t>
      </w:r>
    </w:p>
    <w:p>
      <w:pPr>
        <w:spacing w:after="0" w:line="207" w:lineRule="exact"/>
        <w:rPr>
          <w:sz w:val="20"/>
          <w:szCs w:val="20"/>
          <w:color w:val="auto"/>
        </w:rPr>
      </w:pPr>
    </w:p>
    <w:p>
      <w:pPr>
        <w:jc w:val="both"/>
        <w:ind w:left="100"/>
        <w:spacing w:after="0" w:line="238" w:lineRule="auto"/>
        <w:rPr>
          <w:sz w:val="20"/>
          <w:szCs w:val="20"/>
          <w:color w:val="auto"/>
        </w:rPr>
      </w:pPr>
      <w:r>
        <w:rPr>
          <w:rFonts w:ascii="Times New Roman" w:cs="Times New Roman" w:eastAsia="Times New Roman" w:hAnsi="Times New Roman"/>
          <w:sz w:val="22"/>
          <w:szCs w:val="22"/>
          <w:color w:val="auto"/>
        </w:rPr>
        <w:t>Notwithstanding the terms of any indemnification or insurance policy for any Executive Officer, or any contractual arrangement between the Company and any Executive Officer that may be interpreted to the contrary, the Company shall not indemnify any Executive Officer against the loss of any amounts subject to recoupment pursuant to this Dodd-Frank Recoupment Policy, including any payment or reimbursement for the cost of third-party insurance purchased by any Executive Officer to fund potential recoupment obligations under this Dodd-Frank Recoupment Policy.</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2F2F2F"/>
        </w:rPr>
        <w:t>Administration</w:t>
      </w:r>
    </w:p>
    <w:p>
      <w:pPr>
        <w:spacing w:after="0" w:line="237" w:lineRule="exact"/>
        <w:rPr>
          <w:sz w:val="20"/>
          <w:szCs w:val="20"/>
          <w:color w:val="auto"/>
        </w:rPr>
      </w:pPr>
    </w:p>
    <w:p>
      <w:pPr>
        <w:jc w:val="both"/>
        <w:ind w:left="100"/>
        <w:spacing w:after="0" w:line="235" w:lineRule="auto"/>
        <w:rPr>
          <w:sz w:val="20"/>
          <w:szCs w:val="20"/>
          <w:color w:val="auto"/>
        </w:rPr>
      </w:pPr>
      <w:r>
        <w:rPr>
          <w:rFonts w:ascii="Times New Roman" w:cs="Times New Roman" w:eastAsia="Times New Roman" w:hAnsi="Times New Roman"/>
          <w:sz w:val="22"/>
          <w:szCs w:val="22"/>
          <w:color w:val="auto"/>
        </w:rPr>
        <w:t>The Board has delegated the administration of this policy to the Committee. The Committee is responsible for monitoring the application of this Dodd-Frank Recoupment Policy with respect to all Executive Officers. The Committee shall have the sole authority to review, interpret, construe, and implement the provisions of this Dodd-Frank Recoupment Policy and to delegate to one or more executive officers and/or employees, certain administrative and record-keeping responsibilities, as appropriate, with respect to the implementation of this Dodd-Frank Recoupment Policy; provided, however, that no such action shall contravene the federal securities laws. Any determinations of the Board or Committee under this Dodd-Frank Recoupment Policy shall be binding on the applicable individual.</w:t>
      </w:r>
    </w:p>
    <w:p>
      <w:pPr>
        <w:spacing w:after="0" w:line="183" w:lineRule="exact"/>
        <w:rPr>
          <w:sz w:val="20"/>
          <w:szCs w:val="20"/>
          <w:color w:val="auto"/>
        </w:rPr>
      </w:pPr>
    </w:p>
    <w:p>
      <w:pPr>
        <w:jc w:val="both"/>
        <w:ind w:left="100" w:right="20"/>
        <w:spacing w:after="0" w:line="258" w:lineRule="auto"/>
        <w:rPr>
          <w:sz w:val="20"/>
          <w:szCs w:val="20"/>
          <w:color w:val="auto"/>
        </w:rPr>
      </w:pPr>
      <w:r>
        <w:rPr>
          <w:rFonts w:ascii="Times New Roman" w:cs="Times New Roman" w:eastAsia="Times New Roman" w:hAnsi="Times New Roman"/>
          <w:sz w:val="22"/>
          <w:szCs w:val="22"/>
          <w:color w:val="auto"/>
        </w:rPr>
        <w:t>The Committee may amend, modify, or change this Dodd-Frank Recoupment Policy, as well as any related rules and procedures, at any time and from time to time as it may determine, in its sole discretion, is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F2F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60" w:top="1192" w:right="419"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774700</wp:posOffset>
            </wp:positionV>
            <wp:extent cx="1619885" cy="50609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7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5060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DODD-FRANK COMPENSATION RECOUPMENT POLICY</w:t>
      </w:r>
    </w:p>
    <w:p>
      <w:pPr>
        <w:spacing w:after="0" w:line="1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CONFIRMATION OF RECEIPT</w:t>
      </w:r>
    </w:p>
    <w:p>
      <w:pPr>
        <w:spacing w:after="0" w:line="200" w:lineRule="exact"/>
        <w:rPr>
          <w:sz w:val="20"/>
          <w:szCs w:val="20"/>
          <w:color w:val="auto"/>
        </w:rPr>
      </w:pPr>
    </w:p>
    <w:p>
      <w:pPr>
        <w:spacing w:after="0" w:line="22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 understand that Ashland Inc. has adopted the Dodd-Frank Compensation Recoupment Policy which will be interpreted and administered by the Compensation Committee in a manner consistent with applicable laws and regulations of the Securities and Exchange Commission and the Listed Company Manual of the New York Stock Exchange. This Dodd-Frank Recoupment Policy applies to awards of Incentive-Based Compensation received on or after the Effective Date by Executive Officers of the Company. The prior Executive Compensation Recovery Policy shall apply to awards of Incentive-Based Compensation received before the Effective Date.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hereby acknowledge that I have received said policy and agree that it applies to myself as an Executive Officer of Ashland, Inc. and have been able to resolve any questions regarding the same with the General Counsel of Ashland.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this _________ day of ___________________, 20 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Signature_______________________________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____________________________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Received and accepted by the Company on this _____ day of ________________, 20 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Name:_________________________________</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F2F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1)"/>
      <w:numFmt w:val="lowerLetter"/>
      <w:start w:val="1"/>
    </w:lvl>
    <w:lvl w:ilvl="1">
      <w:lvlJc w:val="left"/>
      <w:lvlText w:val="(%2)"/>
      <w:numFmt w:val="lowerLetter"/>
      <w:start w:val="2"/>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1)"/>
      <w:numFmt w:val="lowerLetter"/>
      <w:start w:val="1"/>
    </w:lvl>
  </w:abstractNum>
  <w:abstractNum w:abstractNumId="8">
    <w:nsid w:val="CC1016F"/>
    <w:multiLevelType w:val="hybridMultilevel"/>
    <w:lvl w:ilvl="0">
      <w:lvlJc w:val="left"/>
      <w:lvlText w:val="(%1)"/>
      <w:numFmt w:val="decimal"/>
      <w:start w:val="1"/>
    </w:lvl>
  </w:abstractNum>
  <w:abstractNum w:abstractNumId="9">
    <w:nsid w:val="43F18422"/>
    <w:multiLevelType w:val="hybridMultilevel"/>
    <w:lvl w:ilvl="0">
      <w:lvlJc w:val="left"/>
      <w:lvlText w:val="(%1)"/>
      <w:numFmt w:val="lowerLetter"/>
      <w:start w:val="1"/>
    </w:lvl>
    <w:lvl w:ilvl="1">
      <w:lvlJc w:val="left"/>
      <w:lvlText w:val="(%2)"/>
      <w:numFmt w:val="decimal"/>
      <w:start w:val="1"/>
    </w:lvl>
  </w:abstractNum>
  <w:abstractNum w:abstractNumId="10">
    <w:nsid w:val="60EF0119"/>
    <w:multiLevelType w:val="hybridMultilevel"/>
    <w:lvl w:ilvl="0">
      <w:lvlJc w:val="left"/>
      <w:lvlText w:val="&amp;"/>
      <w:numFmt w:val="bullet"/>
      <w:start w:val="1"/>
    </w:lvl>
  </w:abstractNum>
  <w:abstractNum w:abstractNumId="11">
    <w:nsid w:val="26F324BA"/>
    <w:multiLevelType w:val="hybridMultilevel"/>
    <w:lvl w:ilvl="0">
      <w:lvlJc w:val="left"/>
      <w:lvlText w:val="*"/>
      <w:numFmt w:val="bullet"/>
      <w:start w:val="1"/>
    </w:lvl>
    <w:lvl w:ilvl="1">
      <w:lvlJc w:val="left"/>
      <w:lvlText w:val="%2"/>
      <w:numFmt w:val="decimal"/>
      <w:start w:val="104"/>
    </w:lvl>
  </w:abstractNum>
  <w:abstractNum w:abstractNumId="12">
    <w:nsid w:val="7F01579B"/>
    <w:multiLevelType w:val="hybridMultilevel"/>
    <w:lvl w:ilvl="0">
      <w:lvlJc w:val="left"/>
      <w:lvlText w:val="**"/>
      <w:numFmt w:val="bullet"/>
      <w:start w:val="1"/>
    </w:lvl>
    <w:lvl w:ilvl="1">
      <w:lvlJc w:val="left"/>
      <w:lvlText w:val="%2"/>
      <w:numFmt w:val="decimal"/>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lowerLetter"/>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o"/>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o"/>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1)"/>
      <w:numFmt w:val="lowerLetter"/>
      <w:start w:val="1"/>
    </w:lvl>
  </w:abstractNum>
  <w:abstractNum w:abstractNumId="22">
    <w:nsid w:val="6A5F7029"/>
    <w:multiLevelType w:val="hybridMultilevel"/>
    <w:lvl w:ilvl="0">
      <w:lvlJc w:val="left"/>
      <w:lvlText w:val="(%1)"/>
      <w:numFmt w:val="lowerLetter"/>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1)"/>
      <w:numFmt w:val="lowerLetter"/>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1)"/>
      <w:numFmt w:val="lowerLetter"/>
      <w:start w:val="1"/>
    </w:lvl>
  </w:abstractNum>
  <w:abstractNum w:abstractNumId="32">
    <w:nsid w:val="9DAF632"/>
    <w:multiLevelType w:val="hybridMultilevel"/>
    <w:lvl w:ilvl="0">
      <w:lvlJc w:val="left"/>
      <w:lvlText w:val="(%1)"/>
      <w:numFmt w:val="lowerLetter"/>
      <w:start w:val="1"/>
    </w:lvl>
  </w:abstractNum>
  <w:abstractNum w:abstractNumId="33">
    <w:nsid w:val="53299938"/>
    <w:multiLevelType w:val="hybridMultilevel"/>
    <w:lvl w:ilvl="0">
      <w:lvlJc w:val="left"/>
      <w:lvlText w:val="(%1)"/>
      <w:numFmt w:val="lowerLetter"/>
      <w:start w:val="1"/>
    </w:lvl>
  </w:abstractNum>
  <w:abstractNum w:abstractNumId="34">
    <w:nsid w:val="1FBFE8E0"/>
    <w:multiLevelType w:val="hybridMultilevel"/>
    <w:lvl w:ilvl="0">
      <w:lvlJc w:val="left"/>
      <w:lvlText w:val="(%1)"/>
      <w:numFmt w:val="lowerLetter"/>
      <w:start w:val="1"/>
    </w:lvl>
  </w:abstractNum>
  <w:abstractNum w:abstractNumId="35">
    <w:nsid w:val="5092CA79"/>
    <w:multiLevelType w:val="hybridMultilevel"/>
    <w:lvl w:ilvl="0">
      <w:lvlJc w:val="left"/>
      <w:lvlText w:val="(%1)"/>
      <w:numFmt w:val="lowerLetter"/>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1)"/>
      <w:numFmt w:val="lowerLetter"/>
      <w:start w:val="1"/>
    </w:lvl>
  </w:abstractNum>
  <w:abstractNum w:abstractNumId="38">
    <w:nsid w:val="288F1A34"/>
    <w:multiLevelType w:val="hybridMultilevel"/>
    <w:lvl w:ilvl="0">
      <w:lvlJc w:val="left"/>
      <w:lvlText w:val="(%1)"/>
      <w:numFmt w:val="lowerLetter"/>
      <w:start w:val="1"/>
    </w:lvl>
  </w:abstractNum>
  <w:abstractNum w:abstractNumId="39">
    <w:nsid w:val="2A155DBC"/>
    <w:multiLevelType w:val="hybridMultilevel"/>
    <w:lvl w:ilvl="0">
      <w:lvlJc w:val="left"/>
      <w:lvlText w:val="•"/>
      <w:numFmt w:val="bullet"/>
      <w:start w:val="1"/>
    </w:lvl>
  </w:abstractNum>
  <w:abstractNum w:abstractNumId="40">
    <w:nsid w:val="1D9F6E5F"/>
    <w:multiLevelType w:val="hybridMultilevel"/>
    <w:lvl w:ilvl="0">
      <w:lvlJc w:val="left"/>
      <w:lvlText w:val="(%1)"/>
      <w:numFmt w:val="lowerLetter"/>
      <w:start w:val="1"/>
    </w:lvl>
  </w:abstractNum>
  <w:abstractNum w:abstractNumId="41">
    <w:nsid w:val="97E1B4E"/>
    <w:multiLevelType w:val="hybridMultilevel"/>
    <w:lvl w:ilvl="0">
      <w:lvlJc w:val="left"/>
      <w:lvlText w:val="(%1)"/>
      <w:numFmt w:val="lowerLetter"/>
      <w:start w:val="1"/>
    </w:lvl>
  </w:abstractNum>
  <w:abstractNum w:abstractNumId="42">
    <w:nsid w:val="51088277"/>
    <w:multiLevelType w:val="hybridMultilevel"/>
    <w:lvl w:ilvl="0">
      <w:lvlJc w:val="left"/>
      <w:lvlText w:val="(%1)"/>
      <w:numFmt w:val="lowerLetter"/>
      <w:start w:val="1"/>
    </w:lvl>
  </w:abstractNum>
  <w:abstractNum w:abstractNumId="43">
    <w:nsid w:val="1CA0C5FA"/>
    <w:multiLevelType w:val="hybridMultilevel"/>
    <w:lvl w:ilvl="0">
      <w:lvlJc w:val="left"/>
      <w:lvlText w:val="(%1)"/>
      <w:numFmt w:val="lowerLetter"/>
      <w:start w:val="1"/>
    </w:lvl>
  </w:abstractNum>
  <w:abstractNum w:abstractNumId="44">
    <w:nsid w:val="53584BCB"/>
    <w:multiLevelType w:val="hybridMultilevel"/>
    <w:lvl w:ilvl="0">
      <w:lvlJc w:val="left"/>
      <w:lvlText w:val="(%1)"/>
      <w:numFmt w:val="lowerLetter"/>
      <w:start w:val="1"/>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1)"/>
      <w:numFmt w:val="lowerLetter"/>
      <w:start w:val="1"/>
    </w:lvl>
  </w:abstractNum>
  <w:abstractNum w:abstractNumId="48">
    <w:nsid w:val="45E6D486"/>
    <w:multiLevelType w:val="hybridMultilevel"/>
    <w:lvl w:ilvl="0">
      <w:lvlJc w:val="left"/>
      <w:lvlText w:val="(%1)"/>
      <w:numFmt w:val="lowerLetter"/>
      <w:start w:val="1"/>
    </w:lvl>
  </w:abstractNum>
  <w:abstractNum w:abstractNumId="49">
    <w:nsid w:val="5C10FE21"/>
    <w:multiLevelType w:val="hybridMultilevel"/>
    <w:lvl w:ilvl="0">
      <w:lvlJc w:val="left"/>
      <w:lvlText w:val="(%1)"/>
      <w:numFmt w:val="lowerLetter"/>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1)"/>
      <w:numFmt w:val="lowerLetter"/>
      <w:start w:val="1"/>
    </w:lvl>
  </w:abstractNum>
  <w:abstractNum w:abstractNumId="52">
    <w:nsid w:val="4BD8591A"/>
    <w:multiLevelType w:val="hybridMultilevel"/>
    <w:lvl w:ilvl="0">
      <w:lvlJc w:val="left"/>
      <w:lvlText w:val="(%1)"/>
      <w:numFmt w:val="lowerLetter"/>
      <w:start w:val="1"/>
    </w:lvl>
  </w:abstractNum>
  <w:abstractNum w:abstractNumId="53">
    <w:nsid w:val="78DF6A55"/>
    <w:multiLevelType w:val="hybridMultilevel"/>
    <w:lvl w:ilvl="0">
      <w:lvlJc w:val="left"/>
      <w:lvlText w:val="(%1)"/>
      <w:numFmt w:val="lowerLetter"/>
      <w:start w:val="1"/>
    </w:lvl>
  </w:abstractNum>
  <w:abstractNum w:abstractNumId="54">
    <w:nsid w:val="39B7AAA2"/>
    <w:multiLevelType w:val="hybridMultilevel"/>
    <w:lvl w:ilvl="0">
      <w:lvlJc w:val="left"/>
      <w:lvlText w:val="(%1)"/>
      <w:numFmt w:val="lowerLetter"/>
      <w:start w:val="1"/>
    </w:lvl>
  </w:abstractNum>
  <w:abstractNum w:abstractNumId="55">
    <w:nsid w:val="2B0D8DBE"/>
    <w:multiLevelType w:val="hybridMultilevel"/>
    <w:lvl w:ilvl="0">
      <w:lvlJc w:val="left"/>
      <w:lvlText w:val="(%1)"/>
      <w:numFmt w:val="lowerLetter"/>
      <w:start w:val="1"/>
    </w:lvl>
  </w:abstractNum>
  <w:abstractNum w:abstractNumId="56">
    <w:nsid w:val="6C80EC70"/>
    <w:multiLevelType w:val="hybridMultilevel"/>
    <w:lvl w:ilvl="0">
      <w:lvlJc w:val="left"/>
      <w:lvlText w:val="(%1)"/>
      <w:numFmt w:val="lowerLetter"/>
      <w:start w:val="1"/>
    </w:lvl>
  </w:abstractNum>
  <w:abstractNum w:abstractNumId="57">
    <w:nsid w:val="379E21B5"/>
    <w:multiLevelType w:val="hybridMultilevel"/>
    <w:lvl w:ilvl="0">
      <w:lvlJc w:val="left"/>
      <w:lvlText w:val="(%1)"/>
      <w:numFmt w:val="lowerLetter"/>
      <w:start w:val="1"/>
    </w:lvl>
  </w:abstractNum>
  <w:abstractNum w:abstractNumId="58">
    <w:nsid w:val="69E373"/>
    <w:multiLevelType w:val="hybridMultilevel"/>
    <w:lvl w:ilvl="0">
      <w:lvlJc w:val="left"/>
      <w:lvlText w:val="(%1)"/>
      <w:numFmt w:val="lowerLetter"/>
      <w:start w:val="1"/>
    </w:lvl>
  </w:abstractNum>
  <w:abstractNum w:abstractNumId="59">
    <w:nsid w:val="2C27173B"/>
    <w:multiLevelType w:val="hybridMultilevel"/>
    <w:lvl w:ilvl="0">
      <w:lvlJc w:val="left"/>
      <w:lvlText w:val="(%1)"/>
      <w:numFmt w:val="lowerLetter"/>
      <w:start w:val="1"/>
    </w:lvl>
  </w:abstractNum>
  <w:abstractNum w:abstractNumId="60">
    <w:nsid w:val="4C9B0904"/>
    <w:multiLevelType w:val="hybridMultilevel"/>
    <w:lvl w:ilvl="0">
      <w:lvlJc w:val="left"/>
      <w:lvlText w:val="(%1)"/>
      <w:numFmt w:val="lowerLetter"/>
      <w:start w:val="1"/>
    </w:lvl>
  </w:abstractNum>
  <w:abstractNum w:abstractNumId="61">
    <w:nsid w:val="6AA7B75C"/>
    <w:multiLevelType w:val="hybridMultilevel"/>
    <w:lvl w:ilvl="0">
      <w:lvlJc w:val="left"/>
      <w:lvlText w:val="(%1)"/>
      <w:numFmt w:val="lowerLetter"/>
      <w:start w:val="1"/>
    </w:lvl>
  </w:abstractNum>
  <w:abstractNum w:abstractNumId="62">
    <w:nsid w:val="1DF029D3"/>
    <w:multiLevelType w:val="hybridMultilevel"/>
    <w:lvl w:ilvl="0">
      <w:lvlJc w:val="left"/>
      <w:lvlText w:val="(%1)"/>
      <w:numFmt w:val="lowerLetter"/>
      <w:start w:val="1"/>
    </w:lvl>
  </w:abstractNum>
  <w:abstractNum w:abstractNumId="63">
    <w:nsid w:val="5675FF36"/>
    <w:multiLevelType w:val="hybridMultilevel"/>
    <w:lvl w:ilvl="0">
      <w:lvlJc w:val="left"/>
      <w:lvlText w:val="(%1)"/>
      <w:numFmt w:val="lowerLetter"/>
      <w:start w:val="1"/>
    </w:lvl>
  </w:abstractNum>
  <w:abstractNum w:abstractNumId="64">
    <w:nsid w:val="3DD15094"/>
    <w:multiLevelType w:val="hybridMultilevel"/>
    <w:lvl w:ilvl="0">
      <w:lvlJc w:val="left"/>
      <w:lvlText w:val="(%1)"/>
      <w:numFmt w:val="lowerLetter"/>
      <w:start w:val="1"/>
    </w:lvl>
  </w:abstractNum>
  <w:abstractNum w:abstractNumId="65">
    <w:nsid w:val="3DB012B3"/>
    <w:multiLevelType w:val="hybridMultilevel"/>
    <w:lvl w:ilvl="0">
      <w:lvlJc w:val="left"/>
      <w:lvlText w:val="(%1)"/>
      <w:numFmt w:val="lowerLetter"/>
      <w:start w:val="1"/>
    </w:lvl>
  </w:abstractNum>
  <w:abstractNum w:abstractNumId="66">
    <w:nsid w:val="2708C9AF"/>
    <w:multiLevelType w:val="hybridMultilevel"/>
    <w:lvl w:ilvl="0">
      <w:lvlJc w:val="left"/>
      <w:lvlText w:val="(%1)"/>
      <w:numFmt w:val="lowerLetter"/>
      <w:start w:val="1"/>
    </w:lvl>
  </w:abstractNum>
  <w:abstractNum w:abstractNumId="67">
    <w:nsid w:val="5B25ACE2"/>
    <w:multiLevelType w:val="hybridMultilevel"/>
    <w:lvl w:ilvl="0">
      <w:lvlJc w:val="left"/>
      <w:lvlText w:val="(%1)"/>
      <w:numFmt w:val="lowerLetter"/>
      <w:start w:val="1"/>
    </w:lvl>
  </w:abstractNum>
  <w:abstractNum w:abstractNumId="68">
    <w:nsid w:val="175DFCF0"/>
    <w:multiLevelType w:val="hybridMultilevel"/>
    <w:lvl w:ilvl="0">
      <w:lvlJc w:val="left"/>
      <w:lvlText w:val="(%1)"/>
      <w:numFmt w:val="lowerLetter"/>
      <w:start w:val="1"/>
    </w:lvl>
  </w:abstractNum>
  <w:abstractNum w:abstractNumId="69">
    <w:nsid w:val="4F97E3E4"/>
    <w:multiLevelType w:val="hybridMultilevel"/>
    <w:lvl w:ilvl="0">
      <w:lvlJc w:val="left"/>
      <w:lvlText w:val="(%1)"/>
      <w:numFmt w:val="lowerLetter"/>
      <w:start w:val="1"/>
    </w:lvl>
  </w:abstractNum>
  <w:abstractNum w:abstractNumId="70">
    <w:nsid w:val="53B0A9E"/>
    <w:multiLevelType w:val="hybridMultilevel"/>
    <w:lvl w:ilvl="0">
      <w:lvlJc w:val="left"/>
      <w:lvlText w:val="(%1)"/>
      <w:numFmt w:val="lowerLetter"/>
      <w:start w:val="1"/>
    </w:lvl>
  </w:abstractNum>
  <w:abstractNum w:abstractNumId="71">
    <w:nsid w:val="34FD6B4F"/>
    <w:multiLevelType w:val="hybridMultilevel"/>
    <w:lvl w:ilvl="0">
      <w:lvlJc w:val="left"/>
      <w:lvlText w:val="(%1)"/>
      <w:numFmt w:val="lowerLetter"/>
      <w:start w:val="1"/>
    </w:lvl>
  </w:abstractNum>
  <w:abstractNum w:abstractNumId="72">
    <w:nsid w:val="5915FF32"/>
    <w:multiLevelType w:val="hybridMultilevel"/>
    <w:lvl w:ilvl="0">
      <w:lvlJc w:val="left"/>
      <w:lvlText w:val="(%1)"/>
      <w:numFmt w:val="lowerLetter"/>
      <w:start w:val="1"/>
    </w:lvl>
  </w:abstractNum>
  <w:abstractNum w:abstractNumId="73">
    <w:nsid w:val="56438D15"/>
    <w:multiLevelType w:val="hybridMultilevel"/>
    <w:lvl w:ilvl="0">
      <w:lvlJc w:val="left"/>
      <w:lvlText w:val="(%1)"/>
      <w:numFmt w:val="lowerLetter"/>
      <w:start w:val="1"/>
    </w:lvl>
  </w:abstractNum>
  <w:abstractNum w:abstractNumId="74">
    <w:nsid w:val="519E3149"/>
    <w:multiLevelType w:val="hybridMultilevel"/>
    <w:lvl w:ilvl="0">
      <w:lvlJc w:val="left"/>
      <w:lvlText w:val="(%1)"/>
      <w:numFmt w:val="lowerLetter"/>
      <w:start w:val="1"/>
    </w:lvl>
  </w:abstractNum>
  <w:abstractNum w:abstractNumId="75">
    <w:nsid w:val="2C6E4AFD"/>
    <w:multiLevelType w:val="hybridMultilevel"/>
    <w:lvl w:ilvl="0">
      <w:lvlJc w:val="left"/>
      <w:lvlText w:val="(%1)"/>
      <w:numFmt w:val="lowerLetter"/>
      <w:start w:val="1"/>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1)"/>
      <w:numFmt w:val="upperLetter"/>
      <w:start w:val="1"/>
    </w:lvl>
  </w:abstractNum>
  <w:abstractNum w:abstractNumId="78">
    <w:nsid w:val="5046B5A9"/>
    <w:multiLevelType w:val="hybridMultilevel"/>
    <w:lvl w:ilvl="0">
      <w:lvlJc w:val="left"/>
      <w:lvlText w:val="(%1)"/>
      <w:numFmt w:val="lowerRoman"/>
      <w:start w:val="1"/>
    </w:lvl>
  </w:abstractNum>
  <w:abstractNum w:abstractNumId="79">
    <w:nsid w:val="5D888A08"/>
    <w:multiLevelType w:val="hybridMultilevel"/>
    <w:lvl w:ilvl="0">
      <w:lvlJc w:val="left"/>
      <w:lvlText w:val="·"/>
      <w:numFmt w:val="bullet"/>
      <w:start w:val="1"/>
    </w:lvl>
  </w:abstractNum>
  <w:abstractNum w:abstractNumId="80">
    <w:nsid w:val="2A082C70"/>
    <w:multiLevelType w:val="hybridMultilevel"/>
    <w:lvl w:ilvl="0">
      <w:lvlJc w:val="left"/>
      <w:lvlText w:val="(%1)"/>
      <w:numFmt w:val="decimal"/>
      <w:start w:val="1"/>
    </w:lvl>
  </w:abstractNum>
  <w:abstractNum w:abstractNumId="81">
    <w:nsid w:val="5EC6AFD4"/>
    <w:multiLevelType w:val="hybridMultilevel"/>
    <w:lvl w:ilvl="0">
      <w:lvlJc w:val="left"/>
      <w:lvlText w:val="(%1)"/>
      <w:numFmt w:val="decimal"/>
      <w:start w:val="1"/>
    </w:lvl>
  </w:abstractNum>
  <w:abstractNum w:abstractNumId="82">
    <w:nsid w:val="19E21BB2"/>
    <w:multiLevelType w:val="hybridMultilevel"/>
    <w:lvl w:ilvl="0">
      <w:lvlJc w:val="left"/>
      <w:lvlText w:val="(%1)"/>
      <w:numFmt w:val="decimal"/>
      <w:start w:val="3"/>
    </w:lvl>
    <w:lvl w:ilvl="1">
      <w:lvlJc w:val="left"/>
      <w:lvlText w:val="(%2)"/>
      <w:numFmt w:val="lowerLetter"/>
      <w:start w:val="1"/>
    </w:lvl>
  </w:abstractNum>
  <w:abstractNum w:abstractNumId="83">
    <w:nsid w:val="75E0858A"/>
    <w:multiLevelType w:val="hybridMultilevel"/>
    <w:lvl w:ilvl="0">
      <w:lvlJc w:val="left"/>
      <w:lvlText w:val="(%1)"/>
      <w:numFmt w:val="decimal"/>
      <w:start w:val="1"/>
    </w:lvl>
  </w:abstractNum>
  <w:abstractNum w:abstractNumId="84">
    <w:nsid w:val="57A61A29"/>
    <w:multiLevelType w:val="hybridMultilevel"/>
    <w:lvl w:ilvl="0">
      <w:lvlJc w:val="left"/>
      <w:lvlText w:val="(%1)"/>
      <w:numFmt w:val="decimal"/>
      <w:start w:val="1"/>
    </w:lvl>
  </w:abstractNum>
  <w:abstractNum w:abstractNumId="85">
    <w:nsid w:val="5399C654"/>
    <w:multiLevelType w:val="hybridMultilevel"/>
    <w:lvl w:ilvl="0">
      <w:lvlJc w:val="left"/>
      <w:lvlText w:val="(%1)"/>
      <w:numFmt w:val="decimal"/>
      <w:start w:val="1"/>
    </w:lvl>
  </w:abstractNum>
  <w:abstractNum w:abstractNumId="86">
    <w:nsid w:val="20EE1348"/>
    <w:multiLevelType w:val="hybridMultilevel"/>
    <w:lvl w:ilvl="0">
      <w:lvlJc w:val="left"/>
      <w:lvlText w:val="(%1)"/>
      <w:numFmt w:val="decimal"/>
      <w:start w:val="1"/>
    </w:lvl>
  </w:abstractNum>
  <w:abstractNum w:abstractNumId="87">
    <w:nsid w:val="4427069A"/>
    <w:multiLevelType w:val="hybridMultilevel"/>
    <w:lvl w:ilvl="0">
      <w:lvlJc w:val="left"/>
      <w:lvlText w:val="(%1)"/>
      <w:numFmt w:val="decimal"/>
      <w:start w:val="1"/>
    </w:lvl>
  </w:abstractNum>
  <w:abstractNum w:abstractNumId="88">
    <w:nsid w:val="B37E80A"/>
    <w:multiLevelType w:val="hybridMultilevel"/>
    <w:lvl w:ilvl="0">
      <w:lvlJc w:val="left"/>
      <w:lvlText w:val="(%1)"/>
      <w:numFmt w:val="decimal"/>
      <w:start w:val="1"/>
    </w:lvl>
  </w:abstractNum>
  <w:abstractNum w:abstractNumId="89">
    <w:nsid w:val="2157F6BC"/>
    <w:multiLevelType w:val="hybridMultilevel"/>
    <w:lvl w:ilvl="0">
      <w:lvlJc w:val="left"/>
      <w:lvlText w:val="(%1)"/>
      <w:numFmt w:val="decimal"/>
      <w:start w:val="5"/>
    </w:lvl>
  </w:abstractNum>
  <w:abstractNum w:abstractNumId="90">
    <w:nsid w:val="704E1DD5"/>
    <w:multiLevelType w:val="hybridMultilevel"/>
    <w:lvl w:ilvl="0">
      <w:lvlJc w:val="left"/>
      <w:lvlText w:val="·"/>
      <w:numFmt w:val="bullet"/>
      <w:start w:val="1"/>
    </w:lvl>
  </w:abstractNum>
  <w:abstractNum w:abstractNumId="91">
    <w:nsid w:val="57D2F10E"/>
    <w:multiLevelType w:val="hybridMultilevel"/>
    <w:lvl w:ilvl="0">
      <w:lvlJc w:val="left"/>
      <w:lvlText w:val="·"/>
      <w:numFmt w:val="bullet"/>
      <w:start w:val="1"/>
    </w:lvl>
  </w:abstractNum>
  <w:abstractNum w:abstractNumId="92">
    <w:nsid w:val="BFFAE18"/>
    <w:multiLevelType w:val="hybridMultilevel"/>
    <w:lvl w:ilvl="0">
      <w:lvlJc w:val="left"/>
      <w:lvlText w:val="·"/>
      <w:numFmt w:val="bullet"/>
      <w:start w:val="1"/>
    </w:lvl>
  </w:abstractNum>
  <w:abstractNum w:abstractNumId="93">
    <w:nsid w:val="E3E47A8"/>
    <w:multiLevelType w:val="hybridMultilevel"/>
    <w:lvl w:ilvl="0">
      <w:lvlJc w:val="left"/>
      <w:lvlText w:val="·"/>
      <w:numFmt w:val="bullet"/>
      <w:start w:val="1"/>
    </w:lvl>
  </w:abstractNum>
  <w:abstractNum w:abstractNumId="94">
    <w:nsid w:val="2E48F044"/>
    <w:multiLevelType w:val="hybridMultilevel"/>
    <w:lvl w:ilvl="0">
      <w:lvlJc w:val="left"/>
      <w:lvlText w:val="(%1)"/>
      <w:numFmt w:val="lowerRoman"/>
      <w:start w:val="2"/>
    </w:lvl>
  </w:abstractNum>
  <w:abstractNum w:abstractNumId="95">
    <w:nsid w:val="49D0FEAC"/>
    <w:multiLevelType w:val="hybridMultilevel"/>
    <w:lvl w:ilvl="0">
      <w:lvlJc w:val="left"/>
      <w:lvlText w:val="(%1)"/>
      <w:numFmt w:val="decimal"/>
      <w:start w:val="1"/>
    </w:lvl>
  </w:abstractNum>
  <w:abstractNum w:abstractNumId="96">
    <w:nsid w:val="4BEE5A5B"/>
    <w:multiLevelType w:val="hybridMultilevel"/>
    <w:lvl w:ilvl="0">
      <w:lvlJc w:val="left"/>
      <w:lvlText w:val="(%1)"/>
      <w:numFmt w:val="decimal"/>
      <w:start w:val="3"/>
    </w:lvl>
  </w:abstractNum>
  <w:abstractNum w:abstractNumId="97">
    <w:nsid w:val="5551B9F3"/>
    <w:multiLevelType w:val="hybridMultilevel"/>
    <w:lvl w:ilvl="0">
      <w:lvlJc w:val="left"/>
      <w:lvlText w:val="(%1)"/>
      <w:numFmt w:val="lowerRoman"/>
      <w:start w:val="4"/>
    </w:lvl>
  </w:abstractNum>
  <w:abstractNum w:abstractNumId="98">
    <w:nsid w:val="24F6AB8E"/>
    <w:multiLevelType w:val="hybridMultilevel"/>
    <w:lvl w:ilvl="0">
      <w:lvlJc w:val="left"/>
      <w:lvlText w:val="(%1)"/>
      <w:numFmt w:val="decimal"/>
      <w:start w:val="1"/>
    </w:lvl>
  </w:abstractNum>
  <w:abstractNum w:abstractNumId="99">
    <w:nsid w:val="634C574C"/>
    <w:multiLevelType w:val="hybridMultilevel"/>
    <w:lvl w:ilvl="0">
      <w:lvlJc w:val="left"/>
      <w:lvlText w:val="(%1)"/>
      <w:numFmt w:val="lowerLetter"/>
      <w:start w:val="1"/>
    </w:lvl>
  </w:abstractNum>
  <w:abstractNum w:abstractNumId="100">
    <w:nsid w:val="24E99DD7"/>
    <w:multiLevelType w:val="hybridMultilevel"/>
    <w:lvl w:ilvl="0">
      <w:lvlJc w:val="left"/>
      <w:lvlText w:val="%1"/>
      <w:numFmt w:val="lowerLetter"/>
      <w:start w:val="1"/>
    </w:lvl>
    <w:lvl w:ilvl="1">
      <w:lvlJc w:val="left"/>
      <w:lvlText w:val="(%2)"/>
      <w:numFmt w:val="lowerLetter"/>
      <w:start w:val="1"/>
    </w:lvl>
  </w:abstractNum>
  <w:abstractNum w:abstractNumId="101">
    <w:nsid w:val="2A31B62D"/>
    <w:multiLevelType w:val="hybridMultilevel"/>
    <w:lvl w:ilvl="0">
      <w:lvlJc w:val="left"/>
      <w:lvlText w:val="(%1)"/>
      <w:numFmt w:val="lowerLetter"/>
      <w:start w:val="3"/>
    </w:lvl>
    <w:lvl w:ilvl="1">
      <w:lvlJc w:val="left"/>
      <w:lvlText w:val="%2"/>
      <w:numFmt w:val="lowerLetter"/>
      <w:start w:val="1"/>
    </w:lvl>
  </w:abstractNum>
  <w:abstractNum w:abstractNumId="102">
    <w:nsid w:val="1849C29B"/>
    <w:multiLevelType w:val="hybridMultilevel"/>
    <w:lvl w:ilvl="0">
      <w:lvlJc w:val="left"/>
      <w:lvlText w:val="%1."/>
      <w:numFmt w:val="decimal"/>
      <w:start w:val="1"/>
    </w:lvl>
  </w:abstractNum>
  <w:abstractNum w:abstractNumId="103">
    <w:nsid w:val="7DFF9D09"/>
    <w:multiLevelType w:val="hybridMultilevel"/>
    <w:lvl w:ilvl="0">
      <w:lvlJc w:val="left"/>
      <w:lvlText w:val="%1."/>
      <w:numFmt w:val="decimal"/>
      <w:start w:val="6"/>
    </w:lvl>
    <w:lvl w:ilvl="1">
      <w:lvlJc w:val="left"/>
      <w:lvlText w:val="(%2)"/>
      <w:numFmt w:val="lowerLetter"/>
      <w:start w:val="26"/>
    </w:lvl>
  </w:abstractNum>
  <w:abstractNum w:abstractNumId="104">
    <w:nsid w:val="754342"/>
    <w:multiLevelType w:val="hybridMultilevel"/>
    <w:lvl w:ilvl="0">
      <w:lvlJc w:val="left"/>
      <w:lvlText w:val="%1."/>
      <w:numFmt w:val="decimal"/>
      <w:start w:val="11"/>
    </w:lvl>
  </w:abstractNum>
  <w:abstractNum w:abstractNumId="105">
    <w:nsid w:val="69E7F3E5"/>
    <w:multiLevelType w:val="hybridMultilevel"/>
    <w:lvl w:ilvl="0">
      <w:lvlJc w:val="left"/>
      <w:lvlText w:val="%1."/>
      <w:numFmt w:val="decimal"/>
      <w:start w:val="17"/>
    </w:lvl>
    <w:lvl w:ilvl="1">
      <w:lvlJc w:val="left"/>
      <w:lvlText w:val="(%2)"/>
      <w:numFmt w:val="lowerLetter"/>
      <w:start w:val="1"/>
    </w:lvl>
  </w:abstractNum>
  <w:abstractNum w:abstractNumId="106">
    <w:nsid w:val="2A6DE806"/>
    <w:multiLevelType w:val="hybridMultilevel"/>
    <w:lvl w:ilvl="0">
      <w:lvlJc w:val="left"/>
      <w:lvlText w:val="(%1)"/>
      <w:numFmt w:val="lowerLetter"/>
      <w:start w:val="26"/>
    </w:lvl>
  </w:abstractNum>
  <w:abstractNum w:abstractNumId="107">
    <w:nsid w:val="1816F8C4"/>
    <w:multiLevelType w:val="hybridMultilevel"/>
    <w:lvl w:ilvl="0">
      <w:lvlJc w:val="left"/>
      <w:lvlText w:val="%1."/>
      <w:numFmt w:val="decimal"/>
      <w:start w:val="20"/>
    </w:lvl>
  </w:abstractNum>
  <w:abstractNum w:abstractNumId="108">
    <w:nsid w:val="37DF2233"/>
    <w:multiLevelType w:val="hybridMultilevel"/>
    <w:lvl w:ilvl="0">
      <w:lvlJc w:val="left"/>
      <w:lvlText w:val="%1."/>
      <w:numFmt w:val="decimal"/>
      <w:start w:val="1"/>
    </w:lvl>
  </w:abstractNum>
  <w:abstractNum w:abstractNumId="109">
    <w:nsid w:val="7AB49DAF"/>
    <w:multiLevelType w:val="hybridMultilevel"/>
    <w:lvl w:ilvl="0">
      <w:lvlJc w:val="left"/>
      <w:lvlText w:val="%1."/>
      <w:numFmt w:val="decimal"/>
      <w:start w:val="5"/>
    </w:lvl>
  </w:abstractNum>
  <w:abstractNum w:abstractNumId="110">
    <w:nsid w:val="759F82CD"/>
    <w:multiLevelType w:val="hybridMultilevel"/>
    <w:lvl w:ilvl="0">
      <w:lvlJc w:val="left"/>
      <w:lvlText w:val="%1."/>
      <w:numFmt w:val="decimal"/>
      <w:start w:val="10"/>
    </w:lvl>
  </w:abstractNum>
  <w:abstractNum w:abstractNumId="111">
    <w:nsid w:val="61E74EA3"/>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12">
    <w:nsid w:val="597B4D84"/>
    <w:multiLevelType w:val="hybridMultilevel"/>
    <w:lvl w:ilvl="0">
      <w:lvlJc w:val="left"/>
      <w:lvlText w:val="(%1)"/>
      <w:numFmt w:val="upperLetter"/>
      <w:start w:val="1"/>
    </w:lvl>
  </w:abstractNum>
  <w:abstractNum w:abstractNumId="113">
    <w:nsid w:val="F819E7F"/>
    <w:multiLevelType w:val="hybridMultilevel"/>
    <w:lvl w:ilvl="0">
      <w:lvlJc w:val="left"/>
      <w:lvlText w:val="%1."/>
      <w:numFmt w:val="decimal"/>
      <w:start w:val="19"/>
    </w:lvl>
  </w:abstractNum>
  <w:abstractNum w:abstractNumId="114">
    <w:nsid w:val="57C7D42D"/>
    <w:multiLevelType w:val="hybridMultilevel"/>
    <w:lvl w:ilvl="0">
      <w:lvlJc w:val="left"/>
      <w:lvlText w:val="%1."/>
      <w:numFmt w:val="decimal"/>
      <w:start w:val="1"/>
    </w:lvl>
  </w:abstractNum>
  <w:abstractNum w:abstractNumId="115">
    <w:nsid w:val="312167AD"/>
    <w:multiLevelType w:val="hybridMultilevel"/>
    <w:lvl w:ilvl="0">
      <w:lvlJc w:val="left"/>
      <w:lvlText w:val="%1."/>
      <w:numFmt w:val="decimal"/>
      <w:start w:val="1"/>
    </w:lvl>
  </w:abstractNum>
  <w:abstractNum w:abstractNumId="116">
    <w:nsid w:val="631B64D4"/>
    <w:multiLevelType w:val="hybridMultilevel"/>
    <w:lvl w:ilvl="0">
      <w:lvlJc w:val="left"/>
      <w:lvlText w:val="%1."/>
      <w:numFmt w:val="decimal"/>
      <w:start w:val="1"/>
    </w:lvl>
  </w:abstractNum>
  <w:abstractNum w:abstractNumId="117">
    <w:nsid w:val="78B5E776"/>
    <w:multiLevelType w:val="hybridMultilevel"/>
    <w:lvl w:ilvl="0">
      <w:lvlJc w:val="left"/>
      <w:lvlText w:val="%1."/>
      <w:numFmt w:val="decimal"/>
      <w:start w:val="2"/>
    </w:lvl>
  </w:abstractNum>
  <w:abstractNum w:abstractNumId="118">
    <w:nsid w:val="75486E47"/>
    <w:multiLevelType w:val="hybridMultilevel"/>
    <w:lvl w:ilvl="0">
      <w:lvlJc w:val="left"/>
      <w:lvlText w:val="%1."/>
      <w:numFmt w:val="decimal"/>
      <w:start w:val="1"/>
    </w:lvl>
  </w:abstractNum>
  <w:abstractNum w:abstractNumId="119">
    <w:nsid w:val="6E534CDE"/>
    <w:multiLevelType w:val="hybridMultilevel"/>
    <w:lvl w:ilvl="0">
      <w:lvlJc w:val="left"/>
      <w:lvlText w:val="%1."/>
      <w:numFmt w:val="decimal"/>
      <w:start w:val="1"/>
    </w:lvl>
  </w:abstractNum>
  <w:abstractNum w:abstractNumId="120">
    <w:nsid w:val="1A0DDE32"/>
    <w:multiLevelType w:val="hybridMultilevel"/>
    <w:lvl w:ilvl="0">
      <w:lvlJc w:val="left"/>
      <w:lvlText w:val="%1."/>
      <w:numFmt w:val="decimal"/>
      <w:start w:val="1"/>
    </w:lvl>
  </w:abstractNum>
  <w:abstractNum w:abstractNumId="121">
    <w:nsid w:val="65968C1C"/>
    <w:multiLevelType w:val="hybridMultilevel"/>
    <w:lvl w:ilvl="0">
      <w:lvlJc w:val="left"/>
      <w:lvlText w:val="%1."/>
      <w:numFmt w:val="decimal"/>
      <w:start w:val="1"/>
    </w:lvl>
  </w:abstractNum>
  <w:abstractNum w:abstractNumId="122">
    <w:nsid w:val="46263DEC"/>
    <w:multiLevelType w:val="hybridMultilevel"/>
    <w:lvl w:ilvl="0">
      <w:lvlJc w:val="left"/>
      <w:lvlText w:val="%1."/>
      <w:numFmt w:val="decimal"/>
      <w:start w:val="1"/>
    </w:lvl>
  </w:abstractNum>
  <w:abstractNum w:abstractNumId="123">
    <w:nsid w:val="260D8C4A"/>
    <w:multiLevelType w:val="hybridMultilevel"/>
    <w:lvl w:ilvl="0">
      <w:lvlJc w:val="left"/>
      <w:lvlText w:val="%1."/>
      <w:numFmt w:val="decimal"/>
      <w:start w:val="1"/>
    </w:lvl>
  </w:abstractNum>
  <w:abstractNum w:abstractNumId="124">
    <w:nsid w:val="73D4D3C4"/>
    <w:multiLevelType w:val="hybridMultilevel"/>
    <w:lvl w:ilvl="0">
      <w:lvlJc w:val="left"/>
      <w:lvlText w:val="%1."/>
      <w:numFmt w:val="decimal"/>
      <w:start w:val="2"/>
    </w:lvl>
  </w:abstractNum>
  <w:abstractNum w:abstractNumId="125">
    <w:nsid w:val="746F2E30"/>
    <w:multiLevelType w:val="hybridMultilevel"/>
    <w:lvl w:ilvl="0">
      <w:lvlJc w:val="left"/>
      <w:lvlText w:val="%1."/>
      <w:numFmt w:val="decimal"/>
      <w:start w:val="1"/>
    </w:lvl>
  </w:abstractNum>
  <w:abstractNum w:abstractNumId="126">
    <w:nsid w:val="6FDE8AF6"/>
    <w:multiLevelType w:val="hybridMultilevel"/>
    <w:lvl w:ilvl="0">
      <w:lvlJc w:val="left"/>
      <w:lvlText w:val="%1."/>
      <w:numFmt w:val="decimal"/>
      <w:start w:val="1"/>
    </w:lvl>
  </w:abstractNum>
  <w:abstractNum w:abstractNumId="127">
    <w:nsid w:val="3FC32E20"/>
    <w:multiLevelType w:val="hybridMultilevel"/>
    <w:lvl w:ilvl="0">
      <w:lvlJc w:val="left"/>
      <w:lvlText w:val="%1."/>
      <w:numFmt w:val="decimal"/>
      <w:start w:val="2"/>
    </w:lvl>
  </w:abstractNum>
  <w:abstractNum w:abstractNumId="128">
    <w:nsid w:val="49C0E823"/>
    <w:multiLevelType w:val="hybridMultilevel"/>
    <w:lvl w:ilvl="0">
      <w:lvlJc w:val="left"/>
      <w:lvlText w:val="%1."/>
      <w:numFmt w:val="decimal"/>
      <w:start w:val="1"/>
    </w:lvl>
  </w:abstractNum>
  <w:abstractNum w:abstractNumId="129">
    <w:nsid w:val="14D53685"/>
    <w:multiLevelType w:val="hybridMultilevel"/>
    <w:lvl w:ilvl="0">
      <w:lvlJc w:val="left"/>
      <w:lvlText w:val="%1."/>
      <w:numFmt w:val="decimal"/>
      <w:start w:val="5"/>
    </w:lvl>
  </w:abstractNum>
  <w:abstractNum w:abstractNumId="130">
    <w:nsid w:val="230F856C"/>
    <w:multiLevelType w:val="hybridMultilevel"/>
    <w:lvl w:ilvl="0">
      <w:lvlJc w:val="left"/>
      <w:lvlText w:val="%1."/>
      <w:numFmt w:val="decimal"/>
      <w:start w:val="9"/>
    </w:lvl>
  </w:abstractNum>
  <w:abstractNum w:abstractNumId="131">
    <w:nsid w:val="6EAA85F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32">
    <w:nsid w:val="3F06ECB2"/>
    <w:multiLevelType w:val="hybridMultilevel"/>
    <w:lvl w:ilvl="0">
      <w:lvlJc w:val="left"/>
      <w:lvlText w:val="%1"/>
      <w:numFmt w:val="decimal"/>
      <w:start w:val="1"/>
    </w:lvl>
    <w:lvl w:ilvl="1">
      <w:lvlJc w:val="left"/>
      <w:lvlText w:val="(%2)"/>
      <w:numFmt w:val="lowerLetter"/>
      <w:start w:val="26"/>
    </w:lvl>
  </w:abstractNum>
  <w:abstractNum w:abstractNumId="133">
    <w:nsid w:val="3B594807"/>
    <w:multiLevelType w:val="hybridMultilevel"/>
    <w:lvl w:ilvl="0">
      <w:lvlJc w:val="left"/>
      <w:lvlText w:val="%1."/>
      <w:numFmt w:val="decimal"/>
      <w:start w:val="19"/>
    </w:lvl>
    <w:lvl w:ilvl="1">
      <w:lvlJc w:val="left"/>
      <w:lvlText w:val="%2"/>
      <w:numFmt w:val="lowerLetter"/>
      <w:start w:val="1"/>
    </w:lvl>
  </w:abstractNum>
  <w:abstractNum w:abstractNumId="134">
    <w:nsid w:val="6CAA2304"/>
    <w:multiLevelType w:val="hybridMultilevel"/>
    <w:lvl w:ilvl="0">
      <w:lvlJc w:val="left"/>
      <w:lvlText w:val="%1."/>
      <w:numFmt w:val="decimal"/>
      <w:start w:val="1"/>
    </w:lvl>
  </w:abstractNum>
  <w:abstractNum w:abstractNumId="135">
    <w:nsid w:val="3F7C2FF4"/>
    <w:multiLevelType w:val="hybridMultilevel"/>
    <w:lvl w:ilvl="0">
      <w:lvlJc w:val="left"/>
      <w:lvlText w:val="%1."/>
      <w:numFmt w:val="decimal"/>
      <w:start w:val="5"/>
    </w:lvl>
  </w:abstractNum>
  <w:abstractNum w:abstractNumId="136">
    <w:nsid w:val="25413BEC"/>
    <w:multiLevelType w:val="hybridMultilevel"/>
    <w:lvl w:ilvl="0">
      <w:lvlJc w:val="left"/>
      <w:lvlText w:val="%1."/>
      <w:numFmt w:val="decimal"/>
      <w:start w:val="9"/>
    </w:lvl>
  </w:abstractNum>
  <w:abstractNum w:abstractNumId="137">
    <w:nsid w:val="17180B0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38">
    <w:nsid w:val="579328B9"/>
    <w:multiLevelType w:val="hybridMultilevel"/>
    <w:lvl w:ilvl="0">
      <w:lvlJc w:val="left"/>
      <w:lvlText w:val="%1."/>
      <w:numFmt w:val="lowerRoman"/>
      <w:start w:val="3"/>
    </w:lvl>
  </w:abstractNum>
  <w:abstractNum w:abstractNumId="139">
    <w:nsid w:val="5D205E20"/>
    <w:multiLevelType w:val="hybridMultilevel"/>
    <w:lvl w:ilvl="0">
      <w:lvlJc w:val="left"/>
      <w:lvlText w:val="(%1)"/>
      <w:numFmt w:val="upperLetter"/>
      <w:start w:val="1"/>
    </w:lvl>
  </w:abstractNum>
  <w:abstractNum w:abstractNumId="140">
    <w:nsid w:val="11CCA8BA"/>
    <w:multiLevelType w:val="hybridMultilevel"/>
    <w:lvl w:ilvl="0">
      <w:lvlJc w:val="left"/>
      <w:lvlText w:val="%1"/>
      <w:numFmt w:val="decimal"/>
      <w:start w:val="1"/>
    </w:lvl>
    <w:lvl w:ilvl="1">
      <w:lvlJc w:val="left"/>
      <w:lvlText w:val="(%2)"/>
      <w:numFmt w:val="lowerLetter"/>
      <w:start w:val="26"/>
    </w:lvl>
  </w:abstractNum>
  <w:abstractNum w:abstractNumId="141">
    <w:nsid w:val="4D32AB86"/>
    <w:multiLevelType w:val="hybridMultilevel"/>
    <w:lvl w:ilvl="0">
      <w:lvlJc w:val="left"/>
      <w:lvlText w:val="%1."/>
      <w:numFmt w:val="decimal"/>
      <w:start w:val="19"/>
    </w:lvl>
    <w:lvl w:ilvl="1">
      <w:lvlJc w:val="left"/>
      <w:lvlText w:val="%2"/>
      <w:numFmt w:val="lowerLetter"/>
      <w:start w:val="1"/>
    </w:lvl>
  </w:abstractNum>
  <w:abstractNum w:abstractNumId="142">
    <w:nsid w:val="3F07ACC3"/>
    <w:multiLevelType w:val="hybridMultilevel"/>
    <w:lvl w:ilvl="0">
      <w:lvlJc w:val="left"/>
      <w:lvlText w:val="%1."/>
      <w:numFmt w:val="decimal"/>
      <w:start w:val="1"/>
    </w:lvl>
  </w:abstractNum>
  <w:abstractNum w:abstractNumId="143">
    <w:nsid w:val="6B47F63E"/>
    <w:multiLevelType w:val="hybridMultilevel"/>
    <w:lvl w:ilvl="0">
      <w:lvlJc w:val="left"/>
      <w:lvlText w:val="%1."/>
      <w:numFmt w:val="decimal"/>
      <w:start w:val="1"/>
    </w:lvl>
  </w:abstractNum>
  <w:abstractNum w:abstractNumId="144">
    <w:nsid w:val="5CB44A05"/>
    <w:multiLevelType w:val="hybridMultilevel"/>
    <w:lvl w:ilvl="0">
      <w:lvlJc w:val="left"/>
      <w:lvlText w:val="%1."/>
      <w:numFmt w:val="decimal"/>
      <w:start w:val="1"/>
    </w:lvl>
  </w:abstractNum>
  <w:abstractNum w:abstractNumId="145">
    <w:nsid w:val="16CF80F1"/>
    <w:multiLevelType w:val="hybridMultilevel"/>
    <w:lvl w:ilvl="0">
      <w:lvlJc w:val="left"/>
      <w:lvlText w:val="%1."/>
      <w:numFmt w:val="decimal"/>
      <w:start w:val="2"/>
    </w:lvl>
  </w:abstractNum>
  <w:abstractNum w:abstractNumId="146">
    <w:nsid w:val="1C695DEC"/>
    <w:multiLevelType w:val="hybridMultilevel"/>
    <w:lvl w:ilvl="0">
      <w:lvlJc w:val="left"/>
      <w:lvlText w:val="%1."/>
      <w:numFmt w:val="decimal"/>
      <w:start w:val="1"/>
    </w:lvl>
  </w:abstractNum>
  <w:abstractNum w:abstractNumId="147">
    <w:nsid w:val="3FCFAED9"/>
    <w:multiLevelType w:val="hybridMultilevel"/>
    <w:lvl w:ilvl="0">
      <w:lvlJc w:val="left"/>
      <w:lvlText w:val="%1."/>
      <w:numFmt w:val="decimal"/>
      <w:start w:val="1"/>
    </w:lvl>
  </w:abstractNum>
  <w:abstractNum w:abstractNumId="148">
    <w:nsid w:val="F856867"/>
    <w:multiLevelType w:val="hybridMultilevel"/>
    <w:lvl w:ilvl="0">
      <w:lvlJc w:val="left"/>
      <w:lvlText w:val="%1."/>
      <w:numFmt w:val="decimal"/>
      <w:start w:val="1"/>
    </w:lvl>
  </w:abstractNum>
  <w:abstractNum w:abstractNumId="149">
    <w:nsid w:val="11B1CC33"/>
    <w:multiLevelType w:val="hybridMultilevel"/>
    <w:lvl w:ilvl="0">
      <w:lvlJc w:val="left"/>
      <w:lvlText w:val="%1."/>
      <w:numFmt w:val="decimal"/>
      <w:start w:val="1"/>
    </w:lvl>
  </w:abstractNum>
  <w:abstractNum w:abstractNumId="150">
    <w:nsid w:val="2E22FBB7"/>
    <w:multiLevelType w:val="hybridMultilevel"/>
    <w:lvl w:ilvl="0">
      <w:lvlJc w:val="left"/>
      <w:lvlText w:val="%1."/>
      <w:numFmt w:val="decimal"/>
      <w:start w:val="1"/>
    </w:lvl>
  </w:abstractNum>
  <w:abstractNum w:abstractNumId="151">
    <w:nsid w:val="29934699"/>
    <w:multiLevelType w:val="hybridMultilevel"/>
    <w:lvl w:ilvl="0">
      <w:lvlJc w:val="left"/>
      <w:lvlText w:val="%1."/>
      <w:numFmt w:val="decimal"/>
      <w:start w:val="1"/>
    </w:lvl>
  </w:abstractNum>
  <w:abstractNum w:abstractNumId="152">
    <w:nsid w:val="77485850"/>
    <w:multiLevelType w:val="hybridMultilevel"/>
    <w:lvl w:ilvl="0">
      <w:lvlJc w:val="left"/>
      <w:lvlText w:val="%1."/>
      <w:numFmt w:val="decimal"/>
      <w:start w:val="2"/>
    </w:lvl>
  </w:abstractNum>
  <w:abstractNum w:abstractNumId="153">
    <w:nsid w:val="744939A3"/>
    <w:multiLevelType w:val="hybridMultilevel"/>
    <w:lvl w:ilvl="0">
      <w:lvlJc w:val="left"/>
      <w:lvlText w:val="%1."/>
      <w:numFmt w:val="decimal"/>
      <w:start w:val="1"/>
    </w:lvl>
  </w:abstractNum>
  <w:abstractNum w:abstractNumId="154">
    <w:nsid w:val="4FA0D2E3"/>
    <w:multiLevelType w:val="hybridMultilevel"/>
    <w:lvl w:ilvl="0">
      <w:lvlJc w:val="left"/>
      <w:lvlText w:val="%1."/>
      <w:numFmt w:val="decimal"/>
      <w:start w:val="1"/>
    </w:lvl>
  </w:abstractNum>
  <w:abstractNum w:abstractNumId="155">
    <w:nsid w:val="6B1D2C14"/>
    <w:multiLevelType w:val="hybridMultilevel"/>
    <w:lvl w:ilvl="0">
      <w:lvlJc w:val="left"/>
      <w:lvlText w:val="%1."/>
      <w:numFmt w:val="decimal"/>
      <w:start w:val="2"/>
    </w:lvl>
  </w:abstractNum>
  <w:abstractNum w:abstractNumId="156">
    <w:nsid w:val="68B867D3"/>
    <w:multiLevelType w:val="hybridMultilevel"/>
    <w:lvl w:ilvl="0">
      <w:lvlJc w:val="left"/>
      <w:lvlText w:val="•"/>
      <w:numFmt w:val="bullet"/>
      <w:start w:val="1"/>
    </w:lvl>
  </w:abstractNum>
  <w:abstractNum w:abstractNumId="157">
    <w:nsid w:val="3F7F5DD9"/>
    <w:multiLevelType w:val="hybridMultilevel"/>
    <w:lvl w:ilvl="0">
      <w:lvlJc w:val="left"/>
      <w:lvlText w:val="(%1)"/>
      <w:numFmt w:val="lowerRoman"/>
      <w:start w:val="1"/>
    </w:lvl>
  </w:abstractNum>
  <w:abstractNum w:abstractNumId="158">
    <w:nsid w:val="2AE05A34"/>
    <w:multiLevelType w:val="hybridMultilevel"/>
    <w:lvl w:ilvl="0">
      <w:lvlJc w:val="left"/>
      <w:lvlText w:val="•"/>
      <w:numFmt w:val="bullet"/>
      <w:start w:val="1"/>
    </w:lvl>
  </w:abstractNum>
  <w:abstractNum w:abstractNumId="159">
    <w:nsid w:val="32794FF7"/>
    <w:multiLevelType w:val="hybridMultilevel"/>
    <w:lvl w:ilvl="0">
      <w:lvlJc w:val="left"/>
      <w:lvlText w:val="•"/>
      <w:numFmt w:val="bullet"/>
      <w:start w:val="1"/>
    </w:lvl>
  </w:abstractNum>
  <w:abstractNum w:abstractNumId="160">
    <w:nsid w:val="5454945E"/>
    <w:multiLevelType w:val="hybridMultilevel"/>
    <w:lvl w:ilvl="0">
      <w:lvlJc w:val="left"/>
      <w:lvlText w:val="•"/>
      <w:numFmt w:val="bullet"/>
      <w:start w:val="1"/>
    </w:lvl>
  </w:abstractNum>
  <w:abstractNum w:abstractNumId="161">
    <w:nsid w:val="4DEFDFA0"/>
    <w:multiLevelType w:val="hybridMultilevel"/>
    <w:lvl w:ilvl="0">
      <w:lvlJc w:val="left"/>
      <w:lvlText w:val="•"/>
      <w:numFmt w:val="bullet"/>
      <w:start w:val="1"/>
    </w:lvl>
  </w:abstractNum>
  <w:abstractNum w:abstractNumId="162">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3">
    <w:nsid w:val="135B8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64">
    <w:nsid w:val="94927A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5">
    <w:nsid w:val="DCDF8F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66">
    <w:nsid w:val="52D7B105"/>
    <w:multiLevelType w:val="hybridMultilevel"/>
    <w:lvl w:ilvl="0">
      <w:lvlJc w:val="left"/>
      <w:lvlText w:val="%1"/>
      <w:numFmt w:val="lowerLetter"/>
      <w:start w:val="1"/>
    </w:lvl>
    <w:lvl w:ilvl="1">
      <w:lvlJc w:val="left"/>
      <w:lvlText w:val="(%2)"/>
      <w:numFmt w:val="lowerLetter"/>
      <w:start w:val="35"/>
    </w:lvl>
  </w:abstractNum>
  <w:abstractNum w:abstractNumId="167">
    <w:nsid w:val="2E8A6394"/>
    <w:multiLevelType w:val="hybridMultilevel"/>
    <w:lvl w:ilvl="0">
      <w:lvlJc w:val="left"/>
      <w:lvlText w:val="(%1)"/>
      <w:numFmt w:val="lowerLetter"/>
      <w:start w:val="2"/>
    </w:lvl>
    <w:lvl w:ilvl="1">
      <w:lvlJc w:val="left"/>
      <w:lvlText w:val="(%2)"/>
      <w:numFmt w:val="lowerLetter"/>
      <w:start w:val="9"/>
    </w:lvl>
  </w:abstractNum>
  <w:abstractNum w:abstractNumId="168">
    <w:nsid w:val="24E60401"/>
    <w:multiLevelType w:val="hybridMultilevel"/>
    <w:lvl w:ilvl="0">
      <w:lvlJc w:val="left"/>
      <w:lvlText w:val="(%1)"/>
      <w:numFmt w:val="lowerRoman"/>
      <w:start w:val="2"/>
    </w:lvl>
  </w:abstractNum>
  <w:abstractNum w:abstractNumId="169">
    <w:nsid w:val="2A6AD9BE"/>
    <w:multiLevelType w:val="hybridMultilevel"/>
    <w:lvl w:ilvl="0">
      <w:lvlJc w:val="left"/>
      <w:lvlText w:val="%1."/>
      <w:numFmt w:val="decimal"/>
      <w:start w:val="1"/>
    </w:lvl>
  </w:abstractNum>
  <w:abstractNum w:abstractNumId="170">
    <w:nsid w:val="BAAC1B4"/>
    <w:multiLevelType w:val="hybridMultilevel"/>
    <w:lvl w:ilvl="0">
      <w:lvlJc w:val="left"/>
      <w:lvlText w:val="%1."/>
      <w:numFmt w:val="decimal"/>
      <w:start w:val="1"/>
    </w:lvl>
    <w:lvl w:ilvl="1">
      <w:lvlJc w:val="left"/>
      <w:lvlText w:val="%2."/>
      <w:numFmt w:val="lowerLetter"/>
      <w:start w:val="1"/>
    </w:lvl>
  </w:abstractNum>
  <w:abstractNum w:abstractNumId="171">
    <w:nsid w:val="36B2ACBC"/>
    <w:multiLevelType w:val="hybridMultilevel"/>
    <w:lvl w:ilvl="0">
      <w:lvlJc w:val="left"/>
      <w:lvlText w:val="%1."/>
      <w:numFmt w:val="decimal"/>
      <w:start w:val="5"/>
    </w:lvl>
    <w:lvl w:ilvl="1">
      <w:lvlJc w:val="left"/>
      <w:lvlText w:val="%2."/>
      <w:numFmt w:val="lowerLetter"/>
      <w:start w:val="1"/>
    </w:lvl>
  </w:abstractNum>
  <w:abstractNum w:abstractNumId="172">
    <w:nsid w:val="779D8544"/>
    <w:multiLevelType w:val="hybridMultilevel"/>
    <w:lvl w:ilvl="0">
      <w:lvlJc w:val="left"/>
      <w:lvlText w:val="%1."/>
      <w:numFmt w:val="decimal"/>
      <w:start w:val="1"/>
    </w:lvl>
    <w:lvl w:ilvl="1">
      <w:lvlJc w:val="left"/>
      <w:lvlText w:val="%2."/>
      <w:numFmt w:val="lowerLetter"/>
      <w:start w:val="1"/>
    </w:lvl>
  </w:abstractNum>
  <w:abstractNum w:abstractNumId="173">
    <w:nsid w:val="4AB26E78"/>
    <w:multiLevelType w:val="hybridMultilevel"/>
    <w:lvl w:ilvl="0">
      <w:lvlJc w:val="left"/>
      <w:lvlText w:val="%1."/>
      <w:numFmt w:val="decimal"/>
      <w:start w:val="5"/>
    </w:lvl>
    <w:lvl w:ilvl="1">
      <w:lvlJc w:val="left"/>
      <w:lvlText w:val="%2."/>
      <w:numFmt w:val="lowerLetter"/>
      <w:start w:val="1"/>
    </w:lvl>
  </w:abstractNum>
  <w:abstractNum w:abstractNumId="174">
    <w:nsid w:val="21FAA2FA"/>
    <w:multiLevelType w:val="hybridMultilevel"/>
    <w:lvl w:ilvl="0">
      <w:lvlJc w:val="left"/>
      <w:lvlText w:val="(%1)"/>
      <w:numFmt w:val="decimal"/>
      <w:start w:val="1"/>
    </w:lvl>
  </w:abstractNum>
  <w:abstractNum w:abstractNumId="175">
    <w:nsid w:val="5451CF49"/>
    <w:multiLevelType w:val="hybridMultilevel"/>
    <w:lvl w:ilvl="0">
      <w:lvlJc w:val="left"/>
      <w:lvlText w:val="•"/>
      <w:numFmt w:val="bullet"/>
      <w:start w:val="1"/>
    </w:lvl>
  </w:abstractNum>
  <w:abstractNum w:abstractNumId="176">
    <w:nsid w:val="6181EF6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110" Type="http://schemas.openxmlformats.org/officeDocument/2006/relationships/image" Target="media/image51.png"/><Relationship Id="rId111" Type="http://schemas.openxmlformats.org/officeDocument/2006/relationships/image" Target="media/image52.png"/><Relationship Id="rId128" Type="http://schemas.openxmlformats.org/officeDocument/2006/relationships/image" Target="media/image53.png"/><Relationship Id="rId129" Type="http://schemas.openxmlformats.org/officeDocument/2006/relationships/image" Target="media/image54.png"/><Relationship Id="rId142" Type="http://schemas.openxmlformats.org/officeDocument/2006/relationships/image" Target="media/image55.png"/><Relationship Id="rId143" Type="http://schemas.openxmlformats.org/officeDocument/2006/relationships/image" Target="media/image56.png"/><Relationship Id="rId155" Type="http://schemas.openxmlformats.org/officeDocument/2006/relationships/image" Target="media/image57.png"/><Relationship Id="rId156" Type="http://schemas.openxmlformats.org/officeDocument/2006/relationships/image" Target="media/image58.png"/><Relationship Id="rId157" Type="http://schemas.openxmlformats.org/officeDocument/2006/relationships/image" Target="media/image59.png"/><Relationship Id="rId158" Type="http://schemas.openxmlformats.org/officeDocument/2006/relationships/image" Target="media/image60.png"/><Relationship Id="rId159" Type="http://schemas.openxmlformats.org/officeDocument/2006/relationships/image" Target="media/image61.png"/><Relationship Id="rId160" Type="http://schemas.openxmlformats.org/officeDocument/2006/relationships/image" Target="media/image62.png"/><Relationship Id="rId161" Type="http://schemas.openxmlformats.org/officeDocument/2006/relationships/image" Target="media/image63.png"/><Relationship Id="rId162" Type="http://schemas.openxmlformats.org/officeDocument/2006/relationships/image" Target="media/image64.png"/><Relationship Id="rId163" Type="http://schemas.openxmlformats.org/officeDocument/2006/relationships/image" Target="media/image65.png"/><Relationship Id="rId164" Type="http://schemas.openxmlformats.org/officeDocument/2006/relationships/image" Target="media/image66.png"/><Relationship Id="rId165" Type="http://schemas.openxmlformats.org/officeDocument/2006/relationships/image" Target="media/image67.png"/><Relationship Id="rId166" Type="http://schemas.openxmlformats.org/officeDocument/2006/relationships/image" Target="media/image68.png"/><Relationship Id="rId167" Type="http://schemas.openxmlformats.org/officeDocument/2006/relationships/image" Target="media/image69.png"/><Relationship Id="rId168" Type="http://schemas.openxmlformats.org/officeDocument/2006/relationships/image" Target="media/image70.png"/><Relationship Id="rId169" Type="http://schemas.openxmlformats.org/officeDocument/2006/relationships/image" Target="media/image71.png"/><Relationship Id="rId170" Type="http://schemas.openxmlformats.org/officeDocument/2006/relationships/image" Target="media/image72.png"/><Relationship Id="rId171" Type="http://schemas.openxmlformats.org/officeDocument/2006/relationships/image" Target="media/image73.png"/><Relationship Id="rId172" Type="http://schemas.openxmlformats.org/officeDocument/2006/relationships/image" Target="media/image74.png"/><Relationship Id="rId173" Type="http://schemas.openxmlformats.org/officeDocument/2006/relationships/image" Target="media/image75.png"/><Relationship Id="rId174" Type="http://schemas.openxmlformats.org/officeDocument/2006/relationships/image" Target="media/image76.png"/><Relationship Id="rId175" Type="http://schemas.openxmlformats.org/officeDocument/2006/relationships/image" Target="media/image77.png"/><Relationship Id="rId176" Type="http://schemas.openxmlformats.org/officeDocument/2006/relationships/image" Target="media/image78.png"/><Relationship Id="rId177" Type="http://schemas.openxmlformats.org/officeDocument/2006/relationships/image" Target="media/image79.png"/><Relationship Id="rId178" Type="http://schemas.openxmlformats.org/officeDocument/2006/relationships/image" Target="media/image80.png"/><Relationship Id="rId179" Type="http://schemas.openxmlformats.org/officeDocument/2006/relationships/image" Target="media/image81.png"/><Relationship Id="rId180" Type="http://schemas.openxmlformats.org/officeDocument/2006/relationships/image" Target="media/image82.png"/><Relationship Id="rId181" Type="http://schemas.openxmlformats.org/officeDocument/2006/relationships/image" Target="media/image83.png"/><Relationship Id="rId182" Type="http://schemas.openxmlformats.org/officeDocument/2006/relationships/image" Target="media/image84.png"/><Relationship Id="rId183" Type="http://schemas.openxmlformats.org/officeDocument/2006/relationships/image" Target="media/image85.png"/><Relationship Id="rId184" Type="http://schemas.openxmlformats.org/officeDocument/2006/relationships/image" Target="media/image86.png"/><Relationship Id="rId185" Type="http://schemas.openxmlformats.org/officeDocument/2006/relationships/image" Target="media/image87.png"/><Relationship Id="rId186" Type="http://schemas.openxmlformats.org/officeDocument/2006/relationships/image" Target="media/image88.png"/><Relationship Id="rId187" Type="http://schemas.openxmlformats.org/officeDocument/2006/relationships/image" Target="media/image89.png"/><Relationship Id="rId188" Type="http://schemas.openxmlformats.org/officeDocument/2006/relationships/image" Target="media/image90.png"/><Relationship Id="rId189" Type="http://schemas.openxmlformats.org/officeDocument/2006/relationships/image" Target="media/image91.png"/><Relationship Id="rId190" Type="http://schemas.openxmlformats.org/officeDocument/2006/relationships/image" Target="media/image92.png"/><Relationship Id="rId191" Type="http://schemas.openxmlformats.org/officeDocument/2006/relationships/image" Target="media/image93.png"/><Relationship Id="rId192" Type="http://schemas.openxmlformats.org/officeDocument/2006/relationships/image" Target="media/image94.png"/><Relationship Id="rId193" Type="http://schemas.openxmlformats.org/officeDocument/2006/relationships/image" Target="media/image95.png"/><Relationship Id="rId194" Type="http://schemas.openxmlformats.org/officeDocument/2006/relationships/image" Target="media/image96.png"/><Relationship Id="rId195" Type="http://schemas.openxmlformats.org/officeDocument/2006/relationships/image" Target="media/image97.png"/><Relationship Id="rId196" Type="http://schemas.openxmlformats.org/officeDocument/2006/relationships/image" Target="media/image98.png"/><Relationship Id="rId197" Type="http://schemas.openxmlformats.org/officeDocument/2006/relationships/image" Target="media/image99.png"/><Relationship Id="rId198" Type="http://schemas.openxmlformats.org/officeDocument/2006/relationships/image" Target="media/image100.png"/><Relationship Id="rId199" Type="http://schemas.openxmlformats.org/officeDocument/2006/relationships/image" Target="media/image101.png"/><Relationship Id="rId200" Type="http://schemas.openxmlformats.org/officeDocument/2006/relationships/image" Target="media/image102.png"/><Relationship Id="rId201" Type="http://schemas.openxmlformats.org/officeDocument/2006/relationships/image" Target="media/image103.png"/><Relationship Id="rId202" Type="http://schemas.openxmlformats.org/officeDocument/2006/relationships/image" Target="media/image104.png"/><Relationship Id="rId203" Type="http://schemas.openxmlformats.org/officeDocument/2006/relationships/image" Target="media/image105.png"/><Relationship Id="rId204" Type="http://schemas.openxmlformats.org/officeDocument/2006/relationships/image" Target="media/image106.png"/><Relationship Id="rId205" Type="http://schemas.openxmlformats.org/officeDocument/2006/relationships/image" Target="media/image107.png"/><Relationship Id="rId206" Type="http://schemas.openxmlformats.org/officeDocument/2006/relationships/image" Target="media/image108.png"/><Relationship Id="rId207" Type="http://schemas.openxmlformats.org/officeDocument/2006/relationships/image" Target="media/image109.png"/><Relationship Id="rId208" Type="http://schemas.openxmlformats.org/officeDocument/2006/relationships/image" Target="media/image110.png"/><Relationship Id="rId209" Type="http://schemas.openxmlformats.org/officeDocument/2006/relationships/image" Target="media/image111.png"/><Relationship Id="rId210" Type="http://schemas.openxmlformats.org/officeDocument/2006/relationships/image" Target="media/image112.png"/><Relationship Id="rId211" Type="http://schemas.openxmlformats.org/officeDocument/2006/relationships/image" Target="media/image113.png"/><Relationship Id="rId212" Type="http://schemas.openxmlformats.org/officeDocument/2006/relationships/image" Target="media/image114.png"/><Relationship Id="rId213" Type="http://schemas.openxmlformats.org/officeDocument/2006/relationships/image" Target="media/image115.png"/><Relationship Id="rId214" Type="http://schemas.openxmlformats.org/officeDocument/2006/relationships/image" Target="media/image116.png"/><Relationship Id="rId215" Type="http://schemas.openxmlformats.org/officeDocument/2006/relationships/image" Target="media/image117.png"/><Relationship Id="rId216" Type="http://schemas.openxmlformats.org/officeDocument/2006/relationships/image" Target="media/image118.png"/><Relationship Id="rId217" Type="http://schemas.openxmlformats.org/officeDocument/2006/relationships/image" Target="media/image119.png"/><Relationship Id="rId218" Type="http://schemas.openxmlformats.org/officeDocument/2006/relationships/image" Target="media/image120.png"/><Relationship Id="rId219" Type="http://schemas.openxmlformats.org/officeDocument/2006/relationships/image" Target="media/image121.png"/><Relationship Id="rId220" Type="http://schemas.openxmlformats.org/officeDocument/2006/relationships/image" Target="media/image122.png"/><Relationship Id="rId221" Type="http://schemas.openxmlformats.org/officeDocument/2006/relationships/image" Target="media/image123.png"/><Relationship Id="rId222" Type="http://schemas.openxmlformats.org/officeDocument/2006/relationships/image" Target="media/image124.png"/><Relationship Id="rId223" Type="http://schemas.openxmlformats.org/officeDocument/2006/relationships/image" Target="media/image125.png"/><Relationship Id="rId224" Type="http://schemas.openxmlformats.org/officeDocument/2006/relationships/image" Target="media/image126.png"/><Relationship Id="rId225" Type="http://schemas.openxmlformats.org/officeDocument/2006/relationships/image" Target="media/image127.png"/><Relationship Id="rId226" Type="http://schemas.openxmlformats.org/officeDocument/2006/relationships/image" Target="media/image128.png"/><Relationship Id="rId227" Type="http://schemas.openxmlformats.org/officeDocument/2006/relationships/image" Target="media/image129.png"/><Relationship Id="rId228" Type="http://schemas.openxmlformats.org/officeDocument/2006/relationships/image" Target="media/image130.png"/><Relationship Id="rId229" Type="http://schemas.openxmlformats.org/officeDocument/2006/relationships/image" Target="media/image131.png"/><Relationship Id="rId230" Type="http://schemas.openxmlformats.org/officeDocument/2006/relationships/image" Target="media/image132.png"/><Relationship Id="rId231" Type="http://schemas.openxmlformats.org/officeDocument/2006/relationships/image" Target="media/image133.png"/><Relationship Id="rId232" Type="http://schemas.openxmlformats.org/officeDocument/2006/relationships/image" Target="media/image134.png"/><Relationship Id="rId233" Type="http://schemas.openxmlformats.org/officeDocument/2006/relationships/image" Target="media/image135.png"/><Relationship Id="rId234" Type="http://schemas.openxmlformats.org/officeDocument/2006/relationships/image" Target="media/image136.png"/><Relationship Id="rId235" Type="http://schemas.openxmlformats.org/officeDocument/2006/relationships/image" Target="media/image137.png"/><Relationship Id="rId236" Type="http://schemas.openxmlformats.org/officeDocument/2006/relationships/image" Target="media/image138.png"/><Relationship Id="rId237" Type="http://schemas.openxmlformats.org/officeDocument/2006/relationships/image" Target="media/image139.png"/><Relationship Id="rId238" Type="http://schemas.openxmlformats.org/officeDocument/2006/relationships/image" Target="media/image140.png"/><Relationship Id="rId239" Type="http://schemas.openxmlformats.org/officeDocument/2006/relationships/image" Target="media/image141.png"/><Relationship Id="rId240" Type="http://schemas.openxmlformats.org/officeDocument/2006/relationships/image" Target="media/image142.png"/><Relationship Id="rId241" Type="http://schemas.openxmlformats.org/officeDocument/2006/relationships/image" Target="media/image143.png"/><Relationship Id="rId242" Type="http://schemas.openxmlformats.org/officeDocument/2006/relationships/image" Target="media/image144.png"/><Relationship Id="rId243" Type="http://schemas.openxmlformats.org/officeDocument/2006/relationships/image" Target="media/image145.png"/><Relationship Id="rId244" Type="http://schemas.openxmlformats.org/officeDocument/2006/relationships/image" Target="media/image146.png"/><Relationship Id="rId245" Type="http://schemas.openxmlformats.org/officeDocument/2006/relationships/image" Target="media/image147.png"/><Relationship Id="rId246" Type="http://schemas.openxmlformats.org/officeDocument/2006/relationships/image" Target="media/image148.png"/><Relationship Id="rId247" Type="http://schemas.openxmlformats.org/officeDocument/2006/relationships/image" Target="media/image149.png"/><Relationship Id="rId248" Type="http://schemas.openxmlformats.org/officeDocument/2006/relationships/image" Target="media/image150.png"/><Relationship Id="rId249" Type="http://schemas.openxmlformats.org/officeDocument/2006/relationships/image" Target="media/image151.png"/><Relationship Id="rId250" Type="http://schemas.openxmlformats.org/officeDocument/2006/relationships/image" Target="media/image152.png"/><Relationship Id="rId251" Type="http://schemas.openxmlformats.org/officeDocument/2006/relationships/image" Target="media/image153.png"/><Relationship Id="rId252" Type="http://schemas.openxmlformats.org/officeDocument/2006/relationships/image" Target="media/image154.png"/><Relationship Id="rId253" Type="http://schemas.openxmlformats.org/officeDocument/2006/relationships/image" Target="media/image155.png"/><Relationship Id="rId254" Type="http://schemas.openxmlformats.org/officeDocument/2006/relationships/image" Target="media/image156.png"/><Relationship Id="rId255" Type="http://schemas.openxmlformats.org/officeDocument/2006/relationships/image" Target="media/image157.png"/><Relationship Id="rId256" Type="http://schemas.openxmlformats.org/officeDocument/2006/relationships/image" Target="media/image158.png"/><Relationship Id="rId257" Type="http://schemas.openxmlformats.org/officeDocument/2006/relationships/image" Target="media/image159.png"/><Relationship Id="rId258" Type="http://schemas.openxmlformats.org/officeDocument/2006/relationships/image" Target="media/image160.png"/><Relationship Id="rId259" Type="http://schemas.openxmlformats.org/officeDocument/2006/relationships/image" Target="media/image161.png"/><Relationship Id="rId260" Type="http://schemas.openxmlformats.org/officeDocument/2006/relationships/image" Target="media/image162.png"/><Relationship Id="rId261" Type="http://schemas.openxmlformats.org/officeDocument/2006/relationships/image" Target="media/image163.png"/><Relationship Id="rId262" Type="http://schemas.openxmlformats.org/officeDocument/2006/relationships/image" Target="media/image164.png"/><Relationship Id="rId263" Type="http://schemas.openxmlformats.org/officeDocument/2006/relationships/image" Target="media/image165.png"/><Relationship Id="rId264" Type="http://schemas.openxmlformats.org/officeDocument/2006/relationships/image" Target="media/image166.png"/><Relationship Id="rId265" Type="http://schemas.openxmlformats.org/officeDocument/2006/relationships/image" Target="media/image167.png"/><Relationship Id="rId266" Type="http://schemas.openxmlformats.org/officeDocument/2006/relationships/image" Target="media/image168.png"/><Relationship Id="rId267" Type="http://schemas.openxmlformats.org/officeDocument/2006/relationships/image" Target="media/image169.png"/><Relationship Id="rId268" Type="http://schemas.openxmlformats.org/officeDocument/2006/relationships/image" Target="media/image170.png"/><Relationship Id="rId269" Type="http://schemas.openxmlformats.org/officeDocument/2006/relationships/image" Target="media/image171.png"/><Relationship Id="rId270" Type="http://schemas.openxmlformats.org/officeDocument/2006/relationships/image" Target="media/image172.png"/><Relationship Id="rId271" Type="http://schemas.openxmlformats.org/officeDocument/2006/relationships/image" Target="media/image173.png"/><Relationship Id="rId272" Type="http://schemas.openxmlformats.org/officeDocument/2006/relationships/image" Target="media/image174.png"/><Relationship Id="rId273" Type="http://schemas.openxmlformats.org/officeDocument/2006/relationships/image" Target="media/image175.png"/><Relationship Id="rId274" Type="http://schemas.openxmlformats.org/officeDocument/2006/relationships/image" Target="media/image176.png"/><Relationship Id="rId275" Type="http://schemas.openxmlformats.org/officeDocument/2006/relationships/image" Target="media/image177.png"/><Relationship Id="rId276" Type="http://schemas.openxmlformats.org/officeDocument/2006/relationships/image" Target="media/image178.png"/><Relationship Id="rId277" Type="http://schemas.openxmlformats.org/officeDocument/2006/relationships/image" Target="media/image179.png"/><Relationship Id="rId278" Type="http://schemas.openxmlformats.org/officeDocument/2006/relationships/image" Target="media/image180.png"/><Relationship Id="rId279" Type="http://schemas.openxmlformats.org/officeDocument/2006/relationships/image" Target="media/image181.png"/><Relationship Id="rId280" Type="http://schemas.openxmlformats.org/officeDocument/2006/relationships/image" Target="media/image182.png"/><Relationship Id="rId281" Type="http://schemas.openxmlformats.org/officeDocument/2006/relationships/image" Target="media/image183.png"/><Relationship Id="rId282" Type="http://schemas.openxmlformats.org/officeDocument/2006/relationships/image" Target="media/image184.png"/><Relationship Id="rId283" Type="http://schemas.openxmlformats.org/officeDocument/2006/relationships/image" Target="media/image185.png"/><Relationship Id="rId284" Type="http://schemas.openxmlformats.org/officeDocument/2006/relationships/image" Target="media/image186.png"/><Relationship Id="rId285" Type="http://schemas.openxmlformats.org/officeDocument/2006/relationships/image" Target="media/image187.png"/><Relationship Id="rId286" Type="http://schemas.openxmlformats.org/officeDocument/2006/relationships/image" Target="media/image188.png"/><Relationship Id="rId287" Type="http://schemas.openxmlformats.org/officeDocument/2006/relationships/image" Target="media/image189.png"/><Relationship Id="rId288" Type="http://schemas.openxmlformats.org/officeDocument/2006/relationships/image" Target="media/image190.png"/><Relationship Id="rId289" Type="http://schemas.openxmlformats.org/officeDocument/2006/relationships/image" Target="media/image191.png"/><Relationship Id="rId290" Type="http://schemas.openxmlformats.org/officeDocument/2006/relationships/image" Target="media/image192.png"/><Relationship Id="rId291" Type="http://schemas.openxmlformats.org/officeDocument/2006/relationships/image" Target="media/image193.png"/><Relationship Id="rId292" Type="http://schemas.openxmlformats.org/officeDocument/2006/relationships/image" Target="media/image194.png"/><Relationship Id="rId293" Type="http://schemas.openxmlformats.org/officeDocument/2006/relationships/image" Target="media/image195.png"/><Relationship Id="rId294" Type="http://schemas.openxmlformats.org/officeDocument/2006/relationships/image" Target="media/image196.png"/><Relationship Id="rId295" Type="http://schemas.openxmlformats.org/officeDocument/2006/relationships/image" Target="media/image197.png"/><Relationship Id="rId296" Type="http://schemas.openxmlformats.org/officeDocument/2006/relationships/image" Target="media/image198.png"/><Relationship Id="rId297" Type="http://schemas.openxmlformats.org/officeDocument/2006/relationships/image" Target="media/image199.png"/><Relationship Id="rId298" Type="http://schemas.openxmlformats.org/officeDocument/2006/relationships/image" Target="media/image200.png"/><Relationship Id="rId299" Type="http://schemas.openxmlformats.org/officeDocument/2006/relationships/image" Target="media/image201.png"/><Relationship Id="rId300" Type="http://schemas.openxmlformats.org/officeDocument/2006/relationships/image" Target="media/image202.png"/><Relationship Id="rId301" Type="http://schemas.openxmlformats.org/officeDocument/2006/relationships/image" Target="media/image203.png"/><Relationship Id="rId302" Type="http://schemas.openxmlformats.org/officeDocument/2006/relationships/image" Target="media/image204.png"/><Relationship Id="rId303" Type="http://schemas.openxmlformats.org/officeDocument/2006/relationships/image" Target="media/image205.png"/><Relationship Id="rId304" Type="http://schemas.openxmlformats.org/officeDocument/2006/relationships/image" Target="media/image206.png"/><Relationship Id="rId305" Type="http://schemas.openxmlformats.org/officeDocument/2006/relationships/image" Target="media/image207.png"/><Relationship Id="rId306" Type="http://schemas.openxmlformats.org/officeDocument/2006/relationships/image" Target="media/image208.png"/><Relationship Id="rId307" Type="http://schemas.openxmlformats.org/officeDocument/2006/relationships/image" Target="media/image209.png"/><Relationship Id="rId308" Type="http://schemas.openxmlformats.org/officeDocument/2006/relationships/image" Target="media/image210.png"/><Relationship Id="rId309" Type="http://schemas.openxmlformats.org/officeDocument/2006/relationships/image" Target="media/image211.png"/><Relationship Id="rId310" Type="http://schemas.openxmlformats.org/officeDocument/2006/relationships/image" Target="media/image212.png"/><Relationship Id="rId311" Type="http://schemas.openxmlformats.org/officeDocument/2006/relationships/image" Target="media/image213.png"/><Relationship Id="rId312" Type="http://schemas.openxmlformats.org/officeDocument/2006/relationships/image" Target="media/image214.png"/><Relationship Id="rId313" Type="http://schemas.openxmlformats.org/officeDocument/2006/relationships/image" Target="media/image215.png"/><Relationship Id="rId314" Type="http://schemas.openxmlformats.org/officeDocument/2006/relationships/image" Target="media/image216.png"/><Relationship Id="rId315" Type="http://schemas.openxmlformats.org/officeDocument/2006/relationships/image" Target="media/image217.png"/><Relationship Id="rId316" Type="http://schemas.openxmlformats.org/officeDocument/2006/relationships/image" Target="media/image218.png"/><Relationship Id="rId317" Type="http://schemas.openxmlformats.org/officeDocument/2006/relationships/image" Target="media/image219.png"/><Relationship Id="rId318" Type="http://schemas.openxmlformats.org/officeDocument/2006/relationships/image" Target="media/image220.png"/><Relationship Id="rId319" Type="http://schemas.openxmlformats.org/officeDocument/2006/relationships/image" Target="media/image221.png"/><Relationship Id="rId320" Type="http://schemas.openxmlformats.org/officeDocument/2006/relationships/image" Target="media/image222.png"/><Relationship Id="rId321" Type="http://schemas.openxmlformats.org/officeDocument/2006/relationships/image" Target="media/image223.png"/><Relationship Id="rId322" Type="http://schemas.openxmlformats.org/officeDocument/2006/relationships/image" Target="media/image224.png"/><Relationship Id="rId323" Type="http://schemas.openxmlformats.org/officeDocument/2006/relationships/image" Target="media/image225.png"/><Relationship Id="rId324" Type="http://schemas.openxmlformats.org/officeDocument/2006/relationships/image" Target="media/image226.png"/><Relationship Id="rId325" Type="http://schemas.openxmlformats.org/officeDocument/2006/relationships/image" Target="media/image227.png"/><Relationship Id="rId326" Type="http://schemas.openxmlformats.org/officeDocument/2006/relationships/image" Target="media/image228.png"/><Relationship Id="rId327" Type="http://schemas.openxmlformats.org/officeDocument/2006/relationships/image" Target="media/image229.png"/><Relationship Id="rId328" Type="http://schemas.openxmlformats.org/officeDocument/2006/relationships/image" Target="media/image230.png"/><Relationship Id="rId329" Type="http://schemas.openxmlformats.org/officeDocument/2006/relationships/image" Target="media/image231.png"/><Relationship Id="rId330" Type="http://schemas.openxmlformats.org/officeDocument/2006/relationships/image" Target="media/image232.png"/><Relationship Id="rId331" Type="http://schemas.openxmlformats.org/officeDocument/2006/relationships/image" Target="media/image233.png"/><Relationship Id="rId332" Type="http://schemas.openxmlformats.org/officeDocument/2006/relationships/image" Target="media/image234.png"/><Relationship Id="rId333" Type="http://schemas.openxmlformats.org/officeDocument/2006/relationships/image" Target="media/image235.png"/><Relationship Id="rId334" Type="http://schemas.openxmlformats.org/officeDocument/2006/relationships/image" Target="media/image236.png"/><Relationship Id="rId335" Type="http://schemas.openxmlformats.org/officeDocument/2006/relationships/image" Target="media/image237.png"/><Relationship Id="rId336" Type="http://schemas.openxmlformats.org/officeDocument/2006/relationships/image" Target="media/image238.png"/><Relationship Id="rId337" Type="http://schemas.openxmlformats.org/officeDocument/2006/relationships/image" Target="media/image239.png"/><Relationship Id="rId338" Type="http://schemas.openxmlformats.org/officeDocument/2006/relationships/image" Target="media/image240.png"/><Relationship Id="rId339" Type="http://schemas.openxmlformats.org/officeDocument/2006/relationships/image" Target="media/image241.png"/><Relationship Id="rId340" Type="http://schemas.openxmlformats.org/officeDocument/2006/relationships/image" Target="media/image242.png"/><Relationship Id="rId341" Type="http://schemas.openxmlformats.org/officeDocument/2006/relationships/image" Target="media/image243.png"/><Relationship Id="rId342" Type="http://schemas.openxmlformats.org/officeDocument/2006/relationships/image" Target="media/image244.png"/><Relationship Id="rId343" Type="http://schemas.openxmlformats.org/officeDocument/2006/relationships/image" Target="media/image245.png"/><Relationship Id="rId344" Type="http://schemas.openxmlformats.org/officeDocument/2006/relationships/image" Target="media/image246.png"/><Relationship Id="rId345" Type="http://schemas.openxmlformats.org/officeDocument/2006/relationships/image" Target="media/image247.png"/><Relationship Id="rId346" Type="http://schemas.openxmlformats.org/officeDocument/2006/relationships/image" Target="media/image248.png"/><Relationship Id="rId347" Type="http://schemas.openxmlformats.org/officeDocument/2006/relationships/image" Target="media/image249.png"/><Relationship Id="rId348" Type="http://schemas.openxmlformats.org/officeDocument/2006/relationships/image" Target="media/image250.png"/><Relationship Id="rId349" Type="http://schemas.openxmlformats.org/officeDocument/2006/relationships/image" Target="media/image251.png"/><Relationship Id="rId350" Type="http://schemas.openxmlformats.org/officeDocument/2006/relationships/image" Target="media/image252.png"/><Relationship Id="rId351" Type="http://schemas.openxmlformats.org/officeDocument/2006/relationships/image" Target="media/image253.png"/><Relationship Id="rId352" Type="http://schemas.openxmlformats.org/officeDocument/2006/relationships/image" Target="media/image254.png"/><Relationship Id="rId353" Type="http://schemas.openxmlformats.org/officeDocument/2006/relationships/image" Target="media/image255.png"/><Relationship Id="rId354" Type="http://schemas.openxmlformats.org/officeDocument/2006/relationships/image" Target="media/image256.png"/><Relationship Id="rId355" Type="http://schemas.openxmlformats.org/officeDocument/2006/relationships/image" Target="media/image257.png"/><Relationship Id="rId356" Type="http://schemas.openxmlformats.org/officeDocument/2006/relationships/image" Target="media/image258.png"/><Relationship Id="rId357" Type="http://schemas.openxmlformats.org/officeDocument/2006/relationships/image" Target="media/image259.png"/><Relationship Id="rId358" Type="http://schemas.openxmlformats.org/officeDocument/2006/relationships/image" Target="media/image260.png"/><Relationship Id="rId359" Type="http://schemas.openxmlformats.org/officeDocument/2006/relationships/image" Target="media/image261.png"/><Relationship Id="rId360" Type="http://schemas.openxmlformats.org/officeDocument/2006/relationships/image" Target="media/image262.png"/><Relationship Id="rId361" Type="http://schemas.openxmlformats.org/officeDocument/2006/relationships/image" Target="media/image263.png"/><Relationship Id="rId362" Type="http://schemas.openxmlformats.org/officeDocument/2006/relationships/image" Target="media/image264.png"/><Relationship Id="rId363" Type="http://schemas.openxmlformats.org/officeDocument/2006/relationships/image" Target="media/image265.png"/><Relationship Id="rId364" Type="http://schemas.openxmlformats.org/officeDocument/2006/relationships/image" Target="media/image266.png"/><Relationship Id="rId365" Type="http://schemas.openxmlformats.org/officeDocument/2006/relationships/image" Target="media/image267.png"/><Relationship Id="rId366" Type="http://schemas.openxmlformats.org/officeDocument/2006/relationships/image" Target="media/image268.png"/><Relationship Id="rId367" Type="http://schemas.openxmlformats.org/officeDocument/2006/relationships/image" Target="media/image269.png"/><Relationship Id="rId368" Type="http://schemas.openxmlformats.org/officeDocument/2006/relationships/image" Target="media/image270.png"/><Relationship Id="rId369" Type="http://schemas.openxmlformats.org/officeDocument/2006/relationships/image" Target="media/image271.png"/><Relationship Id="rId370" Type="http://schemas.openxmlformats.org/officeDocument/2006/relationships/image" Target="media/image272.png"/><Relationship Id="rId371" Type="http://schemas.openxmlformats.org/officeDocument/2006/relationships/image" Target="media/image273.png"/><Relationship Id="rId372" Type="http://schemas.openxmlformats.org/officeDocument/2006/relationships/image" Target="media/image274.png"/><Relationship Id="rId373" Type="http://schemas.openxmlformats.org/officeDocument/2006/relationships/image" Target="media/image275.png"/><Relationship Id="rId374" Type="http://schemas.openxmlformats.org/officeDocument/2006/relationships/image" Target="media/image276.png"/><Relationship Id="rId375" Type="http://schemas.openxmlformats.org/officeDocument/2006/relationships/image" Target="media/image277.png"/><Relationship Id="rId376" Type="http://schemas.openxmlformats.org/officeDocument/2006/relationships/image" Target="media/image278.png"/><Relationship Id="rId377" Type="http://schemas.openxmlformats.org/officeDocument/2006/relationships/image" Target="media/image279.png"/><Relationship Id="rId378" Type="http://schemas.openxmlformats.org/officeDocument/2006/relationships/image" Target="media/image280.png"/><Relationship Id="rId379" Type="http://schemas.openxmlformats.org/officeDocument/2006/relationships/image" Target="media/image281.png"/><Relationship Id="rId380" Type="http://schemas.openxmlformats.org/officeDocument/2006/relationships/image" Target="media/image282.png"/><Relationship Id="rId381" Type="http://schemas.openxmlformats.org/officeDocument/2006/relationships/image" Target="media/image283.png"/><Relationship Id="rId382" Type="http://schemas.openxmlformats.org/officeDocument/2006/relationships/image" Target="media/image284.png"/><Relationship Id="rId383" Type="http://schemas.openxmlformats.org/officeDocument/2006/relationships/image" Target="media/image285.png"/><Relationship Id="rId384" Type="http://schemas.openxmlformats.org/officeDocument/2006/relationships/image" Target="media/image286.png"/><Relationship Id="rId385" Type="http://schemas.openxmlformats.org/officeDocument/2006/relationships/image" Target="media/image287.png"/><Relationship Id="rId386" Type="http://schemas.openxmlformats.org/officeDocument/2006/relationships/image" Target="media/image288.png"/><Relationship Id="rId387" Type="http://schemas.openxmlformats.org/officeDocument/2006/relationships/image" Target="media/image289.png"/><Relationship Id="rId388" Type="http://schemas.openxmlformats.org/officeDocument/2006/relationships/image" Target="media/image290.png"/><Relationship Id="rId389" Type="http://schemas.openxmlformats.org/officeDocument/2006/relationships/image" Target="media/image291.png"/><Relationship Id="rId390" Type="http://schemas.openxmlformats.org/officeDocument/2006/relationships/image" Target="media/image292.png"/><Relationship Id="rId391" Type="http://schemas.openxmlformats.org/officeDocument/2006/relationships/image" Target="media/image293.png"/><Relationship Id="rId392" Type="http://schemas.openxmlformats.org/officeDocument/2006/relationships/image" Target="media/image294.png"/><Relationship Id="rId393" Type="http://schemas.openxmlformats.org/officeDocument/2006/relationships/image" Target="media/image295.png"/><Relationship Id="rId394" Type="http://schemas.openxmlformats.org/officeDocument/2006/relationships/image" Target="media/image296.png"/><Relationship Id="rId395" Type="http://schemas.openxmlformats.org/officeDocument/2006/relationships/image" Target="media/image297.png"/><Relationship Id="rId396" Type="http://schemas.openxmlformats.org/officeDocument/2006/relationships/image" Target="media/image298.png"/><Relationship Id="rId397" Type="http://schemas.openxmlformats.org/officeDocument/2006/relationships/image" Target="media/image299.png"/><Relationship Id="rId398" Type="http://schemas.openxmlformats.org/officeDocument/2006/relationships/image" Target="media/image300.png"/><Relationship Id="rId399" Type="http://schemas.openxmlformats.org/officeDocument/2006/relationships/image" Target="media/image301.png"/><Relationship Id="rId400" Type="http://schemas.openxmlformats.org/officeDocument/2006/relationships/image" Target="media/image302.png"/><Relationship Id="rId401" Type="http://schemas.openxmlformats.org/officeDocument/2006/relationships/image" Target="media/image303.png"/><Relationship Id="rId402" Type="http://schemas.openxmlformats.org/officeDocument/2006/relationships/image" Target="media/image304.png"/><Relationship Id="rId403" Type="http://schemas.openxmlformats.org/officeDocument/2006/relationships/image" Target="media/image305.png"/><Relationship Id="rId404" Type="http://schemas.openxmlformats.org/officeDocument/2006/relationships/image" Target="media/image306.png"/><Relationship Id="rId405" Type="http://schemas.openxmlformats.org/officeDocument/2006/relationships/image" Target="media/image307.png"/><Relationship Id="rId406" Type="http://schemas.openxmlformats.org/officeDocument/2006/relationships/image" Target="media/image308.png"/><Relationship Id="rId407" Type="http://schemas.openxmlformats.org/officeDocument/2006/relationships/image" Target="media/image309.png"/><Relationship Id="rId408" Type="http://schemas.openxmlformats.org/officeDocument/2006/relationships/image" Target="media/image310.png"/><Relationship Id="rId409" Type="http://schemas.openxmlformats.org/officeDocument/2006/relationships/image" Target="media/image311.png"/><Relationship Id="rId410" Type="http://schemas.openxmlformats.org/officeDocument/2006/relationships/image" Target="media/image312.png"/><Relationship Id="rId411" Type="http://schemas.openxmlformats.org/officeDocument/2006/relationships/image" Target="media/image313.png"/><Relationship Id="rId412" Type="http://schemas.openxmlformats.org/officeDocument/2006/relationships/image" Target="media/image314.png"/><Relationship Id="rId413" Type="http://schemas.openxmlformats.org/officeDocument/2006/relationships/image" Target="media/image315.png"/><Relationship Id="rId414" Type="http://schemas.openxmlformats.org/officeDocument/2006/relationships/image" Target="media/image316.png"/><Relationship Id="rId415" Type="http://schemas.openxmlformats.org/officeDocument/2006/relationships/image" Target="media/image317.png"/><Relationship Id="rId416" Type="http://schemas.openxmlformats.org/officeDocument/2006/relationships/image" Target="media/image318.png"/><Relationship Id="rId417" Type="http://schemas.openxmlformats.org/officeDocument/2006/relationships/image" Target="media/image319.png"/><Relationship Id="rId418" Type="http://schemas.openxmlformats.org/officeDocument/2006/relationships/image" Target="media/image320.png"/><Relationship Id="rId419" Type="http://schemas.openxmlformats.org/officeDocument/2006/relationships/image" Target="media/image321.png"/><Relationship Id="rId420" Type="http://schemas.openxmlformats.org/officeDocument/2006/relationships/image" Target="media/image322.png"/><Relationship Id="rId421" Type="http://schemas.openxmlformats.org/officeDocument/2006/relationships/image" Target="media/image323.png"/><Relationship Id="rId422" Type="http://schemas.openxmlformats.org/officeDocument/2006/relationships/image" Target="media/image324.png"/><Relationship Id="rId423" Type="http://schemas.openxmlformats.org/officeDocument/2006/relationships/image" Target="media/image325.png"/><Relationship Id="rId424" Type="http://schemas.openxmlformats.org/officeDocument/2006/relationships/image" Target="media/image326.png"/><Relationship Id="rId425" Type="http://schemas.openxmlformats.org/officeDocument/2006/relationships/image" Target="media/image327.png"/><Relationship Id="rId426" Type="http://schemas.openxmlformats.org/officeDocument/2006/relationships/image" Target="media/image328.png"/><Relationship Id="rId427" Type="http://schemas.openxmlformats.org/officeDocument/2006/relationships/image" Target="media/image329.png"/><Relationship Id="rId428" Type="http://schemas.openxmlformats.org/officeDocument/2006/relationships/image" Target="media/image330.png"/><Relationship Id="rId429" Type="http://schemas.openxmlformats.org/officeDocument/2006/relationships/image" Target="media/image331.png"/><Relationship Id="rId430" Type="http://schemas.openxmlformats.org/officeDocument/2006/relationships/image" Target="media/image332.png"/><Relationship Id="rId431" Type="http://schemas.openxmlformats.org/officeDocument/2006/relationships/image" Target="media/image333.png"/><Relationship Id="rId432" Type="http://schemas.openxmlformats.org/officeDocument/2006/relationships/image" Target="media/image334.png"/><Relationship Id="rId433" Type="http://schemas.openxmlformats.org/officeDocument/2006/relationships/image" Target="media/image335.png"/><Relationship Id="rId434" Type="http://schemas.openxmlformats.org/officeDocument/2006/relationships/image" Target="media/image336.png"/><Relationship Id="rId435" Type="http://schemas.openxmlformats.org/officeDocument/2006/relationships/image" Target="media/image337.png"/><Relationship Id="rId436" Type="http://schemas.openxmlformats.org/officeDocument/2006/relationships/image" Target="media/image338.png"/><Relationship Id="rId437" Type="http://schemas.openxmlformats.org/officeDocument/2006/relationships/image" Target="media/image339.png"/><Relationship Id="rId438" Type="http://schemas.openxmlformats.org/officeDocument/2006/relationships/image" Target="media/image340.png"/><Relationship Id="rId439" Type="http://schemas.openxmlformats.org/officeDocument/2006/relationships/image" Target="media/image341.png"/><Relationship Id="rId440" Type="http://schemas.openxmlformats.org/officeDocument/2006/relationships/image" Target="media/image342.png"/><Relationship Id="rId441" Type="http://schemas.openxmlformats.org/officeDocument/2006/relationships/image" Target="media/image343.png"/><Relationship Id="rId442" Type="http://schemas.openxmlformats.org/officeDocument/2006/relationships/image" Target="media/image344.png"/><Relationship Id="rId443" Type="http://schemas.openxmlformats.org/officeDocument/2006/relationships/image" Target="media/image345.png"/><Relationship Id="rId444" Type="http://schemas.openxmlformats.org/officeDocument/2006/relationships/image" Target="media/image346.png"/><Relationship Id="rId445" Type="http://schemas.openxmlformats.org/officeDocument/2006/relationships/image" Target="media/image347.png"/><Relationship Id="rId446" Type="http://schemas.openxmlformats.org/officeDocument/2006/relationships/image" Target="media/image348.png"/><Relationship Id="rId447" Type="http://schemas.openxmlformats.org/officeDocument/2006/relationships/image" Target="media/image349.png"/><Relationship Id="rId448" Type="http://schemas.openxmlformats.org/officeDocument/2006/relationships/image" Target="media/image350.png"/><Relationship Id="rId449" Type="http://schemas.openxmlformats.org/officeDocument/2006/relationships/image" Target="media/image351.png"/><Relationship Id="rId450" Type="http://schemas.openxmlformats.org/officeDocument/2006/relationships/image" Target="media/image352.png"/><Relationship Id="rId451" Type="http://schemas.openxmlformats.org/officeDocument/2006/relationships/image" Target="media/image353.png"/><Relationship Id="rId452" Type="http://schemas.openxmlformats.org/officeDocument/2006/relationships/image" Target="media/image354.png"/><Relationship Id="rId453" Type="http://schemas.openxmlformats.org/officeDocument/2006/relationships/image" Target="media/image355.png"/><Relationship Id="rId454" Type="http://schemas.openxmlformats.org/officeDocument/2006/relationships/image" Target="media/image356.png"/><Relationship Id="rId455" Type="http://schemas.openxmlformats.org/officeDocument/2006/relationships/image" Target="media/image357.png"/><Relationship Id="rId456" Type="http://schemas.openxmlformats.org/officeDocument/2006/relationships/image" Target="media/image358.png"/><Relationship Id="rId457" Type="http://schemas.openxmlformats.org/officeDocument/2006/relationships/image" Target="media/image359.png"/><Relationship Id="rId458" Type="http://schemas.openxmlformats.org/officeDocument/2006/relationships/image" Target="media/image360.png"/><Relationship Id="rId459" Type="http://schemas.openxmlformats.org/officeDocument/2006/relationships/image" Target="media/image361.png"/><Relationship Id="rId460" Type="http://schemas.openxmlformats.org/officeDocument/2006/relationships/image" Target="media/image362.png"/><Relationship Id="rId461" Type="http://schemas.openxmlformats.org/officeDocument/2006/relationships/image" Target="media/image363.png"/><Relationship Id="rId462" Type="http://schemas.openxmlformats.org/officeDocument/2006/relationships/image" Target="media/image364.png"/><Relationship Id="rId463" Type="http://schemas.openxmlformats.org/officeDocument/2006/relationships/image" Target="media/image365.png"/><Relationship Id="rId464" Type="http://schemas.openxmlformats.org/officeDocument/2006/relationships/image" Target="media/image366.png"/><Relationship Id="rId465" Type="http://schemas.openxmlformats.org/officeDocument/2006/relationships/image" Target="media/image367.png"/><Relationship Id="rId466" Type="http://schemas.openxmlformats.org/officeDocument/2006/relationships/image" Target="media/image368.png"/><Relationship Id="rId467" Type="http://schemas.openxmlformats.org/officeDocument/2006/relationships/image" Target="media/image369.png"/><Relationship Id="rId468" Type="http://schemas.openxmlformats.org/officeDocument/2006/relationships/image" Target="media/image370.png"/><Relationship Id="rId469" Type="http://schemas.openxmlformats.org/officeDocument/2006/relationships/image" Target="media/image371.png"/><Relationship Id="rId470" Type="http://schemas.openxmlformats.org/officeDocument/2006/relationships/image" Target="media/image372.png"/><Relationship Id="rId471" Type="http://schemas.openxmlformats.org/officeDocument/2006/relationships/image" Target="media/image373.png"/><Relationship Id="rId472" Type="http://schemas.openxmlformats.org/officeDocument/2006/relationships/image" Target="media/image374.png"/><Relationship Id="rId473" Type="http://schemas.openxmlformats.org/officeDocument/2006/relationships/image" Target="media/image375.png"/><Relationship Id="rId474" Type="http://schemas.openxmlformats.org/officeDocument/2006/relationships/image" Target="media/image376.png"/><Relationship Id="rId475" Type="http://schemas.openxmlformats.org/officeDocument/2006/relationships/image" Target="media/image377.png"/><Relationship Id="rId476" Type="http://schemas.openxmlformats.org/officeDocument/2006/relationships/image" Target="media/image378.png"/><Relationship Id="rId477" Type="http://schemas.openxmlformats.org/officeDocument/2006/relationships/image" Target="media/image379.png"/><Relationship Id="rId478" Type="http://schemas.openxmlformats.org/officeDocument/2006/relationships/image" Target="media/image380.png"/><Relationship Id="rId479" Type="http://schemas.openxmlformats.org/officeDocument/2006/relationships/image" Target="media/image381.png"/><Relationship Id="rId480" Type="http://schemas.openxmlformats.org/officeDocument/2006/relationships/image" Target="media/image382.png"/><Relationship Id="rId481" Type="http://schemas.openxmlformats.org/officeDocument/2006/relationships/image" Target="media/image383.png"/><Relationship Id="rId482" Type="http://schemas.openxmlformats.org/officeDocument/2006/relationships/image" Target="media/image384.png"/><Relationship Id="rId483" Type="http://schemas.openxmlformats.org/officeDocument/2006/relationships/image" Target="media/image385.png"/><Relationship Id="rId484" Type="http://schemas.openxmlformats.org/officeDocument/2006/relationships/image" Target="media/image386.png"/><Relationship Id="rId485" Type="http://schemas.openxmlformats.org/officeDocument/2006/relationships/image" Target="media/image387.png"/><Relationship Id="rId486" Type="http://schemas.openxmlformats.org/officeDocument/2006/relationships/image" Target="media/image388.png"/><Relationship Id="rId487" Type="http://schemas.openxmlformats.org/officeDocument/2006/relationships/image" Target="media/image389.png"/><Relationship Id="rId488" Type="http://schemas.openxmlformats.org/officeDocument/2006/relationships/image" Target="media/image390.png"/><Relationship Id="rId489" Type="http://schemas.openxmlformats.org/officeDocument/2006/relationships/image" Target="media/image391.png"/><Relationship Id="rId490" Type="http://schemas.openxmlformats.org/officeDocument/2006/relationships/image" Target="media/image392.png"/><Relationship Id="rId491" Type="http://schemas.openxmlformats.org/officeDocument/2006/relationships/image" Target="media/image393.png"/><Relationship Id="rId492" Type="http://schemas.openxmlformats.org/officeDocument/2006/relationships/image" Target="media/image394.png"/><Relationship Id="rId493" Type="http://schemas.openxmlformats.org/officeDocument/2006/relationships/image" Target="media/image395.png"/><Relationship Id="rId494" Type="http://schemas.openxmlformats.org/officeDocument/2006/relationships/image" Target="media/image396.png"/><Relationship Id="rId495" Type="http://schemas.openxmlformats.org/officeDocument/2006/relationships/image" Target="media/image397.png"/><Relationship Id="rId496" Type="http://schemas.openxmlformats.org/officeDocument/2006/relationships/image" Target="media/image398.png"/><Relationship Id="rId497" Type="http://schemas.openxmlformats.org/officeDocument/2006/relationships/image" Target="media/image399.png"/><Relationship Id="rId498" Type="http://schemas.openxmlformats.org/officeDocument/2006/relationships/image" Target="media/image400.png"/><Relationship Id="rId499" Type="http://schemas.openxmlformats.org/officeDocument/2006/relationships/image" Target="media/image401.png"/><Relationship Id="rId500" Type="http://schemas.openxmlformats.org/officeDocument/2006/relationships/image" Target="media/image402.png"/><Relationship Id="rId501" Type="http://schemas.openxmlformats.org/officeDocument/2006/relationships/image" Target="media/image403.png"/><Relationship Id="rId502" Type="http://schemas.openxmlformats.org/officeDocument/2006/relationships/image" Target="media/image404.png"/><Relationship Id="rId503" Type="http://schemas.openxmlformats.org/officeDocument/2006/relationships/image" Target="media/image405.png"/><Relationship Id="rId504" Type="http://schemas.openxmlformats.org/officeDocument/2006/relationships/image" Target="media/image406.png"/><Relationship Id="rId505" Type="http://schemas.openxmlformats.org/officeDocument/2006/relationships/image" Target="media/image407.png"/><Relationship Id="rId506" Type="http://schemas.openxmlformats.org/officeDocument/2006/relationships/image" Target="media/image408.png"/><Relationship Id="rId507" Type="http://schemas.openxmlformats.org/officeDocument/2006/relationships/image" Target="media/image409.png"/><Relationship Id="rId508" Type="http://schemas.openxmlformats.org/officeDocument/2006/relationships/image" Target="media/image410.png"/><Relationship Id="rId509" Type="http://schemas.openxmlformats.org/officeDocument/2006/relationships/image" Target="media/image411.png"/><Relationship Id="rId510" Type="http://schemas.openxmlformats.org/officeDocument/2006/relationships/image" Target="media/image412.png"/><Relationship Id="rId511" Type="http://schemas.openxmlformats.org/officeDocument/2006/relationships/image" Target="media/image413.png"/><Relationship Id="rId512" Type="http://schemas.openxmlformats.org/officeDocument/2006/relationships/image" Target="media/image414.png"/><Relationship Id="rId513" Type="http://schemas.openxmlformats.org/officeDocument/2006/relationships/image" Target="media/image415.png"/><Relationship Id="rId514" Type="http://schemas.openxmlformats.org/officeDocument/2006/relationships/image" Target="media/image416.png"/><Relationship Id="rId515" Type="http://schemas.openxmlformats.org/officeDocument/2006/relationships/image" Target="media/image417.png"/><Relationship Id="rId516" Type="http://schemas.openxmlformats.org/officeDocument/2006/relationships/image" Target="media/image418.png"/><Relationship Id="rId517" Type="http://schemas.openxmlformats.org/officeDocument/2006/relationships/image" Target="media/image419.png"/><Relationship Id="rId518" Type="http://schemas.openxmlformats.org/officeDocument/2006/relationships/image" Target="media/image420.png"/><Relationship Id="rId519" Type="http://schemas.openxmlformats.org/officeDocument/2006/relationships/image" Target="media/image421.png"/><Relationship Id="rId520" Type="http://schemas.openxmlformats.org/officeDocument/2006/relationships/image" Target="media/image422.png"/><Relationship Id="rId521" Type="http://schemas.openxmlformats.org/officeDocument/2006/relationships/image" Target="media/image423.png"/><Relationship Id="rId522" Type="http://schemas.openxmlformats.org/officeDocument/2006/relationships/image" Target="media/image424.png"/><Relationship Id="rId523" Type="http://schemas.openxmlformats.org/officeDocument/2006/relationships/image" Target="media/image425.png"/><Relationship Id="rId524" Type="http://schemas.openxmlformats.org/officeDocument/2006/relationships/image" Target="media/image426.png"/><Relationship Id="rId525" Type="http://schemas.openxmlformats.org/officeDocument/2006/relationships/image" Target="media/image427.png"/><Relationship Id="rId526" Type="http://schemas.openxmlformats.org/officeDocument/2006/relationships/image" Target="media/image428.png"/><Relationship Id="rId527" Type="http://schemas.openxmlformats.org/officeDocument/2006/relationships/image" Target="media/image429.png"/><Relationship Id="rId528" Type="http://schemas.openxmlformats.org/officeDocument/2006/relationships/image" Target="media/image430.png"/><Relationship Id="rId529" Type="http://schemas.openxmlformats.org/officeDocument/2006/relationships/image" Target="media/image431.png"/><Relationship Id="rId530" Type="http://schemas.openxmlformats.org/officeDocument/2006/relationships/image" Target="media/image432.png"/><Relationship Id="rId531" Type="http://schemas.openxmlformats.org/officeDocument/2006/relationships/image" Target="media/image433.png"/><Relationship Id="rId532" Type="http://schemas.openxmlformats.org/officeDocument/2006/relationships/image" Target="media/image434.png"/><Relationship Id="rId533" Type="http://schemas.openxmlformats.org/officeDocument/2006/relationships/image" Target="media/image435.png"/><Relationship Id="rId534" Type="http://schemas.openxmlformats.org/officeDocument/2006/relationships/image" Target="media/image436.png"/><Relationship Id="rId535" Type="http://schemas.openxmlformats.org/officeDocument/2006/relationships/image" Target="media/image437.png"/><Relationship Id="rId536" Type="http://schemas.openxmlformats.org/officeDocument/2006/relationships/image" Target="media/image438.png"/><Relationship Id="rId537" Type="http://schemas.openxmlformats.org/officeDocument/2006/relationships/image" Target="media/image439.png"/><Relationship Id="rId538" Type="http://schemas.openxmlformats.org/officeDocument/2006/relationships/image" Target="media/image440.png"/><Relationship Id="rId539" Type="http://schemas.openxmlformats.org/officeDocument/2006/relationships/image" Target="media/image441.png"/><Relationship Id="rId540" Type="http://schemas.openxmlformats.org/officeDocument/2006/relationships/image" Target="media/image442.png"/><Relationship Id="rId541" Type="http://schemas.openxmlformats.org/officeDocument/2006/relationships/image" Target="media/image443.png"/><Relationship Id="rId542" Type="http://schemas.openxmlformats.org/officeDocument/2006/relationships/image" Target="media/image444.png"/><Relationship Id="rId543" Type="http://schemas.openxmlformats.org/officeDocument/2006/relationships/image" Target="media/image445.png"/><Relationship Id="rId544" Type="http://schemas.openxmlformats.org/officeDocument/2006/relationships/image" Target="media/image446.png"/><Relationship Id="rId545" Type="http://schemas.openxmlformats.org/officeDocument/2006/relationships/image" Target="media/image447.png"/><Relationship Id="rId546" Type="http://schemas.openxmlformats.org/officeDocument/2006/relationships/image" Target="media/image448.png"/><Relationship Id="rId547" Type="http://schemas.openxmlformats.org/officeDocument/2006/relationships/image" Target="media/image449.png"/><Relationship Id="rId548" Type="http://schemas.openxmlformats.org/officeDocument/2006/relationships/image" Target="media/image450.png"/><Relationship Id="rId549" Type="http://schemas.openxmlformats.org/officeDocument/2006/relationships/image" Target="media/image451.png"/><Relationship Id="rId550" Type="http://schemas.openxmlformats.org/officeDocument/2006/relationships/image" Target="media/image452.png"/><Relationship Id="rId551" Type="http://schemas.openxmlformats.org/officeDocument/2006/relationships/image" Target="media/image453.png"/><Relationship Id="rId552" Type="http://schemas.openxmlformats.org/officeDocument/2006/relationships/image" Target="media/image454.png"/><Relationship Id="rId553" Type="http://schemas.openxmlformats.org/officeDocument/2006/relationships/image" Target="media/image455.png"/><Relationship Id="rId554" Type="http://schemas.openxmlformats.org/officeDocument/2006/relationships/image" Target="media/image456.png"/><Relationship Id="rId555" Type="http://schemas.openxmlformats.org/officeDocument/2006/relationships/image" Target="media/image457.png"/><Relationship Id="rId556" Type="http://schemas.openxmlformats.org/officeDocument/2006/relationships/image" Target="media/image458.png"/><Relationship Id="rId557" Type="http://schemas.openxmlformats.org/officeDocument/2006/relationships/image" Target="media/image459.png"/><Relationship Id="rId558" Type="http://schemas.openxmlformats.org/officeDocument/2006/relationships/image" Target="media/image460.png"/><Relationship Id="rId559" Type="http://schemas.openxmlformats.org/officeDocument/2006/relationships/image" Target="media/image461.png"/><Relationship Id="rId560" Type="http://schemas.openxmlformats.org/officeDocument/2006/relationships/image" Target="media/image462.png"/><Relationship Id="rId561" Type="http://schemas.openxmlformats.org/officeDocument/2006/relationships/image" Target="media/image463.png"/><Relationship Id="rId562" Type="http://schemas.openxmlformats.org/officeDocument/2006/relationships/image" Target="media/image464.png"/><Relationship Id="rId563" Type="http://schemas.openxmlformats.org/officeDocument/2006/relationships/image" Target="media/image465.png"/><Relationship Id="rId564" Type="http://schemas.openxmlformats.org/officeDocument/2006/relationships/image" Target="media/image466.png"/><Relationship Id="rId565" Type="http://schemas.openxmlformats.org/officeDocument/2006/relationships/image" Target="media/image467.png"/><Relationship Id="rId566" Type="http://schemas.openxmlformats.org/officeDocument/2006/relationships/image" Target="media/image468.png"/><Relationship Id="rId567" Type="http://schemas.openxmlformats.org/officeDocument/2006/relationships/image" Target="media/image469.png"/><Relationship Id="rId568" Type="http://schemas.openxmlformats.org/officeDocument/2006/relationships/image" Target="media/image470.png"/><Relationship Id="rId569" Type="http://schemas.openxmlformats.org/officeDocument/2006/relationships/image" Target="media/image471.png"/><Relationship Id="rId570" Type="http://schemas.openxmlformats.org/officeDocument/2006/relationships/image" Target="media/image472.png"/><Relationship Id="rId571" Type="http://schemas.openxmlformats.org/officeDocument/2006/relationships/image" Target="media/image473.png"/><Relationship Id="rId572" Type="http://schemas.openxmlformats.org/officeDocument/2006/relationships/image" Target="media/image474.png"/><Relationship Id="rId573" Type="http://schemas.openxmlformats.org/officeDocument/2006/relationships/image" Target="media/image475.png"/><Relationship Id="rId574" Type="http://schemas.openxmlformats.org/officeDocument/2006/relationships/image" Target="media/image476.png"/><Relationship Id="rId575" Type="http://schemas.openxmlformats.org/officeDocument/2006/relationships/image" Target="media/image477.png"/><Relationship Id="rId576" Type="http://schemas.openxmlformats.org/officeDocument/2006/relationships/image" Target="media/image478.png"/><Relationship Id="rId577" Type="http://schemas.openxmlformats.org/officeDocument/2006/relationships/image" Target="media/image479.png"/><Relationship Id="rId578" Type="http://schemas.openxmlformats.org/officeDocument/2006/relationships/image" Target="media/image480.png"/><Relationship Id="rId579" Type="http://schemas.openxmlformats.org/officeDocument/2006/relationships/image" Target="media/image481.png"/><Relationship Id="rId580" Type="http://schemas.openxmlformats.org/officeDocument/2006/relationships/image" Target="media/image482.png"/><Relationship Id="rId581" Type="http://schemas.openxmlformats.org/officeDocument/2006/relationships/image" Target="media/image483.png"/><Relationship Id="rId582" Type="http://schemas.openxmlformats.org/officeDocument/2006/relationships/image" Target="media/image484.png"/><Relationship Id="rId583" Type="http://schemas.openxmlformats.org/officeDocument/2006/relationships/image" Target="media/image485.png"/><Relationship Id="rId584" Type="http://schemas.openxmlformats.org/officeDocument/2006/relationships/image" Target="media/image486.png"/><Relationship Id="rId585" Type="http://schemas.openxmlformats.org/officeDocument/2006/relationships/image" Target="media/image487.png"/><Relationship Id="rId586" Type="http://schemas.openxmlformats.org/officeDocument/2006/relationships/image" Target="media/image488.png"/><Relationship Id="rId587" Type="http://schemas.openxmlformats.org/officeDocument/2006/relationships/image" Target="media/image489.png"/><Relationship Id="rId588" Type="http://schemas.openxmlformats.org/officeDocument/2006/relationships/image" Target="media/image490.png"/><Relationship Id="rId589" Type="http://schemas.openxmlformats.org/officeDocument/2006/relationships/image" Target="media/image491.png"/><Relationship Id="rId590" Type="http://schemas.openxmlformats.org/officeDocument/2006/relationships/image" Target="media/image492.png"/><Relationship Id="rId591" Type="http://schemas.openxmlformats.org/officeDocument/2006/relationships/image" Target="media/image493.png"/><Relationship Id="rId592" Type="http://schemas.openxmlformats.org/officeDocument/2006/relationships/image" Target="media/image494.png"/><Relationship Id="rId593" Type="http://schemas.openxmlformats.org/officeDocument/2006/relationships/image" Target="media/image495.png"/><Relationship Id="rId594" Type="http://schemas.openxmlformats.org/officeDocument/2006/relationships/image" Target="media/image496.png"/><Relationship Id="rId595" Type="http://schemas.openxmlformats.org/officeDocument/2006/relationships/image" Target="media/image497.png"/><Relationship Id="rId596" Type="http://schemas.openxmlformats.org/officeDocument/2006/relationships/image" Target="media/image498.png"/><Relationship Id="rId597" Type="http://schemas.openxmlformats.org/officeDocument/2006/relationships/image" Target="media/image499.png"/><Relationship Id="rId598" Type="http://schemas.openxmlformats.org/officeDocument/2006/relationships/image" Target="media/image500.png"/><Relationship Id="rId599" Type="http://schemas.openxmlformats.org/officeDocument/2006/relationships/image" Target="media/image501.png"/><Relationship Id="rId600" Type="http://schemas.openxmlformats.org/officeDocument/2006/relationships/image" Target="media/image502.png"/><Relationship Id="rId601" Type="http://schemas.openxmlformats.org/officeDocument/2006/relationships/image" Target="media/image503.png"/><Relationship Id="rId602" Type="http://schemas.openxmlformats.org/officeDocument/2006/relationships/image" Target="media/image504.png"/><Relationship Id="rId603" Type="http://schemas.openxmlformats.org/officeDocument/2006/relationships/image" Target="media/image505.png"/><Relationship Id="rId604" Type="http://schemas.openxmlformats.org/officeDocument/2006/relationships/image" Target="media/image506.png"/><Relationship Id="rId605" Type="http://schemas.openxmlformats.org/officeDocument/2006/relationships/image" Target="media/image507.png"/><Relationship Id="rId606" Type="http://schemas.openxmlformats.org/officeDocument/2006/relationships/image" Target="media/image508.png"/><Relationship Id="rId607" Type="http://schemas.openxmlformats.org/officeDocument/2006/relationships/image" Target="media/image509.png"/><Relationship Id="rId608" Type="http://schemas.openxmlformats.org/officeDocument/2006/relationships/image" Target="media/image510.png"/><Relationship Id="rId609" Type="http://schemas.openxmlformats.org/officeDocument/2006/relationships/image" Target="media/image511.png"/><Relationship Id="rId610" Type="http://schemas.openxmlformats.org/officeDocument/2006/relationships/image" Target="media/image512.png"/><Relationship Id="rId611" Type="http://schemas.openxmlformats.org/officeDocument/2006/relationships/image" Target="media/image513.png"/><Relationship Id="rId612" Type="http://schemas.openxmlformats.org/officeDocument/2006/relationships/image" Target="media/image514.png"/><Relationship Id="rId613" Type="http://schemas.openxmlformats.org/officeDocument/2006/relationships/image" Target="media/image515.png"/><Relationship Id="rId614" Type="http://schemas.openxmlformats.org/officeDocument/2006/relationships/image" Target="media/image516.png"/><Relationship Id="rId615" Type="http://schemas.openxmlformats.org/officeDocument/2006/relationships/image" Target="media/image517.png"/><Relationship Id="rId616" Type="http://schemas.openxmlformats.org/officeDocument/2006/relationships/image" Target="media/image518.png"/><Relationship Id="rId617" Type="http://schemas.openxmlformats.org/officeDocument/2006/relationships/image" Target="media/image519.png"/><Relationship Id="rId618" Type="http://schemas.openxmlformats.org/officeDocument/2006/relationships/image" Target="media/image520.png"/><Relationship Id="rId619" Type="http://schemas.openxmlformats.org/officeDocument/2006/relationships/image" Target="media/image521.png"/><Relationship Id="rId620" Type="http://schemas.openxmlformats.org/officeDocument/2006/relationships/image" Target="media/image522.png"/><Relationship Id="rId621" Type="http://schemas.openxmlformats.org/officeDocument/2006/relationships/image" Target="media/image523.png"/><Relationship Id="rId622" Type="http://schemas.openxmlformats.org/officeDocument/2006/relationships/image" Target="media/image524.png"/><Relationship Id="rId623" Type="http://schemas.openxmlformats.org/officeDocument/2006/relationships/image" Target="media/image525.png"/><Relationship Id="rId624" Type="http://schemas.openxmlformats.org/officeDocument/2006/relationships/image" Target="media/image526.png"/><Relationship Id="rId625" Type="http://schemas.openxmlformats.org/officeDocument/2006/relationships/image" Target="media/image527.png"/><Relationship Id="rId626" Type="http://schemas.openxmlformats.org/officeDocument/2006/relationships/image" Target="media/image528.png"/><Relationship Id="rId627" Type="http://schemas.openxmlformats.org/officeDocument/2006/relationships/image" Target="media/image529.png"/><Relationship Id="rId628" Type="http://schemas.openxmlformats.org/officeDocument/2006/relationships/image" Target="media/image530.png"/><Relationship Id="rId629" Type="http://schemas.openxmlformats.org/officeDocument/2006/relationships/image" Target="media/image531.png"/><Relationship Id="rId630" Type="http://schemas.openxmlformats.org/officeDocument/2006/relationships/image" Target="media/image532.png"/><Relationship Id="rId631" Type="http://schemas.openxmlformats.org/officeDocument/2006/relationships/image" Target="media/image533.png"/><Relationship Id="rId632" Type="http://schemas.openxmlformats.org/officeDocument/2006/relationships/image" Target="media/image534.png"/><Relationship Id="rId633" Type="http://schemas.openxmlformats.org/officeDocument/2006/relationships/image" Target="media/image535.png"/><Relationship Id="rId634" Type="http://schemas.openxmlformats.org/officeDocument/2006/relationships/image" Target="media/image536.png"/><Relationship Id="rId635" Type="http://schemas.openxmlformats.org/officeDocument/2006/relationships/image" Target="media/image537.png"/><Relationship Id="rId636" Type="http://schemas.openxmlformats.org/officeDocument/2006/relationships/image" Target="media/image538.png"/><Relationship Id="rId637" Type="http://schemas.openxmlformats.org/officeDocument/2006/relationships/image" Target="media/image539.png"/><Relationship Id="rId638" Type="http://schemas.openxmlformats.org/officeDocument/2006/relationships/image" Target="media/image540.png"/><Relationship Id="rId639" Type="http://schemas.openxmlformats.org/officeDocument/2006/relationships/image" Target="media/image541.png"/><Relationship Id="rId640" Type="http://schemas.openxmlformats.org/officeDocument/2006/relationships/image" Target="media/image542.png"/><Relationship Id="rId641" Type="http://schemas.openxmlformats.org/officeDocument/2006/relationships/image" Target="media/image543.png"/><Relationship Id="rId642" Type="http://schemas.openxmlformats.org/officeDocument/2006/relationships/image" Target="media/image544.png"/><Relationship Id="rId643" Type="http://schemas.openxmlformats.org/officeDocument/2006/relationships/image" Target="media/image545.png"/><Relationship Id="rId644" Type="http://schemas.openxmlformats.org/officeDocument/2006/relationships/image" Target="media/image546.png"/><Relationship Id="rId645" Type="http://schemas.openxmlformats.org/officeDocument/2006/relationships/image" Target="media/image547.png"/><Relationship Id="rId646" Type="http://schemas.openxmlformats.org/officeDocument/2006/relationships/image" Target="media/image548.png"/><Relationship Id="rId647" Type="http://schemas.openxmlformats.org/officeDocument/2006/relationships/image" Target="media/image549.png"/><Relationship Id="rId648" Type="http://schemas.openxmlformats.org/officeDocument/2006/relationships/image" Target="media/image550.png"/><Relationship Id="rId649" Type="http://schemas.openxmlformats.org/officeDocument/2006/relationships/image" Target="media/image551.png"/><Relationship Id="rId650" Type="http://schemas.openxmlformats.org/officeDocument/2006/relationships/image" Target="media/image552.png"/><Relationship Id="rId651" Type="http://schemas.openxmlformats.org/officeDocument/2006/relationships/image" Target="media/image553.png"/><Relationship Id="rId652" Type="http://schemas.openxmlformats.org/officeDocument/2006/relationships/image" Target="media/image554.png"/><Relationship Id="rId653" Type="http://schemas.openxmlformats.org/officeDocument/2006/relationships/image" Target="media/image555.png"/><Relationship Id="rId654" Type="http://schemas.openxmlformats.org/officeDocument/2006/relationships/image" Target="media/image556.png"/><Relationship Id="rId655" Type="http://schemas.openxmlformats.org/officeDocument/2006/relationships/image" Target="media/image557.png"/><Relationship Id="rId656" Type="http://schemas.openxmlformats.org/officeDocument/2006/relationships/image" Target="media/image558.png"/><Relationship Id="rId657" Type="http://schemas.openxmlformats.org/officeDocument/2006/relationships/image" Target="media/image559.png"/><Relationship Id="rId658" Type="http://schemas.openxmlformats.org/officeDocument/2006/relationships/image" Target="media/image560.png"/><Relationship Id="rId659" Type="http://schemas.openxmlformats.org/officeDocument/2006/relationships/image" Target="media/image561.png"/><Relationship Id="rId660" Type="http://schemas.openxmlformats.org/officeDocument/2006/relationships/image" Target="media/image562.png"/><Relationship Id="rId661" Type="http://schemas.openxmlformats.org/officeDocument/2006/relationships/image" Target="media/image563.png"/><Relationship Id="rId662" Type="http://schemas.openxmlformats.org/officeDocument/2006/relationships/image" Target="media/image564.png"/><Relationship Id="rId663" Type="http://schemas.openxmlformats.org/officeDocument/2006/relationships/image" Target="media/image565.png"/><Relationship Id="rId664" Type="http://schemas.openxmlformats.org/officeDocument/2006/relationships/image" Target="media/image566.png"/><Relationship Id="rId665" Type="http://schemas.openxmlformats.org/officeDocument/2006/relationships/image" Target="media/image567.png"/><Relationship Id="rId666" Type="http://schemas.openxmlformats.org/officeDocument/2006/relationships/image" Target="media/image568.png"/><Relationship Id="rId667" Type="http://schemas.openxmlformats.org/officeDocument/2006/relationships/image" Target="media/image569.png"/><Relationship Id="rId668" Type="http://schemas.openxmlformats.org/officeDocument/2006/relationships/image" Target="media/image570.png"/><Relationship Id="rId669" Type="http://schemas.openxmlformats.org/officeDocument/2006/relationships/image" Target="media/image571.png"/><Relationship Id="rId670" Type="http://schemas.openxmlformats.org/officeDocument/2006/relationships/image" Target="media/image572.png"/><Relationship Id="rId671" Type="http://schemas.openxmlformats.org/officeDocument/2006/relationships/image" Target="media/image573.png"/><Relationship Id="rId672" Type="http://schemas.openxmlformats.org/officeDocument/2006/relationships/image" Target="media/image574.png"/><Relationship Id="rId673" Type="http://schemas.openxmlformats.org/officeDocument/2006/relationships/image" Target="media/image575.png"/><Relationship Id="rId674" Type="http://schemas.openxmlformats.org/officeDocument/2006/relationships/image" Target="media/image576.png"/><Relationship Id="rId675" Type="http://schemas.openxmlformats.org/officeDocument/2006/relationships/image" Target="media/image577.png"/><Relationship Id="rId676" Type="http://schemas.openxmlformats.org/officeDocument/2006/relationships/image" Target="media/image578.png"/><Relationship Id="rId677" Type="http://schemas.openxmlformats.org/officeDocument/2006/relationships/image" Target="media/image579.png"/><Relationship Id="rId678" Type="http://schemas.openxmlformats.org/officeDocument/2006/relationships/image" Target="media/image580.png"/><Relationship Id="rId679" Type="http://schemas.openxmlformats.org/officeDocument/2006/relationships/image" Target="media/image581.png"/><Relationship Id="rId680" Type="http://schemas.openxmlformats.org/officeDocument/2006/relationships/image" Target="media/image582.png"/><Relationship Id="rId681" Type="http://schemas.openxmlformats.org/officeDocument/2006/relationships/image" Target="media/image583.png"/><Relationship Id="rId682" Type="http://schemas.openxmlformats.org/officeDocument/2006/relationships/image" Target="media/image584.png"/><Relationship Id="rId683" Type="http://schemas.openxmlformats.org/officeDocument/2006/relationships/image" Target="media/image585.png"/><Relationship Id="rId684" Type="http://schemas.openxmlformats.org/officeDocument/2006/relationships/image" Target="media/image586.png"/><Relationship Id="rId685" Type="http://schemas.openxmlformats.org/officeDocument/2006/relationships/image" Target="media/image587.png"/><Relationship Id="rId686" Type="http://schemas.openxmlformats.org/officeDocument/2006/relationships/image" Target="media/image588.png"/><Relationship Id="rId687" Type="http://schemas.openxmlformats.org/officeDocument/2006/relationships/image" Target="media/image589.png"/><Relationship Id="rId688" Type="http://schemas.openxmlformats.org/officeDocument/2006/relationships/image" Target="media/image590.png"/><Relationship Id="rId689" Type="http://schemas.openxmlformats.org/officeDocument/2006/relationships/image" Target="media/image591.png"/><Relationship Id="rId690" Type="http://schemas.openxmlformats.org/officeDocument/2006/relationships/image" Target="media/image592.png"/><Relationship Id="rId691" Type="http://schemas.openxmlformats.org/officeDocument/2006/relationships/image" Target="media/image593.png"/><Relationship Id="rId692" Type="http://schemas.openxmlformats.org/officeDocument/2006/relationships/image" Target="media/image594.png"/><Relationship Id="rId693" Type="http://schemas.openxmlformats.org/officeDocument/2006/relationships/image" Target="media/image595.png"/><Relationship Id="rId694" Type="http://schemas.openxmlformats.org/officeDocument/2006/relationships/image" Target="media/image596.png"/><Relationship Id="rId695" Type="http://schemas.openxmlformats.org/officeDocument/2006/relationships/image" Target="media/image597.png"/><Relationship Id="rId696" Type="http://schemas.openxmlformats.org/officeDocument/2006/relationships/image" Target="media/image598.png"/><Relationship Id="rId697" Type="http://schemas.openxmlformats.org/officeDocument/2006/relationships/image" Target="media/image599.png"/><Relationship Id="rId698" Type="http://schemas.openxmlformats.org/officeDocument/2006/relationships/image" Target="media/image600.png"/><Relationship Id="rId699" Type="http://schemas.openxmlformats.org/officeDocument/2006/relationships/image" Target="media/image601.png"/><Relationship Id="rId700" Type="http://schemas.openxmlformats.org/officeDocument/2006/relationships/image" Target="media/image602.png"/><Relationship Id="rId701" Type="http://schemas.openxmlformats.org/officeDocument/2006/relationships/image" Target="media/image603.png"/><Relationship Id="rId702" Type="http://schemas.openxmlformats.org/officeDocument/2006/relationships/image" Target="media/image604.png"/><Relationship Id="rId703" Type="http://schemas.openxmlformats.org/officeDocument/2006/relationships/image" Target="media/image605.png"/><Relationship Id="rId704" Type="http://schemas.openxmlformats.org/officeDocument/2006/relationships/image" Target="media/image606.png"/><Relationship Id="rId705" Type="http://schemas.openxmlformats.org/officeDocument/2006/relationships/image" Target="media/image607.png"/><Relationship Id="rId706" Type="http://schemas.openxmlformats.org/officeDocument/2006/relationships/image" Target="media/image608.png"/><Relationship Id="rId707" Type="http://schemas.openxmlformats.org/officeDocument/2006/relationships/image" Target="media/image609.png"/><Relationship Id="rId708" Type="http://schemas.openxmlformats.org/officeDocument/2006/relationships/image" Target="media/image610.png"/><Relationship Id="rId709" Type="http://schemas.openxmlformats.org/officeDocument/2006/relationships/image" Target="media/image611.png"/><Relationship Id="rId710" Type="http://schemas.openxmlformats.org/officeDocument/2006/relationships/image" Target="media/image612.png"/><Relationship Id="rId711" Type="http://schemas.openxmlformats.org/officeDocument/2006/relationships/image" Target="media/image613.png"/><Relationship Id="rId712" Type="http://schemas.openxmlformats.org/officeDocument/2006/relationships/image" Target="media/image614.png"/><Relationship Id="rId713" Type="http://schemas.openxmlformats.org/officeDocument/2006/relationships/image" Target="media/image615.png"/><Relationship Id="rId714" Type="http://schemas.openxmlformats.org/officeDocument/2006/relationships/image" Target="media/image616.png"/><Relationship Id="rId715" Type="http://schemas.openxmlformats.org/officeDocument/2006/relationships/image" Target="media/image617.png"/><Relationship Id="rId716" Type="http://schemas.openxmlformats.org/officeDocument/2006/relationships/image" Target="media/image618.png"/><Relationship Id="rId717" Type="http://schemas.openxmlformats.org/officeDocument/2006/relationships/image" Target="media/image619.png"/><Relationship Id="rId718" Type="http://schemas.openxmlformats.org/officeDocument/2006/relationships/image" Target="media/image620.png"/><Relationship Id="rId719" Type="http://schemas.openxmlformats.org/officeDocument/2006/relationships/image" Target="media/image621.png"/><Relationship Id="rId720" Type="http://schemas.openxmlformats.org/officeDocument/2006/relationships/image" Target="media/image622.png"/><Relationship Id="rId721" Type="http://schemas.openxmlformats.org/officeDocument/2006/relationships/image" Target="media/image623.png"/><Relationship Id="rId722" Type="http://schemas.openxmlformats.org/officeDocument/2006/relationships/image" Target="media/image624.png"/><Relationship Id="rId723" Type="http://schemas.openxmlformats.org/officeDocument/2006/relationships/image" Target="media/image625.png"/><Relationship Id="rId724" Type="http://schemas.openxmlformats.org/officeDocument/2006/relationships/image" Target="media/image626.png"/><Relationship Id="rId725" Type="http://schemas.openxmlformats.org/officeDocument/2006/relationships/image" Target="media/image627.png"/><Relationship Id="rId726" Type="http://schemas.openxmlformats.org/officeDocument/2006/relationships/image" Target="media/image628.png"/><Relationship Id="rId727" Type="http://schemas.openxmlformats.org/officeDocument/2006/relationships/image" Target="media/image629.png"/><Relationship Id="rId728" Type="http://schemas.openxmlformats.org/officeDocument/2006/relationships/image" Target="media/image630.png"/><Relationship Id="rId729" Type="http://schemas.openxmlformats.org/officeDocument/2006/relationships/image" Target="media/image631.png"/><Relationship Id="rId730" Type="http://schemas.openxmlformats.org/officeDocument/2006/relationships/image" Target="media/image632.png"/><Relationship Id="rId731" Type="http://schemas.openxmlformats.org/officeDocument/2006/relationships/image" Target="media/image633.png"/><Relationship Id="rId732" Type="http://schemas.openxmlformats.org/officeDocument/2006/relationships/image" Target="media/image634.png"/><Relationship Id="rId733" Type="http://schemas.openxmlformats.org/officeDocument/2006/relationships/image" Target="media/image635.png"/><Relationship Id="rId734" Type="http://schemas.openxmlformats.org/officeDocument/2006/relationships/image" Target="media/image636.png"/><Relationship Id="rId735" Type="http://schemas.openxmlformats.org/officeDocument/2006/relationships/image" Target="media/image637.png"/><Relationship Id="rId736" Type="http://schemas.openxmlformats.org/officeDocument/2006/relationships/image" Target="media/image638.png"/><Relationship Id="rId737" Type="http://schemas.openxmlformats.org/officeDocument/2006/relationships/image" Target="media/image639.png"/><Relationship Id="rId738" Type="http://schemas.openxmlformats.org/officeDocument/2006/relationships/image" Target="media/image640.png"/><Relationship Id="rId739" Type="http://schemas.openxmlformats.org/officeDocument/2006/relationships/image" Target="media/image641.png"/><Relationship Id="rId740" Type="http://schemas.openxmlformats.org/officeDocument/2006/relationships/image" Target="media/image642.png"/><Relationship Id="rId741" Type="http://schemas.openxmlformats.org/officeDocument/2006/relationships/image" Target="media/image643.png"/><Relationship Id="rId742" Type="http://schemas.openxmlformats.org/officeDocument/2006/relationships/image" Target="media/image644.png"/><Relationship Id="rId743" Type="http://schemas.openxmlformats.org/officeDocument/2006/relationships/image" Target="media/image645.png"/><Relationship Id="rId744" Type="http://schemas.openxmlformats.org/officeDocument/2006/relationships/image" Target="media/image646.png"/><Relationship Id="rId745" Type="http://schemas.openxmlformats.org/officeDocument/2006/relationships/image" Target="media/image647.png"/><Relationship Id="rId746" Type="http://schemas.openxmlformats.org/officeDocument/2006/relationships/image" Target="media/image648.png"/><Relationship Id="rId747" Type="http://schemas.openxmlformats.org/officeDocument/2006/relationships/image" Target="media/image649.png"/><Relationship Id="rId748" Type="http://schemas.openxmlformats.org/officeDocument/2006/relationships/image" Target="media/image650.png"/><Relationship Id="rId749" Type="http://schemas.openxmlformats.org/officeDocument/2006/relationships/image" Target="media/image651.png"/><Relationship Id="rId750" Type="http://schemas.openxmlformats.org/officeDocument/2006/relationships/image" Target="media/image652.png"/><Relationship Id="rId751" Type="http://schemas.openxmlformats.org/officeDocument/2006/relationships/image" Target="media/image653.png"/><Relationship Id="rId752" Type="http://schemas.openxmlformats.org/officeDocument/2006/relationships/image" Target="media/image654.png"/><Relationship Id="rId753" Type="http://schemas.openxmlformats.org/officeDocument/2006/relationships/image" Target="media/image655.png"/><Relationship Id="rId754" Type="http://schemas.openxmlformats.org/officeDocument/2006/relationships/image" Target="media/image656.png"/><Relationship Id="rId755" Type="http://schemas.openxmlformats.org/officeDocument/2006/relationships/image" Target="media/image657.png"/><Relationship Id="rId756" Type="http://schemas.openxmlformats.org/officeDocument/2006/relationships/image" Target="media/image658.png"/><Relationship Id="rId757" Type="http://schemas.openxmlformats.org/officeDocument/2006/relationships/image" Target="media/image659.png"/><Relationship Id="rId758" Type="http://schemas.openxmlformats.org/officeDocument/2006/relationships/image" Target="media/image660.png"/><Relationship Id="rId759" Type="http://schemas.openxmlformats.org/officeDocument/2006/relationships/image" Target="media/image661.png"/><Relationship Id="rId760" Type="http://schemas.openxmlformats.org/officeDocument/2006/relationships/image" Target="media/image662.png"/><Relationship Id="rId761" Type="http://schemas.openxmlformats.org/officeDocument/2006/relationships/image" Target="media/image663.png"/><Relationship Id="rId762" Type="http://schemas.openxmlformats.org/officeDocument/2006/relationships/image" Target="media/image664.png"/><Relationship Id="rId763" Type="http://schemas.openxmlformats.org/officeDocument/2006/relationships/image" Target="media/image665.png"/><Relationship Id="rId764" Type="http://schemas.openxmlformats.org/officeDocument/2006/relationships/image" Target="media/image666.png"/><Relationship Id="rId765" Type="http://schemas.openxmlformats.org/officeDocument/2006/relationships/image" Target="media/image667.png"/><Relationship Id="rId766" Type="http://schemas.openxmlformats.org/officeDocument/2006/relationships/image" Target="media/image668.png"/><Relationship Id="rId767" Type="http://schemas.openxmlformats.org/officeDocument/2006/relationships/image" Target="media/image669.png"/><Relationship Id="rId768" Type="http://schemas.openxmlformats.org/officeDocument/2006/relationships/image" Target="media/image670.png"/><Relationship Id="rId769" Type="http://schemas.openxmlformats.org/officeDocument/2006/relationships/image" Target="media/image671.png"/><Relationship Id="rId770" Type="http://schemas.openxmlformats.org/officeDocument/2006/relationships/image" Target="media/image672.png"/><Relationship Id="rId771" Type="http://schemas.openxmlformats.org/officeDocument/2006/relationships/image" Target="media/image673.png"/><Relationship Id="rId772" Type="http://schemas.openxmlformats.org/officeDocument/2006/relationships/image" Target="media/image674.png"/><Relationship Id="rId773" Type="http://schemas.openxmlformats.org/officeDocument/2006/relationships/image" Target="media/image675.png"/><Relationship Id="rId774" Type="http://schemas.openxmlformats.org/officeDocument/2006/relationships/image" Target="media/image676.png"/><Relationship Id="rId775" Type="http://schemas.openxmlformats.org/officeDocument/2006/relationships/image" Target="media/image677.png"/><Relationship Id="rId776" Type="http://schemas.openxmlformats.org/officeDocument/2006/relationships/image" Target="media/image678.png"/><Relationship Id="rId777" Type="http://schemas.openxmlformats.org/officeDocument/2006/relationships/image" Target="media/image679.png"/><Relationship Id="rId778" Type="http://schemas.openxmlformats.org/officeDocument/2006/relationships/image" Target="media/image680.png"/><Relationship Id="rId779" Type="http://schemas.openxmlformats.org/officeDocument/2006/relationships/image" Target="media/image681.png"/><Relationship Id="rId780" Type="http://schemas.openxmlformats.org/officeDocument/2006/relationships/image" Target="media/image682.png"/><Relationship Id="rId781" Type="http://schemas.openxmlformats.org/officeDocument/2006/relationships/image" Target="media/image683.png"/><Relationship Id="rId782" Type="http://schemas.openxmlformats.org/officeDocument/2006/relationships/image" Target="media/image684.png"/><Relationship Id="rId783" Type="http://schemas.openxmlformats.org/officeDocument/2006/relationships/image" Target="media/image685.png"/><Relationship Id="rId784" Type="http://schemas.openxmlformats.org/officeDocument/2006/relationships/image" Target="media/image686.png"/><Relationship Id="rId785" Type="http://schemas.openxmlformats.org/officeDocument/2006/relationships/image" Target="media/image687.png"/><Relationship Id="rId786" Type="http://schemas.openxmlformats.org/officeDocument/2006/relationships/image" Target="media/image688.png"/><Relationship Id="rId787" Type="http://schemas.openxmlformats.org/officeDocument/2006/relationships/image" Target="media/image689.png"/><Relationship Id="rId788" Type="http://schemas.openxmlformats.org/officeDocument/2006/relationships/image" Target="media/image690.png"/><Relationship Id="rId789" Type="http://schemas.openxmlformats.org/officeDocument/2006/relationships/image" Target="media/image691.png"/><Relationship Id="rId790" Type="http://schemas.openxmlformats.org/officeDocument/2006/relationships/image" Target="media/image692.png"/><Relationship Id="rId791" Type="http://schemas.openxmlformats.org/officeDocument/2006/relationships/image" Target="media/image693.png"/><Relationship Id="rId792" Type="http://schemas.openxmlformats.org/officeDocument/2006/relationships/image" Target="media/image694.png"/><Relationship Id="rId793" Type="http://schemas.openxmlformats.org/officeDocument/2006/relationships/image" Target="media/image695.png"/><Relationship Id="rId794" Type="http://schemas.openxmlformats.org/officeDocument/2006/relationships/image" Target="media/image696.png"/><Relationship Id="rId795" Type="http://schemas.openxmlformats.org/officeDocument/2006/relationships/image" Target="media/image697.png"/><Relationship Id="rId796" Type="http://schemas.openxmlformats.org/officeDocument/2006/relationships/image" Target="media/image698.png"/><Relationship Id="rId797" Type="http://schemas.openxmlformats.org/officeDocument/2006/relationships/image" Target="media/image699.png"/><Relationship Id="rId798" Type="http://schemas.openxmlformats.org/officeDocument/2006/relationships/image" Target="media/image700.png"/><Relationship Id="rId799" Type="http://schemas.openxmlformats.org/officeDocument/2006/relationships/image" Target="media/image701.png"/><Relationship Id="rId800" Type="http://schemas.openxmlformats.org/officeDocument/2006/relationships/image" Target="media/image702.png"/><Relationship Id="rId801" Type="http://schemas.openxmlformats.org/officeDocument/2006/relationships/image" Target="media/image703.png"/><Relationship Id="rId802" Type="http://schemas.openxmlformats.org/officeDocument/2006/relationships/image" Target="media/image704.png"/><Relationship Id="rId803" Type="http://schemas.openxmlformats.org/officeDocument/2006/relationships/image" Target="media/image705.png"/><Relationship Id="rId804" Type="http://schemas.openxmlformats.org/officeDocument/2006/relationships/image" Target="media/image706.png"/><Relationship Id="rId805" Type="http://schemas.openxmlformats.org/officeDocument/2006/relationships/image" Target="media/image707.png"/><Relationship Id="rId806" Type="http://schemas.openxmlformats.org/officeDocument/2006/relationships/image" Target="media/image708.png"/><Relationship Id="rId807" Type="http://schemas.openxmlformats.org/officeDocument/2006/relationships/image" Target="media/image709.png"/><Relationship Id="rId808" Type="http://schemas.openxmlformats.org/officeDocument/2006/relationships/image" Target="media/image710.png"/><Relationship Id="rId809" Type="http://schemas.openxmlformats.org/officeDocument/2006/relationships/image" Target="media/image711.png"/><Relationship Id="rId810" Type="http://schemas.openxmlformats.org/officeDocument/2006/relationships/image" Target="media/image712.png"/><Relationship Id="rId811" Type="http://schemas.openxmlformats.org/officeDocument/2006/relationships/image" Target="media/image713.png"/><Relationship Id="rId812" Type="http://schemas.openxmlformats.org/officeDocument/2006/relationships/image" Target="media/image714.png"/><Relationship Id="rId813" Type="http://schemas.openxmlformats.org/officeDocument/2006/relationships/image" Target="media/image715.png"/><Relationship Id="rId814" Type="http://schemas.openxmlformats.org/officeDocument/2006/relationships/image" Target="media/image716.png"/><Relationship Id="rId815" Type="http://schemas.openxmlformats.org/officeDocument/2006/relationships/image" Target="media/image717.png"/><Relationship Id="rId816" Type="http://schemas.openxmlformats.org/officeDocument/2006/relationships/image" Target="media/image718.png"/><Relationship Id="rId817" Type="http://schemas.openxmlformats.org/officeDocument/2006/relationships/image" Target="media/image719.png"/><Relationship Id="rId818" Type="http://schemas.openxmlformats.org/officeDocument/2006/relationships/image" Target="media/image720.png"/><Relationship Id="rId819" Type="http://schemas.openxmlformats.org/officeDocument/2006/relationships/image" Target="media/image721.png"/><Relationship Id="rId820" Type="http://schemas.openxmlformats.org/officeDocument/2006/relationships/image" Target="media/image722.png"/><Relationship Id="rId821" Type="http://schemas.openxmlformats.org/officeDocument/2006/relationships/image" Target="media/image723.png"/><Relationship Id="rId822" Type="http://schemas.openxmlformats.org/officeDocument/2006/relationships/image" Target="media/image724.png"/><Relationship Id="rId823" Type="http://schemas.openxmlformats.org/officeDocument/2006/relationships/image" Target="media/image725.png"/><Relationship Id="rId824" Type="http://schemas.openxmlformats.org/officeDocument/2006/relationships/image" Target="media/image726.png"/><Relationship Id="rId825" Type="http://schemas.openxmlformats.org/officeDocument/2006/relationships/image" Target="media/image727.png"/><Relationship Id="rId826" Type="http://schemas.openxmlformats.org/officeDocument/2006/relationships/image" Target="media/image728.png"/><Relationship Id="rId827" Type="http://schemas.openxmlformats.org/officeDocument/2006/relationships/image" Target="media/image729.png"/><Relationship Id="rId828" Type="http://schemas.openxmlformats.org/officeDocument/2006/relationships/image" Target="media/image730.png"/><Relationship Id="rId829" Type="http://schemas.openxmlformats.org/officeDocument/2006/relationships/image" Target="media/image731.png"/><Relationship Id="rId830" Type="http://schemas.openxmlformats.org/officeDocument/2006/relationships/image" Target="media/image732.png"/><Relationship Id="rId831" Type="http://schemas.openxmlformats.org/officeDocument/2006/relationships/image" Target="media/image733.png"/><Relationship Id="rId832" Type="http://schemas.openxmlformats.org/officeDocument/2006/relationships/image" Target="media/image734.png"/><Relationship Id="rId833" Type="http://schemas.openxmlformats.org/officeDocument/2006/relationships/image" Target="media/image735.png"/><Relationship Id="rId834" Type="http://schemas.openxmlformats.org/officeDocument/2006/relationships/image" Target="media/image736.png"/><Relationship Id="rId835" Type="http://schemas.openxmlformats.org/officeDocument/2006/relationships/image" Target="media/image737.png"/><Relationship Id="rId836" Type="http://schemas.openxmlformats.org/officeDocument/2006/relationships/image" Target="media/image738.png"/><Relationship Id="rId837" Type="http://schemas.openxmlformats.org/officeDocument/2006/relationships/image" Target="media/image739.png"/><Relationship Id="rId838" Type="http://schemas.openxmlformats.org/officeDocument/2006/relationships/image" Target="media/image740.png"/><Relationship Id="rId839" Type="http://schemas.openxmlformats.org/officeDocument/2006/relationships/image" Target="media/image741.png"/><Relationship Id="rId840" Type="http://schemas.openxmlformats.org/officeDocument/2006/relationships/image" Target="media/image742.png"/><Relationship Id="rId841" Type="http://schemas.openxmlformats.org/officeDocument/2006/relationships/image" Target="media/image743.png"/><Relationship Id="rId842" Type="http://schemas.openxmlformats.org/officeDocument/2006/relationships/image" Target="media/image744.png"/><Relationship Id="rId843" Type="http://schemas.openxmlformats.org/officeDocument/2006/relationships/image" Target="media/image745.png"/><Relationship Id="rId844" Type="http://schemas.openxmlformats.org/officeDocument/2006/relationships/image" Target="media/image746.png"/><Relationship Id="rId845" Type="http://schemas.openxmlformats.org/officeDocument/2006/relationships/image" Target="media/image747.png"/><Relationship Id="rId846" Type="http://schemas.openxmlformats.org/officeDocument/2006/relationships/image" Target="media/image748.png"/><Relationship Id="rId847" Type="http://schemas.openxmlformats.org/officeDocument/2006/relationships/image" Target="media/image749.png"/><Relationship Id="rId848" Type="http://schemas.openxmlformats.org/officeDocument/2006/relationships/image" Target="media/image750.png"/><Relationship Id="rId849" Type="http://schemas.openxmlformats.org/officeDocument/2006/relationships/image" Target="media/image751.png"/><Relationship Id="rId850" Type="http://schemas.openxmlformats.org/officeDocument/2006/relationships/image" Target="media/image752.png"/><Relationship Id="rId851" Type="http://schemas.openxmlformats.org/officeDocument/2006/relationships/image" Target="media/image753.png"/><Relationship Id="rId852" Type="http://schemas.openxmlformats.org/officeDocument/2006/relationships/image" Target="media/image754.png"/><Relationship Id="rId853" Type="http://schemas.openxmlformats.org/officeDocument/2006/relationships/image" Target="media/image755.png"/><Relationship Id="rId854" Type="http://schemas.openxmlformats.org/officeDocument/2006/relationships/image" Target="media/image756.png"/><Relationship Id="rId855" Type="http://schemas.openxmlformats.org/officeDocument/2006/relationships/image" Target="media/image757.png"/><Relationship Id="rId856" Type="http://schemas.openxmlformats.org/officeDocument/2006/relationships/image" Target="media/image758.png"/><Relationship Id="rId857" Type="http://schemas.openxmlformats.org/officeDocument/2006/relationships/image" Target="media/image759.png"/><Relationship Id="rId858" Type="http://schemas.openxmlformats.org/officeDocument/2006/relationships/image" Target="media/image760.png"/><Relationship Id="rId859" Type="http://schemas.openxmlformats.org/officeDocument/2006/relationships/image" Target="media/image761.png"/><Relationship Id="rId860" Type="http://schemas.openxmlformats.org/officeDocument/2006/relationships/image" Target="media/image762.png"/><Relationship Id="rId861" Type="http://schemas.openxmlformats.org/officeDocument/2006/relationships/image" Target="media/image763.png"/><Relationship Id="rId862" Type="http://schemas.openxmlformats.org/officeDocument/2006/relationships/image" Target="media/image764.png"/><Relationship Id="rId863" Type="http://schemas.openxmlformats.org/officeDocument/2006/relationships/image" Target="media/image765.png"/><Relationship Id="rId864" Type="http://schemas.openxmlformats.org/officeDocument/2006/relationships/image" Target="media/image766.png"/><Relationship Id="rId865" Type="http://schemas.openxmlformats.org/officeDocument/2006/relationships/image" Target="media/image767.png"/><Relationship Id="rId866" Type="http://schemas.openxmlformats.org/officeDocument/2006/relationships/image" Target="media/image768.png"/><Relationship Id="rId867" Type="http://schemas.openxmlformats.org/officeDocument/2006/relationships/image" Target="media/image769.png"/><Relationship Id="rId868" Type="http://schemas.openxmlformats.org/officeDocument/2006/relationships/image" Target="media/image770.png"/><Relationship Id="rId869" Type="http://schemas.openxmlformats.org/officeDocument/2006/relationships/image" Target="media/image771.png"/><Relationship Id="rId870" Type="http://schemas.openxmlformats.org/officeDocument/2006/relationships/image" Target="media/image772.png"/><Relationship Id="rId871" Type="http://schemas.openxmlformats.org/officeDocument/2006/relationships/image" Target="media/image773.png"/><Relationship Id="rId872" Type="http://schemas.openxmlformats.org/officeDocument/2006/relationships/image" Target="media/image774.png"/><Relationship Id="rId873" Type="http://schemas.openxmlformats.org/officeDocument/2006/relationships/image" Target="media/image775.png"/><Relationship Id="rId874" Type="http://schemas.openxmlformats.org/officeDocument/2006/relationships/image" Target="media/image776.png"/><Relationship Id="rId875" Type="http://schemas.openxmlformats.org/officeDocument/2006/relationships/image" Target="media/image777.png"/><Relationship Id="rId876" Type="http://schemas.openxmlformats.org/officeDocument/2006/relationships/image" Target="media/image778.png"/><Relationship Id="rId877" Type="http://schemas.openxmlformats.org/officeDocument/2006/relationships/image" Target="media/image779.png"/><Relationship Id="rId878" Type="http://schemas.openxmlformats.org/officeDocument/2006/relationships/image" Target="media/image780.jpeg"/><Relationship Id="rId879" Type="http://schemas.openxmlformats.org/officeDocument/2006/relationships/image" Target="media/image781.png"/><Relationship Id="rId49" Type="http://schemas.openxmlformats.org/officeDocument/2006/relationships/hyperlink" Target="https://www.sec.gov/Archives/edgar/data/1305014/000095015714000168/ex2-1.htm" TargetMode="External"/><Relationship Id="rId50" Type="http://schemas.openxmlformats.org/officeDocument/2006/relationships/hyperlink" Target="https://www.sec.gov/Archives/edgar/data/1305014/000114036114016654/ex2_1.htm" TargetMode="External"/><Relationship Id="rId51" Type="http://schemas.openxmlformats.org/officeDocument/2006/relationships/hyperlink" Target="https://www.sec.gov/Archives/edgar/data/1305014/000130501416000155/ex2-1.htm" TargetMode="External"/><Relationship Id="rId52" Type="http://schemas.openxmlformats.org/officeDocument/2006/relationships/hyperlink" Target="https://www.sec.gov/Archives/edgar/data/1674862/000119312518331340/d653933dex21.htm" TargetMode="External"/><Relationship Id="rId53" Type="http://schemas.openxmlformats.org/officeDocument/2006/relationships/hyperlink" Target="https://www.sec.gov/Archives/edgar/data/1674862/000119312519190623/d752828dex21.htm" TargetMode="External"/><Relationship Id="rId54" Type="http://schemas.openxmlformats.org/officeDocument/2006/relationships/hyperlink" Target="https://www.sec.gov/Archives/edgar/data/1674862/000156459019028139/ash-ex21_7.htm" TargetMode="External"/><Relationship Id="rId55" Type="http://schemas.openxmlformats.org/officeDocument/2006/relationships/hyperlink" Target="https://www.sec.gov/Archives/edgar/data/0001674862/000156459020033450/ash-ex21_6.htm" TargetMode="External"/><Relationship Id="rId56" Type="http://schemas.openxmlformats.org/officeDocument/2006/relationships/hyperlink" Target="https://www.sec.gov/Archives/edgar/data/1674862/000119312521014797/d80286dex21.htm" TargetMode="External"/><Relationship Id="rId59" Type="http://schemas.openxmlformats.org/officeDocument/2006/relationships/hyperlink" Target="https://www.sec.gov/Archives/edgar/data/1674862/000095017021000603/ash-20210630ex2_2.htm" TargetMode="External"/><Relationship Id="rId63" Type="http://schemas.openxmlformats.org/officeDocument/2006/relationships/hyperlink" Target="https://www.sec.gov/Archives/edgar/data/1674862/000095015721000909/ex2-1.htm" TargetMode="External"/><Relationship Id="rId64" Type="http://schemas.openxmlformats.org/officeDocument/2006/relationships/hyperlink" Target="https://www.sec.gov/Archives/edgar/data/1674862/000095015722000200/ex2-1.htm" TargetMode="External"/><Relationship Id="rId65" Type="http://schemas.openxmlformats.org/officeDocument/2006/relationships/hyperlink" Target="https://www.sec.gov/Archives/edgar/data/1674862/000095015717000674/ex2-1.htm" TargetMode="External"/><Relationship Id="rId66" Type="http://schemas.openxmlformats.org/officeDocument/2006/relationships/hyperlink" Target="https://www.sec.gov/Archives/edgar/data/1674862/000095015717000674/ex2-2.htm" TargetMode="External"/><Relationship Id="rId67" Type="http://schemas.openxmlformats.org/officeDocument/2006/relationships/hyperlink" Target="https://www.sec.gov/Archives/edgar/data/1674862/000167486217000090/a9302017exhibit1084.htm" TargetMode="External"/><Relationship Id="rId68" Type="http://schemas.openxmlformats.org/officeDocument/2006/relationships/hyperlink" Target="https://www.sec.gov/Archives/edgar/data/1674862/000119312516714093/d246354dex31.htm" TargetMode="External"/><Relationship Id="rId69" Type="http://schemas.openxmlformats.org/officeDocument/2006/relationships/hyperlink" Target="https://www.sec.gov/Archives/edgar/data/1674862/000167486217000083/ex3_1.htm" TargetMode="External"/><Relationship Id="rId70" Type="http://schemas.openxmlformats.org/officeDocument/2006/relationships/hyperlink" Target="https://www.sec.gov/Archives/edgar/data/1674862/000095017022018687/ash-ex3_1.htm" TargetMode="External"/><Relationship Id="rId71" Type="http://schemas.openxmlformats.org/officeDocument/2006/relationships/hyperlink" Target="https://www.sec.gov/Archives/edgar/data/1305014/000119312513077448/d491459dex43.htm" TargetMode="External"/><Relationship Id="rId72" Type="http://schemas.openxmlformats.org/officeDocument/2006/relationships/hyperlink" Target="https://www.sec.gov/Archives/edgar/data/1305014/000119312513077448/d491459dex44.htm" TargetMode="External"/><Relationship Id="rId73" Type="http://schemas.openxmlformats.org/officeDocument/2006/relationships/hyperlink" Target="https://www.sec.gov/Archives/edgar/data/1305014/000095015713000133/ex4-2.htm" TargetMode="External"/><Relationship Id="rId74" Type="http://schemas.openxmlformats.org/officeDocument/2006/relationships/hyperlink" Target="https://www.sec.gov/Archives/edgar/data/1674862/000095017022025539/ash-ex4_12.htm" TargetMode="External"/><Relationship Id="rId77" Type="http://schemas.openxmlformats.org/officeDocument/2006/relationships/hyperlink" Target="https://www.sec.gov/Archives/edgar/data/1674862/000119312516742818/d272512dex42.htm" TargetMode="External"/><Relationship Id="rId78" Type="http://schemas.openxmlformats.org/officeDocument/2006/relationships/hyperlink" Target="https://www.sec.gov/Archives/edgar/data/1674862/000095017022025539/ash-ex4_14.htm" TargetMode="External"/><Relationship Id="rId79" Type="http://schemas.openxmlformats.org/officeDocument/2006/relationships/hyperlink" Target="https://www.sec.gov/Archives/edgar/data/1674862/000095015720000093/ex4-1.htm" TargetMode="External"/><Relationship Id="rId80" Type="http://schemas.openxmlformats.org/officeDocument/2006/relationships/hyperlink" Target="https://www.sec.gov/Archives/edgar/data/0001674862/000156459019044315/ash-ex414_230.htm" TargetMode="External"/><Relationship Id="rId81" Type="http://schemas.openxmlformats.org/officeDocument/2006/relationships/hyperlink" Target="https://www.sec.gov/Archives/edgar/data/0001674862/000156459019044315/ash-ex414_228.htm" TargetMode="External"/><Relationship Id="rId82" Type="http://schemas.openxmlformats.org/officeDocument/2006/relationships/hyperlink" Target="https://www.sec.gov/Archives/edgar/data/1674862/000095015721000851/ex4-1.htm" TargetMode="External"/><Relationship Id="rId83" Type="http://schemas.openxmlformats.org/officeDocument/2006/relationships/hyperlink" Target="https://www.sec.gov/Archives/edgar/data/1305014/000130501408000364/ex10-4dirdcp.htm" TargetMode="External"/><Relationship Id="rId84" Type="http://schemas.openxmlformats.org/officeDocument/2006/relationships/hyperlink" Target="https://www.sec.gov/Archives/edgar/data/1305014/000130501415000033/a3312015exhibit104.htm" TargetMode="External"/><Relationship Id="rId85" Type="http://schemas.openxmlformats.org/officeDocument/2006/relationships/hyperlink" Target="https://www.sec.gov/Archives/edgar/data/1674862/000167486217000006/a12312016exhibit104.htm" TargetMode="External"/><Relationship Id="rId86" Type="http://schemas.openxmlformats.org/officeDocument/2006/relationships/hyperlink" Target="https://www.sec.gov/Archives/edgar/data/1305014/000130501408000364/ex103eedcp.htm" TargetMode="External"/><Relationship Id="rId87" Type="http://schemas.openxmlformats.org/officeDocument/2006/relationships/hyperlink" Target="https://www.sec.gov/Archives/edgar/data/1674862/000156459019027524/ash-ex101_32.htm" TargetMode="External"/><Relationship Id="rId88" Type="http://schemas.openxmlformats.org/officeDocument/2006/relationships/hyperlink" Target="https://www.sec.gov/Archives/edgar/data/1674862/000156459019027524/ash-ex102_31.htm" TargetMode="External"/><Relationship Id="rId89" Type="http://schemas.openxmlformats.org/officeDocument/2006/relationships/hyperlink" Target="https://www.sec.gov/Archives/edgar/data/1305014/000130501411000034/ex103.htm" TargetMode="External"/><Relationship Id="rId90" Type="http://schemas.openxmlformats.org/officeDocument/2006/relationships/hyperlink" Target="https://www.sec.gov/Archives/edgar/data/1305014/000130501413000021/ex102.htm" TargetMode="External"/><Relationship Id="rId91" Type="http://schemas.openxmlformats.org/officeDocument/2006/relationships/hyperlink" Target="https://www.sec.gov/Archives/edgar/data/1674862/000167486216000008/a9302016exhibit1021.htm" TargetMode="External"/><Relationship Id="rId94" Type="http://schemas.openxmlformats.org/officeDocument/2006/relationships/hyperlink" Target="https://www.sec.gov/Archives/edgar/data/1305014/000130501414000097/a9302014exhibit1016.htm" TargetMode="External"/><Relationship Id="rId95" Type="http://schemas.openxmlformats.org/officeDocument/2006/relationships/hyperlink" Target="https://www.sec.gov/Archives/edgar/data/1674862/000167486216000008/a9302016exhibit1039.htm" TargetMode="External"/><Relationship Id="rId96" Type="http://schemas.openxmlformats.org/officeDocument/2006/relationships/hyperlink" Target="https://www.sec.gov/Archives/edgar/data/1674862/000119312516714093/d246354dex102.htm" TargetMode="External"/><Relationship Id="rId97" Type="http://schemas.openxmlformats.org/officeDocument/2006/relationships/hyperlink" Target="https://www.sec.gov/Archives/edgar/data/1674862/000167486216000008/a9302016exhibit1059.htm" TargetMode="External"/><Relationship Id="rId98" Type="http://schemas.openxmlformats.org/officeDocument/2006/relationships/hyperlink" Target="https://www.sec.gov/Archives/edgar/data/1305014/000130501410000079/dcplan.htm" TargetMode="External"/><Relationship Id="rId99" Type="http://schemas.openxmlformats.org/officeDocument/2006/relationships/hyperlink" Target="https://www.sec.gov/Archives/edgar/data/1674862/000167486216000008/a9302016exhibit1061.htm" TargetMode="External"/><Relationship Id="rId100" Type="http://schemas.openxmlformats.org/officeDocument/2006/relationships/hyperlink" Target="https://www.sec.gov/Archives/edgar/data/1674862/000167486218000003/ex10-1.htm" TargetMode="External"/><Relationship Id="rId101" Type="http://schemas.openxmlformats.org/officeDocument/2006/relationships/hyperlink" Target="https://www.sec.gov/Archives/edgar/data/1674862/000167486218000003/ex10-2.htm" TargetMode="External"/><Relationship Id="rId102" Type="http://schemas.openxmlformats.org/officeDocument/2006/relationships/hyperlink" Target="https://www.sec.gov/Archives/edgar/data/1674862/000167486218000003/ex10-3.htm" TargetMode="External"/><Relationship Id="rId103" Type="http://schemas.openxmlformats.org/officeDocument/2006/relationships/hyperlink" Target="https://www.sec.gov/Archives/edgar/data/1674862/000167486218000003/ex10-4.htm" TargetMode="External"/><Relationship Id="rId104" Type="http://schemas.openxmlformats.org/officeDocument/2006/relationships/hyperlink" Target="https://www.sec.gov/Archives/edgar/data/1674862/000167486218000003/ex10-5.htm" TargetMode="External"/><Relationship Id="rId105" Type="http://schemas.openxmlformats.org/officeDocument/2006/relationships/hyperlink" Target="https://www.sec.gov/Archives/edgar/data/1674862/000167486218000003/ex10-6.htm" TargetMode="External"/><Relationship Id="rId106" Type="http://schemas.openxmlformats.org/officeDocument/2006/relationships/hyperlink" Target="https://www.sec.gov/Archives/edgar/data/1674862/000156459019027524/ash-ex103_30.htm" TargetMode="External"/><Relationship Id="rId107" Type="http://schemas.openxmlformats.org/officeDocument/2006/relationships/hyperlink" Target="https://www.sec.gov/Archives/edgar/data/0001674862/000156459019044315/ash-ex1039_425.htm" TargetMode="External"/><Relationship Id="rId108" Type="http://schemas.openxmlformats.org/officeDocument/2006/relationships/hyperlink" Target="https://www.sec.gov/Archives/edgar/data/1674862/000156459019027524/ash-ex105_28.htm" TargetMode="External"/><Relationship Id="rId109" Type="http://schemas.openxmlformats.org/officeDocument/2006/relationships/hyperlink" Target="https://www.sec.gov/Archives/edgar/data/1674862/000156459019027524/ash-ex106_27.htm" TargetMode="External"/><Relationship Id="rId112" Type="http://schemas.openxmlformats.org/officeDocument/2006/relationships/hyperlink" Target="https://www.sec.gov/Archives/edgar/data/1674862/000156459019027524/ash-ex107_33.htm" TargetMode="External"/><Relationship Id="rId113" Type="http://schemas.openxmlformats.org/officeDocument/2006/relationships/hyperlink" Target="https://www.sec.gov/Archives/edgar/data/1674862/000156459019027524/ash-ex108_26.htm" TargetMode="External"/><Relationship Id="rId114" Type="http://schemas.openxmlformats.org/officeDocument/2006/relationships/hyperlink" Target="https://www.sec.gov/Archives/edgar/data/1674862/000095015719001178/ex10-1.htm" TargetMode="External"/><Relationship Id="rId115" Type="http://schemas.openxmlformats.org/officeDocument/2006/relationships/hyperlink" Target="https://www.sec.gov/Archives/edgar/data/1674862/000156459021004018/ash-ex101_6.htm" TargetMode="External"/><Relationship Id="rId116" Type="http://schemas.openxmlformats.org/officeDocument/2006/relationships/hyperlink" Target="https://www.sec.gov/Archives/edgar/data/1674862/000156459021004018/ash-ex102_8.htm" TargetMode="External"/><Relationship Id="rId117" Type="http://schemas.openxmlformats.org/officeDocument/2006/relationships/hyperlink" Target="https://www.sec.gov/Archives/edgar/data/1674862/000156459021004018/ash-ex103_9.htm" TargetMode="External"/><Relationship Id="rId118" Type="http://schemas.openxmlformats.org/officeDocument/2006/relationships/hyperlink" Target="https://www.sec.gov/Archives/edgar/data/1674862/000156459021004018/ash-ex104_10.htm" TargetMode="External"/><Relationship Id="rId119" Type="http://schemas.openxmlformats.org/officeDocument/2006/relationships/hyperlink" Target="https://www.sec.gov/Archives/edgar/data/1674862/000156459021004018/ash-ex105_7.htm" TargetMode="External"/><Relationship Id="rId120" Type="http://schemas.openxmlformats.org/officeDocument/2006/relationships/hyperlink" Target="https://www.sec.gov/Archives/edgar/data/1674862/000156459021004018/ash-ex106_11.htm" TargetMode="External"/><Relationship Id="rId121" Type="http://schemas.openxmlformats.org/officeDocument/2006/relationships/hyperlink" Target="https://www.sec.gov/Archives/edgar/data/1674862/000095017021001020/ash-20210803ex10_2.htm" TargetMode="External"/><Relationship Id="rId122" Type="http://schemas.openxmlformats.org/officeDocument/2006/relationships/hyperlink" Target="https://www.sec.gov/Archives/edgar/data/1674862/000095017021001020/ash-20210803ex10_3.htm" TargetMode="External"/><Relationship Id="rId123" Type="http://schemas.openxmlformats.org/officeDocument/2006/relationships/hyperlink" Target="https://www.sec.gov/Archives/edgar/data/1674862/000095017021001020/ash-20210803ex10_4.htm" TargetMode="External"/><Relationship Id="rId124" Type="http://schemas.openxmlformats.org/officeDocument/2006/relationships/hyperlink" Target="https://www.sec.gov/Archives/edgar/data/1674862/000095017021001020/ash-20210803ex10_5.htm" TargetMode="External"/><Relationship Id="rId125" Type="http://schemas.openxmlformats.org/officeDocument/2006/relationships/hyperlink" Target="https://www.sec.gov/Archives/edgar/data/1674862/000095017021001020/ash-20210803ex10_6.htm" TargetMode="External"/><Relationship Id="rId126" Type="http://schemas.openxmlformats.org/officeDocument/2006/relationships/hyperlink" Target="https://www.sec.gov/Archives/edgar/data/1674862/000095017021001020/ash-20210803ex10_7.htm" TargetMode="External"/><Relationship Id="rId127" Type="http://schemas.openxmlformats.org/officeDocument/2006/relationships/hyperlink" Target="https://www.sec.gov/Archives/edgar/data/1674862/000095017021004843/ash-ex10_69.htm" TargetMode="External"/><Relationship Id="rId130" Type="http://schemas.openxmlformats.org/officeDocument/2006/relationships/hyperlink" Target="https://www.sec.gov/Archives/edgar/data/1674862/000095017022025539/ash-ex10_60.htm" TargetMode="External"/><Relationship Id="rId131" Type="http://schemas.openxmlformats.org/officeDocument/2006/relationships/hyperlink" Target="https://www.sec.gov/Archives/edgar/data/1674862/000095017022025539/ash-ex10_61.htm" TargetMode="External"/><Relationship Id="rId132" Type="http://schemas.openxmlformats.org/officeDocument/2006/relationships/hyperlink" Target="https://www.sec.gov/Archives/edgar/data/1674862/000095017022025539/ash-ex10_62.htm" TargetMode="External"/><Relationship Id="rId133" Type="http://schemas.openxmlformats.org/officeDocument/2006/relationships/hyperlink" Target="https://www.sec.gov/Archives/edgar/data/1674862/000095017022025539/ash-ex10_63.htm" TargetMode="External"/><Relationship Id="rId134" Type="http://schemas.openxmlformats.org/officeDocument/2006/relationships/hyperlink" Target="https://www.sec.gov/Archives/edgar/data/1674862/000095017022025539/ash-ex10_64.htm" TargetMode="External"/><Relationship Id="rId135" Type="http://schemas.openxmlformats.org/officeDocument/2006/relationships/hyperlink" Target="https://www.sec.gov/Archives/edgar/data/1674862/000095017022025539/ash-ex10_65.htm" TargetMode="External"/><Relationship Id="rId136" Type="http://schemas.openxmlformats.org/officeDocument/2006/relationships/hyperlink" Target="https://www.sec.gov/Archives/edgar/data/1674862/000095017022025539/ash-ex10_66.htm" TargetMode="External"/><Relationship Id="rId137" Type="http://schemas.openxmlformats.org/officeDocument/2006/relationships/hyperlink" Target="https://www.sec.gov/Archives/edgar/data/1674862/000095017022025539/ash-ex10_67.htm" TargetMode="External"/><Relationship Id="rId138" Type="http://schemas.openxmlformats.org/officeDocument/2006/relationships/hyperlink" Target="https://www.sec.gov/Archives/edgar/data/1674862/000095015720000057/ex10-1.htm" TargetMode="External"/><Relationship Id="rId139" Type="http://schemas.openxmlformats.org/officeDocument/2006/relationships/hyperlink" Target="https://www.sec.gov/Archives/edgar/data/1674862/000095015722000804/ex10-1.htm" TargetMode="External"/><Relationship Id="rId140" Type="http://schemas.openxmlformats.org/officeDocument/2006/relationships/hyperlink" Target="https://www.sec.gov/Archives/edgar/data/1674862/000156459021014162/ash-ex101_7.htm" TargetMode="External"/><Relationship Id="rId141" Type="http://schemas.openxmlformats.org/officeDocument/2006/relationships/hyperlink" Target="https://www.sec.gov/Archives/edgar/data/1674862/000156459021014162/ash-ex102_8.htm" TargetMode="External"/><Relationship Id="rId144" Type="http://schemas.openxmlformats.org/officeDocument/2006/relationships/hyperlink" Target="https://www.sec.gov/Archives/edgar/data/1674862/000095017022002325/ash-ex10_1.htm" TargetMode="External"/><Relationship Id="rId145" Type="http://schemas.openxmlformats.org/officeDocument/2006/relationships/hyperlink" Target="https://www.sec.gov/Archives/edgar/data/1674862/000095017022002325/ash-ex10_2.htm" TargetMode="External"/><Relationship Id="rId146" Type="http://schemas.openxmlformats.org/officeDocument/2006/relationships/hyperlink" Target="https://www.sec.gov/Archives/edgar/data/1674862/000095017022025539/ash-ex10_74.htm" TargetMode="External"/><Relationship Id="rId147" Type="http://schemas.openxmlformats.org/officeDocument/2006/relationships/hyperlink" Target="https://www.sec.gov/Archives/edgar/data/1674862/000095017022025539/ash-ex10_75.htm" TargetMode="External"/><Relationship Id="rId148" Type="http://schemas.openxmlformats.org/officeDocument/2006/relationships/hyperlink" Target="https://www.sec.gov/Archives/edgar/data/1674862/000119312516714093/d246354dex101.htm" TargetMode="External"/><Relationship Id="rId149" Type="http://schemas.openxmlformats.org/officeDocument/2006/relationships/hyperlink" Target="https://www.sec.gov/Archives/edgar/data/1305014/000119312516723813/d258812dex101.htm" TargetMode="External"/><Relationship Id="rId150" Type="http://schemas.openxmlformats.org/officeDocument/2006/relationships/hyperlink" Target="https://www.sec.gov/Archives/edgar/data/1305014/000119312516723813/d258812dex104.htm" TargetMode="External"/><Relationship Id="rId151" Type="http://schemas.openxmlformats.org/officeDocument/2006/relationships/hyperlink" Target="https://www.sec.gov/Archives/edgar/data/1305014/000119312516723813/d258812dex105.htm" TargetMode="External"/><Relationship Id="rId152" Type="http://schemas.openxmlformats.org/officeDocument/2006/relationships/hyperlink" Target="https://www.sec.gov/Archives/edgar/data/1674862/000095015721000976/ex10-1.htm" TargetMode="External"/><Relationship Id="rId153" Type="http://schemas.openxmlformats.org/officeDocument/2006/relationships/hyperlink" Target="https://www.sec.gov/Archives/edgar/data/1674862/000095017022000723/ash-ex10_1.htm" TargetMode="External"/><Relationship Id="rId154" Type="http://schemas.openxmlformats.org/officeDocument/2006/relationships/hyperlink" Target="https://www.sec.gov/ix?doc=/Archives/edgar/data/0001674862/000095017024106894/ash-202409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2024-11-18T15:40:57Z</dcterms:created>
  <dcterms:modified xsi:type="dcterms:W3CDTF">2024-11-18T15:40:57Z</dcterms:modified>
</cp:coreProperties>
</file>