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sh-20260728.htm"/>
      <w:bookmarkStart w:id="1" w:name="ksash20260728"/>
      <w:bookmarkEnd w:id="0"/>
      <w:bookmarkEnd w:id="1"/>
      <w:r>
        <w:rPr/>
        <w:t> </w:t>
      </w:r>
    </w:p>
    <w:p>
      <w:pPr>
        <w:pStyle w:val="TextBody"/>
        <w:bidi w:val="0"/>
        <w:spacing w:before="115" w:after="283"/>
        <w:jc w:val="center"/>
        <w:rPr>
          <w:rFonts w:ascii="Times New Roman" w:hAnsi="Times New Roman"/>
          <w:sz w:val="20"/>
        </w:rPr>
      </w:pPr>
      <w:r>
        <w:rPr>
          <w:rFonts w:ascii="Ashland;sans-serif" w:hAnsi="Ashland;sans-serif"/>
          <w:b/>
          <w:color w:val="000000"/>
          <w:sz w:val="34"/>
        </w:rPr>
        <w:t>UNITED STATES</w:t>
        <w:br/>
        <w:t>SECURITIES AND EXCHANGE COMMISSION</w:t>
      </w:r>
      <w:r>
        <w:rPr>
          <w:rFonts w:ascii="Ashland;sans-serif" w:hAnsi="Ashland;sans-serif"/>
          <w:b/>
          <w:color w:val="000000"/>
          <w:sz w:val="36"/>
        </w:rPr>
        <w:br/>
      </w:r>
      <w:r>
        <w:rPr>
          <w:rFonts w:ascii="Ashland;sans-serif" w:hAnsi="Ashland;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Ashland;sans-serif" w:hAnsi="Ashland;sans-serif"/>
          <w:color w:val="000000"/>
          <w:sz w:val="36"/>
        </w:rPr>
        <w:t xml:space="preserve">FORM </w:t>
      </w:r>
      <w:r>
        <w:rPr>
          <w:rFonts w:ascii="Ashland;sans-serif" w:hAnsi="Ashland;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Ashland;sans-serif" w:hAnsi="Ashland;sans-serif"/>
          <w:b/>
          <w:color w:val="000000"/>
          <w:sz w:val="24"/>
        </w:rPr>
      </w:pPr>
      <w:r>
        <w:rPr>
          <w:rFonts w:ascii="Ashland;sans-serif" w:hAnsi="Ashland;sans-serif"/>
          <w:b/>
          <w:color w:val="000000"/>
          <w:sz w:val="24"/>
        </w:rPr>
        <w:t>CURRENT REPORT</w:t>
      </w:r>
    </w:p>
    <w:p>
      <w:pPr>
        <w:pStyle w:val="TextBody"/>
        <w:bidi w:val="0"/>
        <w:spacing w:before="180" w:after="120"/>
        <w:jc w:val="center"/>
        <w:rPr>
          <w:rFonts w:ascii="Ashland;sans-serif" w:hAnsi="Ashland;sans-serif"/>
          <w:b/>
          <w:color w:val="000000"/>
          <w:sz w:val="24"/>
        </w:rPr>
      </w:pPr>
      <w:r>
        <w:rPr>
          <w:rFonts w:ascii="Ashland;sans-serif" w:hAnsi="Ashland;sans-serif"/>
          <w:b/>
          <w:color w:val="000000"/>
          <w:sz w:val="24"/>
        </w:rPr>
        <w:t>Pursuant to Section 13 or 15(d) of the Securities Exchange Act of 1934</w:t>
      </w:r>
    </w:p>
    <w:tbl>
      <w:tblPr>
        <w:tblW w:w="7066" w:type="dxa"/>
        <w:jc w:val="left"/>
        <w:tblInd w:w="0" w:type="dxa"/>
        <w:tblLayout w:type="fixed"/>
        <w:tblCellMar>
          <w:top w:w="28" w:type="dxa"/>
          <w:left w:w="28" w:type="dxa"/>
          <w:bottom w:w="28" w:type="dxa"/>
          <w:right w:w="28" w:type="dxa"/>
        </w:tblCellMar>
      </w:tblPr>
      <w:tblGrid>
        <w:gridCol w:w="7066"/>
      </w:tblGrid>
      <w:tr>
        <w:trPr/>
        <w:tc>
          <w:tcPr>
            <w:tcW w:w="7066" w:type="dxa"/>
            <w:tcBorders/>
            <w:vAlign w:val="center"/>
          </w:tcPr>
          <w:p>
            <w:pPr>
              <w:pStyle w:val="TableContents"/>
              <w:bidi w:val="0"/>
              <w:spacing w:before="0" w:after="283"/>
              <w:jc w:val="left"/>
              <w:rPr>
                <w:sz w:val="4"/>
                <w:szCs w:val="4"/>
              </w:rPr>
            </w:pPr>
            <w:r>
              <w:rPr>
                <w:sz w:val="4"/>
                <w:szCs w:val="4"/>
              </w:rPr>
            </w:r>
          </w:p>
        </w:tc>
      </w:tr>
      <w:tr>
        <w:trPr/>
        <w:tc>
          <w:tcPr>
            <w:tcW w:w="7066"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Date of Report (Date of earliest event reported): July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shland;sans-serif" w:hAnsi="Ashland;sans-serif"/>
          <w:b/>
          <w:color w:val="000000"/>
          <w:sz w:val="45"/>
        </w:rPr>
      </w:pPr>
      <w:r>
        <w:rPr>
          <w:rFonts w:ascii="Ashland;sans-serif" w:hAnsi="Ashland;sans-serif"/>
          <w:b/>
          <w:color w:val="000000"/>
          <w:sz w:val="45"/>
        </w:rPr>
        <w:t>ASHLAND INC.</w:t>
      </w:r>
    </w:p>
    <w:p>
      <w:pPr>
        <w:pStyle w:val="TextBody"/>
        <w:bidi w:val="0"/>
        <w:spacing w:before="60" w:after="283"/>
        <w:jc w:val="center"/>
        <w:rPr>
          <w:rFonts w:ascii="Ashland;sans-serif" w:hAnsi="Ashland;sans-serif"/>
          <w:b/>
          <w:color w:val="000000"/>
          <w:sz w:val="15"/>
        </w:rPr>
      </w:pPr>
      <w:r>
        <w:rPr>
          <w:rFonts w:ascii="Ashland;sans-serif" w:hAnsi="Ashland;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412" w:type="dxa"/>
        <w:jc w:val="left"/>
        <w:tblInd w:w="0" w:type="dxa"/>
        <w:tblLayout w:type="fixed"/>
        <w:tblCellMar>
          <w:top w:w="28" w:type="dxa"/>
          <w:left w:w="28" w:type="dxa"/>
          <w:bottom w:w="28" w:type="dxa"/>
          <w:right w:w="28" w:type="dxa"/>
        </w:tblCellMar>
      </w:tblPr>
      <w:tblGrid>
        <w:gridCol w:w="1217"/>
        <w:gridCol w:w="1104"/>
        <w:gridCol w:w="1114"/>
        <w:gridCol w:w="2296"/>
        <w:gridCol w:w="1681"/>
      </w:tblGrid>
      <w:tr>
        <w:trPr/>
        <w:tc>
          <w:tcPr>
            <w:tcW w:w="121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333-211719</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81-2587835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(IRS Employer</w:t>
              <w:br/>
              <w:t>Identification No.)</w:t>
            </w:r>
          </w:p>
        </w:tc>
      </w:tr>
      <w:tr>
        <w:trPr/>
        <w:tc>
          <w:tcPr>
            <w:tcW w:w="12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8145 Blazer Drive</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Wilmington, Delaware</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19808</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(Zip Code)</w:t>
            </w:r>
          </w:p>
        </w:tc>
      </w:tr>
    </w:tbl>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7606"/>
      </w:tblGrid>
      <w:tr>
        <w:trPr/>
        <w:tc>
          <w:tcPr>
            <w:tcW w:w="7606" w:type="dxa"/>
            <w:tcBorders/>
            <w:vAlign w:val="center"/>
          </w:tcPr>
          <w:p>
            <w:pPr>
              <w:pStyle w:val="TableContents"/>
              <w:bidi w:val="0"/>
              <w:spacing w:before="0" w:after="283"/>
              <w:jc w:val="left"/>
              <w:rPr>
                <w:sz w:val="4"/>
                <w:szCs w:val="4"/>
              </w:rPr>
            </w:pPr>
            <w:r>
              <w:rPr>
                <w:sz w:val="4"/>
                <w:szCs w:val="4"/>
              </w:rPr>
            </w:r>
          </w:p>
        </w:tc>
      </w:tr>
      <w:tr>
        <w:trPr/>
        <w:tc>
          <w:tcPr>
            <w:tcW w:w="7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shland;sans-serif" w:hAnsi="Ashland;sans-serif"/>
                <w:b/>
                <w:color w:val="000000"/>
                <w:sz w:val="20"/>
              </w:rPr>
              <w:t>Registrant’s Telephone Number, Including Area Code:</w:t>
            </w:r>
            <w:r>
              <w:rPr>
                <w:rFonts w:ascii="Times New Roman" w:hAnsi="Times New Roman"/>
                <w:color w:val="000000"/>
                <w:sz w:val="20"/>
              </w:rPr>
              <w:t xml:space="preserve"> </w:t>
            </w:r>
            <w:r>
              <w:rPr>
                <w:rFonts w:ascii="Ashland;sans-serif" w:hAnsi="Ashland;sans-serif"/>
                <w:b/>
                <w:color w:val="000000"/>
                <w:sz w:val="20"/>
              </w:rPr>
              <w:t>302</w:t>
            </w:r>
            <w:r>
              <w:rPr>
                <w:rFonts w:ascii="Times New Roman" w:hAnsi="Times New Roman"/>
                <w:color w:val="000000"/>
                <w:sz w:val="20"/>
              </w:rPr>
              <w:t xml:space="preserve"> </w:t>
            </w:r>
            <w:r>
              <w:rPr>
                <w:rFonts w:ascii="Ashland;sans-serif" w:hAnsi="Ashland;sans-serif"/>
                <w:b/>
                <w:color w:val="000000"/>
                <w:sz w:val="20"/>
              </w:rPr>
              <w:t>995-3000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Ashland;sans-serif" w:hAnsi="Ashland;sans-serif"/>
          <w:b/>
          <w:color w:val="000000"/>
          <w:sz w:val="15"/>
        </w:rPr>
      </w:pPr>
      <w:r>
        <w:rPr>
          <w:rFonts w:ascii="Ashland;sans-serif" w:hAnsi="Ashland;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shland;sans-serif" w:hAnsi="Ashland;sans-serif"/>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Ashland;sans-serif" w:hAnsi="Ashland;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Ashland;sans-serif" w:hAnsi="Ashland;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Ashland;sans-serif" w:hAnsi="Ashland;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Ashland;sans-serif" w:hAnsi="Ashland;sans-serif"/>
          <w:color w:val="000000"/>
          <w:sz w:val="20"/>
        </w:rPr>
        <w:t>Pre-commencement communications pursuant to Rule 13e-4(c) under the Exchange Act (17 CFR 240.13e-4(c))</w:t>
      </w:r>
    </w:p>
    <w:p>
      <w:pPr>
        <w:pStyle w:val="TextBody"/>
        <w:bidi w:val="0"/>
        <w:spacing w:before="180" w:after="180"/>
        <w:jc w:val="center"/>
        <w:rPr>
          <w:rFonts w:ascii="Ashland;sans-serif" w:hAnsi="Ashland;sans-serif"/>
          <w:b/>
          <w:color w:val="000000"/>
          <w:sz w:val="20"/>
        </w:rPr>
      </w:pPr>
      <w:r>
        <w:rPr>
          <w:rFonts w:ascii="Ashland;sans-serif" w:hAnsi="Ashland;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897"/>
        <w:gridCol w:w="146"/>
        <w:gridCol w:w="1187"/>
        <w:gridCol w:w="146"/>
        <w:gridCol w:w="4829"/>
      </w:tblGrid>
      <w:tr>
        <w:trPr/>
        <w:tc>
          <w:tcPr>
            <w:tcW w:w="3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9" w:type="dxa"/>
            <w:tcBorders/>
            <w:vAlign w:val="center"/>
          </w:tcPr>
          <w:p>
            <w:pPr>
              <w:pStyle w:val="TableContents"/>
              <w:bidi w:val="0"/>
              <w:spacing w:before="0" w:after="283"/>
              <w:jc w:val="left"/>
              <w:rPr>
                <w:sz w:val="4"/>
                <w:szCs w:val="4"/>
              </w:rPr>
            </w:pPr>
            <w:r>
              <w:rPr>
                <w:sz w:val="4"/>
                <w:szCs w:val="4"/>
              </w:rPr>
            </w:r>
          </w:p>
        </w:tc>
      </w:tr>
      <w:tr>
        <w:trPr/>
        <w:tc>
          <w:tcPr>
            <w:tcW w:w="389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82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shland;sans-serif" w:hAnsi="Ashland;sans-serif"/>
                <w:b/>
                <w:color w:val="000000"/>
                <w:sz w:val="20"/>
              </w:rPr>
            </w:pPr>
            <w:r>
              <w:rPr>
                <w:rFonts w:ascii="Ashland;sans-serif" w:hAnsi="Ashland;sans-serif"/>
                <w:b/>
                <w:color w:val="000000"/>
                <w:sz w:val="20"/>
              </w:rPr>
              <w:br/>
              <w:t>Name of each exchange on which registered</w:t>
            </w:r>
          </w:p>
        </w:tc>
      </w:tr>
      <w:tr>
        <w:trPr/>
        <w:tc>
          <w:tcPr>
            <w:tcW w:w="3897"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29" w:type="dxa"/>
            <w:tcBorders/>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20"/>
              </w:rPr>
            </w:pPr>
            <w:r>
              <w:rPr>
                <w:rFonts w:ascii="Ashland;sans-serif" w:hAnsi="Ashland;sans-serif"/>
                <w:color w:val="000000"/>
                <w:sz w:val="20"/>
              </w:rPr>
              <w:t>The New York Stock Exchange</w:t>
            </w:r>
          </w:p>
        </w:tc>
      </w:tr>
    </w:tbl>
    <w:p>
      <w:pPr>
        <w:pStyle w:val="TextBody"/>
        <w:bidi w:val="0"/>
        <w:spacing w:before="240" w:after="283"/>
        <w:jc w:val="left"/>
        <w:rPr>
          <w:rFonts w:ascii="Times New Roman" w:hAnsi="Times New Roman"/>
          <w:sz w:val="20"/>
        </w:rPr>
      </w:pPr>
      <w:r>
        <w:rPr>
          <w:rFonts w:ascii="Ashland;sans-serif" w:hAnsi="Ashland;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shland;sans-serif" w:hAnsi="Ashland;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Ashland;sans-serif" w:hAnsi="Ashland;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Ashland;sans-serif" w:hAnsi="Ashland;sans-serif"/>
          <w:color w:val="000000"/>
          <w:sz w:val="20"/>
        </w:rPr>
      </w:pPr>
      <w:r>
        <w:rPr>
          <w:rFonts w:ascii="Ashland;sans-serif" w:hAnsi="Ashland;sans-serif"/>
          <w:color w:val="000000"/>
          <w:sz w:val="20"/>
        </w:rPr>
        <w:t>Item 2.02 Results of Operations and Financial Condition.</w:t>
      </w:r>
    </w:p>
    <w:p>
      <w:pPr>
        <w:pStyle w:val="TextBody"/>
        <w:bidi w:val="0"/>
        <w:jc w:val="both"/>
        <w:rPr>
          <w:rFonts w:ascii="Ashland;sans-serif" w:hAnsi="Ashland;sans-serif"/>
          <w:color w:val="000000"/>
          <w:sz w:val="20"/>
        </w:rPr>
      </w:pPr>
      <w:r>
        <w:rPr>
          <w:rFonts w:ascii="Ashland;sans-serif" w:hAnsi="Ashland;sans-serif"/>
          <w:color w:val="000000"/>
          <w:sz w:val="20"/>
        </w:rPr>
        <w:t>On July 28, 2026, Ashland Inc. (“Ashland”) announced preliminary third quarter results, which are discussed in more detail in the news release (the “News Release”) attached to this Current Report on Form 8-K (“Form 8-K”) as Exhibit 99.1, which is incorporated herein by reference into this Item 2.02.</w:t>
      </w:r>
    </w:p>
    <w:p>
      <w:pPr>
        <w:pStyle w:val="Heading2"/>
        <w:bidi w:val="0"/>
        <w:spacing w:before="360" w:after="120"/>
        <w:jc w:val="left"/>
        <w:rPr>
          <w:rFonts w:ascii="Ashland;sans-serif" w:hAnsi="Ashland;sans-serif"/>
          <w:color w:val="000000"/>
          <w:sz w:val="20"/>
        </w:rPr>
      </w:pPr>
      <w:r>
        <w:rPr>
          <w:rFonts w:ascii="Ashland;sans-serif" w:hAnsi="Ashland;sans-serif"/>
          <w:color w:val="000000"/>
          <w:sz w:val="20"/>
        </w:rPr>
        <w:t>Item 7.01 Regulation FD Disclosure.</w:t>
      </w:r>
    </w:p>
    <w:p>
      <w:pPr>
        <w:pStyle w:val="TextBody"/>
        <w:bidi w:val="0"/>
        <w:jc w:val="both"/>
        <w:rPr>
          <w:rFonts w:ascii="Times New Roman" w:hAnsi="Times New Roman"/>
          <w:sz w:val="20"/>
        </w:rPr>
      </w:pPr>
      <w:r>
        <w:rPr>
          <w:rFonts w:ascii="Ashland;sans-serif" w:hAnsi="Ashland;sans-serif"/>
          <w:color w:val="000000"/>
          <w:sz w:val="20"/>
        </w:rPr>
        <w:t>On July 28, 2026, Ashland will make available the News Release on the “Investor Center” section of Ashland’s website located at http://investor.ashland.com.</w:t>
      </w:r>
      <w:r>
        <w:rPr>
          <w:rFonts w:ascii="Times New Roman" w:hAnsi="Times New Roman"/>
          <w:color w:val="000000"/>
          <w:sz w:val="20"/>
        </w:rPr>
        <w:t xml:space="preserve"> </w:t>
      </w:r>
    </w:p>
    <w:p>
      <w:pPr>
        <w:pStyle w:val="Heading2"/>
        <w:bidi w:val="0"/>
        <w:spacing w:before="360" w:after="120"/>
        <w:jc w:val="left"/>
        <w:rPr>
          <w:rFonts w:ascii="Ashland;sans-serif" w:hAnsi="Ashland;sans-serif"/>
          <w:color w:val="000000"/>
          <w:sz w:val="20"/>
        </w:rPr>
      </w:pPr>
      <w:r>
        <w:rPr>
          <w:rFonts w:ascii="Ashland;sans-serif" w:hAnsi="Ashland;sans-serif"/>
          <w:color w:val="000000"/>
          <w:sz w:val="20"/>
        </w:rPr>
        <w:t>Item 9.01 Financial Statements and Exhibits.</w:t>
      </w:r>
    </w:p>
    <w:tbl>
      <w:tblPr>
        <w:tblW w:w="8526" w:type="dxa"/>
        <w:jc w:val="left"/>
        <w:tblInd w:w="0" w:type="dxa"/>
        <w:tblLayout w:type="fixed"/>
        <w:tblCellMar>
          <w:top w:w="28" w:type="dxa"/>
          <w:left w:w="28" w:type="dxa"/>
          <w:bottom w:w="28" w:type="dxa"/>
          <w:right w:w="28" w:type="dxa"/>
        </w:tblCellMar>
      </w:tblPr>
      <w:tblGrid>
        <w:gridCol w:w="541"/>
        <w:gridCol w:w="109"/>
        <w:gridCol w:w="7876"/>
      </w:tblGrid>
      <w:tr>
        <w:trPr/>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76"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Exhibits</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h-ex99_1.htm">
              <w:r>
                <w:rPr>
                  <w:rStyle w:val="InternetLink"/>
                  <w:rFonts w:ascii="Ashland;sans-serif" w:hAnsi="Ashland;sans-serif"/>
                  <w:color w:val="0000FF"/>
                  <w:sz w:val="20"/>
                  <w:u w:val="single"/>
                </w:rPr>
                <w:t>News Release dated July 28, 2026.</w:t>
              </w:r>
            </w:hyperlink>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Cover Page Interactive Data File (embedded within the Inline XBRL Document).</w:t>
            </w:r>
          </w:p>
        </w:tc>
      </w:tr>
    </w:tbl>
    <w:p>
      <w:pPr>
        <w:pStyle w:val="TextBody"/>
        <w:bidi w:val="0"/>
        <w:jc w:val="both"/>
        <w:rPr>
          <w:rFonts w:ascii="Ashland;sans-serif" w:hAnsi="Ashland;sans-serif"/>
          <w:color w:val="000000"/>
          <w:sz w:val="20"/>
        </w:rPr>
      </w:pPr>
      <w:r>
        <w:rPr>
          <w:rFonts w:ascii="Ashland;sans-serif" w:hAnsi="Ashland;sans-serif"/>
          <w:color w:val="000000"/>
          <w:sz w:val="20"/>
        </w:rPr>
        <w:t>In connection with the disclosures set forth in Items 2.02 and 7.01 above, the information in this Form 8-K, including the exhibit attached hereto, is being furnished and shall not be deemed “filed” for purposes of Section 18 of the Securities Exchange Act of 1934, as amended (the “Exchange Act”), or otherwise subject to the liabilities of such section. The information in this Form 8-K, including the exhibit, shall not be incorporated by reference into any filing under the Securities Act of 1933, as amended, or the Exchange Act, regardless of any incorporation by reference language in any such filing. This Form 8-K will not be deemed an admission as to the materiality of any information in this Form 8-K that is required to be disclosed solely by Regulation FD.</w:t>
      </w:r>
    </w:p>
    <w:p>
      <w:pPr>
        <w:pStyle w:val="TextBody"/>
        <w:bidi w:val="0"/>
        <w:jc w:val="left"/>
        <w:rPr>
          <w:rFonts w:ascii="Times New Roman" w:hAnsi="Times New Roman"/>
          <w:sz w:val="20"/>
        </w:rPr>
      </w:pPr>
      <w:r>
        <w:rPr>
          <w:rFonts w:ascii="Ashland;sans-serif" w:hAnsi="Ashland;sans-serif"/>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shland;sans-serif" w:hAnsi="Ashland;sans-serif"/>
          <w:b/>
          <w:color w:val="000000"/>
          <w:sz w:val="20"/>
        </w:rPr>
      </w:pPr>
      <w:r>
        <w:rPr>
          <w:rFonts w:ascii="Ashland;sans-serif" w:hAnsi="Ashland;sans-serif"/>
          <w:b/>
          <w:color w:val="000000"/>
          <w:sz w:val="20"/>
        </w:rPr>
        <w:t>SIGNATURES</w:t>
      </w:r>
    </w:p>
    <w:p>
      <w:pPr>
        <w:pStyle w:val="TextBody"/>
        <w:bidi w:val="0"/>
        <w:spacing w:before="0" w:after="187"/>
        <w:jc w:val="left"/>
        <w:rPr>
          <w:rFonts w:ascii="Ashland;sans-serif" w:hAnsi="Ashland;sans-serif"/>
          <w:color w:val="000000"/>
          <w:sz w:val="20"/>
        </w:rPr>
      </w:pPr>
      <w:r>
        <w:rPr>
          <w:rFonts w:ascii="Ashland;sans-serif" w:hAnsi="Ashland;sans-serif"/>
          <w:color w:val="000000"/>
          <w:sz w:val="20"/>
        </w:rPr>
        <w:t>Pursuant to the requirements of the Securities Exchange Act of 1934, the registrant has duly caused this report to be signed on its behalf by the undersigned hereunto duly authorized.</w:t>
      </w:r>
    </w:p>
    <w:tbl>
      <w:tblPr>
        <w:tblW w:w="5119" w:type="dxa"/>
        <w:jc w:val="left"/>
        <w:tblInd w:w="0" w:type="dxa"/>
        <w:tblLayout w:type="fixed"/>
        <w:tblCellMar>
          <w:top w:w="28" w:type="dxa"/>
          <w:left w:w="28" w:type="dxa"/>
          <w:bottom w:w="28" w:type="dxa"/>
          <w:right w:w="28" w:type="dxa"/>
        </w:tblCellMar>
      </w:tblPr>
      <w:tblGrid>
        <w:gridCol w:w="646"/>
        <w:gridCol w:w="1366"/>
        <w:gridCol w:w="46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Ashland;sans-serif" w:hAnsi="Ashland;sans-serif"/>
                <w:color w:val="000000"/>
                <w:sz w:val="20"/>
              </w:rPr>
            </w:pPr>
            <w:r>
              <w:rPr>
                <w:rFonts w:ascii="Ashland;sans-serif" w:hAnsi="Ashland;sans-serif"/>
                <w:color w:val="000000"/>
                <w:sz w:val="20"/>
              </w:rPr>
              <w:t>ASHLAND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86" w:after="283"/>
              <w:jc w:val="left"/>
              <w:rPr>
                <w:rFonts w:ascii="Ashland;sans-serif" w:hAnsi="Ashland;sans-serif"/>
                <w:color w:val="000000"/>
                <w:sz w:val="20"/>
              </w:rPr>
            </w:pPr>
            <w:r>
              <w:rPr>
                <w:rFonts w:ascii="Ashland;sans-serif" w:hAnsi="Ashland;sans-serif"/>
                <w:color w:val="000000"/>
                <w:sz w:val="20"/>
              </w:rPr>
              <w:t>Date:</w:t>
            </w:r>
          </w:p>
        </w:tc>
        <w:tc>
          <w:tcPr>
            <w:tcW w:w="1366" w:type="dxa"/>
            <w:tcBorders/>
            <w:tcMar>
              <w:top w:w="0" w:type="dxa"/>
              <w:left w:w="0" w:type="dxa"/>
              <w:bottom w:w="0" w:type="dxa"/>
              <w:right w:w="0" w:type="dxa"/>
            </w:tcMar>
            <w:vAlign w:val="center"/>
          </w:tcPr>
          <w:p>
            <w:pPr>
              <w:pStyle w:val="TableContents"/>
              <w:bidi w:val="0"/>
              <w:spacing w:before="86" w:after="283"/>
              <w:jc w:val="left"/>
              <w:rPr>
                <w:rFonts w:ascii="Ashland;sans-serif" w:hAnsi="Ashland;sans-serif"/>
                <w:color w:val="000000"/>
                <w:sz w:val="20"/>
              </w:rPr>
            </w:pPr>
            <w:r>
              <w:rPr>
                <w:rFonts w:ascii="Ashland;sans-serif" w:hAnsi="Ashland;sans-serif"/>
                <w:color w:val="000000"/>
                <w:sz w:val="20"/>
              </w:rPr>
              <w:t>July 28, 2026</w:t>
            </w:r>
          </w:p>
        </w:tc>
        <w:tc>
          <w:tcPr>
            <w:tcW w:w="46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Ashland;sans-serif" w:hAnsi="Ashland;sans-serif"/>
                <w:color w:val="000000"/>
                <w:sz w:val="20"/>
              </w:rPr>
              <w:t>By:</w:t>
            </w:r>
            <w:r>
              <w:rPr>
                <w:rFonts w:ascii="Times New Roman" w:hAnsi="Times New Roman"/>
                <w:color w:val="000000"/>
                <w:sz w:val="20"/>
              </w:rPr>
              <w:t xml:space="preserve">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shland;sans-serif" w:hAnsi="Ashland;sans-serif"/>
                <w:color w:val="000000"/>
                <w:sz w:val="20"/>
              </w:rPr>
            </w:pPr>
            <w:r>
              <w:rPr>
                <w:rFonts w:ascii="Ashland;sans-serif" w:hAnsi="Ashland;sans-serif"/>
                <w:color w:val="000000"/>
                <w:sz w:val="20"/>
              </w:rPr>
              <w:t>/s/ William C. Whitaker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Ashland;sans-serif" w:hAnsi="Ashland;sans-serif"/>
                <w:color w:val="000000"/>
                <w:sz w:val="20"/>
              </w:rPr>
            </w:pPr>
            <w:r>
              <w:rPr>
                <w:rFonts w:ascii="Ashland;sans-serif" w:hAnsi="Ashland;sans-serif"/>
                <w:color w:val="000000"/>
                <w:sz w:val="20"/>
              </w:rPr>
              <w:t>William C. Whitaker</w:t>
              <w:br/>
              <w:t>Senior Vice President and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sh-ex99_1.htm"/>
      <w:bookmarkStart w:id="3" w:name="ksashex99_1"/>
      <w:bookmarkEnd w:id="2"/>
      <w:bookmarkEnd w:id="3"/>
      <w:r>
        <w:rPr/>
        <w:t> </w:t>
      </w:r>
      <w:r>
        <w:br w:type="page"/>
      </w:r>
    </w:p>
    <w:p>
      <w:pPr>
        <w:pStyle w:val="TextBody"/>
        <w:bidi w:val="0"/>
        <w:jc w:val="both"/>
        <w:rPr>
          <w:rFonts w:ascii="Times New Roman" w:hAnsi="Times New Roman"/>
          <w:sz w:val="20"/>
        </w:rPr>
      </w:pPr>
      <w:r>
        <w:rPr>
          <w:rFonts w:ascii="Ashland;sans-serif" w:hAnsi="Ashland;sans-serif"/>
          <w:color w:val="000000"/>
          <w:sz w:val="20"/>
        </w:rPr>
        <w:t>Exhibit 99.1</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drawing>
          <wp:inline distT="0" distB="0" distL="0" distR="0">
            <wp:extent cx="22860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723900"/>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Ashland reports third quarter 2026 results and reaffirms full-year sales &amp; Adjusted EBITDA outlook</w:t>
      </w:r>
    </w:p>
    <w:p>
      <w:pPr>
        <w:pStyle w:val="TextBody"/>
        <w:bidi w:val="0"/>
        <w:jc w:val="left"/>
        <w:rPr/>
      </w:pPr>
      <w:r>
        <w:rPr/>
        <w:t> </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 xml:space="preserve">Sales of $497 million, up seven percent from the prior-year quarter </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Income from continuing operations of $41 million, or $0.89 per diluted share</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Adjusted Income from Continuing Operations Excluding Intangibles Amortization Expense of $47 million, or $1.02 per diluted share</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Net income of $16 million, or $0.35 per diluted share</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Sales volumes rose six percent from the prior-year quarter, with gains achieved across all business units</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 xml:space="preserve">Adjusted EBITDA of $109 million, down four percent from the prior-year quarter, primarily reflecting growth in Life Sciences and Personal Care, more than offset by lower Specialty Additives and Intermediates earnings </w:t>
      </w:r>
    </w:p>
    <w:p>
      <w:pPr>
        <w:pStyle w:val="TextBody"/>
        <w:bidi w:val="0"/>
        <w:spacing w:before="0" w:after="60"/>
        <w:jc w:val="both"/>
        <w:rPr>
          <w:color w:val="000000"/>
        </w:rPr>
      </w:pPr>
      <w:r>
        <w:rPr>
          <w:color w:val="000000"/>
        </w:rPr>
        <w:t>•</w:t>
      </w:r>
    </w:p>
    <w:p>
      <w:pPr>
        <w:pStyle w:val="TextBody"/>
        <w:bidi w:val="0"/>
        <w:spacing w:before="0" w:after="60"/>
        <w:jc w:val="both"/>
        <w:rPr/>
      </w:pPr>
      <w:r>
        <w:rPr>
          <w:rFonts w:ascii="Ashland;sans-serif" w:hAnsi="Ashland;sans-serif"/>
          <w:color w:val="000000"/>
          <w:sz w:val="22"/>
        </w:rPr>
        <w:t>Cash flows provided by operating activities of $121 million; Ongoing Free Cash Flow</w:t>
      </w:r>
      <w:r>
        <w:rPr>
          <w:rFonts w:ascii="Ashland;sans-serif" w:hAnsi="Ashland;sans-serif"/>
          <w:color w:val="000000"/>
          <w:sz w:val="15"/>
        </w:rPr>
        <w:t>2</w:t>
      </w:r>
      <w:r>
        <w:rPr>
          <w:color w:val="000000"/>
        </w:rPr>
        <w:t xml:space="preserve"> </w:t>
      </w:r>
      <w:r>
        <w:rPr>
          <w:rFonts w:ascii="Ashland;sans-serif" w:hAnsi="Ashland;sans-serif"/>
          <w:color w:val="000000"/>
          <w:sz w:val="22"/>
        </w:rPr>
        <w:t>of $103 million</w:t>
      </w:r>
    </w:p>
    <w:p>
      <w:pPr>
        <w:pStyle w:val="TextBody"/>
        <w:bidi w:val="0"/>
        <w:spacing w:before="0" w:after="60"/>
        <w:jc w:val="both"/>
        <w:rPr>
          <w:color w:val="000000"/>
        </w:rPr>
      </w:pPr>
      <w:r>
        <w:rPr>
          <w:color w:val="000000"/>
        </w:rPr>
        <w:t>•</w:t>
      </w:r>
    </w:p>
    <w:p>
      <w:pPr>
        <w:pStyle w:val="TextBody"/>
        <w:bidi w:val="0"/>
        <w:spacing w:before="0" w:after="60"/>
        <w:jc w:val="both"/>
        <w:rPr>
          <w:rFonts w:ascii="Ashland;sans-serif" w:hAnsi="Ashland;sans-serif"/>
          <w:color w:val="000000"/>
          <w:sz w:val="22"/>
        </w:rPr>
      </w:pPr>
      <w:r>
        <w:rPr>
          <w:rFonts w:ascii="Ashland;sans-serif" w:hAnsi="Ashland;sans-serif"/>
          <w:color w:val="000000"/>
          <w:sz w:val="22"/>
        </w:rPr>
        <w:t>Reaffirming full</w:t>
        <w:noBreakHyphen/>
        <w:t xml:space="preserve">year fiscal 2026 sales guidance of $1,835-$1,870 million and Adjusted EBITDA guidance of $385-$400 million </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WILMINGTON, Del., July 28, 2026 – Ashland Inc. (NYSE: ASH) today announced financial results</w:t>
      </w:r>
      <w:r>
        <w:rPr>
          <w:rFonts w:ascii="Ashland;sans-serif" w:hAnsi="Ashland;sans-serif"/>
          <w:color w:val="000000"/>
          <w:sz w:val="15"/>
        </w:rPr>
        <w:t>1</w:t>
      </w:r>
      <w:r>
        <w:rPr>
          <w:rFonts w:ascii="Times New Roman" w:hAnsi="Times New Roman"/>
          <w:color w:val="000000"/>
          <w:sz w:val="20"/>
        </w:rPr>
        <w:t xml:space="preserve"> </w:t>
      </w:r>
      <w:r>
        <w:rPr>
          <w:rFonts w:ascii="Ashland;sans-serif" w:hAnsi="Ashland;sans-serif"/>
          <w:color w:val="000000"/>
          <w:sz w:val="22"/>
        </w:rPr>
        <w:t>for the third quarter of fiscal year 2026, which ended June 30, 2026, and reaffirmed its full-year fiscal 2026 sales and Adjusted EBITDA outlook. Ashland, a global additives and specialty ingredients company, holds leadership positions in high-quality, consumer-focused markets including pharmaceuticals, personal care and architectural coatings.</w:t>
      </w:r>
    </w:p>
    <w:p>
      <w:pPr>
        <w:pStyle w:val="TextBody"/>
        <w:bidi w:val="0"/>
        <w:jc w:val="both"/>
        <w:rPr/>
      </w:pPr>
      <w:r>
        <w:rPr/>
        <w:t> </w:t>
      </w:r>
    </w:p>
    <w:p>
      <w:pPr>
        <w:pStyle w:val="TextBody"/>
        <w:bidi w:val="0"/>
        <w:jc w:val="both"/>
        <w:rPr>
          <w:color w:val="000000"/>
        </w:rPr>
      </w:pPr>
      <w:r>
        <w:rPr>
          <w:color w:val="000000"/>
        </w:rPr>
        <w:t>“</w:t>
      </w:r>
      <w:r>
        <w:rPr>
          <w:rFonts w:ascii="Ashland;sans-serif" w:hAnsi="Ashland;sans-serif"/>
          <w:color w:val="000000"/>
          <w:sz w:val="22"/>
        </w:rPr>
        <w:t>Ashland’s third-quarter results reflected broad-based demand and strong commercial execution across the portfolio,” said Guillermo Novo, chair and chief executive officer, Ashland. “Sales increased seven percent year-over-year, with growth achieved across all business units and regions. Our teams continued to successfully recover higher raw material costs through pricing actions, preserving margins while maintaining strong customer relationships. Life Sciences delivered double-digit sales gains, benefiting from broad demand across pharma and continued progress from our globalize and innovate strategies. Personal Care generated another quarter of strong performance, led by momentum in biofunctional actives, high-single-digit growth in skin care, and favorable contributions from hair care and microbial protection. Specialty Additives benefited from continued growth in coatings and performance specialties driven by share gains and strong commercial momentum. In Intermediates, merchant sales increased, reflecting improving NMP demand for battery-related applications.”</w:t>
      </w:r>
    </w:p>
    <w:p>
      <w:pPr>
        <w:pStyle w:val="TextBody"/>
        <w:bidi w:val="0"/>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Novo continued, “Our third quarter results reflected continued progress on the initiatives that are strengthening our operations and positioning the company for improved profitability over time. Plant operations improved during the quarter and profitability increased sequentially, and we recognize there is still work to do and expect continued progress as we advance our operational priorities and investments to improve reliability and throughput across the network.”</w:t>
      </w:r>
    </w:p>
    <w:p>
      <w:pPr>
        <w:pStyle w:val="TextBody"/>
        <w:bidi w:val="0"/>
        <w:jc w:val="both"/>
        <w:rPr/>
      </w:pPr>
      <w:r>
        <w:rPr/>
        <w:t> </w:t>
      </w:r>
    </w:p>
    <w:p>
      <w:pPr>
        <w:pStyle w:val="TextBody"/>
        <w:bidi w:val="0"/>
        <w:jc w:val="both"/>
        <w:rPr/>
      </w:pPr>
      <w:r>
        <w:rPr>
          <w:color w:val="000000"/>
        </w:rPr>
        <w:t>“</w:t>
      </w:r>
      <w:r>
        <w:rPr>
          <w:rFonts w:ascii="Ashland;sans-serif" w:hAnsi="Ashland;sans-serif"/>
          <w:color w:val="000000"/>
          <w:sz w:val="22"/>
        </w:rPr>
        <w:t>Our globalize and innovate strategies continued to exceed our targets, driven by strong customer engagement, innovation execution and momentum across our differentiated portfolio,” Novo said. “We also generated healthy cash flow in the quarter, supported by disciplined inventory management. Importantly, we ended the quarter with net leverage of 2.4x, returning to our long-term target range and further strengthening our financial flexibility. As operational performance continues to improve and production increasingly aligns with demand, we expect greater flexibility across the network and an improving profitability profile. We are also expanding the reach of our technology platforms, creating new opportunities to deliver differentiated solutions, deepen customer engagement and support long-term value creation. While the macroeconomic environment remains uncertain, we remain focused on the factors within our control, including commercial execution, operating performance, cash generation and productivity.”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Third-quarter sales were $497 million, up seven percent from $463 million in the prior-year quarter. Sales volumes increased across all business units. Pricing increased by approximately one percent led by strength in Specialty Additives and Life Sciences. Foreign currency movements contributed a favorable $3 million, or one percent, to sales.</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Net income was $16 million, up from a loss of $742 million in the prior year. Income from continuing operations was $41 million, or $0.89 per diluted share, compared to a loss of ($15.70) last year. Adjusted Income from Continuing Operations Excluding Intangibles Amortization Expense was $47 million, down from $48 million, or $1.02 per diluted share versus $1.04 in the prior year. Adjusted Operating Income was $63 million, down from $65 million last year. Adjusted EBITDA was $109 million, representing a 21.9 percent margin, down four percent from $113 million in the prior-year quarter, as favorable volumes and pricing actions were more than offset by the lingering impact of lower production rates experienced earlier in the fiscal year, inflationary cost pressures, and the normalization of incentive compensation from a low prior-year base. Foreign currency movements contributed a favorable $1 million to Adjusted EBITDA.</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Average diluted shares outstanding were 46 million in the third quarter, flat versus 46 million in the prior-year quarter.</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Cash flows provided by operating activities were $121 million, up from $114 million in the prior-year quarter, driven primarily by working capital improvements. Ongoing Free Cash Flow totaled $103 million versus $108 million in the prior</w:t>
        <w:noBreakHyphen/>
        <w:t>year quarter as ongoing free cash flow conversion rates remained above 90% in both periods.</w:t>
      </w:r>
    </w:p>
    <w:p>
      <w:pPr>
        <w:pStyle w:val="TextBody"/>
        <w:bidi w:val="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Reportable Segment Performance</w:t>
      </w:r>
    </w:p>
    <w:p>
      <w:pPr>
        <w:pStyle w:val="TextBody"/>
        <w:bidi w:val="0"/>
        <w:jc w:val="both"/>
        <w:rPr>
          <w:rFonts w:ascii="Ashland;sans-serif" w:hAnsi="Ashland;sans-serif"/>
          <w:color w:val="000000"/>
          <w:sz w:val="22"/>
        </w:rPr>
      </w:pPr>
      <w:r>
        <w:rPr>
          <w:rFonts w:ascii="Ashland;sans-serif" w:hAnsi="Ashland;sans-serif"/>
          <w:color w:val="000000"/>
          <w:sz w:val="22"/>
        </w:rPr>
        <w:t>To aid in the understanding of Ashland’s ongoing business performance, the results of Ashland reportable segments are described below on an adjusted basis. In addition, EBITDA and Adjusted EBITDA are reconciled to operating income in Table 4. Free Cash Flow, Ongoing Free Cash Flow and Adjusted Operating Income are reconciled in Table 6 and Adjusted Income from Continuing Operations, Adjusted Diluted Earnings Per Share and Adjusted Diluted Earnings Per Share Excluding Intangible Amortization Expense are reconciled in Table 7 of this news release. These adjusted results are considered non-GAAP financial measures. For a full description of the non-GAAP financial measures used, see the “Use of Non-GAAP Measures” section that further describes these adjustments below.</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Life Sciences</w:t>
      </w:r>
    </w:p>
    <w:p>
      <w:pPr>
        <w:pStyle w:val="TextBody"/>
        <w:bidi w:val="0"/>
        <w:jc w:val="both"/>
        <w:rPr>
          <w:rFonts w:ascii="Ashland;sans-serif" w:hAnsi="Ashland;sans-serif"/>
          <w:color w:val="000000"/>
          <w:sz w:val="22"/>
        </w:rPr>
      </w:pPr>
      <w:r>
        <w:rPr>
          <w:rFonts w:ascii="Ashland;sans-serif" w:hAnsi="Ashland;sans-serif"/>
          <w:color w:val="000000"/>
          <w:sz w:val="22"/>
        </w:rPr>
        <w:t>Sales for the Life Sciences segment totaled $180 million in the third quarter, an increase of 11 percent compared to the prior-year quarter. Performance was driven by higher sales volumes, led by broad-based pharma demand across all major regions and product categories, continued strength in high-purity excipients and injectables, and customer order timing during the quarter. Pharma achieved double-digit sales growth, representing its fifth consecutive quarter of year-over-year volume gains, while Ashland's innovate strategy continued to support momentum in differentiated cellulose grades, injectables and low-nitrite products. Prices increased year-over-year following previously announced pricing actions, and foreign currency movements contributed a favorable impact of approximately $1 million to segment sales.</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Adjusted Operating Income for the quarter was $45 million, up from $40 million in the prior</w:t>
        <w:noBreakHyphen/>
        <w:t>year quarter. Adjusted EBITDA totaled $60 million, representing a 33 percent margin and an 11 percent increase versus $54 million last year. The year</w:t>
      </w:r>
      <w:r>
        <w:rPr>
          <w:rFonts w:ascii="Times New Roman" w:hAnsi="Times New Roman"/>
          <w:color w:val="000000"/>
          <w:sz w:val="20"/>
        </w:rPr>
        <w:noBreakHyphen/>
      </w:r>
      <w:r>
        <w:rPr>
          <w:rFonts w:ascii="Ashland;sans-serif" w:hAnsi="Ashland;sans-serif"/>
          <w:color w:val="000000"/>
          <w:sz w:val="22"/>
        </w:rPr>
        <w:t>over</w:t>
      </w:r>
      <w:r>
        <w:rPr>
          <w:rFonts w:ascii="Times New Roman" w:hAnsi="Times New Roman"/>
          <w:color w:val="000000"/>
          <w:sz w:val="20"/>
        </w:rPr>
        <w:noBreakHyphen/>
      </w:r>
      <w:r>
        <w:rPr>
          <w:rFonts w:ascii="Ashland;sans-serif" w:hAnsi="Ashland;sans-serif"/>
          <w:color w:val="000000"/>
          <w:sz w:val="22"/>
        </w:rPr>
        <w:t>year increase was driven primarily by higher volumes and favorable pricing and product mix, partially offset by higher SARD. Foreign currency movements had a negligible impact on Adjusted EBITDA in the quarter. Life Sciences continues to benefit from resilient pharma demand, broad-based volume growth, and strong commercial execution, supported by ongoing momentum across its globalize and innovate strategies.</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Personal Care</w:t>
      </w:r>
    </w:p>
    <w:p>
      <w:pPr>
        <w:pStyle w:val="TextBody"/>
        <w:bidi w:val="0"/>
        <w:jc w:val="both"/>
        <w:rPr>
          <w:rFonts w:ascii="Ashland;sans-serif" w:hAnsi="Ashland;sans-serif"/>
          <w:color w:val="000000"/>
          <w:sz w:val="22"/>
        </w:rPr>
      </w:pPr>
      <w:r>
        <w:rPr>
          <w:rFonts w:ascii="Ashland;sans-serif" w:hAnsi="Ashland;sans-serif"/>
          <w:color w:val="000000"/>
          <w:sz w:val="22"/>
        </w:rPr>
        <w:t>Personal Care sales in the third quarter were $155 million, an increase of five percent compared to $147 million in the prior-year quarter. Performance was driven by strong volume growth across end markets and regions, including high-single-digit growth in skin care, mid-single-digit growth in hair care and low-single-digit growth in oral and home care. Care Ingredients delivered solid gains, biofunctional actives delivered strong double-digit growth and microbial protection delivered favorable growth supported by double-digit volume gains. Performance was led by the Americas and China and supported by continued progress across Ashland's globalize and innovate strategies. Pricing improved sequentially during the quarter, while foreign currency movements contributed approximately $1 million to segment sales.</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Adjusted Operating Income was $30 million, up from $26 million in the prior</w:t>
        <w:noBreakHyphen/>
        <w:t>year period. Adjusted EBITDA was $45 million, compared to $41 million in the prior-year quarter, representing a margin of 29 percent. Improved profitability was driven primarily by higher sales volumes and favorable product mix, partially</w:t>
      </w:r>
      <w:r>
        <w:rPr>
          <w:rFonts w:ascii="Times New Roman" w:hAnsi="Times New Roman"/>
          <w:color w:val="000000"/>
          <w:sz w:val="20"/>
        </w:rPr>
        <w:t xml:space="preserve"> </w:t>
      </w:r>
    </w:p>
    <w:p>
      <w:pPr>
        <w:pStyle w:val="TextBody"/>
        <w:bidi w:val="0"/>
        <w:jc w:val="center"/>
        <w:rPr>
          <w:rFonts w:ascii="Ashland;sans-serif" w:hAnsi="Ashland;sans-serif"/>
          <w:color w:val="000000"/>
          <w:sz w:val="18"/>
        </w:rPr>
      </w:pPr>
      <w:r>
        <w:rPr>
          <w:rFonts w:ascii="Ashland;sans-serif" w:hAnsi="Ashland;sans-serif"/>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offset by lower pricing. Personal Care delivered strong margins while continuing to advance targeted commercial and innovation initiatives across the portfolio.</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Specialty Additives</w:t>
      </w:r>
    </w:p>
    <w:p>
      <w:pPr>
        <w:pStyle w:val="TextBody"/>
        <w:bidi w:val="0"/>
        <w:jc w:val="both"/>
        <w:rPr>
          <w:rFonts w:ascii="Times New Roman" w:hAnsi="Times New Roman"/>
          <w:sz w:val="20"/>
        </w:rPr>
      </w:pPr>
      <w:r>
        <w:rPr>
          <w:rFonts w:ascii="Ashland;sans-serif" w:hAnsi="Ashland;sans-serif"/>
          <w:color w:val="000000"/>
          <w:sz w:val="22"/>
        </w:rPr>
        <w:t>Specialty Additives sales were $136 million in the third quarter; an increase of four percent compared to the prior-year quarter. Performance was driven by favorable pricing and mix, as continued growth in Coatings and Performance Specialties reflected strong commercial execution and share gains. These strengths more than offset the expected weakness in Construction and Energy and Resources, where market conditions remained challenged reflecting continuous softness in demand and deliberate portfolio management actions. Regionally, most markets improved compared with the prior year driven by strong execution from the commercial team. Foreign currency movements provided a favorable impact of approximately $1 million to segment sales.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Adjusted Operating Income was $5 million, compared to income of $9 million in the prior-year quarter, and Adjusted EBITDA was $20 million, down from $26 million in the prior-year quarter. Results were generally in line with expectations and continued to reflect the carryover effects of the operational challenges and lower production rates discussed earlier in the fiscal year, which contributed to higher operating costs during the quarter. These impacts were partially offset by favorable pricing and product mix. Foreign currency had a negligible impact on Adjusted EBITDA during the quarter.</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Intermediates</w:t>
      </w:r>
    </w:p>
    <w:p>
      <w:pPr>
        <w:pStyle w:val="TextBody"/>
        <w:bidi w:val="0"/>
        <w:jc w:val="both"/>
        <w:rPr>
          <w:rFonts w:ascii="Times New Roman" w:hAnsi="Times New Roman"/>
          <w:sz w:val="20"/>
        </w:rPr>
      </w:pPr>
      <w:r>
        <w:rPr>
          <w:rFonts w:ascii="Ashland;sans-serif" w:hAnsi="Ashland;sans-serif"/>
          <w:color w:val="000000"/>
          <w:sz w:val="22"/>
        </w:rPr>
        <w:t>Intermediates sales totaled $37 million in the third quarter; an increase of twelve percent compared to $33 million in the prior-year quarter. This included $26 million in merchant sales, compared to $23 million in the prior year, and $11 million in captive butanediol (BDO) sales, up $1 million year-over-year. Captive BDO sales are recognized at market</w:t>
        <w:noBreakHyphen/>
        <w:t>based pricing. Merchant sales improved, driven by higher N</w:t>
        <w:noBreakHyphen/>
        <w:t>Methyl</w:t>
        <w:noBreakHyphen/>
        <w:t>2</w:t>
        <w:noBreakHyphen/>
        <w:t>pyrrolidone (NMP) demand from North American EV battery and energy-storage customers. Foreign currency movements had a negligible impact on sales in the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Adjusted Operating Income was $3 million, compared to income of $4 million in the prior-year quarter. Adjusted EBITDA was $4 million, down from $7 million in the prior-year quarter. The year-over-year decline primarily reflected lower advanced manufacturing tax credit benefits compared to the prior-year quarter, while underlying operating performance remained broadly stable. Foreign currency had a negligible impact on Adjusted EBITDA during the quarter.</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Unallocated &amp; Other</w:t>
      </w:r>
    </w:p>
    <w:p>
      <w:pPr>
        <w:pStyle w:val="TextBody"/>
        <w:bidi w:val="0"/>
        <w:jc w:val="both"/>
        <w:rPr>
          <w:rFonts w:ascii="Ashland;sans-serif" w:hAnsi="Ashland;sans-serif"/>
          <w:color w:val="000000"/>
          <w:sz w:val="22"/>
        </w:rPr>
      </w:pPr>
      <w:r>
        <w:rPr>
          <w:rFonts w:ascii="Ashland;sans-serif" w:hAnsi="Ashland;sans-serif"/>
          <w:color w:val="000000"/>
          <w:sz w:val="22"/>
        </w:rPr>
        <w:t>Unallocated and other expense was $37 million compared to $49 million in the prior-year quarter. The year-over-year improvement primarily reflected favorable corporate items including lower environmental expenses and the benefit of tax credits, partially offset by higher compensation-related expenses. Adjusted unallocated and other expense EBITDA was $20 million compared to $15 million in the prior-year quarter.</w:t>
      </w:r>
    </w:p>
    <w:p>
      <w:pPr>
        <w:pStyle w:val="TextBody"/>
        <w:bidi w:val="0"/>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Ashland;sans-serif" w:hAnsi="Ashland;sans-serif"/>
          <w:b/>
          <w:color w:val="000000"/>
          <w:sz w:val="22"/>
        </w:rPr>
      </w:pPr>
      <w:r>
        <w:rPr>
          <w:rFonts w:ascii="Ashland;sans-serif" w:hAnsi="Ashland;sans-serif"/>
          <w:b/>
          <w:color w:val="000000"/>
          <w:sz w:val="22"/>
        </w:rPr>
        <w:t>Financial Outlook</w:t>
      </w:r>
    </w:p>
    <w:p>
      <w:pPr>
        <w:pStyle w:val="TextBody"/>
        <w:bidi w:val="0"/>
        <w:spacing w:before="0" w:after="120"/>
        <w:jc w:val="both"/>
        <w:rPr>
          <w:rFonts w:ascii="Times New Roman" w:hAnsi="Times New Roman"/>
          <w:sz w:val="20"/>
        </w:rPr>
      </w:pPr>
      <w:r>
        <w:rPr>
          <w:rFonts w:ascii="Ashland;sans-serif" w:hAnsi="Ashland;sans-serif"/>
          <w:color w:val="000000"/>
          <w:sz w:val="22"/>
        </w:rPr>
        <w:t>Ashland is reaffirming its full year fiscal 2026 sales guidance of $1,835 to $1,870 million and its Adjusted EBITDA guidance of $385 to $400 million. Ashland is also revising its adjusted EPS outlook to low-to-mid-single digit growth from mid-to-high-single digit growth, reflecting a higher tax rate associated with unfavorable discrete items.</w:t>
      </w:r>
      <w:r>
        <w:rPr>
          <w:rFonts w:ascii="Times New Roman" w:hAnsi="Times New Roman"/>
          <w:color w:val="000000"/>
          <w:sz w:val="20"/>
        </w:rPr>
        <w:t xml:space="preserve"> </w:t>
      </w:r>
      <w:r>
        <w:rPr>
          <w:rFonts w:ascii="Ashland;sans-serif" w:hAnsi="Ashland;sans-serif"/>
          <w:color w:val="000000"/>
          <w:sz w:val="22"/>
        </w:rPr>
        <w:t>The outlook reflects continued growth across the portfolio, ongoing momentum in higher value applications, increasing realization of recent pricing actions and strong cash generation.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shland;sans-serif" w:hAnsi="Ashland;sans-serif"/>
          <w:color w:val="000000"/>
          <w:sz w:val="22"/>
        </w:rPr>
        <w:t>Despite a mixed macroeconomic backdrop, Ashland’s core Life Sciences and Personal Care end markets continue to demonstrate resilient demand, supported by stable fundamentals, continued innovation adoption from customers and strong commercial execution. Specialty Additives trends continue to improve, driven by share gains in coatings and performance specialties.</w:t>
      </w:r>
      <w:r>
        <w:rPr>
          <w:rFonts w:ascii="Times New Roman" w:hAnsi="Times New Roman"/>
          <w:color w:val="000000"/>
          <w:sz w:val="20"/>
        </w:rPr>
        <w:t xml:space="preserve"> </w:t>
      </w:r>
    </w:p>
    <w:p>
      <w:pPr>
        <w:pStyle w:val="TextBody"/>
        <w:bidi w:val="0"/>
        <w:jc w:val="both"/>
        <w:rPr>
          <w:rFonts w:ascii="Ashland;sans-serif" w:hAnsi="Ashland;sans-serif"/>
          <w:color w:val="000000"/>
          <w:sz w:val="22"/>
        </w:rPr>
      </w:pPr>
      <w:r>
        <w:rPr>
          <w:rFonts w:ascii="Ashland;sans-serif" w:hAnsi="Ashland;sans-serif"/>
          <w:color w:val="000000"/>
          <w:sz w:val="22"/>
        </w:rPr>
        <w:t>Ashland continues to benefit from growth in differentiated, higher value applications, including biofunctional actives, microbial protection, injectables and tablet coatings. Recent pricing actions are contributing to results and are expected to provide greater benefit in the fourth quarter as realization increases. Raw material and freight costs are expected to remain elevated amid geopolitical supply pressures, although Ashland expects pricing actions to offset these impacts over time.</w:t>
      </w:r>
    </w:p>
    <w:p>
      <w:pPr>
        <w:pStyle w:val="TextBody"/>
        <w:bidi w:val="0"/>
        <w:jc w:val="both"/>
        <w:rPr/>
      </w:pPr>
      <w:r>
        <w:rPr/>
        <w:t> </w:t>
      </w:r>
    </w:p>
    <w:p>
      <w:pPr>
        <w:pStyle w:val="TextBody"/>
        <w:bidi w:val="0"/>
        <w:spacing w:before="0" w:after="120"/>
        <w:jc w:val="left"/>
        <w:rPr>
          <w:rFonts w:ascii="Ashland;sans-serif" w:hAnsi="Ashland;sans-serif"/>
          <w:b/>
          <w:color w:val="000000"/>
          <w:sz w:val="22"/>
        </w:rPr>
      </w:pPr>
      <w:r>
        <w:rPr>
          <w:rFonts w:ascii="Ashland;sans-serif" w:hAnsi="Ashland;sans-serif"/>
          <w:b/>
          <w:color w:val="000000"/>
          <w:sz w:val="22"/>
        </w:rPr>
        <w:t>Updated guidance</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shland;sans-serif" w:hAnsi="Ashland;sans-serif"/>
          <w:b/>
          <w:color w:val="000000"/>
          <w:sz w:val="22"/>
        </w:rPr>
        <w:t>Sales:</w:t>
      </w:r>
      <w:r>
        <w:rPr>
          <w:color w:val="000000"/>
        </w:rPr>
        <w:t xml:space="preserve"> </w:t>
      </w:r>
      <w:r>
        <w:rPr>
          <w:rFonts w:ascii="Ashland;sans-serif" w:hAnsi="Ashland;sans-serif"/>
          <w:color w:val="000000"/>
          <w:sz w:val="22"/>
        </w:rPr>
        <w:t>$1,835 to $1,870 million (no change)</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shland;sans-serif" w:hAnsi="Ashland;sans-serif"/>
          <w:b/>
          <w:color w:val="000000"/>
          <w:sz w:val="22"/>
        </w:rPr>
        <w:t>Adjusted EBITDA:</w:t>
      </w:r>
      <w:r>
        <w:rPr>
          <w:color w:val="000000"/>
        </w:rPr>
        <w:t xml:space="preserve"> </w:t>
      </w:r>
      <w:r>
        <w:rPr>
          <w:rFonts w:ascii="Ashland;sans-serif" w:hAnsi="Ashland;sans-serif"/>
          <w:color w:val="000000"/>
          <w:sz w:val="22"/>
        </w:rPr>
        <w:t>$385 million to $400 million (no change)</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shland;sans-serif" w:hAnsi="Ashland;sans-serif"/>
          <w:b/>
          <w:color w:val="000000"/>
          <w:sz w:val="22"/>
        </w:rPr>
        <w:t>Adjusted Diluted Earnings Per Share Excluding Intangibles Amortization:</w:t>
      </w:r>
      <w:r>
        <w:rPr>
          <w:color w:val="000000"/>
        </w:rPr>
        <w:t xml:space="preserve"> </w:t>
      </w:r>
      <w:r>
        <w:rPr>
          <w:rFonts w:ascii="Ashland;sans-serif" w:hAnsi="Ashland;sans-serif"/>
          <w:color w:val="000000"/>
          <w:sz w:val="22"/>
        </w:rPr>
        <w:t xml:space="preserve">low-to-mid single-digit growth </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shland;sans-serif" w:hAnsi="Ashland;sans-serif"/>
          <w:b/>
          <w:color w:val="000000"/>
          <w:sz w:val="22"/>
        </w:rPr>
        <w:t>Ongoing Free Cash Flow Conversion:</w:t>
      </w:r>
      <w:r>
        <w:rPr>
          <w:color w:val="000000"/>
        </w:rPr>
        <w:t xml:space="preserve"> </w:t>
      </w:r>
      <w:r>
        <w:rPr>
          <w:rFonts w:ascii="Ashland;sans-serif" w:hAnsi="Ashland;sans-serif"/>
          <w:color w:val="000000"/>
          <w:sz w:val="22"/>
        </w:rPr>
        <w:t>greater than 50 percent of Adjusted EBITDA with capital expenditures of approximately $~90 million</w:t>
      </w:r>
    </w:p>
    <w:p>
      <w:pPr>
        <w:pStyle w:val="TextBody"/>
        <w:bidi w:val="0"/>
        <w:jc w:val="both"/>
        <w:rPr>
          <w:color w:val="000000"/>
        </w:rPr>
      </w:pPr>
      <w:r>
        <w:rPr>
          <w:color w:val="000000"/>
        </w:rPr>
        <w:t>“</w:t>
      </w:r>
      <w:r>
        <w:rPr>
          <w:rFonts w:ascii="Ashland;sans-serif" w:hAnsi="Ashland;sans-serif"/>
          <w:color w:val="000000"/>
          <w:sz w:val="22"/>
        </w:rPr>
        <w:t>As we look ahead, our full year expectations reflect the underlying strength of our portfolio and the momentum we are seeing across the business,” concluded Guillermo Novo, chair and chief executive officer, Ashland. “Our globalize and innovate strategies continue to exceed expectations, demand remains resilient in our core franchise, and our teams are executing well against our innovative Technology Platforms and other priorities that support long term value creation. We expect continued sequential improvement in the fourth quarter as operational performance steadily improves. Combined with strong cash generation and disciplined execution, these actions position Ashland to carry improving earnings momentum into fiscal 2027.“</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Conference Call Webcast</w:t>
      </w:r>
    </w:p>
    <w:p>
      <w:pPr>
        <w:pStyle w:val="TextBody"/>
        <w:bidi w:val="0"/>
        <w:jc w:val="both"/>
        <w:rPr>
          <w:rFonts w:ascii="Times New Roman" w:hAnsi="Times New Roman"/>
          <w:sz w:val="20"/>
        </w:rPr>
      </w:pPr>
      <w:r>
        <w:rPr>
          <w:rFonts w:ascii="Ashland;sans-serif" w:hAnsi="Ashland;sans-serif"/>
          <w:color w:val="000000"/>
          <w:sz w:val="22"/>
        </w:rPr>
        <w:t>The company’s live webcast with securities analysts will include an executive summary and detailed remarks. The live webcast will take place at 9 a.m. ET on Wednesday, July 29, 2026. Simultaneously, the company will post a slide presentation in the Investor Relations section of its website at</w:t>
      </w:r>
      <w:r>
        <w:rPr>
          <w:rFonts w:ascii="Times New Roman" w:hAnsi="Times New Roman"/>
          <w:sz w:val="20"/>
        </w:rPr>
        <w:t xml:space="preserve"> </w:t>
      </w:r>
      <w:r>
        <w:rPr>
          <w:rFonts w:ascii="Ashland;sans-serif" w:hAnsi="Ashland;sans-serif"/>
          <w:sz w:val="22"/>
        </w:rPr>
        <w:t>http://investor.ashland.com</w:t>
      </w:r>
      <w:r>
        <w:rPr>
          <w:rFonts w:ascii="Ashland;sans-serif" w:hAnsi="Ashland;sans-serif"/>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 xml:space="preserve">To access the call by phone, please go to </w:t>
      </w:r>
      <w:r>
        <w:rPr>
          <w:rFonts w:ascii="Ashland;sans-serif" w:hAnsi="Ashland;sans-serif"/>
          <w:sz w:val="22"/>
        </w:rPr>
        <w:t>this registration link</w:t>
      </w:r>
      <w:r>
        <w:rPr>
          <w:rFonts w:ascii="Times New Roman" w:hAnsi="Times New Roman"/>
          <w:color w:val="000000"/>
          <w:sz w:val="20"/>
        </w:rPr>
        <w:t xml:space="preserve"> </w:t>
      </w:r>
      <w:r>
        <w:rPr>
          <w:rFonts w:ascii="Ashland;sans-serif" w:hAnsi="Ashland;sans-serif"/>
          <w:color w:val="000000"/>
          <w:sz w:val="22"/>
        </w:rPr>
        <w:t>and you will be provided with dial in details. To avoid delays, we encourage participants to dial into the conference call fifteen minutes ahead of the scheduled start time.</w:t>
      </w:r>
    </w:p>
    <w:p>
      <w:pPr>
        <w:pStyle w:val="TextBody"/>
        <w:bidi w:val="0"/>
        <w:jc w:val="center"/>
        <w:rPr>
          <w:rFonts w:ascii="Ashland;sans-serif" w:hAnsi="Ashland;sans-serif"/>
          <w:color w:val="000000"/>
          <w:sz w:val="18"/>
        </w:rPr>
      </w:pPr>
      <w:r>
        <w:rPr>
          <w:rFonts w:ascii="Ashland;sans-serif" w:hAnsi="Ashland;sans-serif"/>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 xml:space="preserve">Following the live event, an archived version of the webcast and supporting materials will be available for 12 months at </w:t>
      </w:r>
      <w:r>
        <w:rPr>
          <w:rFonts w:ascii="Ashland;sans-serif" w:hAnsi="Ashland;sans-serif"/>
          <w:sz w:val="22"/>
        </w:rPr>
        <w:t>http://investor.ashland.com</w:t>
      </w:r>
      <w:r>
        <w:rPr>
          <w:rFonts w:ascii="Ashland;sans-serif" w:hAnsi="Ashland;sans-serif"/>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Use of Non-GAAP Measures</w:t>
      </w:r>
    </w:p>
    <w:p>
      <w:pPr>
        <w:pStyle w:val="TextBody"/>
        <w:bidi w:val="0"/>
        <w:jc w:val="both"/>
        <w:rPr>
          <w:rFonts w:ascii="Ashland;sans-serif" w:hAnsi="Ashland;sans-serif"/>
          <w:color w:val="000000"/>
          <w:sz w:val="22"/>
        </w:rPr>
      </w:pPr>
      <w:r>
        <w:rPr>
          <w:rFonts w:ascii="Ashland;sans-serif" w:hAnsi="Ashland;sans-serif"/>
          <w:color w:val="000000"/>
          <w:sz w:val="22"/>
        </w:rPr>
        <w:t>Ashland believes that by removing the impact of depreciation and amortization and excluding certain non-cash charges, amounts spent on interest and taxes, and certain other charges that are highly variable from year to year, EBITDA, Adjusted EBITDA, EBITDA Margin and Adjusted EBITDA Margin provide Ashland’s investors with performance measures that reflect the impact to operations from trends in changes in sales, margin and operating expenses, providing a perspective not immediately apparent from net income, operating income, net income margin, and operating income margin. The adjustments Ashland makes to derive the non-GAAP measures of EBITDA, Adjusted EBITDA, EBITDA Margin and Adjusted EBITDA Margin exclude items which may cause short-term fluctuations in net income and operating income and which Ashland does not consider to be the fundamental attributes or primary drivers of its business. EBITDA, Adjusted EBITDA, EBITDA Margin, and Adjusted EBITDA Margin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 EBITDA Margin and Adjusted EBITDA Margin are defined as EBITDA and Adjusted EBITDA divided by sales for the corresponding period.</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Key items, which are set forth on Table 7 of this release, are defined as financial effects from significant transactions that, either by their nature or amount, have caused short-term fluctuations in net income and/or operating income which Ashland does not consider to reflect Ashland’s underlying business performance and trends most accurately. Further, Ashland believes that providing supplemental information that excludes the financial effects of these items in the financial results will enhance the investor’s ability to compare financial performance between reporting periods.</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Tax-specific key items, which are set forth on Table 7 of this release, are defined as financial transactions, tax law changes or other matters that fall within the definition of key items as described above. These items relate solely to tax matters and would only be recorded within the income tax caption of the Statement of Consolidated Income. As with all key items, due to their nature, Ashland does not consider the financial effects of these tax-specific key items on net income to be the most accurate reflection of Ashland’s underlying business performance and trends.</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 the impact of capital expenditures from continuing operations and other significant items impacting Free Cash Flow, providing a more complete picture of current and future cash generation. Free Cash Flow, Ongoing Free Cash Flow, and Ongoing Free Cash Flow Conversion are non-GAAP liquidity measures that Ashland believes provide useful information to management and investors about Ashland’s</w:t>
      </w:r>
      <w:r>
        <w:rPr>
          <w:rFonts w:ascii="Times New Roman" w:hAnsi="Times New Roman"/>
          <w:color w:val="000000"/>
          <w:sz w:val="20"/>
        </w:rPr>
        <w:t xml:space="preserve"> </w:t>
      </w:r>
    </w:p>
    <w:p>
      <w:pPr>
        <w:pStyle w:val="TextBody"/>
        <w:bidi w:val="0"/>
        <w:jc w:val="center"/>
        <w:rPr>
          <w:rFonts w:ascii="Ashland;sans-serif" w:hAnsi="Ashland;sans-serif"/>
          <w:color w:val="000000"/>
          <w:sz w:val="18"/>
        </w:rPr>
      </w:pPr>
      <w:r>
        <w:rPr>
          <w:rFonts w:ascii="Ashland;sans-serif" w:hAnsi="Ashland;sans-serif"/>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ability to convert Adjusted EBITDA to ongoing Free Cash Flow. These liquidity measures are used regularly by Ashland’s stakeholders and industry peers to measure the efficiency at providing cash from regular business activity. Free Cash Flow, Ongoing Free Cash Flow, and Free Cash Flow Conversion have certain limitations, including that they do not reflect adjustments for certain non-discretionary cash flows such as mandatory debt repayments. The amount of mandatory versus discretionary expenditures can vary significantly between periods.</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Adjusted Diluted Earnings Per Share is a performance measure used by Ashland and is defined by Ashland as earnings (loss) from continuing operations, adjusted for identified key items and divided by the number of outstanding diluted shares of common stock. Ashland believes this measure provides investors additional insights into operational performance by providing earnings and diluted earnings per share metrics that exclude the effect of the identified key items and tax specific key items.</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The Adjusted Diluted Earnings Per Share Excluding Intangibles Amortization Expense metric enables Ashland to demonstrate the impact of non-cash intangibles amortization expense on earnings per share, in addition to key items previously mentioned. Ashland’s management believes this presentation is helpful to illustrate how previous acquisitions impact applicable period results.</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Ashland does not quantitatively reconcile our guidance ranges for our non-GAAP measures to their most comparable GAAP measures in the Financial Outlook section of this news release. The guidance ranges for GAAP and non-GAAP financial measures reflect Ashland’s assessment of potential sources of variability in financial results and are informed by evaluation of multiple scenarios, many of which have interactive effects across several financial statement line items. Providing guidance for individual reconciling items between our non-GAAP financial measures and the comparable GAAP measures would imply a degree of precision and certainty in those reconciling items that is not a consistent reflection of our scenario-based process to prepare our guidance ranges. To the extent that a material change affecting the individual reconciling items between the company’s forward-looking non-GAAP and comparable GAAP financial measures is anticipated, the company has provided qualitative commentary in the Financial Outlook section of this news release for your consideration. However, as the impact of such factors cannot be predicted with a reasonable degree of certainty or precision, a quantitative reconciliation is not available without unreasonable effort.</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About Ashland</w:t>
      </w:r>
    </w:p>
    <w:p>
      <w:pPr>
        <w:pStyle w:val="TextBody"/>
        <w:bidi w:val="0"/>
        <w:jc w:val="both"/>
        <w:rPr>
          <w:rFonts w:ascii="Ashland;sans-serif" w:hAnsi="Ashland;sans-serif"/>
          <w:color w:val="000000"/>
          <w:sz w:val="22"/>
        </w:rPr>
      </w:pPr>
      <w:r>
        <w:rPr>
          <w:rFonts w:ascii="Ashland;sans-serif" w:hAnsi="Ashland;sans-serif"/>
          <w:color w:val="000000"/>
          <w:sz w:val="22"/>
        </w:rPr>
        <w:t>Ashland Inc. (NYSE: ASH)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 beverage, personal care and pharmaceutical. Approximately 2,900 passionate, tenacious solvers – from renowned scientists and research chemists to talented engineers and plant operators – thrive on developing practical, innovative and elegant solutions to complex problems for customers in more than 100 countries. Visit ashland.com and ashland.com/ESG to learn more.</w:t>
      </w:r>
    </w:p>
    <w:p>
      <w:pPr>
        <w:pStyle w:val="TextBody"/>
        <w:bidi w:val="0"/>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Ashland;sans-serif" w:hAnsi="Ashland;sans-serif"/>
          <w:b/>
          <w:color w:val="000000"/>
          <w:sz w:val="22"/>
        </w:rPr>
        <w:t>Forward-Looking Statements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shland;sans-serif" w:hAnsi="Ashland;sans-serif"/>
          <w:color w:val="000000"/>
          <w:sz w:val="22"/>
        </w:rPr>
        <w:t>This news release contains forward-looking statements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reports, quarterly reports and other filings with the U.S. Securities and Exchange Commission (“SEC”), news releases and other written and oral communications. These forward-looking statements are based on Ashland’s expectations and assumptions, as of the date such statements are made, regarding Ashland’s future operating performance, financial, operating cash flow and liquidity, as well as the economy and other future events or circumstances. These statements include, but are not limited to, expectations regarding the impact of operating performance on profitability, improved profitability in the fourth quarter, the expansion of technology platforms, Ashland’s ability to maintain improved earnings momentum into fiscal 2027, and management’s perspectives and projections regarding Ashland’s performance in fiscal year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Ashland’s expectations and assumptions include, without limitation,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w:t>
      </w:r>
      <w:r>
        <w:rPr>
          <w:rFonts w:ascii="Times New Roman" w:hAnsi="Times New Roman"/>
          <w:color w:val="000000"/>
          <w:sz w:val="20"/>
        </w:rPr>
        <w:t xml:space="preserve"> </w:t>
      </w:r>
    </w:p>
    <w:p>
      <w:pPr>
        <w:pStyle w:val="TextBody"/>
        <w:bidi w:val="0"/>
        <w:jc w:val="center"/>
        <w:rPr>
          <w:rFonts w:ascii="Ashland;sans-serif" w:hAnsi="Ashland;sans-serif"/>
          <w:color w:val="000000"/>
          <w:sz w:val="18"/>
        </w:rPr>
      </w:pPr>
      <w:r>
        <w:rPr>
          <w:rFonts w:ascii="Ashland;sans-serif" w:hAnsi="Ashland;sans-serif"/>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litigation; changes in the legal and regulatory landscapes in which we operate; changes in taxation or adverse tax rulings; and, without limitation, risks and uncertainties affecting Ashland that are described in Ashland’s most recent Annual Report on Form 10-K (including Item 1A Risk Factors) filed with the SEC, which is available on Ashland’s website at http://investor.ashland.com or on the SEC’s website at http://www.sec.gov.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news release whether as a result of new information, future events or otherwise.</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i/>
          <w:color w:val="000000"/>
          <w:sz w:val="12"/>
        </w:rPr>
        <w:t>1</w:t>
      </w:r>
      <w:r>
        <w:rPr>
          <w:rFonts w:ascii="Ashland;sans-serif" w:hAnsi="Ashland;sans-serif"/>
          <w:i/>
          <w:color w:val="000000"/>
          <w:sz w:val="18"/>
        </w:rPr>
        <w:t>Financial results are preliminary until Ashland’s Form 10-Q is filed with the U.S. Securities and Exchange Commission.</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i/>
          <w:color w:val="000000"/>
          <w:sz w:val="12"/>
        </w:rPr>
        <w:t>2</w:t>
      </w:r>
      <w:r>
        <w:rPr>
          <w:rFonts w:ascii="Ashland;sans-serif" w:hAnsi="Ashland;sans-serif"/>
          <w:i/>
          <w:color w:val="000000"/>
          <w:sz w:val="18"/>
        </w:rPr>
        <w:t>The Ongoing Free Cash Flow metric excludes the impact of inflows and outflows from U.S. and Foreign Accounts Receivable Sales Program and payments related to restructuring and environmental and litigation-related matters in both the current-year and prior-year periods.</w:t>
      </w:r>
    </w:p>
    <w:p>
      <w:pPr>
        <w:pStyle w:val="TextBody"/>
        <w:bidi w:val="0"/>
        <w:jc w:val="both"/>
        <w:rPr/>
      </w:pPr>
      <w:r>
        <w:rPr/>
        <w:t> </w:t>
      </w:r>
    </w:p>
    <w:p>
      <w:pPr>
        <w:pStyle w:val="TextBody"/>
        <w:bidi w:val="0"/>
        <w:jc w:val="both"/>
        <w:rPr>
          <w:rFonts w:ascii="Ashland;sans-serif" w:hAnsi="Ashland;sans-serif"/>
          <w:color w:val="000000"/>
          <w:sz w:val="18"/>
        </w:rPr>
      </w:pPr>
      <w:r>
        <w:rPr>
          <w:rFonts w:ascii="Ashland;sans-serif" w:hAnsi="Ashland;sans-serif"/>
          <w:color w:val="000000"/>
          <w:sz w:val="18"/>
        </w:rPr>
        <w:t> Trademark, Ashland or its subsidiaries, registered in various countries.</w:t>
      </w:r>
    </w:p>
    <w:p>
      <w:pPr>
        <w:pStyle w:val="TextBody"/>
        <w:bidi w:val="0"/>
        <w:jc w:val="left"/>
        <w:rPr/>
      </w:pPr>
      <w:r>
        <w:rPr/>
        <w:t> </w:t>
      </w:r>
    </w:p>
    <w:p>
      <w:pPr>
        <w:pStyle w:val="TextBody"/>
        <w:bidi w:val="0"/>
        <w:jc w:val="left"/>
        <w:rPr>
          <w:rFonts w:ascii="Ashland;sans-serif" w:hAnsi="Ashland;sans-serif"/>
          <w:b/>
          <w:color w:val="000000"/>
          <w:sz w:val="22"/>
        </w:rPr>
      </w:pPr>
      <w:r>
        <w:rPr>
          <w:rFonts w:ascii="Ashland;sans-serif" w:hAnsi="Ashland;sans-serif"/>
          <w:b/>
          <w:color w:val="000000"/>
          <w:sz w:val="22"/>
        </w:rPr>
        <w:t>FOR FURTHER INFORMATION:</w:t>
      </w:r>
    </w:p>
    <w:p>
      <w:pPr>
        <w:pStyle w:val="TextBody"/>
        <w:bidi w:val="0"/>
        <w:jc w:val="both"/>
        <w:rPr/>
      </w:pPr>
      <w:r>
        <w:rPr/>
        <w:t> </w:t>
      </w:r>
    </w:p>
    <w:tbl>
      <w:tblPr>
        <w:tblW w:w="6347" w:type="dxa"/>
        <w:jc w:val="left"/>
        <w:tblInd w:w="0" w:type="dxa"/>
        <w:tblLayout w:type="fixed"/>
        <w:tblCellMar>
          <w:top w:w="28" w:type="dxa"/>
          <w:left w:w="28" w:type="dxa"/>
          <w:bottom w:w="28" w:type="dxa"/>
          <w:right w:w="28" w:type="dxa"/>
        </w:tblCellMar>
      </w:tblPr>
      <w:tblGrid>
        <w:gridCol w:w="3571"/>
        <w:gridCol w:w="2776"/>
      </w:tblGrid>
      <w:tr>
        <w:trPr/>
        <w:tc>
          <w:tcPr>
            <w:tcW w:w="357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b/>
                <w:color w:val="000000"/>
                <w:sz w:val="22"/>
              </w:rPr>
            </w:pPr>
            <w:r>
              <w:rPr>
                <w:rFonts w:ascii="Ashland;sans-serif" w:hAnsi="Ashland;sans-serif"/>
                <w:b/>
                <w:color w:val="000000"/>
                <w:sz w:val="22"/>
              </w:rPr>
              <w:t>Investor Relations:</w:t>
            </w:r>
          </w:p>
        </w:tc>
        <w:tc>
          <w:tcPr>
            <w:tcW w:w="277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b/>
                <w:color w:val="000000"/>
                <w:sz w:val="22"/>
              </w:rPr>
            </w:pPr>
            <w:r>
              <w:rPr>
                <w:rFonts w:ascii="Ashland;sans-serif" w:hAnsi="Ashland;sans-serif"/>
                <w:b/>
                <w:color w:val="000000"/>
                <w:sz w:val="22"/>
              </w:rPr>
              <w:t>Media Relations:</w:t>
            </w:r>
          </w:p>
        </w:tc>
      </w:tr>
      <w:tr>
        <w:trPr/>
        <w:tc>
          <w:tcPr>
            <w:tcW w:w="35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Ashland;sans-serif" w:hAnsi="Ashland;sans-serif"/>
                <w:color w:val="000000"/>
                <w:sz w:val="22"/>
              </w:rPr>
              <w:t>Sandy Klugman</w:t>
            </w:r>
            <w:r>
              <w:rPr>
                <w:rFonts w:ascii="Times New Roman" w:hAnsi="Times New Roman"/>
                <w:color w:val="000000"/>
                <w:sz w:val="22"/>
              </w:rPr>
              <w:t xml:space="preserve"> </w:t>
            </w:r>
          </w:p>
        </w:tc>
        <w:tc>
          <w:tcPr>
            <w:tcW w:w="277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2"/>
              </w:rPr>
            </w:pPr>
            <w:r>
              <w:rPr>
                <w:rFonts w:ascii="Ashland;sans-serif" w:hAnsi="Ashland;sans-serif"/>
                <w:color w:val="000000"/>
                <w:sz w:val="22"/>
              </w:rPr>
              <w:t>Carolmarie C. Brown</w:t>
            </w:r>
          </w:p>
        </w:tc>
      </w:tr>
      <w:tr>
        <w:trPr/>
        <w:tc>
          <w:tcPr>
            <w:tcW w:w="3571"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2"/>
              </w:rPr>
            </w:pPr>
            <w:r>
              <w:rPr>
                <w:rFonts w:ascii="Ashland;sans-serif" w:hAnsi="Ashland;sans-serif"/>
                <w:color w:val="000000"/>
                <w:sz w:val="22"/>
              </w:rPr>
              <w:t>+1 (302) 594-7777</w:t>
            </w:r>
          </w:p>
        </w:tc>
        <w:tc>
          <w:tcPr>
            <w:tcW w:w="277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2"/>
              </w:rPr>
            </w:pPr>
            <w:r>
              <w:rPr>
                <w:rFonts w:ascii="Ashland;sans-serif" w:hAnsi="Ashland;sans-serif"/>
                <w:color w:val="000000"/>
                <w:sz w:val="22"/>
              </w:rPr>
              <w:t>+1 (302) 995-3158</w:t>
            </w:r>
          </w:p>
        </w:tc>
      </w:tr>
      <w:tr>
        <w:trPr/>
        <w:tc>
          <w:tcPr>
            <w:tcW w:w="3571"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2"/>
              </w:rPr>
            </w:pPr>
            <w:r>
              <w:rPr>
                <w:rFonts w:ascii="Ashland;sans-serif" w:hAnsi="Ashland;sans-serif"/>
                <w:color w:val="000000"/>
                <w:sz w:val="22"/>
              </w:rPr>
              <w:t>sandy.klugman@ashland.com</w:t>
            </w:r>
          </w:p>
        </w:tc>
        <w:tc>
          <w:tcPr>
            <w:tcW w:w="2776" w:type="dxa"/>
            <w:tcBorders/>
            <w:tcMar>
              <w:top w:w="0" w:type="dxa"/>
              <w:left w:w="0" w:type="dxa"/>
              <w:bottom w:w="0" w:type="dxa"/>
              <w:right w:w="0" w:type="dxa"/>
            </w:tcMar>
            <w:vAlign w:val="center"/>
          </w:tcPr>
          <w:p>
            <w:pPr>
              <w:pStyle w:val="TableContents"/>
              <w:bidi w:val="0"/>
              <w:spacing w:before="0" w:after="283"/>
              <w:jc w:val="both"/>
              <w:rPr>
                <w:rFonts w:ascii="Ashland;sans-serif" w:hAnsi="Ashland;sans-serif"/>
                <w:color w:val="000000"/>
                <w:sz w:val="22"/>
              </w:rPr>
            </w:pPr>
            <w:r>
              <w:rPr>
                <w:rFonts w:ascii="Ashland;sans-serif" w:hAnsi="Ashland;sans-serif"/>
                <w:color w:val="000000"/>
                <w:sz w:val="22"/>
              </w:rPr>
              <w:t>ccbrown@ashland.com</w:t>
            </w:r>
          </w:p>
        </w:tc>
      </w:tr>
    </w:tbl>
    <w:p>
      <w:pPr>
        <w:pStyle w:val="TextBody"/>
        <w:bidi w:val="0"/>
        <w:spacing w:before="0" w:after="16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47" w:type="dxa"/>
        <w:jc w:val="left"/>
        <w:tblInd w:w="0" w:type="dxa"/>
        <w:tblLayout w:type="fixed"/>
        <w:tblCellMar>
          <w:top w:w="28" w:type="dxa"/>
          <w:left w:w="28" w:type="dxa"/>
          <w:bottom w:w="28" w:type="dxa"/>
          <w:right w:w="28" w:type="dxa"/>
        </w:tblCellMar>
      </w:tblPr>
      <w:tblGrid>
        <w:gridCol w:w="6976"/>
        <w:gridCol w:w="871"/>
      </w:tblGrid>
      <w:tr>
        <w:trPr/>
        <w:tc>
          <w:tcPr>
            <w:tcW w:w="697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STATEMENTS OF CONDENSED CONSOLIDATED INCOME (LOSS)</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except per share data - preliminary and unaudited)</w:t>
            </w:r>
          </w:p>
        </w:tc>
        <w:tc>
          <w:tcPr>
            <w:tcW w:w="871" w:type="dxa"/>
            <w:tcBorders/>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20"/>
              </w:rPr>
            </w:pPr>
            <w:r>
              <w:rPr>
                <w:rFonts w:ascii="Ashland;sans-serif" w:hAnsi="Ashland;sans-serif"/>
                <w:color w:val="000000"/>
                <w:sz w:val="20"/>
              </w:rPr>
              <w:t>Table 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5"/>
        <w:gridCol w:w="211"/>
        <w:gridCol w:w="146"/>
        <w:gridCol w:w="526"/>
        <w:gridCol w:w="166"/>
        <w:gridCol w:w="146"/>
        <w:gridCol w:w="211"/>
        <w:gridCol w:w="146"/>
        <w:gridCol w:w="631"/>
        <w:gridCol w:w="166"/>
        <w:gridCol w:w="146"/>
        <w:gridCol w:w="211"/>
        <w:gridCol w:w="146"/>
        <w:gridCol w:w="571"/>
        <w:gridCol w:w="166"/>
        <w:gridCol w:w="146"/>
        <w:gridCol w:w="211"/>
        <w:gridCol w:w="146"/>
        <w:gridCol w:w="631"/>
        <w:gridCol w:w="166"/>
        <w:gridCol w:w="391"/>
      </w:tblGrid>
      <w:tr>
        <w:trPr/>
        <w:tc>
          <w:tcPr>
            <w:tcW w:w="4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Nine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GROSS PROFIT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Selling, 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Research and development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Intangibles amortization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Equity and other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Goodwill impairment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Income (loss) on divestitures,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Net interest and other (income)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Other net periodic benefit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b/>
                <w:color w:val="000000"/>
                <w:sz w:val="16"/>
              </w:rPr>
            </w:pPr>
            <w:r>
              <w:rPr>
                <w:rFonts w:ascii="Ashland;sans-serif" w:hAnsi="Ashland;sans-serif"/>
                <w:b/>
                <w:color w:val="000000"/>
                <w:sz w:val="16"/>
              </w:rPr>
              <w:t>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Income tax expense (benefit)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Loss from discontinued operations, net of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DILUTED EARNINGS (LOSS) PER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Loss from discontinued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Net income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b/>
                <w:color w:val="000000"/>
                <w:sz w:val="16"/>
              </w:rPr>
              <w:t>AVERAGE DILUTED COMMON SHARES OUTSTANDING</w:t>
            </w:r>
            <w:r>
              <w:rPr>
                <w:rFonts w:ascii="Ashland;sans-serif" w:hAnsi="Ashland;sans-serif"/>
                <w:b/>
                <w:color w:val="000000"/>
                <w:sz w:val="11"/>
              </w:rPr>
              <w: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Life Sciences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Personal Care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Specialty Additives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Intermediates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Intersegment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Life Sciences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Personal Care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Specialty Additives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Intermediates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Unallocated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left"/>
        <w:rPr>
          <w:rFonts w:ascii="Ashland;sans-serif" w:hAnsi="Ashland;sans-serif"/>
          <w:color w:val="000000"/>
          <w:sz w:val="14"/>
        </w:rPr>
      </w:pPr>
      <w:r>
        <w:rPr>
          <w:rFonts w:ascii="Ashland;sans-serif" w:hAnsi="Ashland;sans-serif"/>
          <w:color w:val="000000"/>
          <w:sz w:val="14"/>
        </w:rPr>
        <w:t>As a result of the loss from continuing operations for both the three and nine months ended June 30, 2025, the effect of the share-based awards convertible to common shares would be anti-dilutive. In accordance with U.S. GAAP, these shares have been excluded from the diluted earnings (loss) per share calculation for the period.</w:t>
      </w:r>
    </w:p>
    <w:p>
      <w:pPr>
        <w:pStyle w:val="TextBody"/>
        <w:bidi w:val="0"/>
        <w:spacing w:before="40" w:after="283"/>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82" w:type="dxa"/>
        <w:jc w:val="left"/>
        <w:tblInd w:w="0" w:type="dxa"/>
        <w:tblLayout w:type="fixed"/>
        <w:tblCellMar>
          <w:top w:w="28" w:type="dxa"/>
          <w:left w:w="28" w:type="dxa"/>
          <w:bottom w:w="28" w:type="dxa"/>
          <w:right w:w="28" w:type="dxa"/>
        </w:tblCellMar>
      </w:tblPr>
      <w:tblGrid>
        <w:gridCol w:w="5311"/>
        <w:gridCol w:w="871"/>
      </w:tblGrid>
      <w:tr>
        <w:trPr/>
        <w:tc>
          <w:tcPr>
            <w:tcW w:w="53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31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CONDENSED CONSOLIDATED BALANCE SHEETS</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 preliminary and unaudited)</w:t>
            </w:r>
          </w:p>
        </w:tc>
        <w:tc>
          <w:tcPr>
            <w:tcW w:w="871"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2</w:t>
            </w:r>
          </w:p>
          <w:p>
            <w:pPr>
              <w:pStyle w:val="TableContents"/>
              <w:bidi w:val="0"/>
              <w:spacing w:before="0" w:after="283"/>
              <w:jc w:val="right"/>
              <w:rPr/>
            </w:pPr>
            <w:r>
              <w:rPr/>
              <w:t> </w:t>
            </w:r>
          </w:p>
        </w:tc>
      </w:tr>
    </w:tbl>
    <w:p>
      <w:pPr>
        <w:pStyle w:val="TextBody"/>
        <w:bidi w:val="0"/>
        <w:jc w:val="left"/>
        <w:rPr/>
      </w:pPr>
      <w:r>
        <w:rPr/>
        <w:t> </w:t>
      </w:r>
    </w:p>
    <w:tbl>
      <w:tblPr>
        <w:tblW w:w="7347" w:type="dxa"/>
        <w:jc w:val="left"/>
        <w:tblInd w:w="0" w:type="dxa"/>
        <w:tblLayout w:type="fixed"/>
        <w:tblCellMar>
          <w:top w:w="28" w:type="dxa"/>
          <w:left w:w="28" w:type="dxa"/>
          <w:bottom w:w="28" w:type="dxa"/>
          <w:right w:w="28" w:type="dxa"/>
        </w:tblCellMar>
      </w:tblPr>
      <w:tblGrid>
        <w:gridCol w:w="3701"/>
        <w:gridCol w:w="211"/>
        <w:gridCol w:w="146"/>
        <w:gridCol w:w="146"/>
        <w:gridCol w:w="571"/>
        <w:gridCol w:w="146"/>
        <w:gridCol w:w="146"/>
        <w:gridCol w:w="253"/>
        <w:gridCol w:w="175"/>
        <w:gridCol w:w="175"/>
        <w:gridCol w:w="686"/>
        <w:gridCol w:w="991"/>
      </w:tblGrid>
      <w:tr>
        <w:trPr/>
        <w:tc>
          <w:tcPr>
            <w:tcW w:w="3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4"/>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September 30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215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242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Inventories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568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180</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Total current assets</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1,292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1,205</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Noncurrent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shland;sans-serif" w:hAnsi="Ashland;sans-serif"/>
                <w:color w:val="000000"/>
                <w:sz w:val="16"/>
              </w:rPr>
            </w:pPr>
            <w:r>
              <w:rPr>
                <w:rFonts w:ascii="Ashland;sans-serif" w:hAnsi="Ashland;sans-serif"/>
                <w:color w:val="000000"/>
                <w:sz w:val="16"/>
              </w:rPr>
              <w:t>Cost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3,355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shland;sans-serif" w:hAnsi="Ashland;sans-serif"/>
                <w:color w:val="000000"/>
                <w:sz w:val="16"/>
              </w:rPr>
            </w:pPr>
            <w:r>
              <w:rPr>
                <w:rFonts w:ascii="Ashland;sans-serif" w:hAnsi="Ashland;sans-serif"/>
                <w:color w:val="000000"/>
                <w:sz w:val="16"/>
              </w:rPr>
              <w:t>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2,154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Net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1,201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Intangibles,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563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Operating lease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Restricted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297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Asbestos insurance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shland;sans-serif" w:hAnsi="Ashland;sans-serif"/>
                <w:color w:val="000000"/>
                <w:sz w:val="16"/>
              </w:rPr>
            </w:pPr>
            <w:r>
              <w:rPr>
                <w:rFonts w:ascii="Ashland;sans-serif" w:hAnsi="Ashland;sans-serif"/>
                <w:color w:val="000000"/>
                <w:sz w:val="16"/>
              </w:rPr>
              <w:t>Other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253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Total noncurrent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3,406</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4,611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LIABILITIES AND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Trade and other payables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Accrued expenses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213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Current operating lease obligations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Total current liabilities</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423</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Noncurrent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1,384</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Asbestos litigation reserves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389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Employee benefit obligations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96</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Operating lease obligations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6"/>
              </w:rPr>
            </w:pPr>
            <w:r>
              <w:rPr>
                <w:rFonts w:ascii="Ashland;sans-serif" w:hAnsi="Ashland;sans-serif"/>
                <w:color w:val="000000"/>
                <w:sz w:val="16"/>
              </w:rPr>
              <w:t>Other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299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Total noncurrent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2,284</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1,904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Total liabilities and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4,611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92" w:type="dxa"/>
        <w:jc w:val="left"/>
        <w:tblInd w:w="0" w:type="dxa"/>
        <w:tblLayout w:type="fixed"/>
        <w:tblCellMar>
          <w:top w:w="28" w:type="dxa"/>
          <w:left w:w="28" w:type="dxa"/>
          <w:bottom w:w="28" w:type="dxa"/>
          <w:right w:w="28" w:type="dxa"/>
        </w:tblCellMar>
      </w:tblPr>
      <w:tblGrid>
        <w:gridCol w:w="6721"/>
        <w:gridCol w:w="871"/>
      </w:tblGrid>
      <w:tr>
        <w:trPr/>
        <w:tc>
          <w:tcPr>
            <w:tcW w:w="672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72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STATEMENTS OF CONDENSED CONSOLIDATED CASH FLOWS</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 preliminary and unaudited)</w:t>
            </w:r>
          </w:p>
        </w:tc>
        <w:tc>
          <w:tcPr>
            <w:tcW w:w="871"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3</w:t>
            </w:r>
          </w:p>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6"/>
        <w:gridCol w:w="196"/>
        <w:gridCol w:w="146"/>
        <w:gridCol w:w="376"/>
        <w:gridCol w:w="166"/>
        <w:gridCol w:w="146"/>
        <w:gridCol w:w="196"/>
        <w:gridCol w:w="146"/>
        <w:gridCol w:w="436"/>
        <w:gridCol w:w="166"/>
        <w:gridCol w:w="146"/>
        <w:gridCol w:w="196"/>
        <w:gridCol w:w="146"/>
        <w:gridCol w:w="376"/>
        <w:gridCol w:w="166"/>
        <w:gridCol w:w="146"/>
        <w:gridCol w:w="196"/>
        <w:gridCol w:w="146"/>
        <w:gridCol w:w="436"/>
        <w:gridCol w:w="611"/>
      </w:tblGrid>
      <w:tr>
        <w:trPr/>
        <w:tc>
          <w:tcPr>
            <w:tcW w:w="56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5"/>
              </w:rPr>
            </w:pPr>
            <w:r>
              <w:rPr>
                <w:rFonts w:ascii="Ashland;sans-serif" w:hAnsi="Ashland;sans-serif"/>
                <w:color w:val="000000"/>
                <w:sz w:val="15"/>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5"/>
              </w:rPr>
            </w:pPr>
            <w:r>
              <w:rPr>
                <w:rFonts w:ascii="Ashland;sans-serif" w:hAnsi="Ashland;sans-serif"/>
                <w:color w:val="000000"/>
                <w:sz w:val="15"/>
              </w:rPr>
              <w:t>Nine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5"/>
              </w:rPr>
            </w:pPr>
            <w:r>
              <w:rPr>
                <w:rFonts w:ascii="Ashland;sans-serif" w:hAnsi="Ashland;sans-serif"/>
                <w:color w:val="000000"/>
                <w:sz w:val="15"/>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5"/>
              </w:rPr>
            </w:pPr>
            <w:r>
              <w:rPr>
                <w:rFonts w:ascii="Ashland;sans-serif" w:hAnsi="Ashland;sans-serif"/>
                <w:color w:val="000000"/>
                <w:sz w:val="15"/>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5"/>
              </w:rPr>
            </w:pPr>
            <w:r>
              <w:rPr>
                <w:rFonts w:ascii="Ashland;sans-serif" w:hAnsi="Ashland;sans-serif"/>
                <w:b/>
                <w:color w:val="000000"/>
                <w:sz w:val="15"/>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CASH FLOWS PROVIDED (USED) BY OPERATING ACTIVITIES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Net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(877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Loss from discontinued operations, net of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Adjustments to reconcile income (loss) from continuing operations to cash flows from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Original issue discount and debt issuance cost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Deferred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Gain from sales of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Equity income from affiliates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Stock based compensation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Loss from excess tax deduction on stock 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Income from restricted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Loss on divestitures,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Goodwill impairment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706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Pension contributions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(Gain) loss on pension and other postretirement plan remeasurements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5"/>
              </w:rPr>
            </w:pPr>
            <w:r>
              <w:rPr>
                <w:rFonts w:ascii="Ashland;sans-serif" w:hAnsi="Ashland;sans-serif"/>
                <w:color w:val="000000"/>
                <w:sz w:val="15"/>
              </w:rPr>
              <w:t>Change in operating assets and liabilities</w:t>
            </w:r>
            <w:r>
              <w:rPr>
                <w:rFonts w:ascii="Ashland;sans-serif" w:hAnsi="Ashland;sans-serif"/>
                <w:color w:val="000000"/>
                <w:sz w:val="10"/>
              </w:rPr>
              <w:t>(a)</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Total cash flows provided by operating activities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94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CASH FLOWS PROVIDED (USED) BY INVESTING ACTIVITIES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Additions to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Proceeds from disposal of property, plant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Proceeds from sale of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Proceeds from settlement of Company-owned life insurance contracts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Company-owned life insurance payments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Funds restricted for specific transactions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Reimbursements from restricted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Proceeds from sale of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Purchases of securities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Total cash flows provided by investing activities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CASH FLOWS USED BY FINANCING ACTIVITIES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Repurchase of common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Repayment from short-term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Debt issuance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Cash dividends paid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Stock based compensation employee withholding taxes paid in cash</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Total cash flows used by financing activities from continuing operations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CASH PROVIDED (USED) BY CONTINUING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Cash used by discontinued operations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shland;sans-serif" w:hAnsi="Ashland;sans-serif"/>
                <w:color w:val="000000"/>
                <w:sz w:val="15"/>
              </w:rPr>
            </w:pPr>
            <w:r>
              <w:rPr>
                <w:rFonts w:ascii="Ashland;sans-serif" w:hAnsi="Ashland;sans-serif"/>
                <w:color w:val="000000"/>
                <w:sz w:val="15"/>
              </w:rPr>
              <w:t>Operating cash flows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5"/>
              </w:rPr>
            </w:pPr>
            <w:r>
              <w:rPr>
                <w:rFonts w:ascii="Ashland;sans-serif" w:hAnsi="Ashland;sans-serif"/>
                <w:color w:val="000000"/>
                <w:sz w:val="15"/>
              </w:rPr>
              <w:t>Effect of currency exchange rate changes on cash and cash equivalents</w:t>
            </w:r>
            <w:r>
              <w:rPr>
                <w:rFonts w:ascii="Ashland;sans-serif" w:hAnsi="Ashland;sans-serif"/>
                <w:color w:val="000000"/>
                <w:sz w:val="10"/>
              </w:rPr>
              <w:t>(b)</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INCREASE (DECREASE) IN CASH AND CASH EQUIVALENTS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CASH AND CASH EQUIVALENTS - BEGINNING OF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CASH AND CASH EQUIVALENTS - END OF PERIOD</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440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207</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440</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207</w:t>
            </w:r>
          </w:p>
        </w:tc>
        <w:tc>
          <w:tcPr>
            <w:tcW w:w="6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5"/>
              </w:rPr>
            </w:pPr>
            <w:r>
              <w:rPr>
                <w:rFonts w:ascii="Ashland;sans-serif" w:hAnsi="Ashland;sans-serif"/>
                <w:b/>
                <w:color w:val="000000"/>
                <w:sz w:val="15"/>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Life Sciences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Personal Care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Specialty Additives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Intermediates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5"/>
              </w:rPr>
            </w:pPr>
            <w:r>
              <w:rPr>
                <w:rFonts w:ascii="Ashland;sans-serif" w:hAnsi="Ashland;sans-serif"/>
                <w:color w:val="000000"/>
                <w:sz w:val="15"/>
              </w:rPr>
              <w:t>Unallocated and 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5"/>
              </w:rPr>
            </w:pPr>
            <w:r>
              <w:rPr>
                <w:rFonts w:ascii="Ashland;sans-serif" w:hAnsi="Ashland;sans-serif"/>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5"/>
              </w:rPr>
            </w:pPr>
            <w:r>
              <w:rPr>
                <w:rFonts w:ascii="Ashland;sans-serif" w:hAnsi="Ashland;sans-serif"/>
                <w:color w:val="000000"/>
                <w:sz w:val="15"/>
              </w:rPr>
              <w:t>187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Excludes changes resulting from operations acquired or sold.</w:t>
      </w:r>
    </w:p>
    <w:p>
      <w:pPr>
        <w:pStyle w:val="TextBody"/>
        <w:bidi w:val="0"/>
        <w:spacing w:before="0" w:after="40"/>
        <w:jc w:val="both"/>
        <w:rPr>
          <w:rFonts w:ascii="Ashland;sans-serif" w:hAnsi="Ashland;sans-serif"/>
          <w:color w:val="000000"/>
          <w:sz w:val="14"/>
        </w:rPr>
      </w:pPr>
      <w:r>
        <w:rPr>
          <w:rFonts w:ascii="Ashland;sans-serif" w:hAnsi="Ashland;sans-serif"/>
          <w:color w:val="000000"/>
          <w:sz w:val="14"/>
        </w:rPr>
        <w:t>(b)</w:t>
      </w:r>
    </w:p>
    <w:p>
      <w:pPr>
        <w:pStyle w:val="TextBody"/>
        <w:bidi w:val="0"/>
        <w:spacing w:before="0" w:after="40"/>
        <w:jc w:val="both"/>
        <w:rPr>
          <w:rFonts w:ascii="Ashland;sans-serif" w:hAnsi="Ashland;sans-serif"/>
          <w:color w:val="000000"/>
          <w:sz w:val="14"/>
        </w:rPr>
      </w:pPr>
      <w:r>
        <w:rPr>
          <w:rFonts w:ascii="Ashland;sans-serif" w:hAnsi="Ashland;sans-serif"/>
          <w:color w:val="000000"/>
          <w:sz w:val="14"/>
        </w:rPr>
        <w:t>Zero denotes less than $1 million of activity.</w:t>
      </w:r>
    </w:p>
    <w:p>
      <w:pPr>
        <w:pStyle w:val="TextBody"/>
        <w:bidi w:val="0"/>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12" w:type="dxa"/>
        <w:jc w:val="left"/>
        <w:tblInd w:w="0" w:type="dxa"/>
        <w:tblLayout w:type="fixed"/>
        <w:tblCellMar>
          <w:top w:w="28" w:type="dxa"/>
          <w:left w:w="28" w:type="dxa"/>
          <w:bottom w:w="28" w:type="dxa"/>
          <w:right w:w="28" w:type="dxa"/>
        </w:tblCellMar>
      </w:tblPr>
      <w:tblGrid>
        <w:gridCol w:w="6541"/>
        <w:gridCol w:w="871"/>
      </w:tblGrid>
      <w:tr>
        <w:trPr/>
        <w:tc>
          <w:tcPr>
            <w:tcW w:w="654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5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RECONCILIATION OF NON-GAAP DATA - ADJUSTED EBITDA</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 preliminary and unaudited)</w:t>
            </w:r>
          </w:p>
        </w:tc>
        <w:tc>
          <w:tcPr>
            <w:tcW w:w="871"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4</w:t>
            </w:r>
          </w:p>
          <w:p>
            <w:pPr>
              <w:pStyle w:val="TableContents"/>
              <w:bidi w:val="0"/>
              <w:spacing w:before="0" w:after="283"/>
              <w:jc w:val="right"/>
              <w:rPr/>
            </w:pPr>
            <w:r>
              <w:rPr/>
              <w:t> </w:t>
            </w:r>
          </w:p>
        </w:tc>
      </w:tr>
    </w:tbl>
    <w:p>
      <w:pPr>
        <w:pStyle w:val="TextBody"/>
        <w:bidi w:val="0"/>
        <w:jc w:val="left"/>
        <w:rPr/>
      </w:pPr>
      <w:r>
        <w:rPr/>
        <w:t> </w:t>
      </w:r>
    </w:p>
    <w:tbl>
      <w:tblPr>
        <w:tblW w:w="8221" w:type="dxa"/>
        <w:jc w:val="left"/>
        <w:tblInd w:w="0" w:type="dxa"/>
        <w:tblLayout w:type="fixed"/>
        <w:tblCellMar>
          <w:top w:w="28" w:type="dxa"/>
          <w:left w:w="28" w:type="dxa"/>
          <w:bottom w:w="28" w:type="dxa"/>
          <w:right w:w="28" w:type="dxa"/>
        </w:tblCellMar>
      </w:tblPr>
      <w:tblGrid>
        <w:gridCol w:w="5736"/>
        <w:gridCol w:w="146"/>
        <w:gridCol w:w="211"/>
        <w:gridCol w:w="146"/>
        <w:gridCol w:w="421"/>
        <w:gridCol w:w="166"/>
        <w:gridCol w:w="146"/>
        <w:gridCol w:w="211"/>
        <w:gridCol w:w="146"/>
        <w:gridCol w:w="481"/>
        <w:gridCol w:w="411"/>
      </w:tblGrid>
      <w:tr>
        <w:trPr/>
        <w:tc>
          <w:tcPr>
            <w:tcW w:w="5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 - Ashland Inc.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Net 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shland;sans-serif" w:hAnsi="Ashland;sans-serif"/>
                <w:color w:val="000000"/>
                <w:sz w:val="16"/>
              </w:rPr>
              <w:t>Depreciation and amortization</w:t>
            </w:r>
            <w:r>
              <w:rPr>
                <w:rFonts w:ascii="Ashland;sans-serif" w:hAnsi="Ashland;sans-serif"/>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Loss from discontinued operations, net of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Gain on pension and other postretirement plan remeasurements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Operating key items (see Table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 - Life Sciences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shland;sans-serif" w:hAnsi="Ashland;sans-serif"/>
                <w:color w:val="000000"/>
                <w:sz w:val="16"/>
              </w:rPr>
              <w:t>Depreciation and amortization</w:t>
            </w:r>
            <w:r>
              <w:rPr>
                <w:rFonts w:ascii="Ashland;sans-serif" w:hAnsi="Ashland;sans-serif"/>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Operating key items (see Table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 - Personal Care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Operating key items (see Table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 - Specialty Additives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shland;sans-serif" w:hAnsi="Ashland;sans-serif"/>
                <w:color w:val="000000"/>
                <w:sz w:val="16"/>
              </w:rPr>
              <w:t>Depreciation and amortization</w:t>
            </w:r>
            <w:r>
              <w:rPr>
                <w:rFonts w:ascii="Ashland;sans-serif" w:hAnsi="Ashland;sans-serif"/>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Operating key items (see Table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 - Intermediates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left"/>
        <w:rPr>
          <w:rFonts w:ascii="Ashland;sans-serif" w:hAnsi="Ashland;sans-serif"/>
          <w:color w:val="000000"/>
          <w:sz w:val="14"/>
        </w:rPr>
      </w:pPr>
      <w:r>
        <w:rPr>
          <w:rFonts w:ascii="Ashland;sans-serif" w:hAnsi="Ashland;sans-serif"/>
          <w:color w:val="000000"/>
          <w:sz w:val="14"/>
        </w:rPr>
        <w:t>Depreciation and amortization excludes accelerated depreciation expense of $1 million for Unallocated and other for the three months ended June 30, 2026, $8 million for Life Sciences for the three months ended June 30, 2025, and $19 million for Specialty Additives for the three months ended June 30, 2025, which are included as a key item within this table as a component of Adjusted EBITDA.</w:t>
      </w:r>
    </w:p>
    <w:p>
      <w:pPr>
        <w:pStyle w:val="TextBody"/>
        <w:bidi w:val="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02"/>
        <w:gridCol w:w="803"/>
      </w:tblGrid>
      <w:tr>
        <w:trPr/>
        <w:tc>
          <w:tcPr>
            <w:tcW w:w="94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9402"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SEGMENT COMPONENTS OF KEY ITEMS FOR APPLICABLE CONDENSED CONSOLIDATED INCOME (LOSS) STATEMENT CAPTIONS</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 preliminary and unaudited)</w:t>
            </w:r>
          </w:p>
        </w:tc>
        <w:tc>
          <w:tcPr>
            <w:tcW w:w="803"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5</w:t>
            </w:r>
          </w:p>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7"/>
        <w:gridCol w:w="268"/>
        <w:gridCol w:w="200"/>
        <w:gridCol w:w="393"/>
        <w:gridCol w:w="146"/>
        <w:gridCol w:w="146"/>
        <w:gridCol w:w="274"/>
        <w:gridCol w:w="203"/>
        <w:gridCol w:w="401"/>
        <w:gridCol w:w="166"/>
        <w:gridCol w:w="146"/>
        <w:gridCol w:w="349"/>
        <w:gridCol w:w="260"/>
        <w:gridCol w:w="455"/>
        <w:gridCol w:w="166"/>
        <w:gridCol w:w="146"/>
        <w:gridCol w:w="410"/>
        <w:gridCol w:w="305"/>
        <w:gridCol w:w="411"/>
        <w:gridCol w:w="146"/>
        <w:gridCol w:w="146"/>
        <w:gridCol w:w="368"/>
        <w:gridCol w:w="274"/>
        <w:gridCol w:w="651"/>
        <w:gridCol w:w="166"/>
        <w:gridCol w:w="146"/>
        <w:gridCol w:w="196"/>
        <w:gridCol w:w="146"/>
        <w:gridCol w:w="346"/>
        <w:gridCol w:w="378"/>
      </w:tblGrid>
      <w:tr>
        <w:trPr/>
        <w:tc>
          <w:tcPr>
            <w:tcW w:w="239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0" w:type="dxa"/>
            <w:gridSpan w:val="2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4"/>
              </w:rPr>
            </w:pPr>
            <w:r>
              <w:rPr>
                <w:rFonts w:ascii="Ashland;sans-serif" w:hAnsi="Ashland;sans-serif"/>
                <w:b/>
                <w:color w:val="000000"/>
                <w:sz w:val="14"/>
              </w:rPr>
              <w:t>Three Months Ended June 30, 2026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Life Sciences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Personal Care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Specialty Additives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Intermediates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Unallocated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Total</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OPERATING INCOME (LOSS)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Operating key items: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Environmental reserve adjustments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(17</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Restructuring, separation and other costs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Other plant optimization costs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Accelerated depreciation</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Tax credit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All other operating income (loss)</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63</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Operating income (loss)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43</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NET INTEREST AND OTHER (INCOME) EXPENSE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Key items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(20</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All other net interest and other expense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12</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OTHER NET PERIODIC BENEFIT GAIN</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Key items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All other net periodic benefit costs</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INCOME TAX EXPENSE (BENEFIT)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Ashland;sans-serif" w:hAnsi="Ashland;sans-serif"/>
                <w:color w:val="000000"/>
                <w:sz w:val="14"/>
              </w:rPr>
              <w:t>Tax effect of key items</w:t>
            </w:r>
            <w:r>
              <w:rPr>
                <w:rFonts w:ascii="Ashland;sans-serif" w:hAnsi="Ashland;sans-serif"/>
                <w:color w:val="000000"/>
                <w:sz w:val="9"/>
              </w:rPr>
              <w:t>(a)</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37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All other income tax expense</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15</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9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INCOME (LOSS) FROM CONTINUING OPERATIONS</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46</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40"/>
        <w:jc w:val="left"/>
        <w:rPr/>
      </w:pPr>
      <w:r>
        <w:rPr/>
        <w:t> </w:t>
      </w:r>
    </w:p>
    <w:tbl>
      <w:tblPr>
        <w:tblW w:w="10205" w:type="dxa"/>
        <w:jc w:val="left"/>
        <w:tblInd w:w="0" w:type="dxa"/>
        <w:tblLayout w:type="fixed"/>
        <w:tblCellMar>
          <w:top w:w="28" w:type="dxa"/>
          <w:left w:w="28" w:type="dxa"/>
          <w:bottom w:w="28" w:type="dxa"/>
          <w:right w:w="28" w:type="dxa"/>
        </w:tblCellMar>
      </w:tblPr>
      <w:tblGrid>
        <w:gridCol w:w="2320"/>
        <w:gridCol w:w="221"/>
        <w:gridCol w:w="164"/>
        <w:gridCol w:w="492"/>
        <w:gridCol w:w="166"/>
        <w:gridCol w:w="146"/>
        <w:gridCol w:w="271"/>
        <w:gridCol w:w="200"/>
        <w:gridCol w:w="396"/>
        <w:gridCol w:w="166"/>
        <w:gridCol w:w="146"/>
        <w:gridCol w:w="264"/>
        <w:gridCol w:w="197"/>
        <w:gridCol w:w="588"/>
        <w:gridCol w:w="166"/>
        <w:gridCol w:w="146"/>
        <w:gridCol w:w="410"/>
        <w:gridCol w:w="305"/>
        <w:gridCol w:w="411"/>
        <w:gridCol w:w="146"/>
        <w:gridCol w:w="146"/>
        <w:gridCol w:w="361"/>
        <w:gridCol w:w="269"/>
        <w:gridCol w:w="639"/>
        <w:gridCol w:w="166"/>
        <w:gridCol w:w="146"/>
        <w:gridCol w:w="196"/>
        <w:gridCol w:w="146"/>
        <w:gridCol w:w="436"/>
        <w:gridCol w:w="379"/>
      </w:tblGrid>
      <w:tr>
        <w:trPr/>
        <w:tc>
          <w:tcPr>
            <w:tcW w:w="23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6" w:type="dxa"/>
            <w:gridSpan w:val="2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4"/>
              </w:rPr>
            </w:pPr>
            <w:r>
              <w:rPr>
                <w:rFonts w:ascii="Ashland;sans-serif" w:hAnsi="Ashland;sans-serif"/>
                <w:b/>
                <w:color w:val="000000"/>
                <w:sz w:val="14"/>
              </w:rPr>
              <w:t>Three Months Ended June 30, 2025</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Life Sciences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Personal Care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Specialty Additives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Intermediates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Unallocated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Total</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OPERATING INCOME (LOSS)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Operating key items: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Goodwill impairment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(706</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Environmental reserve adjustments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(30</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Accelerated depreciation</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(27</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Restructuring, separation and other costs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Other plant optimization costs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All other operating income (loss)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65</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Operating income (loss)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(708</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NET INTEREST AND OTHER (INCOME) EXPENSE</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Key items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(19</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All other net interest and other expense</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14</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(5</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OTHER NET PERIODIC BENEFIT LOSS</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INCOME TAX EXPENSE (BENEFIT)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Ashland;sans-serif" w:hAnsi="Ashland;sans-serif"/>
                <w:color w:val="000000"/>
                <w:sz w:val="14"/>
              </w:rPr>
              <w:t>Tax effect of key items</w:t>
            </w:r>
            <w:r>
              <w:rPr>
                <w:rFonts w:ascii="Ashland;sans-serif" w:hAnsi="Ashland;sans-serif"/>
                <w:color w:val="000000"/>
                <w:sz w:val="9"/>
              </w:rPr>
              <w:t>(a)</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(12</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14"/>
              </w:rPr>
            </w:pPr>
            <w:r>
              <w:rPr>
                <w:rFonts w:ascii="Ashland;sans-serif" w:hAnsi="Ashland;sans-serif"/>
                <w:color w:val="000000"/>
                <w:sz w:val="14"/>
              </w:rPr>
              <w:t>Tax specific key items</w:t>
            </w:r>
            <w:r>
              <w:rPr>
                <w:rFonts w:ascii="Ashland;sans-serif" w:hAnsi="Ashland;sans-serif"/>
                <w:color w:val="000000"/>
                <w:sz w:val="9"/>
              </w:rPr>
              <w:t>(b)</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13</w:t>
            </w:r>
          </w:p>
        </w:tc>
        <w:tc>
          <w:tcPr>
            <w:tcW w:w="37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Ashland;sans-serif" w:hAnsi="Ashland;sans-serif"/>
                <w:color w:val="000000"/>
                <w:sz w:val="14"/>
              </w:rPr>
            </w:pPr>
            <w:r>
              <w:rPr>
                <w:rFonts w:ascii="Ashland;sans-serif" w:hAnsi="Ashland;sans-serif"/>
                <w:color w:val="000000"/>
                <w:sz w:val="14"/>
              </w:rPr>
              <w:t>All other income tax expense</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14</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15</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4"/>
              </w:rPr>
            </w:pPr>
            <w:r>
              <w:rPr>
                <w:rFonts w:ascii="Ashland;sans-serif" w:hAnsi="Ashland;sans-serif"/>
                <w:b/>
                <w:color w:val="000000"/>
                <w:sz w:val="14"/>
              </w:rPr>
              <w:t>INCOME (LOSS) FROM CONTINUING OPERATIONS</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4"/>
              </w:rPr>
            </w:pPr>
            <w:r>
              <w:rPr>
                <w:rFonts w:ascii="Ashland;sans-serif" w:hAnsi="Ashland;sans-serif"/>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4"/>
              </w:rPr>
            </w:pPr>
            <w:r>
              <w:rPr>
                <w:rFonts w:ascii="Ashland;sans-serif" w:hAnsi="Ashland;sans-serif"/>
                <w:color w:val="000000"/>
                <w:sz w:val="14"/>
              </w:rPr>
              <w:t>(719</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4"/>
              </w:rPr>
            </w:pPr>
            <w:r>
              <w:rPr>
                <w:rFonts w:ascii="Ashland;sans-serif" w:hAnsi="Ashland;sans-serif"/>
                <w:color w:val="000000"/>
                <w:sz w:val="14"/>
              </w:rPr>
              <w:t>)</w:t>
            </w:r>
          </w:p>
        </w:tc>
      </w:tr>
      <w:tr>
        <w:trPr/>
        <w:tc>
          <w:tcPr>
            <w:tcW w:w="2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 xml:space="preserve">Represents the tax effect of the key items that are previously identified above. </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key items resulting from tax specific financial transactions, tax law changes or other matters that fall within the definition of tax specific key items. See Table 7 for additional information.</w:t>
      </w:r>
    </w:p>
    <w:p>
      <w:pPr>
        <w:pStyle w:val="TextBody"/>
        <w:bidi w:val="0"/>
        <w:jc w:val="center"/>
        <w:rPr>
          <w:rFonts w:ascii="Ashland;sans-serif" w:hAnsi="Ashland;sans-serif"/>
          <w:color w:val="000000"/>
          <w:sz w:val="18"/>
        </w:rPr>
      </w:pPr>
      <w:r>
        <w:rPr>
          <w:rFonts w:ascii="Ashland;sans-serif" w:hAnsi="Ashland;sans-serif"/>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12" w:type="dxa"/>
        <w:jc w:val="left"/>
        <w:tblInd w:w="0" w:type="dxa"/>
        <w:tblLayout w:type="fixed"/>
        <w:tblCellMar>
          <w:top w:w="28" w:type="dxa"/>
          <w:left w:w="28" w:type="dxa"/>
          <w:bottom w:w="28" w:type="dxa"/>
          <w:right w:w="28" w:type="dxa"/>
        </w:tblCellMar>
      </w:tblPr>
      <w:tblGrid>
        <w:gridCol w:w="5341"/>
        <w:gridCol w:w="871"/>
      </w:tblGrid>
      <w:tr>
        <w:trPr/>
        <w:tc>
          <w:tcPr>
            <w:tcW w:w="534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RECONCILIATION OF CERTAIN NON-GAAP DATA</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 preliminary and unaudited)</w:t>
            </w:r>
          </w:p>
        </w:tc>
        <w:tc>
          <w:tcPr>
            <w:tcW w:w="871"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6</w:t>
            </w:r>
          </w:p>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48"/>
        <w:gridCol w:w="146"/>
        <w:gridCol w:w="211"/>
        <w:gridCol w:w="146"/>
        <w:gridCol w:w="421"/>
        <w:gridCol w:w="256"/>
        <w:gridCol w:w="146"/>
        <w:gridCol w:w="307"/>
        <w:gridCol w:w="213"/>
        <w:gridCol w:w="704"/>
        <w:gridCol w:w="256"/>
        <w:gridCol w:w="146"/>
        <w:gridCol w:w="211"/>
        <w:gridCol w:w="146"/>
        <w:gridCol w:w="526"/>
        <w:gridCol w:w="256"/>
        <w:gridCol w:w="146"/>
        <w:gridCol w:w="307"/>
        <w:gridCol w:w="213"/>
        <w:gridCol w:w="704"/>
        <w:gridCol w:w="396"/>
      </w:tblGrid>
      <w:tr>
        <w:trPr/>
        <w:tc>
          <w:tcPr>
            <w:tcW w:w="4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Three months ended</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Nine months ended</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Free cash flows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Total cash flows provided by 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94</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Free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Tax refund</w:t>
            </w:r>
            <w:r>
              <w:rPr>
                <w:rFonts w:ascii="Ashland;sans-serif" w:hAnsi="Ashland;sans-serif"/>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Cash (inflows) outflows from U.S. Accounts Receivable Sales Program</w:t>
            </w:r>
            <w:r>
              <w:rPr>
                <w:rFonts w:ascii="Ashland;sans-serif" w:hAnsi="Ashland;sans-serif"/>
                <w:color w:val="000000"/>
                <w:sz w:val="11"/>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Cash inflows from Foreign Accounts Receivable Sales Program</w:t>
            </w:r>
            <w:r>
              <w:rPr>
                <w:rFonts w:ascii="Ashland;sans-serif" w:hAnsi="Ashland;sans-serif"/>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Restructuring-related payments</w:t>
            </w:r>
            <w:r>
              <w:rPr>
                <w:rFonts w:ascii="Ashland;sans-serif" w:hAnsi="Ashland;sans-serif"/>
                <w:color w:val="000000"/>
                <w:sz w:val="11"/>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Environmental and related litigation payments</w:t>
            </w:r>
            <w:r>
              <w:rPr>
                <w:rFonts w:ascii="Ashland;sans-serif" w:hAnsi="Ashland;sans-serif"/>
                <w:color w:val="000000"/>
                <w:sz w:val="11"/>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Ongoing 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(877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Adjusted EBITDA</w:t>
            </w:r>
            <w:r>
              <w:rPr>
                <w:rFonts w:ascii="Ashland;sans-serif" w:hAnsi="Ashland;sans-serif"/>
                <w:color w:val="000000"/>
                <w:sz w:val="11"/>
              </w:rPr>
              <w: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282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Operating Cash Flow Conversion</w:t>
            </w:r>
            <w:r>
              <w:rPr>
                <w:rFonts w:ascii="Ashland;sans-serif" w:hAnsi="Ashland;sans-serif"/>
                <w:color w:val="000000"/>
                <w:sz w:val="11"/>
              </w:rPr>
              <w:t>(g)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Not meaningful</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1475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Not meaningful</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Ongoing Free Cash Flow Conversion</w:t>
            </w:r>
            <w:r>
              <w:rPr>
                <w:rFonts w:ascii="Ashland;sans-serif" w:hAnsi="Ashland;sans-serif"/>
                <w:color w:val="000000"/>
                <w:sz w:val="11"/>
              </w:rPr>
              <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4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shland;sans-serif" w:hAnsi="Ashland;sans-serif"/>
          <w:color w:val="000000"/>
          <w:sz w:val="14"/>
        </w:rPr>
      </w:pPr>
      <w:r>
        <w:rPr>
          <w:rFonts w:ascii="Ashland;sans-serif" w:hAnsi="Ashland;sans-serif"/>
          <w:color w:val="000000"/>
          <w:sz w:val="14"/>
        </w:rPr>
        <w:t>(a)</w:t>
      </w:r>
    </w:p>
    <w:p>
      <w:pPr>
        <w:pStyle w:val="TextBody"/>
        <w:bidi w:val="0"/>
        <w:spacing w:before="0" w:after="0"/>
        <w:jc w:val="both"/>
        <w:rPr>
          <w:rFonts w:ascii="Ashland;sans-serif" w:hAnsi="Ashland;sans-serif"/>
          <w:color w:val="000000"/>
          <w:sz w:val="14"/>
        </w:rPr>
      </w:pPr>
      <w:r>
        <w:rPr>
          <w:rFonts w:ascii="Ashland;sans-serif" w:hAnsi="Ashland;sans-serif"/>
          <w:color w:val="000000"/>
          <w:sz w:val="14"/>
        </w:rPr>
        <w:t>Represents receipt of tax refund related to the capital loss carryback from the Nutraceutical business divestiture.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activity associated with the U.S. Accounts Receivable Sales Program impacting each period presented.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activity associated with the Foreign Accounts Receivable Sales Program impacting each period presented.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Restructuring payments incurred during each period presented.</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cash outflows associated with environmental and related litigation payments which will be reimbursed by the Environmental trust.</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(f)</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See Adjusted EBITDA reconciliation.</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(g)</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Operating Cash Flow Conversion is defined as Cash flows provided by operating activities from continuing operations divided by net income (loss).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(h)</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Ongoing Free Cash Flow Conversion is defined as Ongoing Free Cash Flow divided by Adjusted EBITDA.</w:t>
      </w:r>
    </w:p>
    <w:p>
      <w:pPr>
        <w:pStyle w:val="TextBody"/>
        <w:bidi w:val="0"/>
        <w:jc w:val="both"/>
        <w:rPr/>
      </w:pPr>
      <w:r>
        <w:rPr/>
        <w:t> </w:t>
      </w:r>
    </w:p>
    <w:tbl>
      <w:tblPr>
        <w:tblW w:w="8574" w:type="dxa"/>
        <w:jc w:val="left"/>
        <w:tblInd w:w="0" w:type="dxa"/>
        <w:tblLayout w:type="fixed"/>
        <w:tblCellMar>
          <w:top w:w="28" w:type="dxa"/>
          <w:left w:w="28" w:type="dxa"/>
          <w:bottom w:w="28" w:type="dxa"/>
          <w:right w:w="28" w:type="dxa"/>
        </w:tblCellMar>
      </w:tblPr>
      <w:tblGrid>
        <w:gridCol w:w="3936"/>
        <w:gridCol w:w="146"/>
        <w:gridCol w:w="213"/>
        <w:gridCol w:w="147"/>
        <w:gridCol w:w="319"/>
        <w:gridCol w:w="168"/>
        <w:gridCol w:w="147"/>
        <w:gridCol w:w="213"/>
        <w:gridCol w:w="147"/>
        <w:gridCol w:w="487"/>
        <w:gridCol w:w="166"/>
        <w:gridCol w:w="146"/>
        <w:gridCol w:w="211"/>
        <w:gridCol w:w="146"/>
        <w:gridCol w:w="421"/>
        <w:gridCol w:w="166"/>
        <w:gridCol w:w="146"/>
        <w:gridCol w:w="211"/>
        <w:gridCol w:w="146"/>
        <w:gridCol w:w="481"/>
        <w:gridCol w:w="41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Adjusted Operating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Operating income (loss)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Restructuring, separation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Accelerated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Avoca business impairment and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Held for sale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Income on divestitures,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Adjusted Operating Income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63</w:t>
            </w:r>
          </w:p>
        </w:tc>
        <w:tc>
          <w:tcPr>
            <w:tcW w:w="1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65</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136</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6256"/>
        <w:gridCol w:w="871"/>
      </w:tblGrid>
      <w:tr>
        <w:trPr/>
        <w:tc>
          <w:tcPr>
            <w:tcW w:w="6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25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RECONCILIATION OF CERTAIN NON-GAAP DATA</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except per share data - preliminary and unaudited)</w:t>
            </w:r>
          </w:p>
        </w:tc>
        <w:tc>
          <w:tcPr>
            <w:tcW w:w="871"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7</w:t>
            </w:r>
          </w:p>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5"/>
        <w:gridCol w:w="146"/>
        <w:gridCol w:w="211"/>
        <w:gridCol w:w="146"/>
        <w:gridCol w:w="376"/>
        <w:gridCol w:w="166"/>
        <w:gridCol w:w="146"/>
        <w:gridCol w:w="211"/>
        <w:gridCol w:w="146"/>
        <w:gridCol w:w="481"/>
        <w:gridCol w:w="166"/>
        <w:gridCol w:w="146"/>
        <w:gridCol w:w="211"/>
        <w:gridCol w:w="146"/>
        <w:gridCol w:w="421"/>
        <w:gridCol w:w="166"/>
        <w:gridCol w:w="146"/>
        <w:gridCol w:w="211"/>
        <w:gridCol w:w="146"/>
        <w:gridCol w:w="481"/>
        <w:gridCol w:w="411"/>
      </w:tblGrid>
      <w:tr>
        <w:trPr/>
        <w:tc>
          <w:tcPr>
            <w:tcW w:w="5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Income (loss) from continuing operations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Restructuring, separation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Unrealized gains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Accelerated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Avoca business impairment and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(Gain) loss on pension plan remeasurements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Held for sale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Income on divestitures,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754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968</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Tax effect of key items</w:t>
            </w:r>
            <w:r>
              <w:rPr>
                <w:rFonts w:ascii="Ashland;sans-serif" w:hAnsi="Ashland;sans-serif"/>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after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Tax specific key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Other and tax reform related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Tax specific key items</w:t>
            </w:r>
            <w:r>
              <w:rPr>
                <w:rFonts w:ascii="Ashland;sans-serif" w:hAnsi="Ashland;sans-serif"/>
                <w:color w:val="000000"/>
                <w:sz w:val="11"/>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Total key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924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Adjusted Income from Continuing Operations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69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Amortization expense adjustment (net of tax)</w:t>
            </w:r>
            <w:r>
              <w:rPr>
                <w:rFonts w:ascii="Ashland;sans-serif" w:hAnsi="Ashland;sans-serif"/>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5"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Adjusted Income from Continuing Operations (non-GAAP) Excluding Intangibles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Represents the tax effect of the key items that are previously identified above.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key items resulting from tax specific financial transactions, tax law changes or other matters that fall within the definition of tax specific key items. These tax specific key items included the following:</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 Uncertain tax positions: Includes the impact from the settlement of uncertain tax positions with various tax authorities.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 Other and tax reform: Includes the impact from the remeasurement of foreign deferred tax balances resulting from the impact from rate changes for foreign jurisdictions and other tax law changes enacted during fiscal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Amortization expense adjustment (net of tax) tax rates were 20% for both the three and nine months ended June 30, 2026, and 20% and 21% for the three and nine months ended June 30, 2025, respectively.</w:t>
      </w:r>
    </w:p>
    <w:p>
      <w:pPr>
        <w:pStyle w:val="TextBody"/>
        <w:bidi w:val="0"/>
        <w:spacing w:before="40" w:after="283"/>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27" w:type="dxa"/>
        <w:jc w:val="left"/>
        <w:tblInd w:w="0" w:type="dxa"/>
        <w:tblLayout w:type="fixed"/>
        <w:tblCellMar>
          <w:top w:w="28" w:type="dxa"/>
          <w:left w:w="28" w:type="dxa"/>
          <w:bottom w:w="28" w:type="dxa"/>
          <w:right w:w="28" w:type="dxa"/>
        </w:tblCellMar>
      </w:tblPr>
      <w:tblGrid>
        <w:gridCol w:w="6256"/>
        <w:gridCol w:w="2071"/>
      </w:tblGrid>
      <w:tr>
        <w:trPr/>
        <w:tc>
          <w:tcPr>
            <w:tcW w:w="62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25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shland;sans-serif" w:hAnsi="Ashland;sans-serif"/>
                <w:color w:val="000000"/>
                <w:sz w:val="20"/>
              </w:rPr>
              <w:t>Ashland Inc. and Consolidated Subsidiaries</w:t>
            </w:r>
            <w:r>
              <w:rPr>
                <w:rFonts w:ascii="Times New Roman" w:hAnsi="Times New Roman"/>
                <w:color w:val="000000"/>
                <w:sz w:val="20"/>
              </w:rPr>
              <w:t xml:space="preserve"> </w:t>
            </w:r>
          </w:p>
          <w:p>
            <w:pPr>
              <w:pStyle w:val="TableContents"/>
              <w:bidi w:val="0"/>
              <w:jc w:val="left"/>
              <w:rPr>
                <w:rFonts w:ascii="Ashland;sans-serif" w:hAnsi="Ashland;sans-serif"/>
                <w:b/>
                <w:color w:val="000000"/>
                <w:sz w:val="20"/>
              </w:rPr>
            </w:pPr>
            <w:r>
              <w:rPr>
                <w:rFonts w:ascii="Ashland;sans-serif" w:hAnsi="Ashland;sans-serif"/>
                <w:b/>
                <w:color w:val="000000"/>
                <w:sz w:val="20"/>
              </w:rPr>
              <w:t>RECONCILIATION OF CERTAIN NON-GAAP DATA</w:t>
            </w:r>
          </w:p>
          <w:p>
            <w:pPr>
              <w:pStyle w:val="TableContents"/>
              <w:bidi w:val="0"/>
              <w:spacing w:before="0" w:after="283"/>
              <w:jc w:val="left"/>
              <w:rPr>
                <w:rFonts w:ascii="Ashland;sans-serif" w:hAnsi="Ashland;sans-serif"/>
                <w:color w:val="000000"/>
                <w:sz w:val="20"/>
              </w:rPr>
            </w:pPr>
            <w:r>
              <w:rPr>
                <w:rFonts w:ascii="Ashland;sans-serif" w:hAnsi="Ashland;sans-serif"/>
                <w:color w:val="000000"/>
                <w:sz w:val="20"/>
              </w:rPr>
              <w:t>(In millions except per share data - preliminary and unaudited)</w:t>
            </w:r>
          </w:p>
        </w:tc>
        <w:tc>
          <w:tcPr>
            <w:tcW w:w="2071" w:type="dxa"/>
            <w:tcBorders/>
            <w:tcMar>
              <w:top w:w="0" w:type="dxa"/>
              <w:left w:w="0" w:type="dxa"/>
              <w:bottom w:w="0" w:type="dxa"/>
              <w:right w:w="0" w:type="dxa"/>
            </w:tcMar>
            <w:vAlign w:val="center"/>
          </w:tcPr>
          <w:p>
            <w:pPr>
              <w:pStyle w:val="TableContents"/>
              <w:bidi w:val="0"/>
              <w:jc w:val="right"/>
              <w:rPr>
                <w:rFonts w:ascii="Ashland;sans-serif" w:hAnsi="Ashland;sans-serif"/>
                <w:color w:val="000000"/>
                <w:sz w:val="20"/>
              </w:rPr>
            </w:pPr>
            <w:r>
              <w:rPr>
                <w:rFonts w:ascii="Ashland;sans-serif" w:hAnsi="Ashland;sans-serif"/>
                <w:color w:val="000000"/>
                <w:sz w:val="20"/>
              </w:rPr>
              <w:t>Table 7 (Continued)</w:t>
            </w:r>
          </w:p>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70"/>
        <w:gridCol w:w="146"/>
        <w:gridCol w:w="211"/>
        <w:gridCol w:w="146"/>
        <w:gridCol w:w="526"/>
        <w:gridCol w:w="166"/>
        <w:gridCol w:w="146"/>
        <w:gridCol w:w="211"/>
        <w:gridCol w:w="146"/>
        <w:gridCol w:w="631"/>
        <w:gridCol w:w="166"/>
        <w:gridCol w:w="146"/>
        <w:gridCol w:w="211"/>
        <w:gridCol w:w="146"/>
        <w:gridCol w:w="526"/>
        <w:gridCol w:w="166"/>
        <w:gridCol w:w="146"/>
        <w:gridCol w:w="211"/>
        <w:gridCol w:w="146"/>
        <w:gridCol w:w="631"/>
        <w:gridCol w:w="411"/>
      </w:tblGrid>
      <w:tr>
        <w:trPr/>
        <w:tc>
          <w:tcPr>
            <w:tcW w:w="4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Nine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color w:val="000000"/>
                <w:sz w:val="16"/>
              </w:rPr>
            </w:pPr>
            <w:r>
              <w:rPr>
                <w:rFonts w:ascii="Ashland;sans-serif" w:hAnsi="Ashland;sans-serif"/>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shland;sans-serif" w:hAnsi="Ashland;sans-serif"/>
                <w:b/>
                <w:color w:val="000000"/>
                <w:sz w:val="16"/>
              </w:rPr>
            </w:pPr>
            <w:r>
              <w:rPr>
                <w:rFonts w:ascii="Ashland;sans-serif" w:hAnsi="Ashland;sans-serif"/>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Diluted EPS from continuing operations (as 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(18.39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Environmental reserve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Other plant optimization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Restructuring, separation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Unrealized gains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Accelerated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15.19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Avoca business impairment and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3.73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(Gain) loss on pension plan remeasurements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Held for sale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Income on divestitures,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0.69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20.79</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Tax effect of key items</w:t>
            </w:r>
            <w:r>
              <w:rPr>
                <w:rFonts w:ascii="Ashland;sans-serif" w:hAnsi="Ashland;sans-serif"/>
                <w:color w:val="000000"/>
                <w:sz w:val="11"/>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Key items, after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Tax specific key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shland;sans-serif" w:hAnsi="Ashland;sans-serif"/>
                <w:color w:val="000000"/>
                <w:sz w:val="16"/>
              </w:rPr>
            </w:pPr>
            <w:r>
              <w:rPr>
                <w:rFonts w:ascii="Ashland;sans-serif" w:hAnsi="Ashland;sans-serif"/>
                <w:color w:val="000000"/>
                <w:sz w:val="16"/>
              </w:rPr>
              <w:t>Other and tax reform related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Tax specific key items</w:t>
            </w:r>
            <w:r>
              <w:rPr>
                <w:rFonts w:ascii="Ashland;sans-serif" w:hAnsi="Ashland;sans-serif"/>
                <w:color w:val="000000"/>
                <w:sz w:val="11"/>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Total key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19.86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Adjusted Diluted EPS from Continuing Operations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shland;sans-serif" w:hAnsi="Ashland;sans-serif"/>
                <w:color w:val="000000"/>
                <w:sz w:val="16"/>
              </w:rPr>
              <w:t>Amortization expense adjustment (net of tax)</w:t>
            </w:r>
            <w:r>
              <w:rPr>
                <w:rFonts w:ascii="Ashland;sans-serif" w:hAnsi="Ashland;sans-serif"/>
                <w:color w:val="000000"/>
                <w:sz w:val="11"/>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0.83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shd w:fill="FFFFFF" w:val="clear"/>
            <w:tcMar>
              <w:top w:w="0" w:type="dxa"/>
              <w:left w:w="0" w:type="dxa"/>
              <w:bottom w:w="0" w:type="dxa"/>
              <w:right w:w="0" w:type="dxa"/>
            </w:tcMar>
            <w:vAlign w:val="center"/>
          </w:tcPr>
          <w:p>
            <w:pPr>
              <w:pStyle w:val="TableContents"/>
              <w:bidi w:val="0"/>
              <w:spacing w:before="0" w:after="283"/>
              <w:jc w:val="left"/>
              <w:rPr>
                <w:rFonts w:ascii="Ashland;sans-serif" w:hAnsi="Ashland;sans-serif"/>
                <w:b/>
                <w:color w:val="000000"/>
                <w:sz w:val="16"/>
              </w:rPr>
            </w:pPr>
            <w:r>
              <w:rPr>
                <w:rFonts w:ascii="Ashland;sans-serif" w:hAnsi="Ashland;sans-serif"/>
                <w:b/>
                <w:color w:val="000000"/>
                <w:sz w:val="16"/>
              </w:rPr>
              <w:t>Adjusted Diluted EPS from Continuing Operations (non-GAAP) Excluding Intangibles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shland;sans-serif" w:hAnsi="Ashland;sans-serif"/>
                <w:color w:val="000000"/>
                <w:sz w:val="16"/>
              </w:rPr>
            </w:pPr>
            <w:r>
              <w:rPr>
                <w:rFonts w:ascii="Ashland;sans-serif" w:hAnsi="Ashland;sans-serif"/>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shland;sans-serif" w:hAnsi="Ashland;sans-serif"/>
                <w:color w:val="000000"/>
                <w:sz w:val="16"/>
              </w:rPr>
            </w:pPr>
            <w:r>
              <w:rPr>
                <w:rFonts w:ascii="Ashland;sans-serif" w:hAnsi="Ashland;sans-serif"/>
                <w:color w:val="000000"/>
                <w:sz w:val="16"/>
              </w:rPr>
              <w:t>2.30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(a)</w:t>
      </w:r>
    </w:p>
    <w:p>
      <w:pPr>
        <w:pStyle w:val="TextBody"/>
        <w:bidi w:val="0"/>
        <w:spacing w:before="120" w:after="283"/>
        <w:jc w:val="both"/>
        <w:rPr>
          <w:rFonts w:ascii="Ashland;sans-serif" w:hAnsi="Ashland;sans-serif"/>
          <w:color w:val="000000"/>
          <w:sz w:val="14"/>
        </w:rPr>
      </w:pPr>
      <w:r>
        <w:rPr>
          <w:rFonts w:ascii="Ashland;sans-serif" w:hAnsi="Ashland;sans-serif"/>
          <w:color w:val="000000"/>
          <w:sz w:val="14"/>
        </w:rPr>
        <w:t>Represents the tax effect of the key items that are previously identified above.</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(b)</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Represents key items resulting from tax specific financial transactions, tax law changes or other matters that fall within the definition of tax specific key items. These tax specific key items included the following:</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 Uncertain tax positions: Includes the impact from the settlement of uncertain tax positions with various tax authorities.</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 Other and tax reform: Includes the impact from the remeasurement of foreign deferred tax balances resulting from the impact from rate changes for foreign jurisdictions and other tax law changes enacted during fiscal 2025.</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(c)</w:t>
      </w:r>
    </w:p>
    <w:p>
      <w:pPr>
        <w:pStyle w:val="TextBody"/>
        <w:bidi w:val="0"/>
        <w:spacing w:before="40" w:after="283"/>
        <w:jc w:val="both"/>
        <w:rPr>
          <w:rFonts w:ascii="Ashland;sans-serif" w:hAnsi="Ashland;sans-serif"/>
          <w:color w:val="000000"/>
          <w:sz w:val="14"/>
        </w:rPr>
      </w:pPr>
      <w:r>
        <w:rPr>
          <w:rFonts w:ascii="Ashland;sans-serif" w:hAnsi="Ashland;sans-serif"/>
          <w:color w:val="000000"/>
          <w:sz w:val="14"/>
        </w:rPr>
        <w:t>Amortization expense adjustment (net of tax) tax rates were 20% for both the three and nine months ended June 30, 2026, and 20% and 21% for the three and nine months ended June 30, 2025, respectively.</w:t>
      </w:r>
    </w:p>
    <w:p>
      <w:pPr>
        <w:pStyle w:val="TextBody"/>
        <w:bidi w:val="0"/>
        <w:spacing w:before="40" w:after="283"/>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pPr>
      <w:r>
        <w:rPr/>
        <w:t> </w:t>
      </w:r>
    </w:p>
    <w:p>
      <w:pPr>
        <w:pStyle w:val="TextBody"/>
        <w:bidi w:val="0"/>
        <w:jc w:val="center"/>
        <w:rPr>
          <w:rFonts w:ascii="Ashland;sans-serif" w:hAnsi="Ashland;sans-serif"/>
          <w:color w:val="000000"/>
          <w:sz w:val="18"/>
        </w:rPr>
      </w:pPr>
      <w:r>
        <w:rPr>
          <w:rFonts w:ascii="Ashland;sans-serif" w:hAnsi="Ashland;sans-serif"/>
          <w:color w:val="000000"/>
          <w:sz w:val="18"/>
        </w:rPr>
        <w:t>19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shland">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7700</Words>
  <Characters>41597</Characters>
  <CharactersWithSpaces>52071</CharactersWithSpaces>
  <Paragraphs>6238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