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Assis Alessandra Faccin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GM, Life Sciences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66.38</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9,099</w:t>
            </w:r>
            <w:r>
              <w:rPr>
                <w:rFonts w:ascii="Times;serif" w:hAnsi="Times;serif"/>
                <w:color w:val="008000"/>
                <w:position w:val="7"/>
                <w:sz w:val="16"/>
                <w:sz w:val="20"/>
                <w:shd w:fill="FFFFFF" w:val="clear"/>
              </w:rPr>
              <w:t>(1)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884</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66.38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3,215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9,646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Balance includes additional common stock or restricted stock units acquired in lieu of cash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Payment of tax liability by withholding securities incident to the vesting of Restricted Stock Units acquired pursuant to Ashland's incentive plan as approved by the shareholders and exempt pursuant to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right to receive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25, 2024, the Reporting Person was granted 15,234 restricted stock units, vesting over a three-year period, with 20% vesting on July 25, 2025, 20% vesting on July 25, 2026, and 60% vesting on July 25, 2027, provided that the Reporting Person remains in continuous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Alessandra Faccin Assis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1500"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3816</Characters>
  <CharactersWithSpaces>4435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