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MINICUCCI JAMES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8145 BLAZER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ASHLAND INC.</w:t>
              </w:r>
            </w:hyperlink>
            <w:r>
              <w:rPr/>
              <w:t xml:space="preserve"> [ </w:t>
            </w:r>
            <w:r>
              <w:rPr>
                <w:rFonts w:ascii="Times;serif" w:hAnsi="Times;serif"/>
                <w:color w:val="0000FF"/>
                <w:sz w:val="24"/>
                <w:shd w:fill="FFFFFF" w:val="clear"/>
              </w:rPr>
              <w:t>ASH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and GM, Personal Care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55.01</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8,567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1,346</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55.01</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4,310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(4)</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Payment of tax liability by withholding securities incident to the vesting of Restricted Stock Units acquired pursuant to Ashland's incentive plan as approved by the shareholders and exempt pursuant to Rule 16b-3.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right to receive one (1) share of Ashland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May 18, 2023, the Reporting Person was granted 6,708 restricted stock units, vesting over a three-year period, with 20% vesting on May 8, 2024, 20% vesting on May 8, 2025, and 60% vesting on May 8, 2026, provided that the Reporting Person remains in continuous employment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Balance includes additional restricted stock units acquired in lieu of cash dividends.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Serena S. Kenost, Attorney-in-Fact for James P. Minicucci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9580" TargetMode="External"/><Relationship Id="rId5" Type="http://schemas.openxmlformats.org/officeDocument/2006/relationships/hyperlink" Target="http://www.sec.gov/cgi-bin/browse-edgar?action=getcompany&amp;CIK=00016748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3760</Characters>
  <CharactersWithSpaces>4386</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