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sh-20250630.htm"/>
      <w:bookmarkStart w:id="1" w:name="ksash20250630"/>
      <w:bookmarkEnd w:id="0"/>
      <w:bookmarkEnd w:id="1"/>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For the transition period from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Commission file number 333-211719</w:t>
      </w:r>
    </w:p>
    <w:p>
      <w:pPr>
        <w:pStyle w:val="TextBody"/>
        <w:bidi w:val="0"/>
        <w:spacing w:before="160" w:after="283"/>
        <w:jc w:val="center"/>
        <w:rPr>
          <w:rFonts w:ascii="Times New Roman" w:hAnsi="Times New Roman"/>
          <w:b/>
          <w:color w:val="000000"/>
          <w:sz w:val="48"/>
        </w:rPr>
      </w:pPr>
      <w:r>
        <w:rPr>
          <w:rFonts w:ascii="Times New Roman" w:hAnsi="Times New Roman"/>
          <w:b/>
          <w:color w:val="000000"/>
          <w:sz w:val="48"/>
        </w:rPr>
        <w:t>ASHLAND INC.</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(a Delaware corporation)</w:t>
      </w:r>
    </w:p>
    <w:p>
      <w:pPr>
        <w:pStyle w:val="TextBody"/>
        <w:bidi w:val="0"/>
        <w:jc w:val="center"/>
        <w:rPr>
          <w:rFonts w:ascii="Times New Roman" w:hAnsi="Times New Roman"/>
          <w:color w:val="000000"/>
          <w:sz w:val="20"/>
        </w:rPr>
      </w:pPr>
      <w:r>
        <w:rPr>
          <w:rFonts w:ascii="Times New Roman" w:hAnsi="Times New Roman"/>
          <w:color w:val="000000"/>
          <w:sz w:val="20"/>
        </w:rPr>
        <w:t>I.R.S. No. 81-2587835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8145 Blazer Drive</w:t>
      </w:r>
    </w:p>
    <w:p>
      <w:pPr>
        <w:pStyle w:val="TextBody"/>
        <w:bidi w:val="0"/>
        <w:jc w:val="center"/>
        <w:rPr>
          <w:rFonts w:ascii="Times New Roman" w:hAnsi="Times New Roman"/>
          <w:color w:val="000000"/>
          <w:sz w:val="20"/>
        </w:rPr>
      </w:pPr>
      <w:r>
        <w:rPr>
          <w:rFonts w:ascii="Times New Roman" w:hAnsi="Times New Roman"/>
          <w:color w:val="000000"/>
          <w:sz w:val="20"/>
        </w:rPr>
        <w:t>Wilmington, Delaware 19808</w:t>
      </w:r>
    </w:p>
    <w:p>
      <w:pPr>
        <w:pStyle w:val="TextBody"/>
        <w:bidi w:val="0"/>
        <w:jc w:val="center"/>
        <w:rPr>
          <w:rFonts w:ascii="Times New Roman" w:hAnsi="Times New Roman"/>
          <w:color w:val="000000"/>
          <w:sz w:val="20"/>
        </w:rPr>
      </w:pPr>
      <w:r>
        <w:rPr>
          <w:rFonts w:ascii="Times New Roman" w:hAnsi="Times New Roman"/>
          <w:color w:val="000000"/>
          <w:sz w:val="20"/>
        </w:rPr>
        <w:t>Telephone Number (302) 995-3000</w:t>
      </w:r>
    </w:p>
    <w:p>
      <w:pPr>
        <w:pStyle w:val="TextBody"/>
        <w:bidi w:val="0"/>
        <w:jc w:val="center"/>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7968" w:type="dxa"/>
        <w:jc w:val="left"/>
        <w:tblInd w:w="0" w:type="dxa"/>
        <w:tblLayout w:type="fixed"/>
        <w:tblCellMar>
          <w:top w:w="28" w:type="dxa"/>
          <w:left w:w="28" w:type="dxa"/>
          <w:bottom w:w="28" w:type="dxa"/>
          <w:right w:w="28" w:type="dxa"/>
        </w:tblCellMar>
      </w:tblPr>
      <w:tblGrid>
        <w:gridCol w:w="3496"/>
        <w:gridCol w:w="1246"/>
        <w:gridCol w:w="3226"/>
      </w:tblGrid>
      <w:tr>
        <w:trPr/>
        <w:tc>
          <w:tcPr>
            <w:tcW w:w="349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496"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color w:val="000000"/>
                <w:sz w:val="16"/>
                <w:u w:val="single"/>
              </w:rPr>
            </w:pPr>
            <w:r>
              <w:rPr>
                <w:rFonts w:ascii="Times New Roman" w:hAnsi="Times New Roman"/>
                <w:color w:val="000000"/>
                <w:sz w:val="16"/>
                <w:u w:val="single"/>
              </w:rPr>
              <w:t>Title of each class</w:t>
            </w:r>
          </w:p>
        </w:tc>
        <w:tc>
          <w:tcPr>
            <w:tcW w:w="1246"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color w:val="000000"/>
                <w:sz w:val="16"/>
                <w:u w:val="single"/>
              </w:rPr>
            </w:pPr>
            <w:r>
              <w:rPr>
                <w:rFonts w:ascii="Times New Roman" w:hAnsi="Times New Roman"/>
                <w:color w:val="000000"/>
                <w:sz w:val="16"/>
                <w:u w:val="single"/>
              </w:rPr>
              <w:t>Trading Symbol</w:t>
            </w:r>
          </w:p>
        </w:tc>
        <w:tc>
          <w:tcPr>
            <w:tcW w:w="3226"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color w:val="000000"/>
                <w:sz w:val="16"/>
                <w:u w:val="single"/>
              </w:rPr>
            </w:pPr>
            <w:r>
              <w:rPr>
                <w:rFonts w:ascii="Times New Roman" w:hAnsi="Times New Roman"/>
                <w:color w:val="000000"/>
                <w:sz w:val="16"/>
                <w:u w:val="single"/>
              </w:rP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ASH</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Securities Registered Pursuant to Section 12(g) of the Act: None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both"/>
        <w:rPr/>
      </w:pPr>
      <w:r>
        <w:rPr/>
        <w:t> </w:t>
      </w:r>
    </w:p>
    <w:tbl>
      <w:tblPr>
        <w:tblW w:w="5557" w:type="dxa"/>
        <w:jc w:val="left"/>
        <w:tblInd w:w="0" w:type="dxa"/>
        <w:tblLayout w:type="fixed"/>
        <w:tblCellMar>
          <w:top w:w="28" w:type="dxa"/>
          <w:left w:w="28" w:type="dxa"/>
          <w:bottom w:w="28" w:type="dxa"/>
          <w:right w:w="28" w:type="dxa"/>
        </w:tblCellMar>
      </w:tblPr>
      <w:tblGrid>
        <w:gridCol w:w="2011"/>
        <w:gridCol w:w="316"/>
        <w:gridCol w:w="146"/>
        <w:gridCol w:w="146"/>
        <w:gridCol w:w="2431"/>
        <w:gridCol w:w="146"/>
        <w:gridCol w:w="361"/>
      </w:tblGrid>
      <w:tr>
        <w:trPr/>
        <w:tc>
          <w:tcPr>
            <w:tcW w:w="20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4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0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473" w:type="dxa"/>
            <w:gridSpan w:val="3"/>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June 30, 2025, there were 45,705,958 shares of Registrant’s Common Stock outstanding.</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PART I - FINANCIAL INFORMATION</w:t>
      </w:r>
    </w:p>
    <w:p>
      <w:pPr>
        <w:pStyle w:val="TextBody"/>
        <w:pBdr>
          <w:bottom w:val="single" w:sz="4" w:space="1" w:color="000000"/>
        </w:pBdr>
        <w:bidi w:val="0"/>
        <w:spacing w:before="120" w:after="283"/>
        <w:jc w:val="left"/>
        <w:rPr>
          <w:rFonts w:ascii="Times New Roman" w:hAnsi="Times New Roman"/>
          <w:b/>
          <w:color w:val="000000"/>
          <w:sz w:val="22"/>
        </w:rPr>
      </w:pPr>
      <w:r>
        <w:rPr>
          <w:rFonts w:ascii="Times New Roman" w:hAnsi="Times New Roman"/>
          <w:b/>
          <w:color w:val="000000"/>
          <w:sz w:val="22"/>
        </w:rPr>
        <w:t>ITEM 1. FINANCIAL STATEMENTS</w:t>
      </w:r>
    </w:p>
    <w:p>
      <w:pPr>
        <w:pStyle w:val="TextBody"/>
        <w:bidi w:val="0"/>
        <w:spacing w:before="120" w:after="283"/>
        <w:jc w:val="left"/>
        <w:rPr>
          <w:rFonts w:ascii="Times New Roman" w:hAnsi="Times New Roman"/>
          <w:b/>
          <w:color w:val="000000"/>
          <w:sz w:val="22"/>
        </w:rPr>
      </w:pPr>
      <w:r>
        <w:rPr>
          <w:rFonts w:ascii="Times New Roman" w:hAnsi="Times New Roman"/>
          <w:b/>
          <w:color w:val="000000"/>
          <w:sz w:val="22"/>
        </w:rPr>
        <w:t>ASHLAND INC. AND CONSOLIDATED SUBSIDIARIES</w:t>
      </w:r>
    </w:p>
    <w:p>
      <w:pPr>
        <w:pStyle w:val="TextBody"/>
        <w:bidi w:val="0"/>
        <w:jc w:val="left"/>
        <w:rPr>
          <w:rFonts w:ascii="Times New Roman" w:hAnsi="Times New Roman"/>
          <w:b/>
          <w:color w:val="000000"/>
          <w:sz w:val="22"/>
        </w:rPr>
      </w:pPr>
      <w:r>
        <w:rPr>
          <w:rFonts w:ascii="Times New Roman" w:hAnsi="Times New Roman"/>
          <w:b/>
          <w:color w:val="000000"/>
          <w:sz w:val="22"/>
        </w:rPr>
        <w:t>STATEMENTS OF CONDENSED CONSOLIDATED COMPREHENSIVE INCOME (LOSS)</w:t>
      </w:r>
    </w:p>
    <w:p>
      <w:pPr>
        <w:pStyle w:val="TextBody"/>
        <w:bidi w:val="0"/>
        <w:jc w:val="left"/>
        <w:rPr/>
      </w:pPr>
      <w:r>
        <w:rPr/>
        <w:t> </w:t>
      </w:r>
    </w:p>
    <w:tbl>
      <w:tblPr>
        <w:tblW w:w="10007" w:type="dxa"/>
        <w:jc w:val="left"/>
        <w:tblInd w:w="0" w:type="dxa"/>
        <w:tblLayout w:type="fixed"/>
        <w:tblCellMar>
          <w:top w:w="28" w:type="dxa"/>
          <w:left w:w="28" w:type="dxa"/>
          <w:bottom w:w="28" w:type="dxa"/>
          <w:right w:w="28" w:type="dxa"/>
        </w:tblCellMar>
      </w:tblPr>
      <w:tblGrid>
        <w:gridCol w:w="5311"/>
        <w:gridCol w:w="146"/>
        <w:gridCol w:w="211"/>
        <w:gridCol w:w="631"/>
        <w:gridCol w:w="166"/>
        <w:gridCol w:w="146"/>
        <w:gridCol w:w="211"/>
        <w:gridCol w:w="526"/>
        <w:gridCol w:w="166"/>
        <w:gridCol w:w="146"/>
        <w:gridCol w:w="211"/>
        <w:gridCol w:w="631"/>
        <w:gridCol w:w="166"/>
        <w:gridCol w:w="146"/>
        <w:gridCol w:w="211"/>
        <w:gridCol w:w="571"/>
        <w:gridCol w:w="41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3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91"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93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 except per share data - 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 Note 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Intangibles amortization expense - Note 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 - Note 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acquisitions and divestitures, net - Note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interest and 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 periodic benefit loss - Note 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 - Note J</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 net of income taxes - Note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 SHARE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(loss) per share - Note 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(loss) per share - Note 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translation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commodity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 - Note 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2"/>
        </w:rPr>
      </w:pPr>
      <w:r>
        <w:rPr>
          <w:rFonts w:ascii="Times New Roman" w:hAnsi="Times New Roman"/>
          <w:color w:val="000000"/>
          <w:sz w:val="22"/>
        </w:rPr>
        <w:t>SEE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2"/>
        </w:rPr>
      </w:pPr>
      <w:r>
        <w:rPr>
          <w:rFonts w:ascii="Times New Roman" w:hAnsi="Times New Roman"/>
          <w:b/>
          <w:color w:val="000000"/>
          <w:sz w:val="22"/>
        </w:rPr>
        <w:t>ASHLAND INC. AND CONSOLIDATED SUBSIDIARIES</w:t>
      </w:r>
    </w:p>
    <w:p>
      <w:pPr>
        <w:pStyle w:val="TextBody"/>
        <w:bidi w:val="0"/>
        <w:jc w:val="left"/>
        <w:rPr>
          <w:rFonts w:ascii="Times New Roman" w:hAnsi="Times New Roman"/>
          <w:b/>
          <w:color w:val="000000"/>
          <w:sz w:val="22"/>
        </w:rPr>
      </w:pPr>
      <w:r>
        <w:rPr>
          <w:rFonts w:ascii="Times New Roman" w:hAnsi="Times New Roman"/>
          <w:b/>
          <w:color w:val="000000"/>
          <w:sz w:val="22"/>
        </w:rPr>
        <w:t>CONDENSED CONSOLIDATED BALANCE SHEETS</w:t>
      </w:r>
    </w:p>
    <w:p>
      <w:pPr>
        <w:pStyle w:val="TextBody"/>
        <w:bidi w:val="0"/>
        <w:jc w:val="left"/>
        <w:rPr/>
      </w:pPr>
      <w:r>
        <w:rPr/>
        <w:t> </w:t>
      </w:r>
    </w:p>
    <w:tbl>
      <w:tblPr>
        <w:tblW w:w="7147" w:type="dxa"/>
        <w:jc w:val="left"/>
        <w:tblInd w:w="0" w:type="dxa"/>
        <w:tblLayout w:type="fixed"/>
        <w:tblCellMar>
          <w:top w:w="28" w:type="dxa"/>
          <w:left w:w="28" w:type="dxa"/>
          <w:bottom w:w="28" w:type="dxa"/>
          <w:right w:w="28" w:type="dxa"/>
        </w:tblCellMar>
      </w:tblPr>
      <w:tblGrid>
        <w:gridCol w:w="4321"/>
        <w:gridCol w:w="146"/>
        <w:gridCol w:w="211"/>
        <w:gridCol w:w="571"/>
        <w:gridCol w:w="146"/>
        <w:gridCol w:w="146"/>
        <w:gridCol w:w="327"/>
        <w:gridCol w:w="888"/>
        <w:gridCol w:w="3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 - unaudited)</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b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21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w:t>
              <w:br/>
              <w:t>2024</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Accounts receivable, net</w:t>
            </w:r>
            <w:r>
              <w:rPr>
                <w:rFonts w:ascii="Times New Roman" w:hAnsi="Times New Roman"/>
                <w:color w:val="000000"/>
                <w:sz w:val="13"/>
              </w:rPr>
              <w:t>(a)</w:t>
            </w:r>
            <w:r>
              <w:rPr>
                <w:rFonts w:ascii="Times New Roman" w:hAnsi="Times New Roman"/>
                <w:color w:val="000000"/>
                <w:sz w:val="20"/>
              </w:rPr>
              <w:t> - Note 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 Note 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 Note 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Intangibles - Note 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 net - Note 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investments - Note 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Asbestos insurance receivable, net</w:t>
            </w:r>
            <w:r>
              <w:rPr>
                <w:rFonts w:ascii="Times New Roman" w:hAnsi="Times New Roman"/>
                <w:color w:val="000000"/>
                <w:sz w:val="13"/>
              </w:rPr>
              <w:t>(b)</w:t>
            </w:r>
            <w:r>
              <w:rPr>
                <w:rFonts w:ascii="Times New Roman" w:hAnsi="Times New Roman"/>
                <w:color w:val="000000"/>
                <w:sz w:val="20"/>
              </w:rPr>
              <w:t> - Note 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operating lease obligations - Note 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 Note 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Asbestos litigation reserve - Note 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benefit obligations - Note 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obligations - Note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 Note 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 - Note 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pPr>
      <w:r>
        <w:rPr>
          <w:rFonts w:ascii="Times New Roman" w:hAnsi="Times New Roman"/>
          <w:color w:val="000000"/>
          <w:sz w:val="16"/>
        </w:rPr>
        <w:t>Accounts receivable, net includes an allowance for credit losses of $2</w:t>
      </w:r>
      <w:r>
        <w:rPr>
          <w:color w:val="000000"/>
        </w:rPr>
        <w:t xml:space="preserve"> </w:t>
      </w:r>
      <w:r>
        <w:rPr>
          <w:rFonts w:ascii="Times New Roman" w:hAnsi="Times New Roman"/>
          <w:color w:val="000000"/>
          <w:sz w:val="16"/>
        </w:rPr>
        <w:t>million at both June 30, 2025 and September 30, 2024.</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(b)</w:t>
      </w:r>
    </w:p>
    <w:p>
      <w:pPr>
        <w:pStyle w:val="TextBody"/>
        <w:bidi w:val="0"/>
        <w:spacing w:before="40" w:after="283"/>
        <w:jc w:val="both"/>
        <w:rPr/>
      </w:pPr>
      <w:r>
        <w:rPr>
          <w:rFonts w:ascii="Times New Roman" w:hAnsi="Times New Roman"/>
          <w:color w:val="000000"/>
          <w:sz w:val="16"/>
        </w:rPr>
        <w:t>Asbestos insurance receivable, net includes an allowance for credit losses of $2</w:t>
      </w:r>
      <w:r>
        <w:rPr>
          <w:color w:val="000000"/>
        </w:rPr>
        <w:t xml:space="preserve"> </w:t>
      </w:r>
      <w:r>
        <w:rPr>
          <w:rFonts w:ascii="Times New Roman" w:hAnsi="Times New Roman"/>
          <w:color w:val="000000"/>
          <w:sz w:val="16"/>
        </w:rPr>
        <w:t>million at both June 30, 2025 and September 30, 2024.</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SEE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2"/>
        </w:rPr>
      </w:pPr>
      <w:r>
        <w:rPr>
          <w:rFonts w:ascii="Times New Roman" w:hAnsi="Times New Roman"/>
          <w:b/>
          <w:color w:val="000000"/>
          <w:sz w:val="22"/>
        </w:rPr>
        <w:t>ASHLAND INC. AND CONSOLIDATED SUBSIDIARIES</w:t>
      </w:r>
    </w:p>
    <w:p>
      <w:pPr>
        <w:pStyle w:val="TextBody"/>
        <w:bidi w:val="0"/>
        <w:jc w:val="left"/>
        <w:rPr>
          <w:rFonts w:ascii="Times New Roman" w:hAnsi="Times New Roman"/>
          <w:b/>
          <w:color w:val="000000"/>
          <w:sz w:val="22"/>
        </w:rPr>
      </w:pPr>
      <w:r>
        <w:rPr>
          <w:rFonts w:ascii="Times New Roman" w:hAnsi="Times New Roman"/>
          <w:b/>
          <w:color w:val="000000"/>
          <w:sz w:val="22"/>
        </w:rPr>
        <w:t>STATEMENTS OF CONDENSED CONSOLIDATED CASH FLOWS</w:t>
      </w:r>
    </w:p>
    <w:p>
      <w:pPr>
        <w:pStyle w:val="TextBody"/>
        <w:bidi w:val="0"/>
        <w:jc w:val="left"/>
        <w:rPr/>
      </w:pPr>
      <w:r>
        <w:rPr/>
        <w:t> </w:t>
      </w:r>
    </w:p>
    <w:tbl>
      <w:tblPr>
        <w:tblW w:w="9839" w:type="dxa"/>
        <w:jc w:val="left"/>
        <w:tblInd w:w="0" w:type="dxa"/>
        <w:tblLayout w:type="fixed"/>
        <w:tblCellMar>
          <w:top w:w="28" w:type="dxa"/>
          <w:left w:w="28" w:type="dxa"/>
          <w:bottom w:w="28" w:type="dxa"/>
          <w:right w:w="28" w:type="dxa"/>
        </w:tblCellMar>
      </w:tblPr>
      <w:tblGrid>
        <w:gridCol w:w="7906"/>
        <w:gridCol w:w="146"/>
        <w:gridCol w:w="196"/>
        <w:gridCol w:w="436"/>
        <w:gridCol w:w="166"/>
        <w:gridCol w:w="146"/>
        <w:gridCol w:w="196"/>
        <w:gridCol w:w="436"/>
        <w:gridCol w:w="211"/>
      </w:tblGrid>
      <w:tr>
        <w:trPr/>
        <w:tc>
          <w:tcPr>
            <w:tcW w:w="7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9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7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Nine months ended</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7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 millions - 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PROVIDED (USED) BY OPERATING ACTIVITIES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Loss from discontinued operations, net of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Adjustments to reconcile income (loss) from continuing operations to 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Original issue discount and debt issuance costs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Gain from sales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Income from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 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Income from restricted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Loss (income) on divestitures,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Pension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Loss on pension plan remeasurements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Change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cash flows provided by operating activities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PROVIDED (USED) BY INVESTING ACTIVITIES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Additions to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disposal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sale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settlement of Company-owned life insurance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Company-owned life insurance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Funds restricted for specific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Reimbursements from restricted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sale of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Purchases of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investing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cash flows provided (used) by investing activities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USED BY FINANCING ACTIVITIES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Repayment of short-term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dividends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 based compensation employee withholding taxes paid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cash flows used by financing activities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PROVIDED (USED) BY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USED BY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cash used by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 of currency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AND CASH EQUIVALENTS -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AND CASH EQUIVALENTS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SEE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pBdr>
          <w:top w:val="single" w:sz="4" w:space="1" w:color="000000"/>
        </w:pBdr>
        <w:bidi w:val="0"/>
        <w:jc w:val="left"/>
        <w:rPr>
          <w:rFonts w:ascii="Times New Roman" w:hAnsi="Times New Roman"/>
          <w:b/>
          <w:color w:val="000000"/>
          <w:sz w:val="22"/>
        </w:rPr>
      </w:pPr>
      <w:r>
        <w:rPr>
          <w:rFonts w:ascii="Times New Roman" w:hAnsi="Times New Roman"/>
          <w:b/>
          <w:color w:val="000000"/>
          <w:sz w:val="22"/>
        </w:rPr>
        <w:t>ASHLAND INC. AND CONSOLIDATED SUBSIDIARIES</w:t>
      </w:r>
    </w:p>
    <w:p>
      <w:pPr>
        <w:pStyle w:val="TextBody"/>
        <w:bidi w:val="0"/>
        <w:jc w:val="left"/>
        <w:rPr>
          <w:rFonts w:ascii="Times New Roman" w:hAnsi="Times New Roman"/>
          <w:b/>
          <w:color w:val="000000"/>
          <w:sz w:val="22"/>
        </w:rPr>
      </w:pPr>
      <w:r>
        <w:rPr>
          <w:rFonts w:ascii="Times New Roman" w:hAnsi="Times New Roman"/>
          <w:b/>
          <w:color w:val="000000"/>
          <w:sz w:val="22"/>
        </w:rPr>
        <w:t>NOTES TO CONDENSED CONSOLIDATED FINANCIAL STATEMENTS</w:t>
      </w:r>
    </w:p>
    <w:p>
      <w:pPr>
        <w:pStyle w:val="TextBody"/>
        <w:pBdr>
          <w:bottom w:val="single" w:sz="4" w:space="1" w:color="000000"/>
        </w:pBdr>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NOTE A –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2"/>
        </w:rPr>
      </w:pPr>
      <w:r>
        <w:rPr>
          <w:rFonts w:ascii="Times New Roman" w:hAnsi="Times New Roman"/>
          <w:b/>
          <w:color w:val="000000"/>
          <w:sz w:val="22"/>
        </w:rPr>
        <w:t>Basis of presentation</w:t>
      </w:r>
    </w:p>
    <w:p>
      <w:pPr>
        <w:pStyle w:val="TextBody"/>
        <w:bidi w:val="0"/>
        <w:spacing w:before="120" w:after="283"/>
        <w:jc w:val="both"/>
        <w:rPr>
          <w:rFonts w:ascii="Times New Roman" w:hAnsi="Times New Roman"/>
          <w:sz w:val="20"/>
        </w:rPr>
      </w:pPr>
      <w:r>
        <w:rPr>
          <w:rFonts w:ascii="Times New Roman" w:hAnsi="Times New Roman"/>
          <w:color w:val="000000"/>
          <w:sz w:val="22"/>
        </w:rPr>
        <w:t>The accompanying unaudited Condensed Consolidated Financial Statements have been prepared in accordance with United States ("U.S.") generally accepted accounting principles for interim financial reporting ("U.S. GAAP") and U.S. Securities and Exchange Commission ("SEC") regulations. In the opinion of management, all adjustments considered necessary for a fair presentation have been included. These Condensed Consolidated Financial Statements omit certain information and footnote disclosures required for complete annual financial statements and, therefore, should be read in conjunction with the Ashland Inc. and consolidated subsidiaries ("Ashland" or the "Company") Annual Report on Form 10-K for the fiscal year ended September 30, 2024, filed with the SEC on November 18, 2024. Results of operations for the period ended June 30, 2025, are not necessarily indicative of the expected results for the remainder of the fiscal year.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 is comprised of the following reportable segments: Life Sciences, Personal Care, Specialty Additives and Intermediates. Unallocated and Other includes corporate governance activities and certain legacy matters. For additional information about Ashland's reportable segments, see Note Q of the Notes to the Condensed Consolidated Financial Statements.</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Use of estimates, risks and uncertainties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preparation of Ashland’s Condensed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environmental remediation, asbestos litigation, accounting for goodwill and other indefinite-lived intangible assets and income taxes. Although management bases its estimates on historical experience and various other assumptions that are believed to be reasonable under the circumstances, actual results could differ significantly from the estimates under different assumptions or conditions.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income taxes or other matters.</w:t>
      </w:r>
    </w:p>
    <w:p>
      <w:pPr>
        <w:pStyle w:val="TextBody"/>
        <w:bidi w:val="0"/>
        <w:spacing w:before="120" w:after="283"/>
        <w:jc w:val="both"/>
        <w:rPr>
          <w:rFonts w:ascii="Times New Roman" w:hAnsi="Times New Roman"/>
          <w:sz w:val="20"/>
        </w:rPr>
      </w:pPr>
      <w:r>
        <w:rPr>
          <w:rFonts w:ascii="Times New Roman" w:hAnsi="Times New Roman"/>
          <w:b/>
          <w:color w:val="000000"/>
          <w:sz w:val="22"/>
        </w:rPr>
        <w:t>New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2"/>
        </w:rPr>
        <w:t>A description of new U.S. GAAP accounting standards issued or adopted during the current year is required in interim financial reporting. A detailed listing of new accounting standards relevant to Ashland is included in the Annual Report on Form 10-K for the fiscal year ended September 30, 2024.</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Since that date, in November 2024, the Financial Accounting Standards Board ("FASB") issued Accounting Standards Update ("ASU") No. 2024-03, “Income Statement—Reporting Comprehensive Income—Expense Disaggregation Disclosures” (“ASU 2024-03”) to expand expense disclosures by requiring disaggregated disclosure of certain income statement expense line items, including those that contain purchases of inventory, employee compensation, depreciation and amortization. ASU 2024-03 is effective for fiscal years beginning after December 15, 2026, or Ashland's fiscal 2028, and subsequent interim periods, with early adoption permitted. The amendments should be applied prospectively, but retrospective application is permitted. The Company is currently assessing the impact of the requirements on our Condensed Consolidated Financial Statements.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No other new accounting pronouncements recently adopted or issued had or are expected to have a material impact on the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NOTE B – DIVESTITURES</w:t>
      </w:r>
    </w:p>
    <w:p>
      <w:pPr>
        <w:pStyle w:val="TextBody"/>
        <w:bidi w:val="0"/>
        <w:spacing w:before="120" w:after="283"/>
        <w:jc w:val="both"/>
        <w:rPr>
          <w:rFonts w:ascii="Times New Roman" w:hAnsi="Times New Roman"/>
          <w:b/>
          <w:i/>
          <w:color w:val="000000"/>
          <w:sz w:val="22"/>
        </w:rPr>
      </w:pPr>
      <w:r>
        <w:rPr>
          <w:rFonts w:ascii="Times New Roman" w:hAnsi="Times New Roman"/>
          <w:b/>
          <w:i/>
          <w:color w:val="000000"/>
          <w:sz w:val="22"/>
        </w:rPr>
        <w:t>Avoca business sale</w:t>
      </w:r>
    </w:p>
    <w:p>
      <w:pPr>
        <w:pStyle w:val="TextBody"/>
        <w:bidi w:val="0"/>
        <w:spacing w:before="120" w:after="283"/>
        <w:jc w:val="both"/>
        <w:rPr>
          <w:rFonts w:ascii="Times New Roman" w:hAnsi="Times New Roman"/>
          <w:sz w:val="20"/>
        </w:rPr>
      </w:pPr>
      <w:r>
        <w:rPr>
          <w:rFonts w:ascii="Times New Roman" w:hAnsi="Times New Roman"/>
          <w:color w:val="000000"/>
          <w:sz w:val="22"/>
        </w:rPr>
        <w:t>During the three months ended March 31, 2025, Ashland completed the sale of its Avoca business to Mane SA. Proceeds from the sale were approximately $16</w:t>
      </w:r>
      <w:r>
        <w:rPr>
          <w:rFonts w:ascii="Times New Roman" w:hAnsi="Times New Roman"/>
          <w:color w:val="000000"/>
          <w:sz w:val="20"/>
        </w:rPr>
        <w:t xml:space="preserve"> </w:t>
      </w:r>
      <w:r>
        <w:rPr>
          <w:rFonts w:ascii="Times New Roman" w:hAnsi="Times New Roman"/>
          <w:color w:val="000000"/>
          <w:sz w:val="22"/>
        </w:rPr>
        <w:t>million, net of transaction costs.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Avoca business was included within Ashland's Personal Care reportable segment.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 determined this transaction did not qualify for discontinued operations treatment since it neither represented a strategic shift nor did it have a major effect on Ashland's operations and financial results.</w:t>
      </w:r>
    </w:p>
    <w:p>
      <w:pPr>
        <w:pStyle w:val="TextBody"/>
        <w:bidi w:val="0"/>
        <w:spacing w:before="120" w:after="283"/>
        <w:jc w:val="both"/>
        <w:rPr>
          <w:rFonts w:ascii="Times New Roman" w:hAnsi="Times New Roman"/>
          <w:sz w:val="20"/>
        </w:rPr>
      </w:pPr>
      <w:r>
        <w:rPr>
          <w:rFonts w:ascii="Times New Roman" w:hAnsi="Times New Roman"/>
          <w:color w:val="000000"/>
          <w:sz w:val="22"/>
        </w:rPr>
        <w:t>Ashland recorded an impairment charge of $183</w:t>
      </w:r>
      <w:r>
        <w:rPr>
          <w:rFonts w:ascii="Times New Roman" w:hAnsi="Times New Roman"/>
          <w:color w:val="000000"/>
          <w:sz w:val="20"/>
        </w:rPr>
        <w:t xml:space="preserve"> </w:t>
      </w:r>
      <w:r>
        <w:rPr>
          <w:rFonts w:ascii="Times New Roman" w:hAnsi="Times New Roman"/>
          <w:color w:val="000000"/>
          <w:sz w:val="22"/>
        </w:rPr>
        <w:t>million ($1</w:t>
      </w:r>
      <w:r>
        <w:rPr>
          <w:rFonts w:ascii="Times New Roman" w:hAnsi="Times New Roman"/>
          <w:color w:val="000000"/>
          <w:sz w:val="20"/>
        </w:rPr>
        <w:t xml:space="preserve"> </w:t>
      </w:r>
      <w:r>
        <w:rPr>
          <w:rFonts w:ascii="Times New Roman" w:hAnsi="Times New Roman"/>
          <w:color w:val="000000"/>
          <w:sz w:val="22"/>
        </w:rPr>
        <w:t>million allocated to goodwill, $134</w:t>
      </w:r>
      <w:r>
        <w:rPr>
          <w:rFonts w:ascii="Times New Roman" w:hAnsi="Times New Roman"/>
          <w:color w:val="000000"/>
          <w:sz w:val="20"/>
        </w:rPr>
        <w:t xml:space="preserve"> </w:t>
      </w:r>
      <w:r>
        <w:rPr>
          <w:rFonts w:ascii="Times New Roman" w:hAnsi="Times New Roman"/>
          <w:color w:val="000000"/>
          <w:sz w:val="22"/>
        </w:rPr>
        <w:t>million to other intangible assets, $33</w:t>
      </w:r>
      <w:r>
        <w:rPr>
          <w:rFonts w:ascii="Times New Roman" w:hAnsi="Times New Roman"/>
          <w:color w:val="000000"/>
          <w:sz w:val="20"/>
        </w:rPr>
        <w:t xml:space="preserve"> </w:t>
      </w:r>
      <w:r>
        <w:rPr>
          <w:rFonts w:ascii="Times New Roman" w:hAnsi="Times New Roman"/>
          <w:color w:val="000000"/>
          <w:sz w:val="22"/>
        </w:rPr>
        <w:t>million to property, plant and equipment, $14</w:t>
      </w:r>
      <w:r>
        <w:rPr>
          <w:rFonts w:ascii="Times New Roman" w:hAnsi="Times New Roman"/>
          <w:color w:val="000000"/>
          <w:sz w:val="20"/>
        </w:rPr>
        <w:t xml:space="preserve"> </w:t>
      </w:r>
      <w:r>
        <w:rPr>
          <w:rFonts w:ascii="Times New Roman" w:hAnsi="Times New Roman"/>
          <w:color w:val="000000"/>
          <w:sz w:val="22"/>
        </w:rPr>
        <w:t>million to operating lease assets, net and $1</w:t>
      </w:r>
      <w:r>
        <w:rPr>
          <w:rFonts w:ascii="Times New Roman" w:hAnsi="Times New Roman"/>
          <w:color w:val="000000"/>
          <w:sz w:val="20"/>
        </w:rPr>
        <w:t xml:space="preserve"> </w:t>
      </w:r>
      <w:r>
        <w:rPr>
          <w:rFonts w:ascii="Times New Roman" w:hAnsi="Times New Roman"/>
          <w:color w:val="000000"/>
          <w:sz w:val="22"/>
        </w:rPr>
        <w:t>million to other current assets) for the nine months ended June 30, 2025, within the loss on acquisitions and divestitures, net caption of the Statement of Condensed Consolidated Comprehensive Income (Loss). The tax benefit associated with the sale is included within the income tax expense (benefit) caption of the Statement of Condensed Consolidated Comprehensive Income (Loss) for the nine months ended June 30, 2025. See Note J of the Notes to the Condensed Consolidated Financial Statements for tax details associated with the transaction. Ashland also recorded a pre-tax gain on sale of $8</w:t>
      </w:r>
      <w:r>
        <w:rPr>
          <w:rFonts w:ascii="Times New Roman" w:hAnsi="Times New Roman"/>
          <w:color w:val="000000"/>
          <w:sz w:val="20"/>
        </w:rPr>
        <w:t xml:space="preserve"> </w:t>
      </w:r>
      <w:r>
        <w:rPr>
          <w:rFonts w:ascii="Times New Roman" w:hAnsi="Times New Roman"/>
          <w:color w:val="000000"/>
          <w:sz w:val="22"/>
        </w:rPr>
        <w:t>million following the completion of this sale, mainly related to working capital movements, within the loss on acquisitions and divestitures, net caption of the Statement of Condensed Consolidated Comprehensive Income (Loss) for the nine months ended June 30, 2025.</w:t>
      </w:r>
    </w:p>
    <w:p>
      <w:pPr>
        <w:pStyle w:val="TextBody"/>
        <w:bidi w:val="0"/>
        <w:spacing w:before="120" w:after="283"/>
        <w:jc w:val="both"/>
        <w:rPr>
          <w:rFonts w:ascii="Times New Roman" w:hAnsi="Times New Roman"/>
          <w:b/>
          <w:i/>
          <w:color w:val="000000"/>
          <w:sz w:val="22"/>
        </w:rPr>
      </w:pPr>
      <w:r>
        <w:rPr>
          <w:rFonts w:ascii="Times New Roman" w:hAnsi="Times New Roman"/>
          <w:b/>
          <w:i/>
          <w:color w:val="000000"/>
          <w:sz w:val="22"/>
        </w:rPr>
        <w:t>Nutraceuticals business sale</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In May 2024, Ashland signed a definitive agreement to sell substantially all of the net assets of its Nutraceuticals business to Turnspire Capital Partners LLC.</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Nutraceuticals business was included within Ashland's Life Sciences reportable segment.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transaction was completed during Ashland's fiscal year ended September 30, 2024.</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 determined this transaction did not qualify for discontinued operations treatment since it neither represented a strategic shift nor did it have a major effect on Ashland's operations and financial results.</w:t>
      </w:r>
    </w:p>
    <w:p>
      <w:pPr>
        <w:pStyle w:val="TextBody"/>
        <w:bidi w:val="0"/>
        <w:spacing w:before="120" w:after="283"/>
        <w:jc w:val="both"/>
        <w:rPr>
          <w:rFonts w:ascii="Times New Roman" w:hAnsi="Times New Roman"/>
          <w:sz w:val="20"/>
        </w:rPr>
      </w:pPr>
      <w:r>
        <w:rPr>
          <w:rFonts w:ascii="Times New Roman" w:hAnsi="Times New Roman"/>
          <w:color w:val="000000"/>
          <w:sz w:val="22"/>
        </w:rPr>
        <w:t>Ashland recorded a $99</w:t>
      </w:r>
      <w:r>
        <w:rPr>
          <w:rFonts w:ascii="Times New Roman" w:hAnsi="Times New Roman"/>
          <w:color w:val="000000"/>
          <w:sz w:val="20"/>
        </w:rPr>
        <w:t xml:space="preserve"> </w:t>
      </w:r>
      <w:r>
        <w:rPr>
          <w:rFonts w:ascii="Times New Roman" w:hAnsi="Times New Roman"/>
          <w:color w:val="000000"/>
          <w:sz w:val="22"/>
        </w:rPr>
        <w:t>million impairment charge within the loss on acquisitions and divestitures, net caption of the Statements of Consolidated Comprehensive Income (Loss) for the three and nine months ended June 30, 2024. The impairment charge included the impact of the related inside tax basis differences associated with the impaired assets. The tax benefit associated with the sale was included within the income tax expense (benefit) caption of the Statements of Consolidated Comprehensive Income (Loss). See Note J of the Notes to the Condensed Consolidated Financial Statements for tax details associated with the transaction.</w:t>
      </w:r>
    </w:p>
    <w:p>
      <w:pPr>
        <w:pStyle w:val="TextBody"/>
        <w:bidi w:val="0"/>
        <w:spacing w:before="120" w:after="283"/>
        <w:jc w:val="both"/>
        <w:rPr>
          <w:rFonts w:ascii="Times New Roman" w:hAnsi="Times New Roman"/>
          <w:b/>
          <w:i/>
          <w:color w:val="000000"/>
          <w:sz w:val="22"/>
        </w:rPr>
      </w:pPr>
      <w:r>
        <w:rPr>
          <w:rFonts w:ascii="Times New Roman" w:hAnsi="Times New Roman"/>
          <w:b/>
          <w:i/>
          <w:color w:val="000000"/>
          <w:sz w:val="22"/>
        </w:rPr>
        <w:t>Other corporate assets</w:t>
      </w:r>
    </w:p>
    <w:p>
      <w:pPr>
        <w:pStyle w:val="TextBody"/>
        <w:bidi w:val="0"/>
        <w:spacing w:before="120" w:after="283"/>
        <w:jc w:val="both"/>
        <w:rPr>
          <w:rFonts w:ascii="Times New Roman" w:hAnsi="Times New Roman"/>
          <w:sz w:val="20"/>
        </w:rPr>
      </w:pPr>
      <w:r>
        <w:rPr>
          <w:rFonts w:ascii="Times New Roman" w:hAnsi="Times New Roman"/>
          <w:color w:val="000000"/>
          <w:sz w:val="22"/>
        </w:rPr>
        <w:t>During the three months ended March 31, 2025, Ashland completed the sale of a land property with a net book value of zero. Ashland received net proceeds and recorded a pre-tax gain of $11</w:t>
      </w:r>
      <w:r>
        <w:rPr>
          <w:rFonts w:ascii="Times New Roman" w:hAnsi="Times New Roman"/>
          <w:color w:val="000000"/>
          <w:sz w:val="20"/>
        </w:rPr>
        <w:t xml:space="preserve"> </w:t>
      </w:r>
      <w:r>
        <w:rPr>
          <w:rFonts w:ascii="Times New Roman" w:hAnsi="Times New Roman"/>
          <w:color w:val="000000"/>
          <w:sz w:val="22"/>
        </w:rPr>
        <w:t>million within the loss on acquisitions and divestitures, net caption of the Statement of Condensed Consolidated Comprehensive Income (Loss) for the nine months ended June 30, 2025.</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NOTE C – DISCONTINUED OPERATIONS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 has divested certain businesses that have qualified as discontinued operations. The operating results from these divested businesses and subsequent adjustments related to ongoing assessments of certain retained liabilities and income tax items have been recorded within the loss from discontinued operations, net of income taxes caption in the Statements of Condensed Consolidated Comprehensive Income (Loss) for all periods presented.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Due to the ongoing assessment of certain matters associated with previous divestitures, subsequent adjustments to these divestitures may continue in future periods in the loss from discontinued operations, net of income taxes caption in the Statements of Condensed Consolidated Comprehensive Income (Loss).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following divested businesses represent disposal groups that qualified as discontinued operations in previous periods and impacted discontinued operations for the three and nine months ended June 30, 2025 and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Performance Adhesives business divested in 2022;</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Composites business and Marl facility (Composites/Marl facility) divested in 2019;</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separation of Valvoline Inc. (Valvoline) business divested in 2017;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sale of Ashland Water Technologies (Water Technologies) business divested in 2014;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sale of the Ashland Distribution (Distribution) business divested in 2011.</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Additionally, Ashland is subject to liabilities from claims alleging personal injury caused by exposure to asbestos. Such claims result primarily from indemnification obligations undertaken in 1990 in connection with the sale of Riley Stoker Corporation ("Riley"), a former subsidiary, which qualified as a discontinued operation and from the acquisition during 2009 of Hercules LLC (formerly Hercules Incorporated) ("Hercules"), an indirect wholly-owned subsidiary of Ashland. Adjustments to the recorded litigation reserves and related insurance receivables are recorded within the loss from discontinued operations, net of income taxes caption within the Statements of Condensed Consolidated Comprehensive Income (Loss). See Note L of the Notes to the Condensed Consolidated Financial Statements for more information related to the adjustments on asbestos liabilities and receivables.</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Components of amounts reflected in the Statements of Condensed Consolidated Comprehensive Income (Loss) related to discontinued operations are presented in the following table:</w:t>
      </w:r>
    </w:p>
    <w:tbl>
      <w:tblPr>
        <w:tblW w:w="6367" w:type="dxa"/>
        <w:jc w:val="left"/>
        <w:tblInd w:w="0" w:type="dxa"/>
        <w:tblLayout w:type="fixed"/>
        <w:tblCellMar>
          <w:top w:w="28" w:type="dxa"/>
          <w:left w:w="28" w:type="dxa"/>
          <w:bottom w:w="28" w:type="dxa"/>
          <w:right w:w="28" w:type="dxa"/>
        </w:tblCellMar>
      </w:tblPr>
      <w:tblGrid>
        <w:gridCol w:w="2266"/>
        <w:gridCol w:w="146"/>
        <w:gridCol w:w="249"/>
        <w:gridCol w:w="444"/>
        <w:gridCol w:w="196"/>
        <w:gridCol w:w="172"/>
        <w:gridCol w:w="249"/>
        <w:gridCol w:w="444"/>
        <w:gridCol w:w="166"/>
        <w:gridCol w:w="146"/>
        <w:gridCol w:w="238"/>
        <w:gridCol w:w="425"/>
        <w:gridCol w:w="187"/>
        <w:gridCol w:w="165"/>
        <w:gridCol w:w="238"/>
        <w:gridCol w:w="425"/>
        <w:gridCol w:w="21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4"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7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Adhesives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Composites/Marl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Water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Valvoline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Asbestos-related litigation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NOTE D – RESTRUCTURING ACTIVITIES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 periodically implements restructuring programs related to acquisitions, divestitures and other cost reduction programs in order to enhance profitability through streamlined operations and an improved overall cost structure.</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During fiscal 2025, Ashland initiated a restructuring plan to offset the impact from the Nutraceuticals business sale completed in fiscal 2024 and other portfolio optimization actions. As a part of this program, Ashland is also advancing a multi-year manufacturing optimization restructuring plan to improve operational cost and strengthen its competitive position.</w:t>
      </w:r>
    </w:p>
    <w:p>
      <w:pPr>
        <w:pStyle w:val="TextBody"/>
        <w:bidi w:val="0"/>
        <w:spacing w:before="120" w:after="283"/>
        <w:jc w:val="both"/>
        <w:rPr>
          <w:rFonts w:ascii="Times New Roman" w:hAnsi="Times New Roman"/>
          <w:sz w:val="20"/>
        </w:rPr>
      </w:pPr>
      <w:r>
        <w:rPr>
          <w:rFonts w:ascii="Times New Roman" w:hAnsi="Times New Roman"/>
          <w:color w:val="000000"/>
          <w:sz w:val="22"/>
        </w:rPr>
        <w:t>During the three and nine months ended June 30, 2025, Ashland incurred $27</w:t>
      </w:r>
      <w:r>
        <w:rPr>
          <w:rFonts w:ascii="Times New Roman" w:hAnsi="Times New Roman"/>
          <w:color w:val="000000"/>
          <w:sz w:val="20"/>
        </w:rPr>
        <w:t xml:space="preserve"> </w:t>
      </w:r>
      <w:r>
        <w:rPr>
          <w:rFonts w:ascii="Times New Roman" w:hAnsi="Times New Roman"/>
          <w:color w:val="000000"/>
          <w:sz w:val="22"/>
        </w:rPr>
        <w:t>million and $40</w:t>
      </w:r>
      <w:r>
        <w:rPr>
          <w:rFonts w:ascii="Times New Roman" w:hAnsi="Times New Roman"/>
          <w:color w:val="000000"/>
          <w:sz w:val="20"/>
        </w:rPr>
        <w:t xml:space="preserve"> </w:t>
      </w:r>
      <w:r>
        <w:rPr>
          <w:rFonts w:ascii="Times New Roman" w:hAnsi="Times New Roman"/>
          <w:color w:val="000000"/>
          <w:sz w:val="22"/>
        </w:rPr>
        <w:t>million, respectively, of accelerated depreciation for product line optimization activities associated with manufacturing facilities within the Life Sciences, Personal Care and Specialty Additives reportable segments, which was recorded within the cost of sales caption of the Statements of Condensed Consolidated Comprehensive Income (Loss).</w:t>
      </w:r>
    </w:p>
    <w:p>
      <w:pPr>
        <w:pStyle w:val="TextBody"/>
        <w:bidi w:val="0"/>
        <w:spacing w:before="120" w:after="283"/>
        <w:jc w:val="both"/>
        <w:rPr>
          <w:rFonts w:ascii="Times New Roman" w:hAnsi="Times New Roman"/>
          <w:sz w:val="20"/>
        </w:rPr>
      </w:pPr>
      <w:r>
        <w:rPr>
          <w:rFonts w:ascii="Times New Roman" w:hAnsi="Times New Roman"/>
          <w:color w:val="000000"/>
          <w:sz w:val="22"/>
        </w:rPr>
        <w:t>During fiscal 2023, Ashland implemented targeted organizational restructuring actions to reduce costs. This program continued into fiscal 2024. During the three and nine months ended June 30, 2024, Ashland incurred $7</w:t>
      </w:r>
      <w:r>
        <w:rPr>
          <w:rFonts w:ascii="Times New Roman" w:hAnsi="Times New Roman"/>
          <w:color w:val="000000"/>
          <w:sz w:val="20"/>
        </w:rPr>
        <w:t xml:space="preserve"> </w:t>
      </w:r>
      <w:r>
        <w:rPr>
          <w:rFonts w:ascii="Times New Roman" w:hAnsi="Times New Roman"/>
          <w:color w:val="000000"/>
          <w:sz w:val="22"/>
        </w:rPr>
        <w:t>million and $55</w:t>
      </w:r>
      <w:r>
        <w:rPr>
          <w:rFonts w:ascii="Times New Roman" w:hAnsi="Times New Roman"/>
          <w:color w:val="000000"/>
          <w:sz w:val="20"/>
        </w:rPr>
        <w:t xml:space="preserve"> </w:t>
      </w:r>
      <w:r>
        <w:rPr>
          <w:rFonts w:ascii="Times New Roman" w:hAnsi="Times New Roman"/>
          <w:color w:val="000000"/>
          <w:sz w:val="22"/>
        </w:rPr>
        <w:t>million, respectively, of accelerated depreciation for product line optimization activities associated with two Specialty Additives manufacturing facilities, which was recorded within the cost of sales caption of the Statements of Condensed Consolidated Comprehensive Income (Loss).</w:t>
      </w:r>
    </w:p>
    <w:p>
      <w:pPr>
        <w:pStyle w:val="TextBody"/>
        <w:bidi w:val="0"/>
        <w:spacing w:before="120" w:after="283"/>
        <w:jc w:val="both"/>
        <w:rPr>
          <w:rFonts w:ascii="Times New Roman" w:hAnsi="Times New Roman"/>
          <w:sz w:val="20"/>
        </w:rPr>
      </w:pPr>
      <w:r>
        <w:rPr>
          <w:rFonts w:ascii="Times New Roman" w:hAnsi="Times New Roman"/>
          <w:color w:val="000000"/>
          <w:sz w:val="22"/>
        </w:rPr>
        <w:t>During both the three and nine months ended June 30, 2024, Ashland incurred $1</w:t>
      </w:r>
      <w:r>
        <w:rPr>
          <w:rFonts w:ascii="Times New Roman" w:hAnsi="Times New Roman"/>
          <w:color w:val="000000"/>
          <w:sz w:val="20"/>
        </w:rPr>
        <w:t xml:space="preserve"> </w:t>
      </w:r>
      <w:r>
        <w:rPr>
          <w:rFonts w:ascii="Times New Roman" w:hAnsi="Times New Roman"/>
          <w:color w:val="000000"/>
          <w:sz w:val="22"/>
        </w:rPr>
        <w:t>million, of accelerated depreciation for product line optimization activities associated with a Personal Care manufacturing facility, which was recorded within the cost of sales caption of the Statements of Consolidated Comprehensive Income (Loss).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following tables detail the amount of restructuring severance expense related to these programs.</w:t>
      </w:r>
    </w:p>
    <w:tbl>
      <w:tblPr>
        <w:tblW w:w="10205" w:type="dxa"/>
        <w:jc w:val="left"/>
        <w:tblInd w:w="0" w:type="dxa"/>
        <w:tblLayout w:type="fixed"/>
        <w:tblCellMar>
          <w:top w:w="28" w:type="dxa"/>
          <w:left w:w="28" w:type="dxa"/>
          <w:bottom w:w="28" w:type="dxa"/>
          <w:right w:w="28" w:type="dxa"/>
        </w:tblCellMar>
      </w:tblPr>
      <w:tblGrid>
        <w:gridCol w:w="2110"/>
        <w:gridCol w:w="621"/>
        <w:gridCol w:w="942"/>
        <w:gridCol w:w="276"/>
        <w:gridCol w:w="276"/>
        <w:gridCol w:w="744"/>
        <w:gridCol w:w="936"/>
        <w:gridCol w:w="166"/>
        <w:gridCol w:w="146"/>
        <w:gridCol w:w="615"/>
        <w:gridCol w:w="949"/>
        <w:gridCol w:w="263"/>
        <w:gridCol w:w="263"/>
        <w:gridCol w:w="653"/>
        <w:gridCol w:w="1027"/>
        <w:gridCol w:w="218"/>
      </w:tblGrid>
      <w:tr>
        <w:trPr/>
        <w:tc>
          <w:tcPr>
            <w:tcW w:w="211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11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795"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 June 30, 2025</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770"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 June 30, 2024</w:t>
            </w:r>
          </w:p>
        </w:tc>
        <w:tc>
          <w:tcPr>
            <w:tcW w:w="21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5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Severance expense</w:t>
            </w:r>
            <w:r>
              <w:rPr>
                <w:rFonts w:ascii="Times New Roman" w:hAnsi="Times New Roman"/>
                <w:color w:val="000000"/>
                <w:sz w:val="13"/>
              </w:rPr>
              <w:t>(a)</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Utilization (cash 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Severance expense</w:t>
            </w:r>
            <w:r>
              <w:rPr>
                <w:rFonts w:ascii="Times New Roman" w:hAnsi="Times New Roman"/>
                <w:color w:val="000000"/>
                <w:sz w:val="13"/>
              </w:rPr>
              <w:t>(a)</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Utilization (cash paid)</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Restructuring program</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 Restructuring program</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Severance expense is recorded within the selling, general and administrative expense caption of the Statements of Condensed Consolidated Comprehensive Income (Loss) for the three months ended June 30, 2025 and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04"/>
        <w:gridCol w:w="813"/>
        <w:gridCol w:w="1174"/>
        <w:gridCol w:w="275"/>
        <w:gridCol w:w="241"/>
        <w:gridCol w:w="597"/>
        <w:gridCol w:w="999"/>
        <w:gridCol w:w="166"/>
        <w:gridCol w:w="146"/>
        <w:gridCol w:w="590"/>
        <w:gridCol w:w="897"/>
        <w:gridCol w:w="244"/>
        <w:gridCol w:w="244"/>
        <w:gridCol w:w="623"/>
        <w:gridCol w:w="973"/>
        <w:gridCol w:w="219"/>
      </w:tblGrid>
      <w:tr>
        <w:trPr/>
        <w:tc>
          <w:tcPr>
            <w:tcW w:w="200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0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099"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 June 30, 2025</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571"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 June 30, 2024</w:t>
            </w:r>
          </w:p>
        </w:tc>
        <w:tc>
          <w:tcPr>
            <w:tcW w:w="21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Severance expense (income)</w:t>
            </w:r>
            <w:r>
              <w:rPr>
                <w:rFonts w:ascii="Times New Roman" w:hAnsi="Times New Roman"/>
                <w:color w:val="000000"/>
                <w:sz w:val="13"/>
              </w:rPr>
              <w:t>(a)</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Utilization (cash 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Severance expense</w:t>
            </w:r>
            <w:r>
              <w:rPr>
                <w:rFonts w:ascii="Times New Roman" w:hAnsi="Times New Roman"/>
                <w:color w:val="000000"/>
                <w:sz w:val="13"/>
              </w:rPr>
              <w:t>(a)</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Utilization (cash paid)</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Restructuring program</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 Restructuring program</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Severance expense is recorded within the selling, general and administrative expense caption of the Statements of Condensed Consolidated Comprehensive Income (Loss) for the nine months ended June 30, 2025 and 2024.</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following table details at June 30, 2025, the amount of restructuring severance liabilities related to these programs.</w:t>
      </w:r>
    </w:p>
    <w:tbl>
      <w:tblPr>
        <w:tblW w:w="8219" w:type="dxa"/>
        <w:jc w:val="left"/>
        <w:tblInd w:w="0" w:type="dxa"/>
        <w:tblLayout w:type="fixed"/>
        <w:tblCellMar>
          <w:top w:w="28" w:type="dxa"/>
          <w:left w:w="28" w:type="dxa"/>
          <w:bottom w:w="28" w:type="dxa"/>
          <w:right w:w="28" w:type="dxa"/>
        </w:tblCellMar>
      </w:tblPr>
      <w:tblGrid>
        <w:gridCol w:w="2896"/>
        <w:gridCol w:w="908"/>
        <w:gridCol w:w="1492"/>
        <w:gridCol w:w="166"/>
        <w:gridCol w:w="146"/>
        <w:gridCol w:w="862"/>
        <w:gridCol w:w="1538"/>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240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 Restructuring Program</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40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 Restructuring Program</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Balance at September 30, 2024</w:t>
            </w:r>
            <w:r>
              <w:rPr>
                <w:rFonts w:ascii="Times New Roman" w:hAnsi="Times New Roman"/>
                <w:b/>
                <w:color w:val="000000"/>
                <w:sz w:val="13"/>
              </w:rPr>
              <w:t>(a)</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reserve</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Utilization (cash paid)</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Balance at June 30, 2025</w:t>
            </w:r>
            <w:r>
              <w:rPr>
                <w:rFonts w:ascii="Times New Roman" w:hAnsi="Times New Roman"/>
                <w:b/>
                <w:color w:val="000000"/>
                <w:sz w:val="13"/>
              </w:rPr>
              <w:t>(a)</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restructuring severance liability associated with these programs is recorded within accrued expenses and other liabilities in the Condensed Consolidated Balance Sheets at June 30, 2025 and September 30, 2024.</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NOTE E – FAIR VALUE MEASUREMENTS</w:t>
      </w:r>
    </w:p>
    <w:p>
      <w:pPr>
        <w:pStyle w:val="TextBody"/>
        <w:bidi w:val="0"/>
        <w:spacing w:before="120" w:after="283"/>
        <w:jc w:val="both"/>
        <w:rPr>
          <w:rFonts w:ascii="Times New Roman" w:hAnsi="Times New Roman"/>
          <w:sz w:val="20"/>
        </w:rPr>
      </w:pPr>
      <w:r>
        <w:rPr>
          <w:rFonts w:ascii="Times New Roman" w:hAnsi="Times New Roman"/>
          <w:color w:val="000000"/>
          <w:sz w:val="22"/>
        </w:rPr>
        <w:t>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through the use of fair value models, such as a discounted cash flow model or other standard pricing models that Ashland deems reasonable.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following table summarizes financial instruments subject to recurring fair value measurements as of June 30, 2025:</w:t>
      </w:r>
    </w:p>
    <w:p>
      <w:pPr>
        <w:pStyle w:val="TextBody"/>
        <w:bidi w:val="0"/>
        <w:jc w:val="both"/>
        <w:rPr/>
      </w:pPr>
      <w:r>
        <w:rPr/>
        <w:t> </w:t>
      </w:r>
    </w:p>
    <w:tbl>
      <w:tblPr>
        <w:tblW w:w="9501" w:type="dxa"/>
        <w:jc w:val="left"/>
        <w:tblInd w:w="0" w:type="dxa"/>
        <w:tblLayout w:type="fixed"/>
        <w:tblCellMar>
          <w:top w:w="28" w:type="dxa"/>
          <w:left w:w="28" w:type="dxa"/>
          <w:bottom w:w="28" w:type="dxa"/>
          <w:right w:w="28" w:type="dxa"/>
        </w:tblCellMar>
      </w:tblPr>
      <w:tblGrid>
        <w:gridCol w:w="3646"/>
        <w:gridCol w:w="146"/>
        <w:gridCol w:w="439"/>
        <w:gridCol w:w="881"/>
        <w:gridCol w:w="146"/>
        <w:gridCol w:w="146"/>
        <w:gridCol w:w="290"/>
        <w:gridCol w:w="580"/>
        <w:gridCol w:w="146"/>
        <w:gridCol w:w="146"/>
        <w:gridCol w:w="240"/>
        <w:gridCol w:w="480"/>
        <w:gridCol w:w="146"/>
        <w:gridCol w:w="146"/>
        <w:gridCol w:w="272"/>
        <w:gridCol w:w="448"/>
        <w:gridCol w:w="146"/>
        <w:gridCol w:w="146"/>
        <w:gridCol w:w="272"/>
        <w:gridCol w:w="448"/>
        <w:gridCol w:w="1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2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Carrying value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7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br/>
              <w:t>fair value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2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2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2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Restricted investments</w:t>
            </w:r>
            <w:r>
              <w:rPr>
                <w:rFonts w:ascii="Times New Roman" w:hAnsi="Times New Roman"/>
                <w:color w:val="000000"/>
                <w:sz w:val="13"/>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Investment of captive insurance company</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Foreign currency derivatives</w:t>
            </w:r>
            <w:r>
              <w:rPr>
                <w:rFonts w:ascii="Times New Roman" w:hAnsi="Times New Roman"/>
                <w:color w:val="000000"/>
                <w:sz w:val="13"/>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Commodity derivatives</w:t>
            </w:r>
            <w:r>
              <w:rPr>
                <w:rFonts w:ascii="Times New Roman" w:hAnsi="Times New Roman"/>
                <w:color w:val="000000"/>
                <w:sz w:val="13"/>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Foreign currency derivatives</w:t>
            </w:r>
            <w:r>
              <w:rPr>
                <w:rFonts w:ascii="Times New Roman" w:hAnsi="Times New Roman"/>
                <w:color w:val="000000"/>
                <w:sz w:val="13"/>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sz w:val="22"/>
        </w:rPr>
      </w:pPr>
      <w:r>
        <w:rPr>
          <w:rFonts w:ascii="Times New Roman" w:hAnsi="Times New Roman"/>
          <w:color w:val="000000"/>
          <w:sz w:val="16"/>
        </w:rPr>
        <w:t>Includes $283</w:t>
      </w:r>
      <w:r>
        <w:rPr>
          <w:rFonts w:ascii="Times New Roman" w:hAnsi="Times New Roman"/>
          <w:color w:val="000000"/>
          <w:sz w:val="22"/>
        </w:rPr>
        <w:t xml:space="preserve"> </w:t>
      </w:r>
      <w:r>
        <w:rPr>
          <w:rFonts w:ascii="Times New Roman" w:hAnsi="Times New Roman"/>
          <w:color w:val="000000"/>
          <w:sz w:val="16"/>
        </w:rPr>
        <w:t>million within restricted investments and $67</w:t>
      </w:r>
      <w:r>
        <w:rPr>
          <w:rFonts w:ascii="Times New Roman" w:hAnsi="Times New Roman"/>
          <w:color w:val="000000"/>
          <w:sz w:val="22"/>
        </w:rPr>
        <w:t xml:space="preserve"> </w:t>
      </w:r>
      <w:r>
        <w:rPr>
          <w:rFonts w:ascii="Times New Roman" w:hAnsi="Times New Roman"/>
          <w:color w:val="000000"/>
          <w:sz w:val="16"/>
        </w:rPr>
        <w:t>million within other current assets in the Condensed Consolidated Balance Sheet.</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(b)</w:t>
      </w:r>
    </w:p>
    <w:p>
      <w:pPr>
        <w:pStyle w:val="TextBody"/>
        <w:bidi w:val="0"/>
        <w:spacing w:before="40" w:after="283"/>
        <w:jc w:val="both"/>
        <w:rPr>
          <w:rFonts w:ascii="Times New Roman" w:hAnsi="Times New Roman"/>
          <w:sz w:val="22"/>
        </w:rPr>
      </w:pPr>
      <w:r>
        <w:rPr>
          <w:rFonts w:ascii="Times New Roman" w:hAnsi="Times New Roman"/>
          <w:color w:val="000000"/>
          <w:sz w:val="16"/>
        </w:rPr>
        <w:t>Includes $228</w:t>
      </w:r>
      <w:r>
        <w:rPr>
          <w:rFonts w:ascii="Times New Roman" w:hAnsi="Times New Roman"/>
          <w:color w:val="000000"/>
          <w:sz w:val="22"/>
        </w:rPr>
        <w:t xml:space="preserve"> </w:t>
      </w:r>
      <w:r>
        <w:rPr>
          <w:rFonts w:ascii="Times New Roman" w:hAnsi="Times New Roman"/>
          <w:color w:val="000000"/>
          <w:sz w:val="16"/>
        </w:rPr>
        <w:t>million related to the Asbestos trust and $122</w:t>
      </w:r>
      <w:r>
        <w:rPr>
          <w:rFonts w:ascii="Times New Roman" w:hAnsi="Times New Roman"/>
          <w:color w:val="000000"/>
          <w:sz w:val="22"/>
        </w:rPr>
        <w:t xml:space="preserve"> </w:t>
      </w:r>
      <w:r>
        <w:rPr>
          <w:rFonts w:ascii="Times New Roman" w:hAnsi="Times New Roman"/>
          <w:color w:val="000000"/>
          <w:sz w:val="16"/>
        </w:rPr>
        <w:t>million related to the Environmental trust.</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(c)</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Included in other noncurrent assets in the Condensed Consolidated Balance Sheet.</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(d)</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Included in accounts receivable, net in the Condensed Consolidated Balance Sheet.</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(e)</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Included in accrued expenses and other liabilities in the Condensed Consolidated Balance Sheet.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following table summarizes financial instruments subject to recurring fair value measurements as of September 30, 2024:</w:t>
      </w:r>
    </w:p>
    <w:p>
      <w:pPr>
        <w:pStyle w:val="TextBody"/>
        <w:bidi w:val="0"/>
        <w:jc w:val="both"/>
        <w:rPr/>
      </w:pPr>
      <w:r>
        <w:rPr/>
        <w:t> </w:t>
      </w:r>
    </w:p>
    <w:tbl>
      <w:tblPr>
        <w:tblW w:w="9501" w:type="dxa"/>
        <w:jc w:val="left"/>
        <w:tblInd w:w="0" w:type="dxa"/>
        <w:tblLayout w:type="fixed"/>
        <w:tblCellMar>
          <w:top w:w="28" w:type="dxa"/>
          <w:left w:w="28" w:type="dxa"/>
          <w:bottom w:w="28" w:type="dxa"/>
          <w:right w:w="28" w:type="dxa"/>
        </w:tblCellMar>
      </w:tblPr>
      <w:tblGrid>
        <w:gridCol w:w="3646"/>
        <w:gridCol w:w="146"/>
        <w:gridCol w:w="439"/>
        <w:gridCol w:w="881"/>
        <w:gridCol w:w="146"/>
        <w:gridCol w:w="146"/>
        <w:gridCol w:w="290"/>
        <w:gridCol w:w="580"/>
        <w:gridCol w:w="146"/>
        <w:gridCol w:w="146"/>
        <w:gridCol w:w="240"/>
        <w:gridCol w:w="480"/>
        <w:gridCol w:w="146"/>
        <w:gridCol w:w="146"/>
        <w:gridCol w:w="272"/>
        <w:gridCol w:w="448"/>
        <w:gridCol w:w="146"/>
        <w:gridCol w:w="146"/>
        <w:gridCol w:w="272"/>
        <w:gridCol w:w="448"/>
        <w:gridCol w:w="1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2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Carrying value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7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br/>
              <w:t>fair value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2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2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2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Restricted investments</w:t>
            </w:r>
            <w:r>
              <w:rPr>
                <w:rFonts w:ascii="Times New Roman" w:hAnsi="Times New Roman"/>
                <w:color w:val="000000"/>
                <w:sz w:val="13"/>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Investment of captive insurance company</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Foreign currency derivatives</w:t>
            </w:r>
            <w:r>
              <w:rPr>
                <w:rFonts w:ascii="Times New Roman" w:hAnsi="Times New Roman"/>
                <w:color w:val="000000"/>
                <w:sz w:val="13"/>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Foreign currency derivatives</w:t>
            </w:r>
            <w:r>
              <w:rPr>
                <w:rFonts w:ascii="Times New Roman" w:hAnsi="Times New Roman"/>
                <w:color w:val="000000"/>
                <w:sz w:val="13"/>
              </w:rPr>
              <w: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Commodity derivatives</w:t>
            </w:r>
            <w:r>
              <w:rPr>
                <w:rFonts w:ascii="Times New Roman" w:hAnsi="Times New Roman"/>
                <w:color w:val="000000"/>
                <w:sz w:val="13"/>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sz w:val="22"/>
        </w:rPr>
      </w:pPr>
      <w:r>
        <w:rPr>
          <w:rFonts w:ascii="Times New Roman" w:hAnsi="Times New Roman"/>
          <w:color w:val="000000"/>
          <w:sz w:val="16"/>
        </w:rPr>
        <w:t>Includes $295</w:t>
      </w:r>
      <w:r>
        <w:rPr>
          <w:rFonts w:ascii="Times New Roman" w:hAnsi="Times New Roman"/>
          <w:color w:val="000000"/>
          <w:sz w:val="22"/>
        </w:rPr>
        <w:t xml:space="preserve"> </w:t>
      </w:r>
      <w:r>
        <w:rPr>
          <w:rFonts w:ascii="Times New Roman" w:hAnsi="Times New Roman"/>
          <w:color w:val="000000"/>
          <w:sz w:val="16"/>
        </w:rPr>
        <w:t>million within restricted investments and $73</w:t>
      </w:r>
      <w:r>
        <w:rPr>
          <w:rFonts w:ascii="Times New Roman" w:hAnsi="Times New Roman"/>
          <w:color w:val="000000"/>
          <w:sz w:val="22"/>
        </w:rPr>
        <w:t xml:space="preserve"> </w:t>
      </w:r>
      <w:r>
        <w:rPr>
          <w:rFonts w:ascii="Times New Roman" w:hAnsi="Times New Roman"/>
          <w:color w:val="000000"/>
          <w:sz w:val="16"/>
        </w:rPr>
        <w:t>million within other current assets in the Condensed Consolidated Balance Sheet.</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(b)</w:t>
      </w:r>
    </w:p>
    <w:p>
      <w:pPr>
        <w:pStyle w:val="TextBody"/>
        <w:bidi w:val="0"/>
        <w:spacing w:before="40" w:after="283"/>
        <w:jc w:val="both"/>
        <w:rPr>
          <w:rFonts w:ascii="Times New Roman" w:hAnsi="Times New Roman"/>
          <w:sz w:val="22"/>
        </w:rPr>
      </w:pPr>
      <w:r>
        <w:rPr>
          <w:rFonts w:ascii="Times New Roman" w:hAnsi="Times New Roman"/>
          <w:color w:val="000000"/>
          <w:sz w:val="16"/>
        </w:rPr>
        <w:t>Includes $248</w:t>
      </w:r>
      <w:r>
        <w:rPr>
          <w:rFonts w:ascii="Times New Roman" w:hAnsi="Times New Roman"/>
          <w:color w:val="000000"/>
          <w:sz w:val="22"/>
        </w:rPr>
        <w:t xml:space="preserve"> </w:t>
      </w:r>
      <w:r>
        <w:rPr>
          <w:rFonts w:ascii="Times New Roman" w:hAnsi="Times New Roman"/>
          <w:color w:val="000000"/>
          <w:sz w:val="16"/>
        </w:rPr>
        <w:t>million related to the Asbestos trust and $120</w:t>
      </w:r>
      <w:r>
        <w:rPr>
          <w:rFonts w:ascii="Times New Roman" w:hAnsi="Times New Roman"/>
          <w:color w:val="000000"/>
          <w:sz w:val="22"/>
        </w:rPr>
        <w:t xml:space="preserve"> </w:t>
      </w:r>
      <w:r>
        <w:rPr>
          <w:rFonts w:ascii="Times New Roman" w:hAnsi="Times New Roman"/>
          <w:color w:val="000000"/>
          <w:sz w:val="16"/>
        </w:rPr>
        <w:t>million related to the Environmental trust.</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(c)</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Included in other noncurrent assets in the Condensed Consolidated Balance Sheet.</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(d)</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Included in accounts receivable, net in the Condensed Consolidated Balance Sheet.</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(e)</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Included in accrued expenses and other liabilities in the Condensed Consolidated Balance Sheet.</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Restricted investments</w:t>
      </w:r>
    </w:p>
    <w:p>
      <w:pPr>
        <w:pStyle w:val="TextBody"/>
        <w:bidi w:val="0"/>
        <w:spacing w:before="120" w:after="283"/>
        <w:jc w:val="both"/>
        <w:rPr>
          <w:rFonts w:ascii="Times New Roman" w:hAnsi="Times New Roman"/>
          <w:sz w:val="20"/>
        </w:rPr>
      </w:pPr>
      <w:r>
        <w:rPr>
          <w:rFonts w:ascii="Times New Roman" w:hAnsi="Times New Roman"/>
          <w:color w:val="000000"/>
          <w:sz w:val="22"/>
        </w:rPr>
        <w:t>Ashland maintains certain investments in Company restricted renewable annual trusts for the purpose of paying future asbestos indemnity and defense costs and future environmental remediation and related litigation costs. The financial instruments are designated as investment securities, classified as Level 1 measurements within the fair value hierarchy. These investment securities were classified primarily as noncurrent restricted investment assets, with $67</w:t>
      </w:r>
      <w:r>
        <w:rPr>
          <w:rFonts w:ascii="Times New Roman" w:hAnsi="Times New Roman"/>
          <w:color w:val="000000"/>
          <w:sz w:val="20"/>
        </w:rPr>
        <w:t xml:space="preserve"> </w:t>
      </w:r>
      <w:r>
        <w:rPr>
          <w:rFonts w:ascii="Times New Roman" w:hAnsi="Times New Roman"/>
          <w:color w:val="000000"/>
          <w:sz w:val="22"/>
        </w:rPr>
        <w:t>million and $73</w:t>
      </w:r>
      <w:r>
        <w:rPr>
          <w:rFonts w:ascii="Times New Roman" w:hAnsi="Times New Roman"/>
          <w:color w:val="000000"/>
          <w:sz w:val="20"/>
        </w:rPr>
        <w:t xml:space="preserve"> </w:t>
      </w:r>
      <w:r>
        <w:rPr>
          <w:rFonts w:ascii="Times New Roman" w:hAnsi="Times New Roman"/>
          <w:color w:val="000000"/>
          <w:sz w:val="22"/>
        </w:rPr>
        <w:t>million classified within other current assets, in the Condensed Consolidated Balance Sheets at June 30, 2025 and September 30, 2024,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following table presents gross unrealized gains and losses for the restricted investments as of:</w:t>
      </w:r>
    </w:p>
    <w:p>
      <w:pPr>
        <w:pStyle w:val="TextBody"/>
        <w:bidi w:val="0"/>
        <w:jc w:val="both"/>
        <w:rPr/>
      </w:pPr>
      <w:r>
        <w:rPr/>
        <w:t> </w:t>
      </w:r>
    </w:p>
    <w:tbl>
      <w:tblPr>
        <w:tblW w:w="8539" w:type="dxa"/>
        <w:jc w:val="left"/>
        <w:tblInd w:w="0" w:type="dxa"/>
        <w:tblLayout w:type="fixed"/>
        <w:tblCellMar>
          <w:top w:w="28" w:type="dxa"/>
          <w:left w:w="28" w:type="dxa"/>
          <w:bottom w:w="28" w:type="dxa"/>
          <w:right w:w="28" w:type="dxa"/>
        </w:tblCellMar>
      </w:tblPr>
      <w:tblGrid>
        <w:gridCol w:w="2266"/>
        <w:gridCol w:w="146"/>
        <w:gridCol w:w="419"/>
        <w:gridCol w:w="841"/>
        <w:gridCol w:w="146"/>
        <w:gridCol w:w="146"/>
        <w:gridCol w:w="539"/>
        <w:gridCol w:w="886"/>
        <w:gridCol w:w="146"/>
        <w:gridCol w:w="146"/>
        <w:gridCol w:w="506"/>
        <w:gridCol w:w="904"/>
        <w:gridCol w:w="166"/>
        <w:gridCol w:w="146"/>
        <w:gridCol w:w="315"/>
        <w:gridCol w:w="630"/>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6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2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Gross</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1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Gross</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4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Adjusted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Demand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mutual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income mutual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Demand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mutual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income mutual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following table presents the investment income, net gains and losses realized, funds restricted for specific transactions, and disbursements related to the investments within the restricted investments portfolio:</w:t>
      </w:r>
    </w:p>
    <w:tbl>
      <w:tblPr>
        <w:tblW w:w="7477" w:type="dxa"/>
        <w:jc w:val="left"/>
        <w:tblInd w:w="0" w:type="dxa"/>
        <w:tblLayout w:type="fixed"/>
        <w:tblCellMar>
          <w:top w:w="28" w:type="dxa"/>
          <w:left w:w="28" w:type="dxa"/>
          <w:bottom w:w="28" w:type="dxa"/>
          <w:right w:w="28" w:type="dxa"/>
        </w:tblCellMar>
      </w:tblPr>
      <w:tblGrid>
        <w:gridCol w:w="3376"/>
        <w:gridCol w:w="146"/>
        <w:gridCol w:w="249"/>
        <w:gridCol w:w="444"/>
        <w:gridCol w:w="196"/>
        <w:gridCol w:w="172"/>
        <w:gridCol w:w="249"/>
        <w:gridCol w:w="444"/>
        <w:gridCol w:w="166"/>
        <w:gridCol w:w="146"/>
        <w:gridCol w:w="238"/>
        <w:gridCol w:w="425"/>
        <w:gridCol w:w="187"/>
        <w:gridCol w:w="165"/>
        <w:gridCol w:w="238"/>
        <w:gridCol w:w="425"/>
        <w:gridCol w:w="21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4"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7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Investment income</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gains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Funds restricted for specific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Disbursements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Included in the net interest and other expense (income) caption within the Statements of Condensed Consolidated Comprehensive Income (Loss).</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Foreign currency derivatives</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Ashland conducts business in a variety of foreign currencies. Accordingly, Ashland regularly uses foreign currency derivative instruments to manage exposure on certain transactions denominated in foreign currencies to curtail potential earnings volatility effects of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within the Statements of Condensed Consolidated Comprehensive Income (Loss). The impacts of these contracts were largely offset by gains and losses resulting from the impact of changes in exchange rates on transactions denominated in non-functional currencies. The following table summarizes the gains recognized within the Statements of Condensed Consolidated Comprehensive Income (Loss):</w:t>
      </w:r>
    </w:p>
    <w:tbl>
      <w:tblPr>
        <w:tblW w:w="6910" w:type="dxa"/>
        <w:jc w:val="left"/>
        <w:tblInd w:w="0" w:type="dxa"/>
        <w:tblLayout w:type="fixed"/>
        <w:tblCellMar>
          <w:top w:w="28" w:type="dxa"/>
          <w:left w:w="28" w:type="dxa"/>
          <w:bottom w:w="28" w:type="dxa"/>
          <w:right w:w="28" w:type="dxa"/>
        </w:tblCellMar>
      </w:tblPr>
      <w:tblGrid>
        <w:gridCol w:w="2851"/>
        <w:gridCol w:w="146"/>
        <w:gridCol w:w="298"/>
        <w:gridCol w:w="447"/>
        <w:gridCol w:w="206"/>
        <w:gridCol w:w="206"/>
        <w:gridCol w:w="298"/>
        <w:gridCol w:w="298"/>
        <w:gridCol w:w="146"/>
        <w:gridCol w:w="146"/>
        <w:gridCol w:w="285"/>
        <w:gridCol w:w="428"/>
        <w:gridCol w:w="197"/>
        <w:gridCol w:w="197"/>
        <w:gridCol w:w="285"/>
        <w:gridCol w:w="285"/>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3"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77"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derivative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following table summarizes the fair values of the outstanding foreign currency derivatives included in accounts receivable, net and accrued expenses and other liabilities of the Condensed Consolidated Balance Sheets as of:</w:t>
      </w:r>
    </w:p>
    <w:p>
      <w:pPr>
        <w:pStyle w:val="TextBody"/>
        <w:bidi w:val="0"/>
        <w:jc w:val="both"/>
        <w:rPr/>
      </w:pPr>
      <w:r>
        <w:rPr/>
        <w:t> </w:t>
      </w:r>
    </w:p>
    <w:tbl>
      <w:tblPr>
        <w:tblW w:w="5775" w:type="dxa"/>
        <w:jc w:val="left"/>
        <w:tblInd w:w="0" w:type="dxa"/>
        <w:tblLayout w:type="fixed"/>
        <w:tblCellMar>
          <w:top w:w="28" w:type="dxa"/>
          <w:left w:w="28" w:type="dxa"/>
          <w:bottom w:w="28" w:type="dxa"/>
          <w:right w:w="28" w:type="dxa"/>
        </w:tblCellMar>
      </w:tblPr>
      <w:tblGrid>
        <w:gridCol w:w="3196"/>
        <w:gridCol w:w="146"/>
        <w:gridCol w:w="245"/>
        <w:gridCol w:w="490"/>
        <w:gridCol w:w="146"/>
        <w:gridCol w:w="146"/>
        <w:gridCol w:w="404"/>
        <w:gridCol w:w="811"/>
        <w:gridCol w:w="1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1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derivative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Notional contract values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Notional contract values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Commodity derivatives</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To manage its exposure to the market price volatility of natural gas consumed by its U.S. plants during the manufacturing process, Ashland regularly enters into forward contracts that are designated as cash flow hedges.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following table summarizes the net losses recognized within the cost of sales caption of the Statements of Condensed Consolidated Comprehensive Income (Loss):</w:t>
      </w:r>
    </w:p>
    <w:tbl>
      <w:tblPr>
        <w:tblW w:w="6590" w:type="dxa"/>
        <w:jc w:val="left"/>
        <w:tblInd w:w="0" w:type="dxa"/>
        <w:tblLayout w:type="fixed"/>
        <w:tblCellMar>
          <w:top w:w="28" w:type="dxa"/>
          <w:left w:w="28" w:type="dxa"/>
          <w:bottom w:w="28" w:type="dxa"/>
          <w:right w:w="28" w:type="dxa"/>
        </w:tblCellMar>
      </w:tblPr>
      <w:tblGrid>
        <w:gridCol w:w="2491"/>
        <w:gridCol w:w="146"/>
        <w:gridCol w:w="290"/>
        <w:gridCol w:w="372"/>
        <w:gridCol w:w="228"/>
        <w:gridCol w:w="200"/>
        <w:gridCol w:w="290"/>
        <w:gridCol w:w="372"/>
        <w:gridCol w:w="166"/>
        <w:gridCol w:w="146"/>
        <w:gridCol w:w="277"/>
        <w:gridCol w:w="357"/>
        <w:gridCol w:w="218"/>
        <w:gridCol w:w="192"/>
        <w:gridCol w:w="277"/>
        <w:gridCol w:w="357"/>
        <w:gridCol w:w="2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2"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7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derivative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following table summarizes the fair values of the outstanding commodity derivatives included in accounts receivable, net and accrued expenses and other liabilities of the Condensed Consolidated Balance Sheets as of:</w:t>
      </w:r>
    </w:p>
    <w:tbl>
      <w:tblPr>
        <w:tblW w:w="5370" w:type="dxa"/>
        <w:jc w:val="left"/>
        <w:tblInd w:w="0" w:type="dxa"/>
        <w:tblLayout w:type="fixed"/>
        <w:tblCellMar>
          <w:top w:w="28" w:type="dxa"/>
          <w:left w:w="28" w:type="dxa"/>
          <w:bottom w:w="28" w:type="dxa"/>
          <w:right w:w="28" w:type="dxa"/>
        </w:tblCellMar>
      </w:tblPr>
      <w:tblGrid>
        <w:gridCol w:w="2791"/>
        <w:gridCol w:w="146"/>
        <w:gridCol w:w="278"/>
        <w:gridCol w:w="457"/>
        <w:gridCol w:w="146"/>
        <w:gridCol w:w="146"/>
        <w:gridCol w:w="460"/>
        <w:gridCol w:w="755"/>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1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derivative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Notional contract values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Notional contract values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Other financial instruments</w:t>
      </w:r>
    </w:p>
    <w:p>
      <w:pPr>
        <w:pStyle w:val="TextBody"/>
        <w:bidi w:val="0"/>
        <w:spacing w:before="120" w:after="283"/>
        <w:jc w:val="both"/>
        <w:rPr>
          <w:rFonts w:ascii="Times New Roman" w:hAnsi="Times New Roman"/>
          <w:sz w:val="20"/>
        </w:rPr>
      </w:pPr>
      <w:r>
        <w:rPr>
          <w:rFonts w:ascii="Times New Roman" w:hAnsi="Times New Roman"/>
          <w:color w:val="000000"/>
          <w:sz w:val="22"/>
        </w:rPr>
        <w:t>At June 30, 2025 and September 30, 2024, Ashland's long-term debt (including the current portion and excluding debt issuance cost discounts) had a carrying value of $1,392</w:t>
      </w:r>
      <w:r>
        <w:rPr>
          <w:rFonts w:ascii="Times New Roman" w:hAnsi="Times New Roman"/>
          <w:color w:val="000000"/>
          <w:sz w:val="20"/>
        </w:rPr>
        <w:t xml:space="preserve"> </w:t>
      </w:r>
      <w:r>
        <w:rPr>
          <w:rFonts w:ascii="Times New Roman" w:hAnsi="Times New Roman"/>
          <w:color w:val="000000"/>
          <w:sz w:val="22"/>
        </w:rPr>
        <w:t>million and $1,361</w:t>
      </w:r>
      <w:r>
        <w:rPr>
          <w:rFonts w:ascii="Times New Roman" w:hAnsi="Times New Roman"/>
          <w:color w:val="000000"/>
          <w:sz w:val="20"/>
        </w:rPr>
        <w:t xml:space="preserve"> </w:t>
      </w:r>
      <w:r>
        <w:rPr>
          <w:rFonts w:ascii="Times New Roman" w:hAnsi="Times New Roman"/>
          <w:color w:val="000000"/>
          <w:sz w:val="22"/>
        </w:rPr>
        <w:t>million, respectively, compared to a fair value of $1,361</w:t>
      </w:r>
      <w:r>
        <w:rPr>
          <w:rFonts w:ascii="Times New Roman" w:hAnsi="Times New Roman"/>
          <w:color w:val="000000"/>
          <w:sz w:val="20"/>
        </w:rPr>
        <w:t xml:space="preserve"> </w:t>
      </w:r>
      <w:r>
        <w:rPr>
          <w:rFonts w:ascii="Times New Roman" w:hAnsi="Times New Roman"/>
          <w:color w:val="000000"/>
          <w:sz w:val="22"/>
        </w:rPr>
        <w:t>million and $1,327</w:t>
      </w:r>
      <w:r>
        <w:rPr>
          <w:rFonts w:ascii="Times New Roman" w:hAnsi="Times New Roman"/>
          <w:color w:val="000000"/>
          <w:sz w:val="20"/>
        </w:rPr>
        <w:t xml:space="preserve"> </w:t>
      </w:r>
      <w:r>
        <w:rPr>
          <w:rFonts w:ascii="Times New Roman" w:hAnsi="Times New Roman"/>
          <w:color w:val="000000"/>
          <w:sz w:val="22"/>
        </w:rPr>
        <w:t>million, respectively. The fair values of long-term debt are based on quoted market prices (level 1 of the fair value hierarchy).</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NOTE F – INVENTORIES</w:t>
      </w:r>
    </w:p>
    <w:p>
      <w:pPr>
        <w:pStyle w:val="TextBody"/>
        <w:bidi w:val="0"/>
        <w:spacing w:before="120" w:after="283"/>
        <w:jc w:val="both"/>
        <w:rPr>
          <w:rFonts w:ascii="Times New Roman" w:hAnsi="Times New Roman"/>
          <w:sz w:val="20"/>
        </w:rPr>
      </w:pPr>
      <w:r>
        <w:rPr>
          <w:rFonts w:ascii="Times New Roman" w:hAnsi="Times New Roman"/>
          <w:color w:val="000000"/>
          <w:sz w:val="22"/>
        </w:rPr>
        <w:t>Inventories are carried at the lower of cost or net realizable value. Inventories are stated at cost using the weighted-average cost method. This method values inventories using average costs for raw materials and most recent production costs for labor and overhead.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following table summarizes Ashland’s inventories as of:</w:t>
      </w:r>
    </w:p>
    <w:p>
      <w:pPr>
        <w:pStyle w:val="TextBody"/>
        <w:bidi w:val="0"/>
        <w:jc w:val="both"/>
        <w:rPr/>
      </w:pPr>
      <w:r>
        <w:rPr/>
        <w:t> </w:t>
      </w:r>
    </w:p>
    <w:tbl>
      <w:tblPr>
        <w:tblW w:w="6255" w:type="dxa"/>
        <w:jc w:val="left"/>
        <w:tblInd w:w="0" w:type="dxa"/>
        <w:tblLayout w:type="fixed"/>
        <w:tblCellMar>
          <w:top w:w="28" w:type="dxa"/>
          <w:left w:w="28" w:type="dxa"/>
          <w:bottom w:w="28" w:type="dxa"/>
          <w:right w:w="28" w:type="dxa"/>
        </w:tblCellMar>
      </w:tblPr>
      <w:tblGrid>
        <w:gridCol w:w="3676"/>
        <w:gridCol w:w="146"/>
        <w:gridCol w:w="245"/>
        <w:gridCol w:w="490"/>
        <w:gridCol w:w="146"/>
        <w:gridCol w:w="146"/>
        <w:gridCol w:w="404"/>
        <w:gridCol w:w="811"/>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1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 supplies and 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NOTE G – GOODWILL AND OTHER INTANGIBLE ASSETS</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Goodwill</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 tests goodwill and other indefinite-lived intangible assets for impairment annually as of July 1 or whenever events and circumstances indicate an impairment may have occurred.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During the third quarter fiscal 2025, Ashland experienced a continued decline in the market price of its Common Stock. Ashland also experienced slowing growth due to weakening macroeconomic environment that is dampening consumer sentiment and demand globally which resulted in lower growth and lower margins specifically for the Life Sciences and Specialty Additives reportable segments (and reporting units) than what was previously forcasted. These factors led Ashland to determine that triggering events occurred, and a quantitative goodwill impairment assessment was performed during the three months ended June 30, 2025.</w:t>
      </w:r>
    </w:p>
    <w:p>
      <w:pPr>
        <w:pStyle w:val="TextBody"/>
        <w:bidi w:val="0"/>
        <w:spacing w:before="120" w:after="283"/>
        <w:jc w:val="both"/>
        <w:rPr>
          <w:rFonts w:ascii="Times New Roman" w:hAnsi="Times New Roman"/>
          <w:sz w:val="20"/>
        </w:rPr>
      </w:pPr>
      <w:r>
        <w:rPr>
          <w:rFonts w:ascii="Times New Roman" w:hAnsi="Times New Roman"/>
          <w:color w:val="000000"/>
          <w:sz w:val="22"/>
        </w:rPr>
        <w:t>Following the aforementioned quantative analysis, the carrying value of the Life Sciences and the Specialty Additives reporting units exceeded their fair value, resulting in non-cash goodwill impairment charges of $375</w:t>
      </w:r>
      <w:r>
        <w:rPr>
          <w:rFonts w:ascii="Times New Roman" w:hAnsi="Times New Roman"/>
          <w:color w:val="000000"/>
          <w:sz w:val="20"/>
        </w:rPr>
        <w:t xml:space="preserve"> </w:t>
      </w:r>
      <w:r>
        <w:rPr>
          <w:rFonts w:ascii="Times New Roman" w:hAnsi="Times New Roman"/>
          <w:color w:val="000000"/>
          <w:sz w:val="22"/>
        </w:rPr>
        <w:t>million and $331</w:t>
      </w:r>
      <w:r>
        <w:rPr>
          <w:rFonts w:ascii="Times New Roman" w:hAnsi="Times New Roman"/>
          <w:color w:val="000000"/>
          <w:sz w:val="20"/>
        </w:rPr>
        <w:t xml:space="preserve"> </w:t>
      </w:r>
      <w:r>
        <w:rPr>
          <w:rFonts w:ascii="Times New Roman" w:hAnsi="Times New Roman"/>
          <w:color w:val="000000"/>
          <w:sz w:val="22"/>
        </w:rPr>
        <w:t>million, respectively, for a total goodwill impairment charge of $706</w:t>
      </w:r>
      <w:r>
        <w:rPr>
          <w:rFonts w:ascii="Times New Roman" w:hAnsi="Times New Roman"/>
          <w:color w:val="000000"/>
          <w:sz w:val="20"/>
        </w:rPr>
        <w:t xml:space="preserve"> </w:t>
      </w:r>
      <w:r>
        <w:rPr>
          <w:rFonts w:ascii="Times New Roman" w:hAnsi="Times New Roman"/>
          <w:color w:val="000000"/>
          <w:sz w:val="22"/>
        </w:rPr>
        <w:t>million, which was recorded</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within the goodwill impairment caption of the Statements of Condensed Consolidated Comprehensive Income (Loss) for the three and nine months ended June 30, 2025. No subsequent indicators of impairment have been identified.</w:t>
      </w:r>
    </w:p>
    <w:p>
      <w:pPr>
        <w:pStyle w:val="TextBody"/>
        <w:bidi w:val="0"/>
        <w:spacing w:before="120" w:after="283"/>
        <w:jc w:val="both"/>
        <w:rPr>
          <w:rFonts w:ascii="Times New Roman" w:hAnsi="Times New Roman"/>
          <w:sz w:val="20"/>
        </w:rPr>
      </w:pPr>
      <w:r>
        <w:rPr>
          <w:rFonts w:ascii="Times New Roman" w:hAnsi="Times New Roman"/>
          <w:color w:val="000000"/>
          <w:sz w:val="22"/>
        </w:rPr>
        <w:t>The pre-impairment goodwill balance for the Life Sciences and Specialty Additives reporting units were $841</w:t>
      </w:r>
      <w:r>
        <w:rPr>
          <w:rFonts w:ascii="Times New Roman" w:hAnsi="Times New Roman"/>
          <w:color w:val="000000"/>
          <w:sz w:val="20"/>
        </w:rPr>
        <w:t xml:space="preserve"> </w:t>
      </w:r>
      <w:r>
        <w:rPr>
          <w:rFonts w:ascii="Times New Roman" w:hAnsi="Times New Roman"/>
          <w:color w:val="000000"/>
          <w:sz w:val="22"/>
        </w:rPr>
        <w:t>million and $443</w:t>
      </w:r>
      <w:r>
        <w:rPr>
          <w:rFonts w:ascii="Times New Roman" w:hAnsi="Times New Roman"/>
          <w:color w:val="000000"/>
          <w:sz w:val="20"/>
        </w:rPr>
        <w:t xml:space="preserve"> </w:t>
      </w:r>
      <w:r>
        <w:rPr>
          <w:rFonts w:ascii="Times New Roman" w:hAnsi="Times New Roman"/>
          <w:color w:val="000000"/>
          <w:sz w:val="22"/>
        </w:rPr>
        <w:t>million, respectively. The goodwill impairment charges are nondeductible for tax purposes.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valuation used to test goodwill for impairment is dependent upon a number of significant estimates and assumptions, including macroeconomic conditions, growth rates, competitive activities, cost containment, margin expansion, and Ashland's business plans. Ashland believes these estimates and assumptions are reasonable. However, future changes in the judgments, assumptions, and estimates that are used in the impairment testing for goodwill, including discount and tax rates or future cash flow projections, could result in significantly different estimates of the fair values. As a result of these factors and other factors discussed above and the limited or no cushion (or headroom as commonly referred) for the Life Sciences and Specialty Additives reporting units, goodwill assets are more susceptible to impairment risk.</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 is required to provide additional disclosures about fair value measurements as part of the Condensed Consolidated Financial Statements for each major category of assets and liabilities measured at fair value on a non-recurring basis (including impairment assessments). Goodwill was valued using Level 3 inputs, which are unobservable by nature, and included internal estimates of future cash flows (income approach). Significant increases (decreases) in any of those unobservable inputs in isolation would result in a significantly higher (lower) fair value measurement. The most significant assumptions used in the determination of the estimated fair value of the indefinite-lived intangible assets and reporting units are sales and EBITDA growth rates (including terminal growth rates) and the discount rate. The terminal growth rate represents the rate at which the reporting unit is expected to grow beyond the shorter-term business planning period. The terminal growth rate utilized in Ashland’s fair value estimate is consistent with the reporting unit operating plans and approximates expected long-term category market growth rates and inflation. The discount rate, which is consistent with a weighted-average cost of capital that is likely to be expected by a market participant, is based upon industry required rates of return, including consideration of both debt and equity components of the capital structure. The discount rates may be impacted by adverse changes in the macroeconomic environment, volatility in the equity and debt markets, or other factors. While Ashland can implement and has implemented certain strategies to address the events that triggered the interim impairment assessment, future changes in operating plans or other adverse changes could result in a further decline in fair value that would trigger a future material impairment charge of the reporting unit’s goodwill balance.</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following is a progression of goodwill by reportable segment for the nine months ended June 30, 2025:</w:t>
      </w:r>
    </w:p>
    <w:p>
      <w:pPr>
        <w:pStyle w:val="TextBody"/>
        <w:bidi w:val="0"/>
        <w:jc w:val="both"/>
        <w:rPr/>
      </w:pPr>
      <w:r>
        <w:rPr/>
        <w:t> </w:t>
      </w:r>
    </w:p>
    <w:tbl>
      <w:tblPr>
        <w:tblW w:w="8721" w:type="dxa"/>
        <w:jc w:val="left"/>
        <w:tblInd w:w="0" w:type="dxa"/>
        <w:tblLayout w:type="fixed"/>
        <w:tblCellMar>
          <w:top w:w="28" w:type="dxa"/>
          <w:left w:w="28" w:type="dxa"/>
          <w:bottom w:w="28" w:type="dxa"/>
          <w:right w:w="28" w:type="dxa"/>
        </w:tblCellMar>
      </w:tblPr>
      <w:tblGrid>
        <w:gridCol w:w="2791"/>
        <w:gridCol w:w="247"/>
        <w:gridCol w:w="564"/>
        <w:gridCol w:w="166"/>
        <w:gridCol w:w="146"/>
        <w:gridCol w:w="265"/>
        <w:gridCol w:w="531"/>
        <w:gridCol w:w="166"/>
        <w:gridCol w:w="146"/>
        <w:gridCol w:w="274"/>
        <w:gridCol w:w="627"/>
        <w:gridCol w:w="166"/>
        <w:gridCol w:w="146"/>
        <w:gridCol w:w="454"/>
        <w:gridCol w:w="747"/>
        <w:gridCol w:w="146"/>
        <w:gridCol w:w="146"/>
        <w:gridCol w:w="211"/>
        <w:gridCol w:w="571"/>
        <w:gridCol w:w="211"/>
      </w:tblGrid>
      <w:tr>
        <w:trPr/>
        <w:tc>
          <w:tcPr>
            <w:tcW w:w="279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1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Life</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9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Personal</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0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Specialty</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0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Sciences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Additives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Intermediates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Balance at September 30, 2024</w:t>
            </w:r>
            <w:r>
              <w:rPr>
                <w:rFonts w:ascii="Times New Roman" w:hAnsi="Times New Roman"/>
                <w:color w:val="000000"/>
                <w:sz w:val="13"/>
              </w:rPr>
              <w:t>(a)</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Avoca business - divestiture</w:t>
            </w:r>
            <w:r>
              <w:rPr>
                <w:rFonts w:ascii="Times New Roman" w:hAnsi="Times New Roman"/>
                <w:color w:val="000000"/>
                <w:sz w:val="13"/>
              </w:rPr>
              <w:t>(b)</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Balance at June 30, 2025</w:t>
            </w:r>
            <w:r>
              <w:rPr>
                <w:rFonts w:ascii="Times New Roman" w:hAnsi="Times New Roman"/>
                <w:color w:val="000000"/>
                <w:sz w:val="13"/>
              </w:rPr>
              <w:t>(c)</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sz w:val="22"/>
        </w:rPr>
      </w:pPr>
      <w:r>
        <w:rPr>
          <w:rFonts w:ascii="Times New Roman" w:hAnsi="Times New Roman"/>
          <w:color w:val="000000"/>
          <w:sz w:val="16"/>
        </w:rPr>
        <w:t>As of September 30, 2024, there were accumulated impairments of zero, $356</w:t>
      </w:r>
      <w:r>
        <w:rPr>
          <w:rFonts w:ascii="Times New Roman" w:hAnsi="Times New Roman"/>
          <w:color w:val="000000"/>
          <w:sz w:val="22"/>
        </w:rPr>
        <w:t xml:space="preserve"> </w:t>
      </w:r>
      <w:r>
        <w:rPr>
          <w:rFonts w:ascii="Times New Roman" w:hAnsi="Times New Roman"/>
          <w:color w:val="000000"/>
          <w:sz w:val="16"/>
        </w:rPr>
        <w:t>million, $174</w:t>
      </w:r>
      <w:r>
        <w:rPr>
          <w:rFonts w:ascii="Times New Roman" w:hAnsi="Times New Roman"/>
          <w:color w:val="000000"/>
          <w:sz w:val="22"/>
        </w:rPr>
        <w:t xml:space="preserve"> </w:t>
      </w:r>
      <w:r>
        <w:rPr>
          <w:rFonts w:ascii="Times New Roman" w:hAnsi="Times New Roman"/>
          <w:color w:val="000000"/>
          <w:sz w:val="16"/>
        </w:rPr>
        <w:t>million and $90</w:t>
      </w:r>
      <w:r>
        <w:rPr>
          <w:rFonts w:ascii="Times New Roman" w:hAnsi="Times New Roman"/>
          <w:color w:val="000000"/>
          <w:sz w:val="22"/>
        </w:rPr>
        <w:t xml:space="preserve"> </w:t>
      </w:r>
      <w:r>
        <w:rPr>
          <w:rFonts w:ascii="Times New Roman" w:hAnsi="Times New Roman"/>
          <w:color w:val="000000"/>
          <w:sz w:val="16"/>
        </w:rPr>
        <w:t>million related to the Life Sciences, Personal Care, Specialty Additives and Intermediates reportable segments, respectively.</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(b)</w:t>
      </w:r>
    </w:p>
    <w:p>
      <w:pPr>
        <w:pStyle w:val="TextBody"/>
        <w:bidi w:val="0"/>
        <w:spacing w:before="40" w:after="283"/>
        <w:jc w:val="both"/>
        <w:rPr>
          <w:rFonts w:ascii="Times New Roman" w:hAnsi="Times New Roman"/>
          <w:sz w:val="22"/>
        </w:rPr>
      </w:pPr>
      <w:r>
        <w:rPr>
          <w:rFonts w:ascii="Times New Roman" w:hAnsi="Times New Roman"/>
          <w:color w:val="000000"/>
          <w:sz w:val="16"/>
        </w:rPr>
        <w:t>Ashland allocated $1</w:t>
      </w:r>
      <w:r>
        <w:rPr>
          <w:rFonts w:ascii="Times New Roman" w:hAnsi="Times New Roman"/>
          <w:color w:val="000000"/>
          <w:sz w:val="22"/>
        </w:rPr>
        <w:t xml:space="preserve"> </w:t>
      </w:r>
      <w:r>
        <w:rPr>
          <w:rFonts w:ascii="Times New Roman" w:hAnsi="Times New Roman"/>
          <w:color w:val="000000"/>
          <w:sz w:val="16"/>
        </w:rPr>
        <w:t>million to the Avoca business during the nine months ended June 30, 2025. See Note B of the Notes to the Condensed Consolidated Financial Statements for more information.</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(c)</w:t>
      </w:r>
    </w:p>
    <w:p>
      <w:pPr>
        <w:pStyle w:val="TextBody"/>
        <w:bidi w:val="0"/>
        <w:spacing w:before="40" w:after="283"/>
        <w:jc w:val="both"/>
        <w:rPr>
          <w:rFonts w:ascii="Times New Roman" w:hAnsi="Times New Roman"/>
          <w:sz w:val="22"/>
        </w:rPr>
      </w:pPr>
      <w:r>
        <w:rPr>
          <w:rFonts w:ascii="Times New Roman" w:hAnsi="Times New Roman"/>
          <w:color w:val="000000"/>
          <w:sz w:val="16"/>
        </w:rPr>
        <w:t>As of June 30, 2025, there were accumulated impairments of $375</w:t>
      </w:r>
      <w:r>
        <w:rPr>
          <w:rFonts w:ascii="Times New Roman" w:hAnsi="Times New Roman"/>
          <w:color w:val="000000"/>
          <w:sz w:val="22"/>
        </w:rPr>
        <w:t xml:space="preserve"> </w:t>
      </w:r>
      <w:r>
        <w:rPr>
          <w:rFonts w:ascii="Times New Roman" w:hAnsi="Times New Roman"/>
          <w:color w:val="000000"/>
          <w:sz w:val="16"/>
        </w:rPr>
        <w:t>million, $356</w:t>
      </w:r>
      <w:r>
        <w:rPr>
          <w:rFonts w:ascii="Times New Roman" w:hAnsi="Times New Roman"/>
          <w:color w:val="000000"/>
          <w:sz w:val="22"/>
        </w:rPr>
        <w:t xml:space="preserve"> </w:t>
      </w:r>
      <w:r>
        <w:rPr>
          <w:rFonts w:ascii="Times New Roman" w:hAnsi="Times New Roman"/>
          <w:color w:val="000000"/>
          <w:sz w:val="16"/>
        </w:rPr>
        <w:t>million, $505</w:t>
      </w:r>
      <w:r>
        <w:rPr>
          <w:rFonts w:ascii="Times New Roman" w:hAnsi="Times New Roman"/>
          <w:color w:val="000000"/>
          <w:sz w:val="22"/>
        </w:rPr>
        <w:t xml:space="preserve"> </w:t>
      </w:r>
      <w:r>
        <w:rPr>
          <w:rFonts w:ascii="Times New Roman" w:hAnsi="Times New Roman"/>
          <w:color w:val="000000"/>
          <w:sz w:val="16"/>
        </w:rPr>
        <w:t>million and $90</w:t>
      </w:r>
      <w:r>
        <w:rPr>
          <w:rFonts w:ascii="Times New Roman" w:hAnsi="Times New Roman"/>
          <w:color w:val="000000"/>
          <w:sz w:val="22"/>
        </w:rPr>
        <w:t xml:space="preserve"> </w:t>
      </w:r>
      <w:r>
        <w:rPr>
          <w:rFonts w:ascii="Times New Roman" w:hAnsi="Times New Roman"/>
          <w:color w:val="000000"/>
          <w:sz w:val="16"/>
        </w:rPr>
        <w:t>million related to the Life Sciences, Personal Care, Specialty Additives and Intermediates reportable segments, respectively.</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Other intangible assets</w:t>
      </w:r>
    </w:p>
    <w:p>
      <w:pPr>
        <w:pStyle w:val="TextBody"/>
        <w:bidi w:val="0"/>
        <w:spacing w:before="120" w:after="283"/>
        <w:jc w:val="both"/>
        <w:rPr>
          <w:rFonts w:ascii="Times New Roman" w:hAnsi="Times New Roman"/>
          <w:sz w:val="20"/>
        </w:rPr>
      </w:pPr>
      <w:r>
        <w:rPr>
          <w:rFonts w:ascii="Times New Roman" w:hAnsi="Times New Roman"/>
          <w:color w:val="000000"/>
          <w:sz w:val="22"/>
        </w:rPr>
        <w:t>Other intangible assets principally consist of trademarks and trade names, intellectual property and customer and supplier relationships. Intangible assets classified as finite are amortized on a straight-line basis over their estimated useful lives. The cost of trademarks and trade names is amortized principally over 3 to 20 years, intellectual property over 3 to 20 years, and customer and supplier relationships over 10 to 24 years.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 annually reviews, as of July 1, indefinite-lived intangible assets for possible impairment or whenever events or changes in circumstances indicate that carrying amounts may not be recoverable.</w:t>
      </w:r>
    </w:p>
    <w:p>
      <w:pPr>
        <w:pStyle w:val="TextBody"/>
        <w:bidi w:val="0"/>
        <w:spacing w:before="120" w:after="283"/>
        <w:jc w:val="both"/>
        <w:rPr>
          <w:rFonts w:ascii="Times New Roman" w:hAnsi="Times New Roman"/>
          <w:sz w:val="20"/>
        </w:rPr>
      </w:pPr>
      <w:r>
        <w:rPr>
          <w:rFonts w:ascii="Times New Roman" w:hAnsi="Times New Roman"/>
          <w:color w:val="000000"/>
          <w:sz w:val="22"/>
        </w:rPr>
        <w:t>In conjunction with the triggering events described above, Ashland tested its indefinite-lived intangible assets for impairment as of June 30, 2025. Trademarks and trade names are valued using a “relief-from-royalty” valuation method compared to the carrying value. No</w:t>
      </w:r>
      <w:r>
        <w:rPr>
          <w:rFonts w:ascii="Times New Roman" w:hAnsi="Times New Roman"/>
          <w:color w:val="000000"/>
          <w:sz w:val="20"/>
        </w:rPr>
        <w:t xml:space="preserve"> </w:t>
      </w:r>
      <w:r>
        <w:rPr>
          <w:rFonts w:ascii="Times New Roman" w:hAnsi="Times New Roman"/>
          <w:color w:val="000000"/>
          <w:sz w:val="22"/>
        </w:rPr>
        <w:t>impairment was indicated for trademarks and trade names for the three and nine months ended June 30, 2025, other than the other intangible assets disposed of within the Avoca business. See Note B of the Notes to the Condensed Consolidated Financial Statements for further information with respect to the Avoca business. However, similar to the factors discussed with respect to goodwill above and limited cushion, certain indefinite-lived intangible assets are more susceptible to impairment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Other intangible assets were comprised of the following as of:</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16"/>
        <w:gridCol w:w="211"/>
        <w:gridCol w:w="571"/>
        <w:gridCol w:w="146"/>
        <w:gridCol w:w="146"/>
        <w:gridCol w:w="297"/>
        <w:gridCol w:w="889"/>
        <w:gridCol w:w="166"/>
        <w:gridCol w:w="146"/>
        <w:gridCol w:w="260"/>
        <w:gridCol w:w="521"/>
        <w:gridCol w:w="146"/>
        <w:gridCol w:w="146"/>
        <w:gridCol w:w="211"/>
        <w:gridCol w:w="571"/>
        <w:gridCol w:w="146"/>
        <w:gridCol w:w="146"/>
        <w:gridCol w:w="297"/>
        <w:gridCol w:w="889"/>
        <w:gridCol w:w="166"/>
        <w:gridCol w:w="146"/>
        <w:gridCol w:w="260"/>
        <w:gridCol w:w="521"/>
        <w:gridCol w:w="291"/>
      </w:tblGrid>
      <w:tr>
        <w:trPr/>
        <w:tc>
          <w:tcPr>
            <w:tcW w:w="2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353"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353"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 2024</w:t>
            </w:r>
          </w:p>
        </w:tc>
        <w:tc>
          <w:tcPr>
            <w:tcW w:w="2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carrying</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Definite-lived intangibles</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Trademarks and trade names</w:t>
            </w:r>
            <w:r>
              <w:rPr>
                <w:rFonts w:ascii="Times New Roman" w:hAnsi="Times New Roman"/>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Intellectual property</w:t>
            </w:r>
            <w:r>
              <w:rPr>
                <w:rFonts w:ascii="Times New Roman" w:hAnsi="Times New Roman"/>
                <w:color w:val="000000"/>
                <w:sz w:val="13"/>
              </w:rPr>
              <w:t>(b)</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Customer and supplier relationships</w:t>
            </w:r>
            <w:r>
              <w:rPr>
                <w:rFonts w:ascii="Times New Roman" w:hAnsi="Times New Roman"/>
                <w:color w:val="000000"/>
                <w:sz w:val="13"/>
              </w:rPr>
              <w:t>(c)</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definite-lived intangibles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Indefinite-lived intangibles</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Trademarks and trade names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sz w:val="22"/>
        </w:rPr>
      </w:pPr>
      <w:r>
        <w:rPr>
          <w:rFonts w:ascii="Times New Roman" w:hAnsi="Times New Roman"/>
          <w:color w:val="000000"/>
          <w:sz w:val="16"/>
        </w:rPr>
        <w:t>Ashland allocated $7</w:t>
      </w:r>
      <w:r>
        <w:rPr>
          <w:rFonts w:ascii="Times New Roman" w:hAnsi="Times New Roman"/>
          <w:color w:val="000000"/>
          <w:sz w:val="22"/>
        </w:rPr>
        <w:t xml:space="preserve"> </w:t>
      </w:r>
      <w:r>
        <w:rPr>
          <w:rFonts w:ascii="Times New Roman" w:hAnsi="Times New Roman"/>
          <w:color w:val="000000"/>
          <w:sz w:val="16"/>
        </w:rPr>
        <w:t>million to the Avoca business during the nine months ended June 30, 2025. See Note B of the Notes to the Condensed Consolidated Financial Statements for additional details.</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(b)</w:t>
      </w:r>
    </w:p>
    <w:p>
      <w:pPr>
        <w:pStyle w:val="TextBody"/>
        <w:bidi w:val="0"/>
        <w:spacing w:before="40" w:after="283"/>
        <w:jc w:val="both"/>
        <w:rPr>
          <w:rFonts w:ascii="Times New Roman" w:hAnsi="Times New Roman"/>
          <w:sz w:val="22"/>
        </w:rPr>
      </w:pPr>
      <w:r>
        <w:rPr>
          <w:rFonts w:ascii="Times New Roman" w:hAnsi="Times New Roman"/>
          <w:color w:val="000000"/>
          <w:sz w:val="16"/>
        </w:rPr>
        <w:t>Ashland allocated $29</w:t>
      </w:r>
      <w:r>
        <w:rPr>
          <w:rFonts w:ascii="Times New Roman" w:hAnsi="Times New Roman"/>
          <w:color w:val="000000"/>
          <w:sz w:val="22"/>
        </w:rPr>
        <w:t xml:space="preserve"> </w:t>
      </w:r>
      <w:r>
        <w:rPr>
          <w:rFonts w:ascii="Times New Roman" w:hAnsi="Times New Roman"/>
          <w:color w:val="000000"/>
          <w:sz w:val="16"/>
        </w:rPr>
        <w:t>million to the Avoca business during the nine months ended June 30, 2025. See Note B of the Notes to the Condensed Consolidated Financial Statements for additional details.</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(c)</w:t>
      </w:r>
    </w:p>
    <w:p>
      <w:pPr>
        <w:pStyle w:val="TextBody"/>
        <w:bidi w:val="0"/>
        <w:spacing w:before="40" w:after="283"/>
        <w:jc w:val="both"/>
        <w:rPr>
          <w:rFonts w:ascii="Times New Roman" w:hAnsi="Times New Roman"/>
          <w:sz w:val="22"/>
        </w:rPr>
      </w:pPr>
      <w:r>
        <w:rPr>
          <w:rFonts w:ascii="Times New Roman" w:hAnsi="Times New Roman"/>
          <w:color w:val="000000"/>
          <w:sz w:val="16"/>
        </w:rPr>
        <w:t>Ashland allocated $98</w:t>
      </w:r>
      <w:r>
        <w:rPr>
          <w:rFonts w:ascii="Times New Roman" w:hAnsi="Times New Roman"/>
          <w:color w:val="000000"/>
          <w:sz w:val="22"/>
        </w:rPr>
        <w:t xml:space="preserve"> </w:t>
      </w:r>
      <w:r>
        <w:rPr>
          <w:rFonts w:ascii="Times New Roman" w:hAnsi="Times New Roman"/>
          <w:color w:val="000000"/>
          <w:sz w:val="16"/>
        </w:rPr>
        <w:t>million to the Avoca business during the nine months ended June 30, 2025. See Note B of the Notes to the Condensed Consolidated Financial Statements for additional details.</w:t>
      </w:r>
    </w:p>
    <w:p>
      <w:pPr>
        <w:pStyle w:val="TextBody"/>
        <w:bidi w:val="0"/>
        <w:spacing w:before="120" w:after="283"/>
        <w:jc w:val="both"/>
        <w:rPr>
          <w:rFonts w:ascii="Times New Roman" w:hAnsi="Times New Roman"/>
          <w:sz w:val="20"/>
        </w:rPr>
      </w:pPr>
      <w:r>
        <w:rPr>
          <w:rFonts w:ascii="Times New Roman" w:hAnsi="Times New Roman"/>
          <w:color w:val="000000"/>
          <w:sz w:val="22"/>
        </w:rPr>
        <w:t>Amortization expense recognized on intangible assets was</w:t>
      </w:r>
      <w:r>
        <w:rPr>
          <w:rFonts w:ascii="Times New Roman" w:hAnsi="Times New Roman"/>
          <w:color w:val="000000"/>
          <w:sz w:val="20"/>
        </w:rPr>
        <w:t xml:space="preserve"> </w:t>
      </w:r>
      <w:r>
        <w:rPr>
          <w:rFonts w:ascii="Times New Roman" w:hAnsi="Times New Roman"/>
          <w:color w:val="000000"/>
          <w:sz w:val="22"/>
        </w:rPr>
        <w:t>$15</w:t>
      </w:r>
      <w:r>
        <w:rPr>
          <w:rFonts w:ascii="Times New Roman" w:hAnsi="Times New Roman"/>
          <w:color w:val="000000"/>
          <w:sz w:val="20"/>
        </w:rPr>
        <w:t xml:space="preserve"> </w:t>
      </w:r>
      <w:r>
        <w:rPr>
          <w:rFonts w:ascii="Times New Roman" w:hAnsi="Times New Roman"/>
          <w:color w:val="000000"/>
          <w:sz w:val="22"/>
        </w:rPr>
        <w:t>million and $19</w:t>
      </w:r>
      <w:r>
        <w:rPr>
          <w:rFonts w:ascii="Times New Roman" w:hAnsi="Times New Roman"/>
          <w:color w:val="000000"/>
          <w:sz w:val="20"/>
        </w:rPr>
        <w:t xml:space="preserve"> </w:t>
      </w:r>
      <w:r>
        <w:rPr>
          <w:rFonts w:ascii="Times New Roman" w:hAnsi="Times New Roman"/>
          <w:color w:val="000000"/>
          <w:sz w:val="22"/>
        </w:rPr>
        <w:t>million for the three months ended June 30, 2025 and 2024, respectively, and $47</w:t>
      </w:r>
      <w:r>
        <w:rPr>
          <w:rFonts w:ascii="Times New Roman" w:hAnsi="Times New Roman"/>
          <w:color w:val="000000"/>
          <w:sz w:val="20"/>
        </w:rPr>
        <w:t xml:space="preserve"> </w:t>
      </w:r>
      <w:r>
        <w:rPr>
          <w:rFonts w:ascii="Times New Roman" w:hAnsi="Times New Roman"/>
          <w:color w:val="000000"/>
          <w:sz w:val="22"/>
        </w:rPr>
        <w:t>million and $59</w:t>
      </w:r>
      <w:r>
        <w:rPr>
          <w:rFonts w:ascii="Times New Roman" w:hAnsi="Times New Roman"/>
          <w:color w:val="000000"/>
          <w:sz w:val="20"/>
        </w:rPr>
        <w:t xml:space="preserve"> </w:t>
      </w:r>
      <w:r>
        <w:rPr>
          <w:rFonts w:ascii="Times New Roman" w:hAnsi="Times New Roman"/>
          <w:color w:val="000000"/>
          <w:sz w:val="22"/>
        </w:rPr>
        <w:t>million for the nine months ended June 30, 2025 and 2024, respectively, and is included within the intangibles amortization expense caption of the Statements of Condensed Consolidated Comprehensive Income (Loss). Estimated amortization expense for future periods is $62</w:t>
      </w:r>
      <w:r>
        <w:rPr>
          <w:rFonts w:ascii="Times New Roman" w:hAnsi="Times New Roman"/>
          <w:color w:val="000000"/>
          <w:sz w:val="20"/>
        </w:rPr>
        <w:t xml:space="preserve"> </w:t>
      </w:r>
      <w:r>
        <w:rPr>
          <w:rFonts w:ascii="Times New Roman" w:hAnsi="Times New Roman"/>
          <w:color w:val="000000"/>
          <w:sz w:val="22"/>
        </w:rPr>
        <w:t>million in 2025 (includes nine</w:t>
      </w:r>
      <w:r>
        <w:rPr>
          <w:rFonts w:ascii="Times New Roman" w:hAnsi="Times New Roman"/>
          <w:color w:val="000000"/>
          <w:sz w:val="20"/>
        </w:rPr>
        <w:t xml:space="preserve"> </w:t>
      </w:r>
      <w:r>
        <w:rPr>
          <w:rFonts w:ascii="Times New Roman" w:hAnsi="Times New Roman"/>
          <w:color w:val="000000"/>
          <w:sz w:val="22"/>
        </w:rPr>
        <w:t>months actual and three months estimated), $58</w:t>
      </w:r>
      <w:r>
        <w:rPr>
          <w:rFonts w:ascii="Times New Roman" w:hAnsi="Times New Roman"/>
          <w:color w:val="000000"/>
          <w:sz w:val="20"/>
        </w:rPr>
        <w:t xml:space="preserve"> </w:t>
      </w:r>
      <w:r>
        <w:rPr>
          <w:rFonts w:ascii="Times New Roman" w:hAnsi="Times New Roman"/>
          <w:color w:val="000000"/>
          <w:sz w:val="22"/>
        </w:rPr>
        <w:t>million in 2026, $37</w:t>
      </w:r>
      <w:r>
        <w:rPr>
          <w:rFonts w:ascii="Times New Roman" w:hAnsi="Times New Roman"/>
          <w:color w:val="000000"/>
          <w:sz w:val="20"/>
        </w:rPr>
        <w:t xml:space="preserve"> </w:t>
      </w:r>
      <w:r>
        <w:rPr>
          <w:rFonts w:ascii="Times New Roman" w:hAnsi="Times New Roman"/>
          <w:color w:val="000000"/>
          <w:sz w:val="22"/>
        </w:rPr>
        <w:t>million in 2027, $33</w:t>
      </w:r>
      <w:r>
        <w:rPr>
          <w:rFonts w:ascii="Times New Roman" w:hAnsi="Times New Roman"/>
          <w:color w:val="000000"/>
          <w:sz w:val="20"/>
        </w:rPr>
        <w:t xml:space="preserve"> </w:t>
      </w:r>
      <w:r>
        <w:rPr>
          <w:rFonts w:ascii="Times New Roman" w:hAnsi="Times New Roman"/>
          <w:color w:val="000000"/>
          <w:sz w:val="22"/>
        </w:rPr>
        <w:t>million in 2028 and $27</w:t>
      </w:r>
      <w:r>
        <w:rPr>
          <w:rFonts w:ascii="Times New Roman" w:hAnsi="Times New Roman"/>
          <w:color w:val="000000"/>
          <w:sz w:val="20"/>
        </w:rPr>
        <w:t xml:space="preserve"> </w:t>
      </w:r>
      <w:r>
        <w:rPr>
          <w:rFonts w:ascii="Times New Roman" w:hAnsi="Times New Roman"/>
          <w:color w:val="000000"/>
          <w:sz w:val="22"/>
        </w:rPr>
        <w:t>million in 2029. Actual amounts may change from such estimated amounts due to fluctuations in foreign currency exchange rates, additional intangible asset acquisitions and divestitures, potential impairment, accelerated amortization, or other events.</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NOTE H – DEBT AND OTHER FINANCING ACTIVITIES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following table summarizes Ashland’s long-term debt as of:</w:t>
      </w:r>
    </w:p>
    <w:p>
      <w:pPr>
        <w:pStyle w:val="TextBody"/>
        <w:bidi w:val="0"/>
        <w:jc w:val="both"/>
        <w:rPr/>
      </w:pPr>
      <w:r>
        <w:rPr/>
        <w:t> </w:t>
      </w:r>
    </w:p>
    <w:tbl>
      <w:tblPr>
        <w:tblW w:w="8560" w:type="dxa"/>
        <w:jc w:val="left"/>
        <w:tblInd w:w="0" w:type="dxa"/>
        <w:tblLayout w:type="fixed"/>
        <w:tblCellMar>
          <w:top w:w="28" w:type="dxa"/>
          <w:left w:w="28" w:type="dxa"/>
          <w:bottom w:w="28" w:type="dxa"/>
          <w:right w:w="28" w:type="dxa"/>
        </w:tblCellMar>
      </w:tblPr>
      <w:tblGrid>
        <w:gridCol w:w="4921"/>
        <w:gridCol w:w="146"/>
        <w:gridCol w:w="336"/>
        <w:gridCol w:w="909"/>
        <w:gridCol w:w="166"/>
        <w:gridCol w:w="146"/>
        <w:gridCol w:w="465"/>
        <w:gridCol w:w="1260"/>
        <w:gridCol w:w="211"/>
      </w:tblGrid>
      <w:tr>
        <w:trPr/>
        <w:tc>
          <w:tcPr>
            <w:tcW w:w="4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4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30, 2025</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72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30, 2024</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3.375% Senior Notes, due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 Senior Notes, due 2028 (Euro 500 million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6.875% Notes, due 2043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6.50% Junior Subordinated Notes,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Long-term debt (less debt issuance costs)</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40" w:after="283"/>
        <w:jc w:val="both"/>
        <w:rPr>
          <w:rFonts w:ascii="Times New Roman" w:hAnsi="Times New Roman"/>
          <w:sz w:val="22"/>
        </w:rPr>
      </w:pPr>
      <w:r>
        <w:rPr>
          <w:rFonts w:ascii="Times New Roman" w:hAnsi="Times New Roman"/>
          <w:color w:val="000000"/>
          <w:sz w:val="16"/>
        </w:rPr>
        <w:t>Other includes $10</w:t>
      </w:r>
      <w:r>
        <w:rPr>
          <w:rFonts w:ascii="Times New Roman" w:hAnsi="Times New Roman"/>
          <w:color w:val="000000"/>
          <w:sz w:val="22"/>
        </w:rPr>
        <w:t xml:space="preserve"> </w:t>
      </w:r>
      <w:r>
        <w:rPr>
          <w:rFonts w:ascii="Times New Roman" w:hAnsi="Times New Roman"/>
          <w:color w:val="000000"/>
          <w:sz w:val="16"/>
        </w:rPr>
        <w:t>million and $12</w:t>
      </w:r>
      <w:r>
        <w:rPr>
          <w:rFonts w:ascii="Times New Roman" w:hAnsi="Times New Roman"/>
          <w:color w:val="000000"/>
          <w:sz w:val="22"/>
        </w:rPr>
        <w:t xml:space="preserve"> </w:t>
      </w:r>
      <w:r>
        <w:rPr>
          <w:rFonts w:ascii="Times New Roman" w:hAnsi="Times New Roman"/>
          <w:color w:val="000000"/>
          <w:sz w:val="16"/>
        </w:rPr>
        <w:t>million of debt issuance costs as of June 30, 2025 and September 30, 2024, respectively.</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(b)</w:t>
      </w:r>
    </w:p>
    <w:p>
      <w:pPr>
        <w:pStyle w:val="TextBody"/>
        <w:bidi w:val="0"/>
        <w:spacing w:before="40" w:after="283"/>
        <w:jc w:val="both"/>
        <w:rPr>
          <w:rFonts w:ascii="Times New Roman" w:hAnsi="Times New Roman"/>
          <w:sz w:val="22"/>
        </w:rPr>
      </w:pPr>
      <w:r>
        <w:rPr>
          <w:rFonts w:ascii="Times New Roman" w:hAnsi="Times New Roman"/>
          <w:color w:val="000000"/>
          <w:sz w:val="16"/>
        </w:rPr>
        <w:t>The current portion of the long-term debt was zero</w:t>
      </w:r>
      <w:r>
        <w:rPr>
          <w:rFonts w:ascii="Times New Roman" w:hAnsi="Times New Roman"/>
          <w:color w:val="000000"/>
          <w:sz w:val="22"/>
        </w:rPr>
        <w:t xml:space="preserve"> </w:t>
      </w:r>
      <w:r>
        <w:rPr>
          <w:rFonts w:ascii="Times New Roman" w:hAnsi="Times New Roman"/>
          <w:color w:val="000000"/>
          <w:sz w:val="16"/>
        </w:rPr>
        <w:t>for both June 30, 2025 and September 30, 2024.</w:t>
      </w:r>
    </w:p>
    <w:p>
      <w:pPr>
        <w:pStyle w:val="TextBody"/>
        <w:bidi w:val="0"/>
        <w:spacing w:before="120" w:after="283"/>
        <w:jc w:val="both"/>
        <w:rPr>
          <w:rFonts w:ascii="Times New Roman" w:hAnsi="Times New Roman"/>
          <w:sz w:val="20"/>
        </w:rPr>
      </w:pPr>
      <w:r>
        <w:rPr>
          <w:rFonts w:ascii="Times New Roman" w:hAnsi="Times New Roman"/>
          <w:color w:val="000000"/>
          <w:sz w:val="22"/>
        </w:rPr>
        <w:t>The scheduled aggregate maturities for long-term debt by year (excluding debt issuance costs) are as follows as of June 30, 2025: zero</w:t>
      </w:r>
      <w:r>
        <w:rPr>
          <w:rFonts w:ascii="Times New Roman" w:hAnsi="Times New Roman"/>
          <w:color w:val="000000"/>
          <w:sz w:val="20"/>
        </w:rPr>
        <w:t xml:space="preserve"> </w:t>
      </w:r>
      <w:r>
        <w:rPr>
          <w:rFonts w:ascii="Times New Roman" w:hAnsi="Times New Roman"/>
          <w:color w:val="000000"/>
          <w:sz w:val="22"/>
        </w:rPr>
        <w:t>in 2025 and 2026, $4</w:t>
      </w:r>
      <w:r>
        <w:rPr>
          <w:rFonts w:ascii="Times New Roman" w:hAnsi="Times New Roman"/>
          <w:color w:val="000000"/>
          <w:sz w:val="20"/>
        </w:rPr>
        <w:t xml:space="preserve"> </w:t>
      </w:r>
      <w:r>
        <w:rPr>
          <w:rFonts w:ascii="Times New Roman" w:hAnsi="Times New Roman"/>
          <w:color w:val="000000"/>
          <w:sz w:val="22"/>
        </w:rPr>
        <w:t>million in 2027, $586</w:t>
      </w:r>
      <w:r>
        <w:rPr>
          <w:rFonts w:ascii="Times New Roman" w:hAnsi="Times New Roman"/>
          <w:color w:val="000000"/>
          <w:sz w:val="20"/>
        </w:rPr>
        <w:t xml:space="preserve"> </w:t>
      </w:r>
      <w:r>
        <w:rPr>
          <w:rFonts w:ascii="Times New Roman" w:hAnsi="Times New Roman"/>
          <w:color w:val="000000"/>
          <w:sz w:val="22"/>
        </w:rPr>
        <w:t>million in 2028, $97</w:t>
      </w:r>
      <w:r>
        <w:rPr>
          <w:rFonts w:ascii="Times New Roman" w:hAnsi="Times New Roman"/>
          <w:color w:val="000000"/>
          <w:sz w:val="20"/>
        </w:rPr>
        <w:t xml:space="preserve"> </w:t>
      </w:r>
      <w:r>
        <w:rPr>
          <w:rFonts w:ascii="Times New Roman" w:hAnsi="Times New Roman"/>
          <w:color w:val="000000"/>
          <w:sz w:val="22"/>
        </w:rPr>
        <w:t>million in 2029, and zero</w:t>
      </w:r>
      <w:r>
        <w:rPr>
          <w:rFonts w:ascii="Times New Roman" w:hAnsi="Times New Roman"/>
          <w:color w:val="000000"/>
          <w:sz w:val="20"/>
        </w:rPr>
        <w:t xml:space="preserve"> </w:t>
      </w:r>
      <w:r>
        <w:rPr>
          <w:rFonts w:ascii="Times New Roman" w:hAnsi="Times New Roman"/>
          <w:color w:val="000000"/>
          <w:sz w:val="22"/>
        </w:rPr>
        <w:t>in 2030.</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Accounts Receivable Facilities and Off-Balance Sheet Arrangements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 continues to maintain its U.S. Accounts Receivable Sales Program, which was entered into during fiscal 2021, and its Foreign Accounts Receivable Sales Program, which was entered into during fiscal 2024. Under these programs, Ashland accounts for the accounts receivable transferred to buyers as sales. Ashland recognizes any gains or losses based on the excess of proceeds received net of buyer’s discounts and fees compared to the carrying value of the accounts receivable. Proceeds received, net of buyer’s discounts and fees, are recorded within the operating activities of the Statements of Condensed Consolidated Cash Flows. Losses on sale of accounts receivable, including related transaction expenses are recorded within the net interest and other expense (income) caption of the Statements of Condensed Consolidated Comprehensive Income (Loss). Ashland regularly assesses its servicing obligations and records them as assets or liabilities when appropriate. Ashland also monitors its obligation with regards to the limited guarantee and records the resulting guarantee liability when warranted. When applicable, Ashland discloses the amount of the accounts receivable that serves as over-collateralization as a restricted asset.</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U.S. Accounts Receivable Sales Program</w:t>
      </w:r>
    </w:p>
    <w:p>
      <w:pPr>
        <w:pStyle w:val="TextBody"/>
        <w:bidi w:val="0"/>
        <w:spacing w:before="120" w:after="283"/>
        <w:jc w:val="both"/>
        <w:rPr>
          <w:rFonts w:ascii="Times New Roman" w:hAnsi="Times New Roman"/>
          <w:sz w:val="20"/>
        </w:rPr>
      </w:pPr>
      <w:r>
        <w:rPr>
          <w:rFonts w:ascii="Times New Roman" w:hAnsi="Times New Roman"/>
          <w:color w:val="000000"/>
          <w:sz w:val="22"/>
        </w:rPr>
        <w:t>Ashland recognized a loss of $1</w:t>
      </w:r>
      <w:r>
        <w:rPr>
          <w:rFonts w:ascii="Times New Roman" w:hAnsi="Times New Roman"/>
          <w:color w:val="000000"/>
          <w:sz w:val="20"/>
        </w:rPr>
        <w:t xml:space="preserve"> </w:t>
      </w:r>
      <w:r>
        <w:rPr>
          <w:rFonts w:ascii="Times New Roman" w:hAnsi="Times New Roman"/>
          <w:color w:val="000000"/>
          <w:sz w:val="22"/>
        </w:rPr>
        <w:t>million within the Statements of Condensed Consolidated Comprehensive Income (Loss) for both the three months ended June 30, 2025 and 2024, and $3</w:t>
      </w:r>
      <w:r>
        <w:rPr>
          <w:rFonts w:ascii="Times New Roman" w:hAnsi="Times New Roman"/>
          <w:color w:val="000000"/>
          <w:sz w:val="20"/>
        </w:rPr>
        <w:t xml:space="preserve"> </w:t>
      </w:r>
      <w:r>
        <w:rPr>
          <w:rFonts w:ascii="Times New Roman" w:hAnsi="Times New Roman"/>
          <w:color w:val="000000"/>
          <w:sz w:val="22"/>
        </w:rPr>
        <w:t>million for both the nine months ended June 30, 2025 and 2024, within the net interest and other expense (income) caption associated with sales under the program. Ashland has recorded $60</w:t>
      </w:r>
      <w:r>
        <w:rPr>
          <w:rFonts w:ascii="Times New Roman" w:hAnsi="Times New Roman"/>
          <w:color w:val="000000"/>
          <w:sz w:val="20"/>
        </w:rPr>
        <w:t xml:space="preserve"> </w:t>
      </w:r>
      <w:r>
        <w:rPr>
          <w:rFonts w:ascii="Times New Roman" w:hAnsi="Times New Roman"/>
          <w:color w:val="000000"/>
          <w:sz w:val="22"/>
        </w:rPr>
        <w:t>million in sales at June 30, 2025, against the buyer’s limit, which was $60</w:t>
      </w:r>
      <w:r>
        <w:rPr>
          <w:rFonts w:ascii="Times New Roman" w:hAnsi="Times New Roman"/>
          <w:color w:val="000000"/>
          <w:sz w:val="20"/>
        </w:rPr>
        <w:t xml:space="preserve"> </w:t>
      </w:r>
      <w:r>
        <w:rPr>
          <w:rFonts w:ascii="Times New Roman" w:hAnsi="Times New Roman"/>
          <w:color w:val="000000"/>
          <w:sz w:val="22"/>
        </w:rPr>
        <w:t>million at June 30, 2025</w:t>
      </w:r>
      <w:r>
        <w:rPr>
          <w:rFonts w:ascii="Times New Roman" w:hAnsi="Times New Roman"/>
          <w:color w:val="000000"/>
          <w:sz w:val="20"/>
        </w:rPr>
        <w:t xml:space="preserve"> </w:t>
      </w:r>
      <w:r>
        <w:rPr>
          <w:rFonts w:ascii="Times New Roman" w:hAnsi="Times New Roman"/>
          <w:color w:val="000000"/>
          <w:sz w:val="22"/>
        </w:rPr>
        <w:t>compared to $71</w:t>
      </w:r>
      <w:r>
        <w:rPr>
          <w:rFonts w:ascii="Times New Roman" w:hAnsi="Times New Roman"/>
          <w:color w:val="000000"/>
          <w:sz w:val="20"/>
        </w:rPr>
        <w:t xml:space="preserve"> </w:t>
      </w:r>
      <w:r>
        <w:rPr>
          <w:rFonts w:ascii="Times New Roman" w:hAnsi="Times New Roman"/>
          <w:color w:val="000000"/>
          <w:sz w:val="22"/>
        </w:rPr>
        <w:t>million of sales at September 30, 2024</w:t>
      </w:r>
      <w:r>
        <w:rPr>
          <w:rFonts w:ascii="Times New Roman" w:hAnsi="Times New Roman"/>
          <w:color w:val="000000"/>
          <w:sz w:val="20"/>
        </w:rPr>
        <w:t xml:space="preserve"> </w:t>
      </w:r>
      <w:r>
        <w:rPr>
          <w:rFonts w:ascii="Times New Roman" w:hAnsi="Times New Roman"/>
          <w:color w:val="000000"/>
          <w:sz w:val="22"/>
        </w:rPr>
        <w:t>against the buyer's limit, which was $71</w:t>
      </w:r>
      <w:r>
        <w:rPr>
          <w:rFonts w:ascii="Times New Roman" w:hAnsi="Times New Roman"/>
          <w:color w:val="000000"/>
          <w:sz w:val="20"/>
        </w:rPr>
        <w:t xml:space="preserve"> </w:t>
      </w:r>
      <w:r>
        <w:rPr>
          <w:rFonts w:ascii="Times New Roman" w:hAnsi="Times New Roman"/>
          <w:color w:val="000000"/>
          <w:sz w:val="22"/>
        </w:rPr>
        <w:t>million at September 30, 2024. Ashland transferred $76</w:t>
      </w:r>
      <w:r>
        <w:rPr>
          <w:rFonts w:ascii="Times New Roman" w:hAnsi="Times New Roman"/>
          <w:color w:val="000000"/>
          <w:sz w:val="20"/>
        </w:rPr>
        <w:t xml:space="preserve"> </w:t>
      </w:r>
      <w:r>
        <w:rPr>
          <w:rFonts w:ascii="Times New Roman" w:hAnsi="Times New Roman"/>
          <w:color w:val="000000"/>
          <w:sz w:val="22"/>
        </w:rPr>
        <w:t>million and $85</w:t>
      </w:r>
      <w:r>
        <w:rPr>
          <w:rFonts w:ascii="Times New Roman" w:hAnsi="Times New Roman"/>
          <w:color w:val="000000"/>
          <w:sz w:val="20"/>
        </w:rPr>
        <w:t xml:space="preserve"> </w:t>
      </w:r>
      <w:r>
        <w:rPr>
          <w:rFonts w:ascii="Times New Roman" w:hAnsi="Times New Roman"/>
          <w:color w:val="000000"/>
          <w:sz w:val="22"/>
        </w:rPr>
        <w:t>million in accounts receivable to the special purpose entity as of June 30, 2025 and September 30, 2024, respectively. Ashland recorded liabilities related to its service obligations and limited guarantee as of June 30, 2025 and September 30, 2024, of less than $1</w:t>
      </w:r>
      <w:r>
        <w:rPr>
          <w:rFonts w:ascii="Times New Roman" w:hAnsi="Times New Roman"/>
          <w:color w:val="000000"/>
          <w:sz w:val="20"/>
        </w:rPr>
        <w:t xml:space="preserve"> </w:t>
      </w:r>
      <w:r>
        <w:rPr>
          <w:rFonts w:ascii="Times New Roman" w:hAnsi="Times New Roman"/>
          <w:color w:val="000000"/>
          <w:sz w:val="22"/>
        </w:rPr>
        <w:t>million.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2"/>
        </w:rPr>
        <w:t>As of June 30, 2025 and 2024, the year-to-date gross cash proceeds received for accounts receivable transferred and derecognized were $290</w:t>
      </w:r>
      <w:r>
        <w:rPr>
          <w:rFonts w:ascii="Times New Roman" w:hAnsi="Times New Roman"/>
          <w:color w:val="000000"/>
          <w:sz w:val="20"/>
        </w:rPr>
        <w:t xml:space="preserve"> </w:t>
      </w:r>
      <w:r>
        <w:rPr>
          <w:rFonts w:ascii="Times New Roman" w:hAnsi="Times New Roman"/>
          <w:color w:val="000000"/>
          <w:sz w:val="22"/>
        </w:rPr>
        <w:t>million and $244</w:t>
      </w:r>
      <w:r>
        <w:rPr>
          <w:rFonts w:ascii="Times New Roman" w:hAnsi="Times New Roman"/>
          <w:color w:val="000000"/>
          <w:sz w:val="20"/>
        </w:rPr>
        <w:t xml:space="preserve"> </w:t>
      </w:r>
      <w:r>
        <w:rPr>
          <w:rFonts w:ascii="Times New Roman" w:hAnsi="Times New Roman"/>
          <w:color w:val="000000"/>
          <w:sz w:val="22"/>
        </w:rPr>
        <w:t>million, respectively, of which $301</w:t>
      </w:r>
      <w:r>
        <w:rPr>
          <w:rFonts w:ascii="Times New Roman" w:hAnsi="Times New Roman"/>
          <w:color w:val="000000"/>
          <w:sz w:val="20"/>
        </w:rPr>
        <w:t xml:space="preserve"> </w:t>
      </w:r>
      <w:r>
        <w:rPr>
          <w:rFonts w:ascii="Times New Roman" w:hAnsi="Times New Roman"/>
          <w:color w:val="000000"/>
          <w:sz w:val="22"/>
        </w:rPr>
        <w:t>million and $233</w:t>
      </w:r>
      <w:r>
        <w:rPr>
          <w:rFonts w:ascii="Times New Roman" w:hAnsi="Times New Roman"/>
          <w:color w:val="000000"/>
          <w:sz w:val="20"/>
        </w:rPr>
        <w:t xml:space="preserve"> </w:t>
      </w:r>
      <w:r>
        <w:rPr>
          <w:rFonts w:ascii="Times New Roman" w:hAnsi="Times New Roman"/>
          <w:color w:val="000000"/>
          <w:sz w:val="22"/>
        </w:rPr>
        <w:t>million were collected, which includes collections from sales in prior years transferred to the buyer. The difference between accounts receivable transferred and derecognized versus collected of $11</w:t>
      </w:r>
      <w:r>
        <w:rPr>
          <w:rFonts w:ascii="Times New Roman" w:hAnsi="Times New Roman"/>
          <w:color w:val="000000"/>
          <w:sz w:val="20"/>
        </w:rPr>
        <w:t xml:space="preserve"> </w:t>
      </w:r>
      <w:r>
        <w:rPr>
          <w:rFonts w:ascii="Times New Roman" w:hAnsi="Times New Roman"/>
          <w:color w:val="000000"/>
          <w:sz w:val="22"/>
        </w:rPr>
        <w:t>million for both the nine months ended June 30, 2025 and 2024 represents the impact of a net reduction and a net increase in accounts receivable sales volume during each period, respectively.</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Foreign Accounts Receivable Sales Program</w:t>
      </w:r>
    </w:p>
    <w:p>
      <w:pPr>
        <w:pStyle w:val="TextBody"/>
        <w:bidi w:val="0"/>
        <w:spacing w:before="120" w:after="283"/>
        <w:jc w:val="both"/>
        <w:rPr>
          <w:rFonts w:ascii="Times New Roman" w:hAnsi="Times New Roman"/>
          <w:sz w:val="20"/>
        </w:rPr>
      </w:pPr>
      <w:r>
        <w:rPr>
          <w:rFonts w:ascii="Times New Roman" w:hAnsi="Times New Roman"/>
          <w:color w:val="000000"/>
          <w:sz w:val="22"/>
        </w:rPr>
        <w:t>Ashland recognized a loss of $1</w:t>
      </w:r>
      <w:r>
        <w:rPr>
          <w:rFonts w:ascii="Times New Roman" w:hAnsi="Times New Roman"/>
          <w:color w:val="000000"/>
          <w:sz w:val="20"/>
        </w:rPr>
        <w:t xml:space="preserve"> </w:t>
      </w:r>
      <w:r>
        <w:rPr>
          <w:rFonts w:ascii="Times New Roman" w:hAnsi="Times New Roman"/>
          <w:color w:val="000000"/>
          <w:sz w:val="22"/>
        </w:rPr>
        <w:t>million and less than $1</w:t>
      </w:r>
      <w:r>
        <w:rPr>
          <w:rFonts w:ascii="Times New Roman" w:hAnsi="Times New Roman"/>
          <w:color w:val="000000"/>
          <w:sz w:val="20"/>
        </w:rPr>
        <w:t xml:space="preserve"> </w:t>
      </w:r>
      <w:r>
        <w:rPr>
          <w:rFonts w:ascii="Times New Roman" w:hAnsi="Times New Roman"/>
          <w:color w:val="000000"/>
          <w:sz w:val="22"/>
        </w:rPr>
        <w:t>million within the Statements of Condensed Consolidated Comprehensive Income (Loss) for the three months ended June 30, 2025 and 2024, respectively, and $3</w:t>
      </w:r>
      <w:r>
        <w:rPr>
          <w:rFonts w:ascii="Times New Roman" w:hAnsi="Times New Roman"/>
          <w:color w:val="000000"/>
          <w:sz w:val="20"/>
        </w:rPr>
        <w:t xml:space="preserve"> </w:t>
      </w:r>
      <w:r>
        <w:rPr>
          <w:rFonts w:ascii="Times New Roman" w:hAnsi="Times New Roman"/>
          <w:color w:val="000000"/>
          <w:sz w:val="22"/>
        </w:rPr>
        <w:t>million and $2</w:t>
      </w:r>
      <w:r>
        <w:rPr>
          <w:rFonts w:ascii="Times New Roman" w:hAnsi="Times New Roman"/>
          <w:color w:val="000000"/>
          <w:sz w:val="20"/>
        </w:rPr>
        <w:t xml:space="preserve"> </w:t>
      </w:r>
      <w:r>
        <w:rPr>
          <w:rFonts w:ascii="Times New Roman" w:hAnsi="Times New Roman"/>
          <w:color w:val="000000"/>
          <w:sz w:val="22"/>
        </w:rPr>
        <w:t>million for the nine months ended June 30, 2025 and 2024, respectively, within the net interest and other expense (income) caption associated with sales under the program. Ashland has recorded $123</w:t>
      </w:r>
      <w:r>
        <w:rPr>
          <w:rFonts w:ascii="Times New Roman" w:hAnsi="Times New Roman"/>
          <w:color w:val="000000"/>
          <w:sz w:val="20"/>
        </w:rPr>
        <w:t xml:space="preserve"> </w:t>
      </w:r>
      <w:r>
        <w:rPr>
          <w:rFonts w:ascii="Times New Roman" w:hAnsi="Times New Roman"/>
          <w:color w:val="000000"/>
          <w:sz w:val="22"/>
        </w:rPr>
        <w:t>million in sales at June 30, 2025</w:t>
      </w:r>
      <w:r>
        <w:rPr>
          <w:rFonts w:ascii="Times New Roman" w:hAnsi="Times New Roman"/>
          <w:color w:val="000000"/>
          <w:sz w:val="20"/>
        </w:rPr>
        <w:t xml:space="preserve"> </w:t>
      </w:r>
      <w:r>
        <w:rPr>
          <w:rFonts w:ascii="Times New Roman" w:hAnsi="Times New Roman"/>
          <w:color w:val="000000"/>
          <w:sz w:val="22"/>
        </w:rPr>
        <w:t>against the buyer’s limit, which was $123</w:t>
      </w:r>
      <w:r>
        <w:rPr>
          <w:rFonts w:ascii="Times New Roman" w:hAnsi="Times New Roman"/>
          <w:color w:val="000000"/>
          <w:sz w:val="20"/>
        </w:rPr>
        <w:t xml:space="preserve"> </w:t>
      </w:r>
      <w:r>
        <w:rPr>
          <w:rFonts w:ascii="Times New Roman" w:hAnsi="Times New Roman"/>
          <w:color w:val="000000"/>
          <w:sz w:val="22"/>
        </w:rPr>
        <w:t>million at June 30, 2025</w:t>
      </w:r>
      <w:r>
        <w:rPr>
          <w:rFonts w:ascii="Times New Roman" w:hAnsi="Times New Roman"/>
          <w:color w:val="000000"/>
          <w:sz w:val="20"/>
        </w:rPr>
        <w:t xml:space="preserve"> </w:t>
      </w:r>
      <w:r>
        <w:rPr>
          <w:rFonts w:ascii="Times New Roman" w:hAnsi="Times New Roman"/>
          <w:color w:val="000000"/>
          <w:sz w:val="22"/>
        </w:rPr>
        <w:t>compared to $104</w:t>
      </w:r>
      <w:r>
        <w:rPr>
          <w:rFonts w:ascii="Times New Roman" w:hAnsi="Times New Roman"/>
          <w:color w:val="000000"/>
          <w:sz w:val="20"/>
        </w:rPr>
        <w:t xml:space="preserve"> </w:t>
      </w:r>
      <w:r>
        <w:rPr>
          <w:rFonts w:ascii="Times New Roman" w:hAnsi="Times New Roman"/>
          <w:color w:val="000000"/>
          <w:sz w:val="22"/>
        </w:rPr>
        <w:t>million of sales at September 30, 2024</w:t>
      </w:r>
      <w:r>
        <w:rPr>
          <w:rFonts w:ascii="Times New Roman" w:hAnsi="Times New Roman"/>
          <w:color w:val="000000"/>
          <w:sz w:val="20"/>
        </w:rPr>
        <w:t xml:space="preserve"> </w:t>
      </w:r>
      <w:r>
        <w:rPr>
          <w:rFonts w:ascii="Times New Roman" w:hAnsi="Times New Roman"/>
          <w:color w:val="000000"/>
          <w:sz w:val="22"/>
        </w:rPr>
        <w:t>against the buyer's limit, which was $104</w:t>
      </w:r>
      <w:r>
        <w:rPr>
          <w:rFonts w:ascii="Times New Roman" w:hAnsi="Times New Roman"/>
          <w:color w:val="000000"/>
          <w:sz w:val="20"/>
        </w:rPr>
        <w:t xml:space="preserve"> </w:t>
      </w:r>
      <w:r>
        <w:rPr>
          <w:rFonts w:ascii="Times New Roman" w:hAnsi="Times New Roman"/>
          <w:color w:val="000000"/>
          <w:sz w:val="22"/>
        </w:rPr>
        <w:t>million at September 30, 2024. Ashland transferred $169</w:t>
      </w:r>
      <w:r>
        <w:rPr>
          <w:rFonts w:ascii="Times New Roman" w:hAnsi="Times New Roman"/>
          <w:color w:val="000000"/>
          <w:sz w:val="20"/>
        </w:rPr>
        <w:t xml:space="preserve"> </w:t>
      </w:r>
      <w:r>
        <w:rPr>
          <w:rFonts w:ascii="Times New Roman" w:hAnsi="Times New Roman"/>
          <w:color w:val="000000"/>
          <w:sz w:val="22"/>
        </w:rPr>
        <w:t>million and $155</w:t>
      </w:r>
      <w:r>
        <w:rPr>
          <w:rFonts w:ascii="Times New Roman" w:hAnsi="Times New Roman"/>
          <w:color w:val="000000"/>
          <w:sz w:val="20"/>
        </w:rPr>
        <w:t xml:space="preserve"> </w:t>
      </w:r>
      <w:r>
        <w:rPr>
          <w:rFonts w:ascii="Times New Roman" w:hAnsi="Times New Roman"/>
          <w:color w:val="000000"/>
          <w:sz w:val="22"/>
        </w:rPr>
        <w:t>million in accounts receivable to the special purpose entity as of June 30, 2025 and September 30, 2024, respectively. Ashland recorded liabilities related to its service obligations and limited guarantee as of June 30, 2025 and September 30, 2024</w:t>
      </w:r>
      <w:r>
        <w:rPr>
          <w:rFonts w:ascii="Times New Roman" w:hAnsi="Times New Roman"/>
          <w:color w:val="000000"/>
          <w:sz w:val="20"/>
        </w:rPr>
        <w:t xml:space="preserve"> </w:t>
      </w:r>
      <w:r>
        <w:rPr>
          <w:rFonts w:ascii="Times New Roman" w:hAnsi="Times New Roman"/>
          <w:color w:val="000000"/>
          <w:sz w:val="22"/>
        </w:rPr>
        <w:t>of less than $1</w:t>
      </w:r>
      <w:r>
        <w:rPr>
          <w:rFonts w:ascii="Times New Roman" w:hAnsi="Times New Roman"/>
          <w:color w:val="000000"/>
          <w:sz w:val="20"/>
        </w:rPr>
        <w:t xml:space="preserve"> </w:t>
      </w:r>
      <w:r>
        <w:rPr>
          <w:rFonts w:ascii="Times New Roman" w:hAnsi="Times New Roman"/>
          <w:color w:val="000000"/>
          <w:sz w:val="22"/>
        </w:rPr>
        <w:t>million.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2"/>
        </w:rPr>
        <w:t>As of June 30, 2025 and 2024, the year-to-date gross cash proceeds received for accounts receivable transferred and derecognized were $413</w:t>
      </w:r>
      <w:r>
        <w:rPr>
          <w:rFonts w:ascii="Times New Roman" w:hAnsi="Times New Roman"/>
          <w:color w:val="000000"/>
          <w:sz w:val="20"/>
        </w:rPr>
        <w:t xml:space="preserve"> </w:t>
      </w:r>
      <w:r>
        <w:rPr>
          <w:rFonts w:ascii="Times New Roman" w:hAnsi="Times New Roman"/>
          <w:color w:val="000000"/>
          <w:sz w:val="22"/>
        </w:rPr>
        <w:t>million and $123</w:t>
      </w:r>
      <w:r>
        <w:rPr>
          <w:rFonts w:ascii="Times New Roman" w:hAnsi="Times New Roman"/>
          <w:color w:val="000000"/>
          <w:sz w:val="20"/>
        </w:rPr>
        <w:t xml:space="preserve"> </w:t>
      </w:r>
      <w:r>
        <w:rPr>
          <w:rFonts w:ascii="Times New Roman" w:hAnsi="Times New Roman"/>
          <w:color w:val="000000"/>
          <w:sz w:val="22"/>
        </w:rPr>
        <w:t>million, respectively, of which $400</w:t>
      </w:r>
      <w:r>
        <w:rPr>
          <w:rFonts w:ascii="Times New Roman" w:hAnsi="Times New Roman"/>
          <w:color w:val="000000"/>
          <w:sz w:val="20"/>
        </w:rPr>
        <w:t xml:space="preserve"> </w:t>
      </w:r>
      <w:r>
        <w:rPr>
          <w:rFonts w:ascii="Times New Roman" w:hAnsi="Times New Roman"/>
          <w:color w:val="000000"/>
          <w:sz w:val="22"/>
        </w:rPr>
        <w:t>million and zero</w:t>
      </w:r>
      <w:r>
        <w:rPr>
          <w:rFonts w:ascii="Times New Roman" w:hAnsi="Times New Roman"/>
          <w:color w:val="000000"/>
          <w:sz w:val="20"/>
        </w:rPr>
        <w:t xml:space="preserve"> </w:t>
      </w:r>
      <w:r>
        <w:rPr>
          <w:rFonts w:ascii="Times New Roman" w:hAnsi="Times New Roman"/>
          <w:color w:val="000000"/>
          <w:sz w:val="22"/>
        </w:rPr>
        <w:t>million were collected. The difference between accounts receivable transferred and derecognized versus collected of $13</w:t>
      </w:r>
      <w:r>
        <w:rPr>
          <w:rFonts w:ascii="Times New Roman" w:hAnsi="Times New Roman"/>
          <w:color w:val="000000"/>
          <w:sz w:val="20"/>
        </w:rPr>
        <w:t xml:space="preserve"> </w:t>
      </w:r>
      <w:r>
        <w:rPr>
          <w:rFonts w:ascii="Times New Roman" w:hAnsi="Times New Roman"/>
          <w:color w:val="000000"/>
          <w:sz w:val="22"/>
        </w:rPr>
        <w:t>million and $123</w:t>
      </w:r>
      <w:r>
        <w:rPr>
          <w:rFonts w:ascii="Times New Roman" w:hAnsi="Times New Roman"/>
          <w:color w:val="000000"/>
          <w:sz w:val="20"/>
        </w:rPr>
        <w:t xml:space="preserve"> </w:t>
      </w:r>
      <w:r>
        <w:rPr>
          <w:rFonts w:ascii="Times New Roman" w:hAnsi="Times New Roman"/>
          <w:color w:val="000000"/>
          <w:sz w:val="22"/>
        </w:rPr>
        <w:t>million for the nine months ended June 30, 2025 and 2024, respectively, represents the impact of a net increase in accounts receivable sales volume during each period,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Supply Chain Finance Program</w:t>
      </w:r>
    </w:p>
    <w:p>
      <w:pPr>
        <w:pStyle w:val="TextBody"/>
        <w:bidi w:val="0"/>
        <w:spacing w:before="120" w:after="283"/>
        <w:jc w:val="both"/>
        <w:rPr>
          <w:rFonts w:ascii="Times New Roman" w:hAnsi="Times New Roman"/>
          <w:sz w:val="20"/>
        </w:rPr>
      </w:pPr>
      <w:r>
        <w:rPr>
          <w:rFonts w:ascii="Times New Roman" w:hAnsi="Times New Roman"/>
          <w:color w:val="000000"/>
          <w:sz w:val="22"/>
        </w:rPr>
        <w:t>During April 2024, Ashland authorized a financing program offered through JP Morgan and Taulia Alliance. Under this program, JP Morgan and its affiliates may purchase certain confirmed receivables directly from suppliers pursuant to the terms of a separate arrangement entered into between JPMorgan and Taulia Alliance and such suppliers. There were no changes to Ashland's standard payment terms with its suppliers in connection with this program. Ashland provides no guarantees to JP Morgan and Taulia Alliance under this program. The program was implemented during June 2025 and has been actively offered to suppliers. As of June 30, 2025, participation in the program was not significant.</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Available borrowing capacity and liquidity</w:t>
      </w:r>
    </w:p>
    <w:p>
      <w:pPr>
        <w:pStyle w:val="TextBody"/>
        <w:bidi w:val="0"/>
        <w:spacing w:before="120" w:after="283"/>
        <w:jc w:val="both"/>
        <w:rPr>
          <w:rFonts w:ascii="Times New Roman" w:hAnsi="Times New Roman"/>
          <w:sz w:val="20"/>
        </w:rPr>
      </w:pPr>
      <w:r>
        <w:rPr>
          <w:rFonts w:ascii="Times New Roman" w:hAnsi="Times New Roman"/>
          <w:color w:val="000000"/>
          <w:sz w:val="22"/>
        </w:rPr>
        <w:t>The borrowing capacity remaining under current credit agreement (the “2022 Credit Agreement”) was $596</w:t>
      </w:r>
      <w:r>
        <w:rPr>
          <w:rFonts w:ascii="Times New Roman" w:hAnsi="Times New Roman"/>
          <w:color w:val="000000"/>
          <w:sz w:val="20"/>
        </w:rPr>
        <w:t xml:space="preserve"> </w:t>
      </w:r>
      <w:r>
        <w:rPr>
          <w:rFonts w:ascii="Times New Roman" w:hAnsi="Times New Roman"/>
          <w:color w:val="000000"/>
          <w:sz w:val="22"/>
        </w:rPr>
        <w:t>million, which reflects the full $600</w:t>
      </w:r>
      <w:r>
        <w:rPr>
          <w:rFonts w:ascii="Times New Roman" w:hAnsi="Times New Roman"/>
          <w:color w:val="000000"/>
          <w:sz w:val="20"/>
        </w:rPr>
        <w:t xml:space="preserve"> </w:t>
      </w:r>
      <w:r>
        <w:rPr>
          <w:rFonts w:ascii="Times New Roman" w:hAnsi="Times New Roman"/>
          <w:color w:val="000000"/>
          <w:sz w:val="22"/>
        </w:rPr>
        <w:t>million Revolving Credit Facility less a reduction of $4</w:t>
      </w:r>
      <w:r>
        <w:rPr>
          <w:rFonts w:ascii="Times New Roman" w:hAnsi="Times New Roman"/>
          <w:color w:val="000000"/>
          <w:sz w:val="20"/>
        </w:rPr>
        <w:t xml:space="preserve"> </w:t>
      </w:r>
      <w:r>
        <w:rPr>
          <w:rFonts w:ascii="Times New Roman" w:hAnsi="Times New Roman"/>
          <w:color w:val="000000"/>
          <w:sz w:val="22"/>
        </w:rPr>
        <w:t>million for letters of credit outstanding as of June 30, 2025.</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 had no available liquidity under its current U.S. and Foreign Accounts Receivable Sales Programs as of June 30, 2025.</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Covenants related to current Ashland debt agreements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June 30, 2025, Ashland is in compliance with all debt agreement covenant restrictions.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maximum consolidated net leverage ratio permitted under the 2022 Credit Agreement is 4.0. At June 30, 2025, Ashland’s calculation of the consolidated net leverage ratio was 2.9.</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minimum required consolidated interest coverage ratio under the 2022 Credit Agreement during its entire duration is 3.0. At June 30, 2025, Ashland’s calculation of the interest coverage ratio was 6.5.</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NOTE I – LEASING ARRANGEMENTS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components of lease cost recognized within the Statements of Condensed Consolidated Comprehensive Income (Loss) are as follows:</w:t>
      </w:r>
    </w:p>
    <w:p>
      <w:pPr>
        <w:pStyle w:val="TextBody"/>
        <w:bidi w:val="0"/>
        <w:jc w:val="both"/>
        <w:rPr/>
      </w:pPr>
      <w:r>
        <w:rPr/>
        <w:t> </w:t>
      </w:r>
    </w:p>
    <w:tbl>
      <w:tblPr>
        <w:tblW w:w="8979" w:type="dxa"/>
        <w:jc w:val="left"/>
        <w:tblInd w:w="0" w:type="dxa"/>
        <w:tblLayout w:type="fixed"/>
        <w:tblCellMar>
          <w:top w:w="28" w:type="dxa"/>
          <w:left w:w="28" w:type="dxa"/>
          <w:bottom w:w="28" w:type="dxa"/>
          <w:right w:w="28" w:type="dxa"/>
        </w:tblCellMar>
      </w:tblPr>
      <w:tblGrid>
        <w:gridCol w:w="1756"/>
        <w:gridCol w:w="146"/>
        <w:gridCol w:w="3016"/>
        <w:gridCol w:w="146"/>
        <w:gridCol w:w="275"/>
        <w:gridCol w:w="412"/>
        <w:gridCol w:w="190"/>
        <w:gridCol w:w="190"/>
        <w:gridCol w:w="275"/>
        <w:gridCol w:w="412"/>
        <w:gridCol w:w="146"/>
        <w:gridCol w:w="146"/>
        <w:gridCol w:w="263"/>
        <w:gridCol w:w="394"/>
        <w:gridCol w:w="182"/>
        <w:gridCol w:w="182"/>
        <w:gridCol w:w="263"/>
        <w:gridCol w:w="394"/>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0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4"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7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Selling, General &amp; Administrative</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&amp;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sz w:val="22"/>
        </w:rPr>
      </w:pPr>
      <w:r>
        <w:rPr>
          <w:rFonts w:ascii="Times New Roman" w:hAnsi="Times New Roman"/>
          <w:color w:val="000000"/>
          <w:sz w:val="16"/>
        </w:rPr>
        <w:t>Includes zero</w:t>
      </w:r>
      <w:r>
        <w:rPr>
          <w:rFonts w:ascii="Times New Roman" w:hAnsi="Times New Roman"/>
          <w:color w:val="000000"/>
          <w:sz w:val="22"/>
        </w:rPr>
        <w:t xml:space="preserve"> </w:t>
      </w:r>
      <w:r>
        <w:rPr>
          <w:rFonts w:ascii="Times New Roman" w:hAnsi="Times New Roman"/>
          <w:color w:val="000000"/>
          <w:sz w:val="16"/>
        </w:rPr>
        <w:t>and $1</w:t>
      </w:r>
      <w:r>
        <w:rPr>
          <w:rFonts w:ascii="Times New Roman" w:hAnsi="Times New Roman"/>
          <w:color w:val="000000"/>
          <w:sz w:val="22"/>
        </w:rPr>
        <w:t xml:space="preserve"> </w:t>
      </w:r>
      <w:r>
        <w:rPr>
          <w:rFonts w:ascii="Times New Roman" w:hAnsi="Times New Roman"/>
          <w:color w:val="000000"/>
          <w:sz w:val="16"/>
        </w:rPr>
        <w:t>million charge for the impairment of an abandoned right of use office building asset for the three and nine months ended June 30,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sz w:val="20"/>
        </w:rPr>
      </w:pPr>
      <w:r>
        <w:rPr>
          <w:rFonts w:ascii="Times New Roman" w:hAnsi="Times New Roman"/>
          <w:color w:val="000000"/>
          <w:sz w:val="22"/>
        </w:rPr>
        <w:t>Right-of-use assets exchanged for new operating lease obligations were $3</w:t>
      </w:r>
      <w:r>
        <w:rPr>
          <w:rFonts w:ascii="Times New Roman" w:hAnsi="Times New Roman"/>
          <w:color w:val="000000"/>
          <w:sz w:val="20"/>
        </w:rPr>
        <w:t xml:space="preserve"> </w:t>
      </w:r>
      <w:r>
        <w:rPr>
          <w:rFonts w:ascii="Times New Roman" w:hAnsi="Times New Roman"/>
          <w:color w:val="000000"/>
          <w:sz w:val="22"/>
        </w:rPr>
        <w:t>million and $1</w:t>
      </w:r>
      <w:r>
        <w:rPr>
          <w:rFonts w:ascii="Times New Roman" w:hAnsi="Times New Roman"/>
          <w:color w:val="000000"/>
          <w:sz w:val="20"/>
        </w:rPr>
        <w:t xml:space="preserve"> </w:t>
      </w:r>
      <w:r>
        <w:rPr>
          <w:rFonts w:ascii="Times New Roman" w:hAnsi="Times New Roman"/>
          <w:color w:val="000000"/>
          <w:sz w:val="22"/>
        </w:rPr>
        <w:t>million for the three ended June 30, 2025 and 2024, respectively, and $5</w:t>
      </w:r>
      <w:r>
        <w:rPr>
          <w:rFonts w:ascii="Times New Roman" w:hAnsi="Times New Roman"/>
          <w:color w:val="000000"/>
          <w:sz w:val="20"/>
        </w:rPr>
        <w:t xml:space="preserve"> </w:t>
      </w:r>
      <w:r>
        <w:rPr>
          <w:rFonts w:ascii="Times New Roman" w:hAnsi="Times New Roman"/>
          <w:color w:val="000000"/>
          <w:sz w:val="22"/>
        </w:rPr>
        <w:t>million and $4</w:t>
      </w:r>
      <w:r>
        <w:rPr>
          <w:rFonts w:ascii="Times New Roman" w:hAnsi="Times New Roman"/>
          <w:color w:val="000000"/>
          <w:sz w:val="20"/>
        </w:rPr>
        <w:t xml:space="preserve"> </w:t>
      </w:r>
      <w:r>
        <w:rPr>
          <w:rFonts w:ascii="Times New Roman" w:hAnsi="Times New Roman"/>
          <w:color w:val="000000"/>
          <w:sz w:val="22"/>
        </w:rPr>
        <w:t>million for the nine months ended June 30, 2025 and 2024, respectively. During the second quarter of fiscal 2024, Ashland acquired a favorable lease asset for $10</w:t>
      </w:r>
      <w:r>
        <w:rPr>
          <w:rFonts w:ascii="Times New Roman" w:hAnsi="Times New Roman"/>
          <w:color w:val="000000"/>
          <w:sz w:val="20"/>
        </w:rPr>
        <w:t xml:space="preserve"> </w:t>
      </w:r>
      <w:r>
        <w:rPr>
          <w:rFonts w:ascii="Times New Roman" w:hAnsi="Times New Roman"/>
          <w:color w:val="000000"/>
          <w:sz w:val="22"/>
        </w:rPr>
        <w:t>million, which was recorded in the property, plant and equipment caption of the Condensed Consolidated Balance Sheet as of June 30, 2025 and September 30, 2024.</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following table provides cash paid for amounts included in the measurement of lease liabilities:</w:t>
      </w:r>
    </w:p>
    <w:tbl>
      <w:tblPr>
        <w:tblW w:w="7646" w:type="dxa"/>
        <w:jc w:val="left"/>
        <w:tblInd w:w="0" w:type="dxa"/>
        <w:tblLayout w:type="fixed"/>
        <w:tblCellMar>
          <w:top w:w="28" w:type="dxa"/>
          <w:left w:w="28" w:type="dxa"/>
          <w:bottom w:w="28" w:type="dxa"/>
          <w:right w:w="28" w:type="dxa"/>
        </w:tblCellMar>
      </w:tblPr>
      <w:tblGrid>
        <w:gridCol w:w="2847"/>
        <w:gridCol w:w="369"/>
        <w:gridCol w:w="369"/>
        <w:gridCol w:w="146"/>
        <w:gridCol w:w="263"/>
        <w:gridCol w:w="432"/>
        <w:gridCol w:w="182"/>
        <w:gridCol w:w="182"/>
        <w:gridCol w:w="263"/>
        <w:gridCol w:w="432"/>
        <w:gridCol w:w="146"/>
        <w:gridCol w:w="146"/>
        <w:gridCol w:w="257"/>
        <w:gridCol w:w="422"/>
        <w:gridCol w:w="178"/>
        <w:gridCol w:w="178"/>
        <w:gridCol w:w="257"/>
        <w:gridCol w:w="386"/>
        <w:gridCol w:w="191"/>
      </w:tblGrid>
      <w:tr>
        <w:trPr/>
        <w:tc>
          <w:tcPr>
            <w:tcW w:w="284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4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6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6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754"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7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5"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NOTE J – INCOME TAXES</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Current fiscal year</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Ashland’s effective tax rate in any interim period is subject to adjustments related to discrete items and the mix of domestic and foreign operating results. The overall effective tax rate was an expense of 2% and a benefit of 2% for the three and nine months ended June 30, 2025, respectively.</w:t>
      </w:r>
    </w:p>
    <w:p>
      <w:pPr>
        <w:pStyle w:val="TextBody"/>
        <w:bidi w:val="0"/>
        <w:spacing w:before="120" w:after="283"/>
        <w:jc w:val="both"/>
        <w:rPr>
          <w:rFonts w:ascii="Times New Roman" w:hAnsi="Times New Roman"/>
          <w:sz w:val="20"/>
        </w:rPr>
      </w:pPr>
      <w:r>
        <w:rPr>
          <w:rFonts w:ascii="Times New Roman" w:hAnsi="Times New Roman"/>
          <w:color w:val="000000"/>
          <w:sz w:val="22"/>
        </w:rPr>
        <w:t>The tax rate for the three months ended June 30, 2025</w:t>
      </w:r>
      <w:r>
        <w:rPr>
          <w:rFonts w:ascii="Times New Roman" w:hAnsi="Times New Roman"/>
          <w:color w:val="000000"/>
          <w:sz w:val="20"/>
        </w:rPr>
        <w:t xml:space="preserve"> </w:t>
      </w:r>
      <w:r>
        <w:rPr>
          <w:rFonts w:ascii="Times New Roman" w:hAnsi="Times New Roman"/>
          <w:color w:val="000000"/>
          <w:sz w:val="22"/>
        </w:rPr>
        <w:t>was primarily impacted by jurisdictional income mix, nondeductible goodwill impairment of $706</w:t>
      </w:r>
      <w:r>
        <w:rPr>
          <w:rFonts w:ascii="Times New Roman" w:hAnsi="Times New Roman"/>
          <w:color w:val="000000"/>
          <w:sz w:val="20"/>
        </w:rPr>
        <w:t xml:space="preserve"> </w:t>
      </w:r>
      <w:r>
        <w:rPr>
          <w:rFonts w:ascii="Times New Roman" w:hAnsi="Times New Roman"/>
          <w:color w:val="000000"/>
          <w:sz w:val="22"/>
        </w:rPr>
        <w:t>million and a net $16</w:t>
      </w:r>
      <w:r>
        <w:rPr>
          <w:rFonts w:ascii="Times New Roman" w:hAnsi="Times New Roman"/>
          <w:color w:val="000000"/>
          <w:sz w:val="20"/>
        </w:rPr>
        <w:t xml:space="preserve"> </w:t>
      </w:r>
      <w:r>
        <w:rPr>
          <w:rFonts w:ascii="Times New Roman" w:hAnsi="Times New Roman"/>
          <w:color w:val="000000"/>
          <w:sz w:val="22"/>
        </w:rPr>
        <w:t>million from unfavorable tax discrete items primarily related to return to provision adjustments and changes in uncertain tax positions.</w:t>
      </w:r>
      <w:r>
        <w:rPr>
          <w:rFonts w:ascii="Times New Roman" w:hAnsi="Times New Roman"/>
          <w:color w:val="000000"/>
          <w:sz w:val="20"/>
        </w:rPr>
        <w:t xml:space="preserve"> </w:t>
      </w:r>
      <w:r>
        <w:rPr>
          <w:rFonts w:ascii="Times New Roman" w:hAnsi="Times New Roman"/>
          <w:color w:val="000000"/>
          <w:sz w:val="22"/>
        </w:rPr>
        <w:t>The tax rate for the nine months ended June 30, 2025, was impacted by jurisdictional income mix, nondeductible goodwill impairment of $706</w:t>
      </w:r>
      <w:r>
        <w:rPr>
          <w:rFonts w:ascii="Times New Roman" w:hAnsi="Times New Roman"/>
          <w:color w:val="000000"/>
          <w:sz w:val="20"/>
        </w:rPr>
        <w:t xml:space="preserve"> </w:t>
      </w:r>
      <w:r>
        <w:rPr>
          <w:rFonts w:ascii="Times New Roman" w:hAnsi="Times New Roman"/>
          <w:color w:val="000000"/>
          <w:sz w:val="22"/>
        </w:rPr>
        <w:t>million, and a net $23</w:t>
      </w:r>
      <w:r>
        <w:rPr>
          <w:rFonts w:ascii="Times New Roman" w:hAnsi="Times New Roman"/>
          <w:color w:val="000000"/>
          <w:sz w:val="20"/>
        </w:rPr>
        <w:t xml:space="preserve"> </w:t>
      </w:r>
      <w:r>
        <w:rPr>
          <w:rFonts w:ascii="Times New Roman" w:hAnsi="Times New Roman"/>
          <w:color w:val="000000"/>
          <w:sz w:val="22"/>
        </w:rPr>
        <w:t>million from unfavorable tax discrete items primarily related to return to provision adjustments and changes in uncertain tax positions.</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Prior fiscal year</w:t>
      </w:r>
    </w:p>
    <w:p>
      <w:pPr>
        <w:pStyle w:val="TextBody"/>
        <w:bidi w:val="0"/>
        <w:spacing w:before="120" w:after="283"/>
        <w:jc w:val="both"/>
        <w:rPr>
          <w:rFonts w:ascii="Times New Roman" w:hAnsi="Times New Roman"/>
          <w:sz w:val="20"/>
        </w:rPr>
      </w:pPr>
      <w:r>
        <w:rPr>
          <w:rFonts w:ascii="Times New Roman" w:hAnsi="Times New Roman"/>
          <w:color w:val="000000"/>
          <w:sz w:val="22"/>
        </w:rPr>
        <w:t>The overall effective tax rate was a benefit of 144% and 467% for the three and nine months ended June 30, 2024, respectively. The tax rate for the three months ended June 30, 2024, was impacted by jurisdictional income mix, as well as a net $104</w:t>
      </w:r>
      <w:r>
        <w:rPr>
          <w:rFonts w:ascii="Times New Roman" w:hAnsi="Times New Roman"/>
          <w:color w:val="000000"/>
          <w:sz w:val="20"/>
        </w:rPr>
        <w:t xml:space="preserve"> </w:t>
      </w:r>
      <w:r>
        <w:rPr>
          <w:rFonts w:ascii="Times New Roman" w:hAnsi="Times New Roman"/>
          <w:color w:val="000000"/>
          <w:sz w:val="22"/>
        </w:rPr>
        <w:t>million from favorable tax discrete items primarily related to the tax impact of the held for sale classification for the Nutraceuticals business.</w:t>
      </w:r>
      <w:r>
        <w:rPr>
          <w:rFonts w:ascii="Times New Roman" w:hAnsi="Times New Roman"/>
          <w:color w:val="000000"/>
          <w:sz w:val="20"/>
        </w:rPr>
        <w:t xml:space="preserve"> </w:t>
      </w:r>
      <w:r>
        <w:rPr>
          <w:rFonts w:ascii="Times New Roman" w:hAnsi="Times New Roman"/>
          <w:color w:val="000000"/>
          <w:sz w:val="22"/>
        </w:rPr>
        <w:t>The tax rate for the nine months ended June 30, 2024, was</w:t>
      </w:r>
      <w:r>
        <w:rPr>
          <w:rFonts w:ascii="Times New Roman" w:hAnsi="Times New Roman"/>
          <w:color w:val="000000"/>
          <w:sz w:val="20"/>
        </w:rPr>
        <w:t xml:space="preserve"> </w:t>
      </w:r>
      <w:r>
        <w:rPr>
          <w:rFonts w:ascii="Times New Roman" w:hAnsi="Times New Roman"/>
          <w:color w:val="000000"/>
          <w:sz w:val="22"/>
        </w:rPr>
        <w:t>impacted by jurisdictional income mix, as well as net $231</w:t>
      </w:r>
      <w:r>
        <w:rPr>
          <w:rFonts w:ascii="Times New Roman" w:hAnsi="Times New Roman"/>
          <w:color w:val="000000"/>
          <w:sz w:val="20"/>
        </w:rPr>
        <w:t xml:space="preserve"> </w:t>
      </w:r>
      <w:r>
        <w:rPr>
          <w:rFonts w:ascii="Times New Roman" w:hAnsi="Times New Roman"/>
          <w:color w:val="000000"/>
          <w:sz w:val="22"/>
        </w:rPr>
        <w:t>million from favorable tax discrete items primarily related to changes in foreign tax activity and the tax impact of the held for sale classification for the Nutraceuticals business.</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Unrecognized tax benefits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Changes in unrecognized tax benefits are summarized as follows for the nine months ended June 30, 2025.</w:t>
      </w:r>
    </w:p>
    <w:p>
      <w:pPr>
        <w:pStyle w:val="TextBody"/>
        <w:bidi w:val="0"/>
        <w:jc w:val="both"/>
        <w:rPr/>
      </w:pPr>
      <w:r>
        <w:rPr/>
        <w:t> </w:t>
      </w:r>
    </w:p>
    <w:tbl>
      <w:tblPr>
        <w:tblW w:w="5809" w:type="dxa"/>
        <w:jc w:val="left"/>
        <w:tblInd w:w="0" w:type="dxa"/>
        <w:tblLayout w:type="fixed"/>
        <w:tblCellMar>
          <w:top w:w="28" w:type="dxa"/>
          <w:left w:w="28" w:type="dxa"/>
          <w:bottom w:w="28" w:type="dxa"/>
          <w:right w:w="28" w:type="dxa"/>
        </w:tblCellMar>
      </w:tblPr>
      <w:tblGrid>
        <w:gridCol w:w="5071"/>
        <w:gridCol w:w="211"/>
        <w:gridCol w:w="316"/>
        <w:gridCol w:w="211"/>
      </w:tblGrid>
      <w:tr>
        <w:trPr/>
        <w:tc>
          <w:tcPr>
            <w:tcW w:w="50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52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October 1, 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 related to positions taken on items from prior years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related to positions taken in the current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related to positions taken in the prior year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Times New Roman" w:hAnsi="Times New Roman"/>
          <w:color w:val="000000"/>
          <w:sz w:val="22"/>
        </w:rPr>
        <w:t>From a combination of statute expirations and audit settlements in the next twelve months, Ashland expects a decrease in the amount of accrual for uncertain tax positions of between $2</w:t>
      </w:r>
      <w:r>
        <w:rPr>
          <w:rFonts w:ascii="Times New Roman" w:hAnsi="Times New Roman"/>
          <w:color w:val="000000"/>
          <w:sz w:val="20"/>
        </w:rPr>
        <w:t xml:space="preserve"> </w:t>
      </w:r>
      <w:r>
        <w:rPr>
          <w:rFonts w:ascii="Times New Roman" w:hAnsi="Times New Roman"/>
          <w:color w:val="000000"/>
          <w:sz w:val="22"/>
        </w:rPr>
        <w:t>million and $4</w:t>
      </w:r>
      <w:r>
        <w:rPr>
          <w:rFonts w:ascii="Times New Roman" w:hAnsi="Times New Roman"/>
          <w:color w:val="000000"/>
          <w:sz w:val="20"/>
        </w:rPr>
        <w:t xml:space="preserve"> </w:t>
      </w:r>
      <w:r>
        <w:rPr>
          <w:rFonts w:ascii="Times New Roman" w:hAnsi="Times New Roman"/>
          <w:color w:val="000000"/>
          <w:sz w:val="22"/>
        </w:rPr>
        <w:t>million for continuing operations. For the remaining balance as of June 30, 2025, it is reasonably possible that there could be material changes to the amount of uncertain tax positions due to activities of the taxing authorities, settlement of audit issues, reassessment of existing uncertain tax positions or the expiration of applicable statute of limitations; however, Ashland is not able to estimate the impact of these items at this time.</w:t>
      </w:r>
    </w:p>
    <w:p>
      <w:pPr>
        <w:pStyle w:val="TextBody"/>
        <w:bidi w:val="0"/>
        <w:spacing w:before="120" w:after="283"/>
        <w:jc w:val="both"/>
        <w:rPr>
          <w:rFonts w:ascii="Times New Roman" w:hAnsi="Times New Roman"/>
          <w:sz w:val="20"/>
        </w:rPr>
      </w:pPr>
      <w:r>
        <w:rPr>
          <w:rFonts w:ascii="Times New Roman" w:hAnsi="Times New Roman"/>
          <w:color w:val="000000"/>
          <w:sz w:val="22"/>
        </w:rPr>
        <w:t>On July 4, 2025, “An Act to provide for reconciliation pursuant to title II of H. Con. Res. 14” – commonly referred to as the One Big Beautiful Bill Act (OBBBA) – was signed into law. OBBBA includes several changes to the U.S. federal income tax system, including modifications to the deduction for domestic research and development costs, expensing of certain business property, and changes to the limitation on business interest. Ashland is currently</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sz w:val="20"/>
        </w:rPr>
      </w:pPr>
      <w:r>
        <w:rPr>
          <w:rFonts w:ascii="Times New Roman" w:hAnsi="Times New Roman"/>
          <w:color w:val="000000"/>
          <w:sz w:val="22"/>
        </w:rPr>
        <w:t>evaluating the provisions of OBBBA, including any forthcoming regulatory guidance, on its tax position and financial reporting. Ashland will record any impact, which it does not anticipate to be material to the Condensed Consolidated Financial Statements, in the period of enactment (fourth quarter of fiscal 2025).</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NOTE K - EMPLOYEE BENEFIT PLANS</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Restructuring and plan remeasurement</w:t>
      </w:r>
    </w:p>
    <w:p>
      <w:pPr>
        <w:pStyle w:val="TextBody"/>
        <w:bidi w:val="0"/>
        <w:spacing w:before="120" w:after="283"/>
        <w:jc w:val="both"/>
        <w:rPr>
          <w:rFonts w:ascii="Times New Roman" w:hAnsi="Times New Roman"/>
          <w:sz w:val="20"/>
        </w:rPr>
      </w:pPr>
      <w:r>
        <w:rPr>
          <w:rFonts w:ascii="Times New Roman" w:hAnsi="Times New Roman"/>
          <w:color w:val="000000"/>
          <w:sz w:val="22"/>
        </w:rPr>
        <w:t>During the first quarter of fiscal 2025, as part of its fiscal 2024 restructuring activities, Ashland terminated approximately 40</w:t>
      </w:r>
      <w:r>
        <w:rPr>
          <w:rFonts w:ascii="Times New Roman" w:hAnsi="Times New Roman"/>
          <w:color w:val="000000"/>
          <w:sz w:val="20"/>
        </w:rPr>
        <w:t xml:space="preserve"> </w:t>
      </w:r>
      <w:r>
        <w:rPr>
          <w:rFonts w:ascii="Times New Roman" w:hAnsi="Times New Roman"/>
          <w:color w:val="000000"/>
          <w:sz w:val="22"/>
        </w:rPr>
        <w:t>employees in its Doel, Belgium facility. The post-retirement benefits for these employees, all of whom participated in a non-contributory defined benefit plan in Belgium, were frozen. This resulted in a decrease in total expected future years of service within the plan and required Ashland to remeasure the plan as of December 31, 2024. As a result, Ashland recorded a $1</w:t>
      </w:r>
      <w:r>
        <w:rPr>
          <w:rFonts w:ascii="Times New Roman" w:hAnsi="Times New Roman"/>
          <w:color w:val="000000"/>
          <w:sz w:val="20"/>
        </w:rPr>
        <w:t xml:space="preserve"> </w:t>
      </w:r>
      <w:r>
        <w:rPr>
          <w:rFonts w:ascii="Times New Roman" w:hAnsi="Times New Roman"/>
          <w:color w:val="000000"/>
          <w:sz w:val="22"/>
        </w:rPr>
        <w:t>million curtailment loss within the other net periodic benefit loss caption of the Statement of Condensed Consolidated Comprehensive Income (Loss) for the nine months ended June 30, 2025.</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Plan contributions</w:t>
      </w:r>
    </w:p>
    <w:p>
      <w:pPr>
        <w:pStyle w:val="TextBody"/>
        <w:bidi w:val="0"/>
        <w:spacing w:before="120" w:after="283"/>
        <w:jc w:val="both"/>
        <w:rPr>
          <w:rFonts w:ascii="Times New Roman" w:hAnsi="Times New Roman"/>
          <w:sz w:val="20"/>
        </w:rPr>
      </w:pPr>
      <w:r>
        <w:rPr>
          <w:rFonts w:ascii="Times New Roman" w:hAnsi="Times New Roman"/>
          <w:color w:val="000000"/>
          <w:sz w:val="22"/>
        </w:rPr>
        <w:t>For the nine months ended June 30, 2025, Ashland contributed $5</w:t>
      </w:r>
      <w:r>
        <w:rPr>
          <w:rFonts w:ascii="Times New Roman" w:hAnsi="Times New Roman"/>
          <w:color w:val="000000"/>
          <w:sz w:val="20"/>
        </w:rPr>
        <w:t xml:space="preserve"> </w:t>
      </w:r>
      <w:r>
        <w:rPr>
          <w:rFonts w:ascii="Times New Roman" w:hAnsi="Times New Roman"/>
          <w:color w:val="000000"/>
          <w:sz w:val="22"/>
        </w:rPr>
        <w:t>million to its U.S. pension plans and $4</w:t>
      </w:r>
      <w:r>
        <w:rPr>
          <w:rFonts w:ascii="Times New Roman" w:hAnsi="Times New Roman"/>
          <w:color w:val="000000"/>
          <w:sz w:val="20"/>
        </w:rPr>
        <w:t xml:space="preserve"> </w:t>
      </w:r>
      <w:r>
        <w:rPr>
          <w:rFonts w:ascii="Times New Roman" w:hAnsi="Times New Roman"/>
          <w:color w:val="000000"/>
          <w:sz w:val="22"/>
        </w:rPr>
        <w:t>million to its non-U.S. pension plans. Ashland expects to make additional contributions of $1</w:t>
      </w:r>
      <w:r>
        <w:rPr>
          <w:rFonts w:ascii="Times New Roman" w:hAnsi="Times New Roman"/>
          <w:color w:val="000000"/>
          <w:sz w:val="20"/>
        </w:rPr>
        <w:t xml:space="preserve"> </w:t>
      </w:r>
      <w:r>
        <w:rPr>
          <w:rFonts w:ascii="Times New Roman" w:hAnsi="Times New Roman"/>
          <w:color w:val="000000"/>
          <w:sz w:val="22"/>
        </w:rPr>
        <w:t>million to its U.S. pension plans and $1</w:t>
      </w:r>
      <w:r>
        <w:rPr>
          <w:rFonts w:ascii="Times New Roman" w:hAnsi="Times New Roman"/>
          <w:color w:val="000000"/>
          <w:sz w:val="20"/>
        </w:rPr>
        <w:t xml:space="preserve"> </w:t>
      </w:r>
      <w:r>
        <w:rPr>
          <w:rFonts w:ascii="Times New Roman" w:hAnsi="Times New Roman"/>
          <w:color w:val="000000"/>
          <w:sz w:val="22"/>
        </w:rPr>
        <w:t>million to its non-U.S. pension plans during the remainder of fiscal 2025.</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Components of net periodic benefit costs</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following table details the components of pension and other postretirement benefit costs for continuing operations.</w:t>
      </w:r>
    </w:p>
    <w:tbl>
      <w:tblPr>
        <w:tblW w:w="6508" w:type="dxa"/>
        <w:jc w:val="left"/>
        <w:tblInd w:w="0" w:type="dxa"/>
        <w:tblLayout w:type="fixed"/>
        <w:tblCellMar>
          <w:top w:w="28" w:type="dxa"/>
          <w:left w:w="28" w:type="dxa"/>
          <w:bottom w:w="28" w:type="dxa"/>
          <w:right w:w="28" w:type="dxa"/>
        </w:tblCellMar>
      </w:tblPr>
      <w:tblGrid>
        <w:gridCol w:w="2641"/>
        <w:gridCol w:w="146"/>
        <w:gridCol w:w="230"/>
        <w:gridCol w:w="296"/>
        <w:gridCol w:w="177"/>
        <w:gridCol w:w="155"/>
        <w:gridCol w:w="225"/>
        <w:gridCol w:w="369"/>
        <w:gridCol w:w="166"/>
        <w:gridCol w:w="146"/>
        <w:gridCol w:w="265"/>
        <w:gridCol w:w="435"/>
        <w:gridCol w:w="183"/>
        <w:gridCol w:w="183"/>
        <w:gridCol w:w="265"/>
        <w:gridCol w:w="435"/>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52"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Pension benefits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76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postretirement</w:t>
              <w:br/>
              <w:t>benefits</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periodic benefit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Nine months ended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Curtailment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periodic benefit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Times New Roman" w:hAnsi="Times New Roman"/>
          <w:color w:val="000000"/>
          <w:sz w:val="22"/>
        </w:rPr>
        <w:t>For segment reporting purposes, service cost is proportionately allocated to each segment, excluding the Unallocated and other, and is recorded within the selling, general and administrative expense and cost of sales captions on the Statements of Condensed Consolidated Comprehensive Income (Loss).</w:t>
      </w:r>
      <w:r>
        <w:rPr>
          <w:rFonts w:ascii="Times New Roman" w:hAnsi="Times New Roman"/>
          <w:color w:val="000000"/>
          <w:sz w:val="20"/>
        </w:rPr>
        <w:t xml:space="preserve"> </w:t>
      </w:r>
      <w:r>
        <w:rPr>
          <w:rFonts w:ascii="Times New Roman" w:hAnsi="Times New Roman"/>
          <w:color w:val="000000"/>
          <w:sz w:val="22"/>
        </w:rPr>
        <w:t>All other components are recorded within the other net periodic benefit loss caption on the Statements of Condensed Consolidated Comprehensive Income (Loss), which netted to expense of $1</w:t>
      </w:r>
      <w:r>
        <w:rPr>
          <w:rFonts w:ascii="Times New Roman" w:hAnsi="Times New Roman"/>
          <w:color w:val="000000"/>
          <w:sz w:val="20"/>
        </w:rPr>
        <w:t xml:space="preserve"> </w:t>
      </w:r>
      <w:r>
        <w:rPr>
          <w:rFonts w:ascii="Times New Roman" w:hAnsi="Times New Roman"/>
          <w:color w:val="000000"/>
          <w:sz w:val="22"/>
        </w:rPr>
        <w:t>million and $4</w:t>
      </w:r>
      <w:r>
        <w:rPr>
          <w:rFonts w:ascii="Times New Roman" w:hAnsi="Times New Roman"/>
          <w:color w:val="000000"/>
          <w:sz w:val="20"/>
        </w:rPr>
        <w:t xml:space="preserve"> </w:t>
      </w:r>
      <w:r>
        <w:rPr>
          <w:rFonts w:ascii="Times New Roman" w:hAnsi="Times New Roman"/>
          <w:color w:val="000000"/>
          <w:sz w:val="22"/>
        </w:rPr>
        <w:t>million for the three and nine months ended June 30, 2025, respectively, and expense of $2</w:t>
      </w:r>
      <w:r>
        <w:rPr>
          <w:rFonts w:ascii="Times New Roman" w:hAnsi="Times New Roman"/>
          <w:color w:val="000000"/>
          <w:sz w:val="20"/>
        </w:rPr>
        <w:t xml:space="preserve"> </w:t>
      </w:r>
      <w:r>
        <w:rPr>
          <w:rFonts w:ascii="Times New Roman" w:hAnsi="Times New Roman"/>
          <w:color w:val="000000"/>
          <w:sz w:val="22"/>
        </w:rPr>
        <w:t>million and $6</w:t>
      </w:r>
      <w:r>
        <w:rPr>
          <w:rFonts w:ascii="Times New Roman" w:hAnsi="Times New Roman"/>
          <w:color w:val="000000"/>
          <w:sz w:val="20"/>
        </w:rPr>
        <w:t xml:space="preserve"> </w:t>
      </w:r>
      <w:r>
        <w:rPr>
          <w:rFonts w:ascii="Times New Roman" w:hAnsi="Times New Roman"/>
          <w:color w:val="000000"/>
          <w:sz w:val="22"/>
        </w:rPr>
        <w:t>million for the three and nine months ended June 30, 2024, respectively.</w:t>
      </w:r>
    </w:p>
    <w:p>
      <w:pPr>
        <w:pStyle w:val="TextBody"/>
        <w:bidi w:val="0"/>
        <w:spacing w:before="120" w:after="283"/>
        <w:jc w:val="both"/>
        <w:rPr>
          <w:rFonts w:ascii="Times New Roman" w:hAnsi="Times New Roman"/>
          <w:sz w:val="20"/>
        </w:rPr>
      </w:pPr>
      <w:r>
        <w:rPr>
          <w:rFonts w:ascii="Times New Roman" w:hAnsi="Times New Roman"/>
          <w:b/>
          <w:color w:val="000000"/>
          <w:sz w:val="22"/>
        </w:rPr>
        <w:t>NOTE L</w:t>
      </w:r>
      <w:r>
        <w:rPr>
          <w:rFonts w:ascii="Times New Roman" w:hAnsi="Times New Roman"/>
          <w:color w:val="000000"/>
          <w:sz w:val="20"/>
        </w:rPr>
        <w:t xml:space="preserve"> – </w:t>
      </w:r>
      <w:r>
        <w:rPr>
          <w:rFonts w:ascii="Times New Roman" w:hAnsi="Times New Roman"/>
          <w:b/>
          <w:color w:val="000000"/>
          <w:sz w:val="22"/>
        </w:rPr>
        <w:t>LITIGATION, CLAIMS AND CONTINGENCIES</w:t>
      </w:r>
    </w:p>
    <w:p>
      <w:pPr>
        <w:pStyle w:val="TextBody"/>
        <w:bidi w:val="0"/>
        <w:spacing w:before="120" w:after="283"/>
        <w:jc w:val="left"/>
        <w:rPr>
          <w:rFonts w:ascii="Times New Roman" w:hAnsi="Times New Roman"/>
          <w:b/>
          <w:color w:val="000000"/>
          <w:sz w:val="22"/>
        </w:rPr>
      </w:pPr>
      <w:r>
        <w:rPr>
          <w:rFonts w:ascii="Times New Roman" w:hAnsi="Times New Roman"/>
          <w:b/>
          <w:color w:val="000000"/>
          <w:sz w:val="22"/>
        </w:rPr>
        <w:t>Asbestos litigation</w:t>
      </w:r>
    </w:p>
    <w:p>
      <w:pPr>
        <w:pStyle w:val="TextBody"/>
        <w:bidi w:val="0"/>
        <w:spacing w:before="120" w:after="283"/>
        <w:jc w:val="both"/>
        <w:rPr>
          <w:rFonts w:ascii="Times New Roman" w:hAnsi="Times New Roman"/>
          <w:sz w:val="20"/>
        </w:rPr>
      </w:pPr>
      <w:r>
        <w:rPr>
          <w:rFonts w:ascii="Times New Roman" w:hAnsi="Times New Roman"/>
          <w:color w:val="000000"/>
          <w:sz w:val="22"/>
        </w:rPr>
        <w:t>Ashland is subject to liabilities from claims alleging personal injury caused by exposure to asbestos. Such claims result from indemnification obligations undertaken in 1990 in connection with the sale of Riley and the acquisition of Hercules in November 2008. Although Riley, a former subsidiary, was neither a producer nor a manufacturer of asbestos, its industrial boilers contained some asbestos-containing components provided by other companies. Hercules, an indirect wholly-owned subsidiary of Ashland, has liabilities from claims alleging personal injury</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caused by exposure to asbestos. Such claims typically arise from alleged exposure to asbestos fibers from resin encapsulated pipe and tank products sold by one of Hercules’ former subsidiaries to a limited industrial market.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To assist in developing and annually updating independent reserve estimates for future asbestos claims and related costs given various assumptions for Ashland and Hercules asbestos claims, Ashland retained third party actuarial experts Gnarus. The methodology used by Gnarus to project future asbestos costs is based largely on recent experience, including claim-filing and settlement rates, disease mix,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Gnarus estimates a range of the number of future claims that may be filed, as well as the related costs that may be incurred in resolving those claims. Changes in asbestos-related liabilities and receivables are recorded on an after-tax basis within the loss from discontinued operations, net of income taxes caption in the Statements of Condensed Consolidated Comprehensive Income (Loss).</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Ashland asbestos-related litigation</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claims alleging personal injury caused by exposure to asbestos asserted against Ashland result primarily from indemnification obligations undertaken in 1990 in connection with the sale of Riley. The amount and timing of settlements and number of open claims can fluctuate from period to period. A summary of Ashland asbestos claims activity, excluding Hercules claims, is as follows:</w:t>
      </w:r>
    </w:p>
    <w:p>
      <w:pPr>
        <w:pStyle w:val="TextBody"/>
        <w:bidi w:val="0"/>
        <w:jc w:val="both"/>
        <w:rPr/>
      </w:pPr>
      <w:r>
        <w:rPr/>
        <w:t> </w:t>
      </w:r>
    </w:p>
    <w:tbl>
      <w:tblPr>
        <w:tblW w:w="7337" w:type="dxa"/>
        <w:jc w:val="left"/>
        <w:tblInd w:w="0" w:type="dxa"/>
        <w:tblLayout w:type="fixed"/>
        <w:tblCellMar>
          <w:top w:w="28" w:type="dxa"/>
          <w:left w:w="28" w:type="dxa"/>
          <w:bottom w:w="28" w:type="dxa"/>
          <w:right w:w="28" w:type="dxa"/>
        </w:tblCellMar>
      </w:tblPr>
      <w:tblGrid>
        <w:gridCol w:w="2716"/>
        <w:gridCol w:w="146"/>
        <w:gridCol w:w="189"/>
        <w:gridCol w:w="448"/>
        <w:gridCol w:w="215"/>
        <w:gridCol w:w="189"/>
        <w:gridCol w:w="189"/>
        <w:gridCol w:w="448"/>
        <w:gridCol w:w="166"/>
        <w:gridCol w:w="146"/>
        <w:gridCol w:w="166"/>
        <w:gridCol w:w="360"/>
        <w:gridCol w:w="185"/>
        <w:gridCol w:w="163"/>
        <w:gridCol w:w="166"/>
        <w:gridCol w:w="360"/>
        <w:gridCol w:w="185"/>
        <w:gridCol w:w="163"/>
        <w:gridCol w:w="166"/>
        <w:gridCol w:w="360"/>
        <w:gridCol w:w="21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7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52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8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52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8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2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Years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Open claims -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claims filed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Claims settled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Claims dismissed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Open claims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Ashland asbestos-related liability</w:t>
      </w:r>
    </w:p>
    <w:p>
      <w:pPr>
        <w:pStyle w:val="TextBody"/>
        <w:bidi w:val="0"/>
        <w:spacing w:before="120" w:after="283"/>
        <w:jc w:val="both"/>
        <w:rPr>
          <w:rFonts w:ascii="Times New Roman" w:hAnsi="Times New Roman"/>
          <w:sz w:val="20"/>
        </w:rPr>
      </w:pPr>
      <w:r>
        <w:rPr>
          <w:rFonts w:ascii="Times New Roman" w:hAnsi="Times New Roman"/>
          <w:color w:val="000000"/>
          <w:sz w:val="22"/>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2"/>
        </w:rPr>
        <w:t>During the most recent update completed in fiscal 2025, it was determined that the liability for Ashland asbestos-related claims should be increased by $16</w:t>
      </w:r>
      <w:r>
        <w:rPr>
          <w:rFonts w:ascii="Times New Roman" w:hAnsi="Times New Roman"/>
          <w:color w:val="000000"/>
          <w:sz w:val="20"/>
        </w:rPr>
        <w:t xml:space="preserve"> </w:t>
      </w:r>
      <w:r>
        <w:rPr>
          <w:rFonts w:ascii="Times New Roman" w:hAnsi="Times New Roman"/>
          <w:color w:val="000000"/>
          <w:sz w:val="22"/>
        </w:rPr>
        <w:t>million. Total reserves for asbestos claims were $265</w:t>
      </w:r>
      <w:r>
        <w:rPr>
          <w:rFonts w:ascii="Times New Roman" w:hAnsi="Times New Roman"/>
          <w:color w:val="000000"/>
          <w:sz w:val="20"/>
        </w:rPr>
        <w:t xml:space="preserve"> </w:t>
      </w:r>
      <w:r>
        <w:rPr>
          <w:rFonts w:ascii="Times New Roman" w:hAnsi="Times New Roman"/>
          <w:color w:val="000000"/>
          <w:sz w:val="22"/>
        </w:rPr>
        <w:t>million and $274</w:t>
      </w:r>
      <w:r>
        <w:rPr>
          <w:rFonts w:ascii="Times New Roman" w:hAnsi="Times New Roman"/>
          <w:color w:val="000000"/>
          <w:sz w:val="20"/>
        </w:rPr>
        <w:t xml:space="preserve"> </w:t>
      </w:r>
      <w:r>
        <w:rPr>
          <w:rFonts w:ascii="Times New Roman" w:hAnsi="Times New Roman"/>
          <w:color w:val="000000"/>
          <w:sz w:val="22"/>
        </w:rPr>
        <w:t>million at June 30, 2025 and September 30, 2024, respectively.</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 progression of activity in the asbestos reserve is presented in the following table.</w:t>
      </w:r>
    </w:p>
    <w:p>
      <w:pPr>
        <w:pStyle w:val="TextBody"/>
        <w:bidi w:val="0"/>
        <w:jc w:val="both"/>
        <w:rPr/>
      </w:pPr>
      <w:r>
        <w:rPr/>
        <w:t> </w:t>
      </w:r>
    </w:p>
    <w:tbl>
      <w:tblPr>
        <w:tblW w:w="7915" w:type="dxa"/>
        <w:jc w:val="left"/>
        <w:tblInd w:w="0" w:type="dxa"/>
        <w:tblLayout w:type="fixed"/>
        <w:tblCellMar>
          <w:top w:w="28" w:type="dxa"/>
          <w:left w:w="28" w:type="dxa"/>
          <w:bottom w:w="28" w:type="dxa"/>
          <w:right w:w="28" w:type="dxa"/>
        </w:tblCellMar>
      </w:tblPr>
      <w:tblGrid>
        <w:gridCol w:w="3046"/>
        <w:gridCol w:w="146"/>
        <w:gridCol w:w="225"/>
        <w:gridCol w:w="449"/>
        <w:gridCol w:w="177"/>
        <w:gridCol w:w="155"/>
        <w:gridCol w:w="225"/>
        <w:gridCol w:w="449"/>
        <w:gridCol w:w="166"/>
        <w:gridCol w:w="146"/>
        <w:gridCol w:w="211"/>
        <w:gridCol w:w="421"/>
        <w:gridCol w:w="166"/>
        <w:gridCol w:w="146"/>
        <w:gridCol w:w="211"/>
        <w:gridCol w:w="421"/>
        <w:gridCol w:w="166"/>
        <w:gridCol w:w="146"/>
        <w:gridCol w:w="211"/>
        <w:gridCol w:w="421"/>
        <w:gridCol w:w="21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80"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63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63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3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Years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Asbestos reserve -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Asbestos reserve - end of period</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sz w:val="22"/>
        </w:rPr>
      </w:pPr>
      <w:r>
        <w:rPr>
          <w:rFonts w:ascii="Times New Roman" w:hAnsi="Times New Roman"/>
          <w:color w:val="000000"/>
          <w:sz w:val="16"/>
        </w:rPr>
        <w:t>Includes $29</w:t>
      </w:r>
      <w:r>
        <w:rPr>
          <w:rFonts w:ascii="Times New Roman" w:hAnsi="Times New Roman"/>
          <w:color w:val="000000"/>
          <w:sz w:val="22"/>
        </w:rPr>
        <w:t xml:space="preserve"> </w:t>
      </w:r>
      <w:r>
        <w:rPr>
          <w:rFonts w:ascii="Times New Roman" w:hAnsi="Times New Roman"/>
          <w:color w:val="000000"/>
          <w:sz w:val="16"/>
        </w:rPr>
        <w:t>million and $28</w:t>
      </w:r>
      <w:r>
        <w:rPr>
          <w:rFonts w:ascii="Times New Roman" w:hAnsi="Times New Roman"/>
          <w:color w:val="000000"/>
          <w:sz w:val="22"/>
        </w:rPr>
        <w:t xml:space="preserve"> </w:t>
      </w:r>
      <w:r>
        <w:rPr>
          <w:rFonts w:ascii="Times New Roman" w:hAnsi="Times New Roman"/>
          <w:color w:val="000000"/>
          <w:sz w:val="16"/>
        </w:rPr>
        <w:t>million classified in accrued expenses and other liabilities on the Condensed Consolidated Balance Sheets as of June 30, 2025 and September 30, 2024, respectively.</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Ashland asbestos-related receivables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Substantially all of the estimated receivables from insurance companies are expected to be due from domestic insurers, all of which are solvent.</w:t>
      </w:r>
    </w:p>
    <w:p>
      <w:pPr>
        <w:pStyle w:val="TextBody"/>
        <w:bidi w:val="0"/>
        <w:spacing w:before="120" w:after="283"/>
        <w:jc w:val="both"/>
        <w:rPr>
          <w:rFonts w:ascii="Times New Roman" w:hAnsi="Times New Roman"/>
          <w:sz w:val="20"/>
        </w:rPr>
      </w:pPr>
      <w:r>
        <w:rPr>
          <w:rFonts w:ascii="Times New Roman" w:hAnsi="Times New Roman"/>
          <w:color w:val="000000"/>
          <w:sz w:val="22"/>
        </w:rPr>
        <w:t>At June 30, 2025 and September 30, 2024, Ashland’s receivable for recoveries of litigation defense and claim settlement costs from insurers amounted to $96</w:t>
      </w:r>
      <w:r>
        <w:rPr>
          <w:rFonts w:ascii="Times New Roman" w:hAnsi="Times New Roman"/>
          <w:color w:val="000000"/>
          <w:sz w:val="20"/>
        </w:rPr>
        <w:t xml:space="preserve"> </w:t>
      </w:r>
      <w:r>
        <w:rPr>
          <w:rFonts w:ascii="Times New Roman" w:hAnsi="Times New Roman"/>
          <w:color w:val="000000"/>
          <w:sz w:val="22"/>
        </w:rPr>
        <w:t>million (excluding the Hercules receivable for asbestos claims discussed below) and $97</w:t>
      </w:r>
      <w:r>
        <w:rPr>
          <w:rFonts w:ascii="Times New Roman" w:hAnsi="Times New Roman"/>
          <w:color w:val="000000"/>
          <w:sz w:val="20"/>
        </w:rPr>
        <w:t xml:space="preserve"> </w:t>
      </w:r>
      <w:r>
        <w:rPr>
          <w:rFonts w:ascii="Times New Roman" w:hAnsi="Times New Roman"/>
          <w:color w:val="000000"/>
          <w:sz w:val="22"/>
        </w:rPr>
        <w:t>million, respectively. In fiscal 2025, the annual update of the model used for purposes of valuing the asbestos reserve and its impact on valuation of future recoveries from insurers was completed. This model update resulted in a $5</w:t>
      </w:r>
      <w:r>
        <w:rPr>
          <w:rFonts w:ascii="Times New Roman" w:hAnsi="Times New Roman"/>
          <w:color w:val="000000"/>
          <w:sz w:val="20"/>
        </w:rPr>
        <w:t xml:space="preserve"> </w:t>
      </w:r>
      <w:r>
        <w:rPr>
          <w:rFonts w:ascii="Times New Roman" w:hAnsi="Times New Roman"/>
          <w:color w:val="000000"/>
          <w:sz w:val="22"/>
        </w:rPr>
        <w:t>million increase in the receivable for probable insurance recoveries.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 progression of activity in the Ashland insurance receivable is presented in the following table.</w:t>
      </w:r>
    </w:p>
    <w:p>
      <w:pPr>
        <w:pStyle w:val="TextBody"/>
        <w:bidi w:val="0"/>
        <w:jc w:val="both"/>
        <w:rPr/>
      </w:pPr>
      <w:r>
        <w:rPr/>
        <w:t> </w:t>
      </w:r>
    </w:p>
    <w:tbl>
      <w:tblPr>
        <w:tblW w:w="8139" w:type="dxa"/>
        <w:jc w:val="left"/>
        <w:tblInd w:w="0" w:type="dxa"/>
        <w:tblLayout w:type="fixed"/>
        <w:tblCellMar>
          <w:top w:w="28" w:type="dxa"/>
          <w:left w:w="28" w:type="dxa"/>
          <w:bottom w:w="28" w:type="dxa"/>
          <w:right w:w="28" w:type="dxa"/>
        </w:tblCellMar>
      </w:tblPr>
      <w:tblGrid>
        <w:gridCol w:w="3376"/>
        <w:gridCol w:w="146"/>
        <w:gridCol w:w="241"/>
        <w:gridCol w:w="361"/>
        <w:gridCol w:w="189"/>
        <w:gridCol w:w="166"/>
        <w:gridCol w:w="241"/>
        <w:gridCol w:w="481"/>
        <w:gridCol w:w="166"/>
        <w:gridCol w:w="146"/>
        <w:gridCol w:w="211"/>
        <w:gridCol w:w="316"/>
        <w:gridCol w:w="166"/>
        <w:gridCol w:w="146"/>
        <w:gridCol w:w="211"/>
        <w:gridCol w:w="421"/>
        <w:gridCol w:w="166"/>
        <w:gridCol w:w="146"/>
        <w:gridCol w:w="211"/>
        <w:gridCol w:w="421"/>
        <w:gridCol w:w="21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79"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52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63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3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Years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receivable -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collected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Insurance receivable - end of period</w:t>
            </w:r>
            <w:r>
              <w:rPr>
                <w:rFonts w:ascii="Times New Roman" w:hAnsi="Times New Roman"/>
                <w:color w:val="000000"/>
                <w:sz w:val="13"/>
              </w:rPr>
              <w:t>(a)(b)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sz w:val="22"/>
        </w:rPr>
      </w:pPr>
      <w:r>
        <w:rPr>
          <w:rFonts w:ascii="Times New Roman" w:hAnsi="Times New Roman"/>
          <w:color w:val="000000"/>
          <w:sz w:val="16"/>
        </w:rPr>
        <w:t>The total allowance for credit losses was $1</w:t>
      </w:r>
      <w:r>
        <w:rPr>
          <w:rFonts w:ascii="Times New Roman" w:hAnsi="Times New Roman"/>
          <w:color w:val="000000"/>
          <w:sz w:val="22"/>
        </w:rPr>
        <w:t xml:space="preserve"> </w:t>
      </w:r>
      <w:r>
        <w:rPr>
          <w:rFonts w:ascii="Times New Roman" w:hAnsi="Times New Roman"/>
          <w:color w:val="000000"/>
          <w:sz w:val="16"/>
        </w:rPr>
        <w:t>million at June 30, 2025 and September 30, 2024.</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(b)</w:t>
      </w:r>
    </w:p>
    <w:p>
      <w:pPr>
        <w:pStyle w:val="TextBody"/>
        <w:bidi w:val="0"/>
        <w:spacing w:before="40" w:after="283"/>
        <w:jc w:val="both"/>
        <w:rPr>
          <w:rFonts w:ascii="Times New Roman" w:hAnsi="Times New Roman"/>
          <w:sz w:val="22"/>
        </w:rPr>
      </w:pPr>
      <w:r>
        <w:rPr>
          <w:rFonts w:ascii="Times New Roman" w:hAnsi="Times New Roman"/>
          <w:color w:val="000000"/>
          <w:sz w:val="16"/>
        </w:rPr>
        <w:t>Includes $10</w:t>
      </w:r>
      <w:r>
        <w:rPr>
          <w:rFonts w:ascii="Times New Roman" w:hAnsi="Times New Roman"/>
          <w:color w:val="000000"/>
          <w:sz w:val="22"/>
        </w:rPr>
        <w:t xml:space="preserve"> </w:t>
      </w:r>
      <w:r>
        <w:rPr>
          <w:rFonts w:ascii="Times New Roman" w:hAnsi="Times New Roman"/>
          <w:color w:val="000000"/>
          <w:sz w:val="16"/>
        </w:rPr>
        <w:t>million and $9</w:t>
      </w:r>
      <w:r>
        <w:rPr>
          <w:rFonts w:ascii="Times New Roman" w:hAnsi="Times New Roman"/>
          <w:color w:val="000000"/>
          <w:sz w:val="22"/>
        </w:rPr>
        <w:t xml:space="preserve"> </w:t>
      </w:r>
      <w:r>
        <w:rPr>
          <w:rFonts w:ascii="Times New Roman" w:hAnsi="Times New Roman"/>
          <w:color w:val="000000"/>
          <w:sz w:val="16"/>
        </w:rPr>
        <w:t>million classified in accounts receivable, net on the Condensed Consolidated Balance Sheets at June 30, 2025 and September 30, 2024, respectively.</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Hercules asbestos-related litigation</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pStyle w:val="TextBody"/>
        <w:bidi w:val="0"/>
        <w:jc w:val="both"/>
        <w:rPr/>
      </w:pPr>
      <w:r>
        <w:rPr/>
        <w:t> </w:t>
      </w:r>
    </w:p>
    <w:tbl>
      <w:tblPr>
        <w:tblW w:w="7331" w:type="dxa"/>
        <w:jc w:val="left"/>
        <w:tblInd w:w="0" w:type="dxa"/>
        <w:tblLayout w:type="fixed"/>
        <w:tblCellMar>
          <w:top w:w="28" w:type="dxa"/>
          <w:left w:w="28" w:type="dxa"/>
          <w:bottom w:w="28" w:type="dxa"/>
          <w:right w:w="28" w:type="dxa"/>
        </w:tblCellMar>
      </w:tblPr>
      <w:tblGrid>
        <w:gridCol w:w="2716"/>
        <w:gridCol w:w="146"/>
        <w:gridCol w:w="198"/>
        <w:gridCol w:w="429"/>
        <w:gridCol w:w="225"/>
        <w:gridCol w:w="198"/>
        <w:gridCol w:w="198"/>
        <w:gridCol w:w="429"/>
        <w:gridCol w:w="166"/>
        <w:gridCol w:w="146"/>
        <w:gridCol w:w="166"/>
        <w:gridCol w:w="360"/>
        <w:gridCol w:w="184"/>
        <w:gridCol w:w="162"/>
        <w:gridCol w:w="162"/>
        <w:gridCol w:w="385"/>
        <w:gridCol w:w="162"/>
        <w:gridCol w:w="162"/>
        <w:gridCol w:w="166"/>
        <w:gridCol w:w="360"/>
        <w:gridCol w:w="21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77"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52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8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54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2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Years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Open claims -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claims filed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Claims dismissed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Open claims -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Hercules asbestos-related liability</w:t>
      </w:r>
    </w:p>
    <w:p>
      <w:pPr>
        <w:pStyle w:val="TextBody"/>
        <w:bidi w:val="0"/>
        <w:spacing w:before="120" w:after="283"/>
        <w:jc w:val="both"/>
        <w:rPr>
          <w:rFonts w:ascii="Times New Roman" w:hAnsi="Times New Roman"/>
          <w:sz w:val="20"/>
        </w:rPr>
      </w:pPr>
      <w:r>
        <w:rPr>
          <w:rFonts w:ascii="Times New Roman" w:hAnsi="Times New Roman"/>
          <w:color w:val="000000"/>
          <w:sz w:val="22"/>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 During the most recent update completed in fiscal 2025, it was determined that the liability for Hercules asbestos-related claims should be increased by $10</w:t>
      </w:r>
      <w:r>
        <w:rPr>
          <w:rFonts w:ascii="Times New Roman" w:hAnsi="Times New Roman"/>
          <w:color w:val="000000"/>
          <w:sz w:val="20"/>
        </w:rPr>
        <w:t xml:space="preserve"> </w:t>
      </w:r>
      <w:r>
        <w:rPr>
          <w:rFonts w:ascii="Times New Roman" w:hAnsi="Times New Roman"/>
          <w:color w:val="000000"/>
          <w:sz w:val="22"/>
        </w:rPr>
        <w:t>million. Total reserves for asbestos claims were $185</w:t>
      </w:r>
      <w:r>
        <w:rPr>
          <w:rFonts w:ascii="Times New Roman" w:hAnsi="Times New Roman"/>
          <w:color w:val="000000"/>
          <w:sz w:val="20"/>
        </w:rPr>
        <w:t xml:space="preserve"> </w:t>
      </w:r>
      <w:r>
        <w:rPr>
          <w:rFonts w:ascii="Times New Roman" w:hAnsi="Times New Roman"/>
          <w:color w:val="000000"/>
          <w:sz w:val="22"/>
        </w:rPr>
        <w:t>million at both June 30, 2025 and September 30,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 progression of activity in the asbestos reserve is presented in the following table.</w:t>
      </w:r>
    </w:p>
    <w:p>
      <w:pPr>
        <w:pStyle w:val="TextBody"/>
        <w:bidi w:val="0"/>
        <w:jc w:val="both"/>
        <w:rPr/>
      </w:pPr>
      <w:r>
        <w:rPr/>
        <w:t> </w:t>
      </w:r>
    </w:p>
    <w:tbl>
      <w:tblPr>
        <w:tblW w:w="7915" w:type="dxa"/>
        <w:jc w:val="left"/>
        <w:tblInd w:w="0" w:type="dxa"/>
        <w:tblLayout w:type="fixed"/>
        <w:tblCellMar>
          <w:top w:w="28" w:type="dxa"/>
          <w:left w:w="28" w:type="dxa"/>
          <w:bottom w:w="28" w:type="dxa"/>
          <w:right w:w="28" w:type="dxa"/>
        </w:tblCellMar>
      </w:tblPr>
      <w:tblGrid>
        <w:gridCol w:w="3046"/>
        <w:gridCol w:w="146"/>
        <w:gridCol w:w="225"/>
        <w:gridCol w:w="449"/>
        <w:gridCol w:w="177"/>
        <w:gridCol w:w="155"/>
        <w:gridCol w:w="225"/>
        <w:gridCol w:w="449"/>
        <w:gridCol w:w="166"/>
        <w:gridCol w:w="146"/>
        <w:gridCol w:w="211"/>
        <w:gridCol w:w="421"/>
        <w:gridCol w:w="166"/>
        <w:gridCol w:w="146"/>
        <w:gridCol w:w="211"/>
        <w:gridCol w:w="421"/>
        <w:gridCol w:w="166"/>
        <w:gridCol w:w="146"/>
        <w:gridCol w:w="211"/>
        <w:gridCol w:w="421"/>
        <w:gridCol w:w="21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80"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63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63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3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Years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Asbestos reserve -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Asbestos reserve - end of period</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sz w:val="22"/>
        </w:rPr>
      </w:pPr>
      <w:r>
        <w:rPr>
          <w:rFonts w:ascii="Times New Roman" w:hAnsi="Times New Roman"/>
          <w:color w:val="000000"/>
          <w:sz w:val="16"/>
        </w:rPr>
        <w:t>Includes $17</w:t>
      </w:r>
      <w:r>
        <w:rPr>
          <w:rFonts w:ascii="Times New Roman" w:hAnsi="Times New Roman"/>
          <w:color w:val="000000"/>
          <w:sz w:val="22"/>
        </w:rPr>
        <w:t xml:space="preserve"> </w:t>
      </w:r>
      <w:r>
        <w:rPr>
          <w:rFonts w:ascii="Times New Roman" w:hAnsi="Times New Roman"/>
          <w:color w:val="000000"/>
          <w:sz w:val="16"/>
        </w:rPr>
        <w:t>million classified in accrued expenses and other liabilities on the Condensed Consolidated Balance Sheets at both June 30, 2025 and September 30, 2024.</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Hercules asbestos-related receivables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For the Hercules asbestos-related obligations, certain reimbursement obligations pursuant to coverage-in-place agreements with insurance carriers exist. As a result, any increases in the asbestos reserve have been partially offset by probable insurance 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pStyle w:val="TextBody"/>
        <w:bidi w:val="0"/>
        <w:spacing w:before="120" w:after="283"/>
        <w:jc w:val="both"/>
        <w:rPr>
          <w:rFonts w:ascii="Times New Roman" w:hAnsi="Times New Roman"/>
          <w:sz w:val="20"/>
        </w:rPr>
      </w:pPr>
      <w:r>
        <w:rPr>
          <w:rFonts w:ascii="Times New Roman" w:hAnsi="Times New Roman"/>
          <w:color w:val="000000"/>
          <w:sz w:val="22"/>
        </w:rPr>
        <w:t>As of June 30, 2025 and September 30, 2024, Ashland’s receivable for recoveries of litigation defense and claims costs from insurers with respect to Hercules amounted to $49</w:t>
      </w:r>
      <w:r>
        <w:rPr>
          <w:rFonts w:ascii="Times New Roman" w:hAnsi="Times New Roman"/>
          <w:color w:val="000000"/>
          <w:sz w:val="20"/>
        </w:rPr>
        <w:t xml:space="preserve"> </w:t>
      </w:r>
      <w:r>
        <w:rPr>
          <w:rFonts w:ascii="Times New Roman" w:hAnsi="Times New Roman"/>
          <w:color w:val="000000"/>
          <w:sz w:val="22"/>
        </w:rPr>
        <w:t>million and $50</w:t>
      </w:r>
      <w:r>
        <w:rPr>
          <w:rFonts w:ascii="Times New Roman" w:hAnsi="Times New Roman"/>
          <w:color w:val="000000"/>
          <w:sz w:val="20"/>
        </w:rPr>
        <w:t xml:space="preserve"> </w:t>
      </w:r>
      <w:r>
        <w:rPr>
          <w:rFonts w:ascii="Times New Roman" w:hAnsi="Times New Roman"/>
          <w:color w:val="000000"/>
          <w:sz w:val="22"/>
        </w:rPr>
        <w:t>million, respectively. In fiscal 2025, the annual update of the model used for purposes of valuing the asbestos reserve and its impact on valuation of future recoveries from insurers was completed. This model update resulted in a increase of $4</w:t>
      </w:r>
      <w:r>
        <w:rPr>
          <w:rFonts w:ascii="Times New Roman" w:hAnsi="Times New Roman"/>
          <w:color w:val="000000"/>
          <w:sz w:val="20"/>
        </w:rPr>
        <w:t xml:space="preserve"> </w:t>
      </w:r>
      <w:r>
        <w:rPr>
          <w:rFonts w:ascii="Times New Roman" w:hAnsi="Times New Roman"/>
          <w:color w:val="000000"/>
          <w:sz w:val="22"/>
        </w:rPr>
        <w:t>million in the receivable for probable insurance recoveries.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 progression of activity in the Hercules insurance receivable is presented in the following table.</w:t>
      </w:r>
    </w:p>
    <w:p>
      <w:pPr>
        <w:pStyle w:val="TextBody"/>
        <w:bidi w:val="0"/>
        <w:jc w:val="both"/>
        <w:rPr/>
      </w:pPr>
      <w:r>
        <w:rPr/>
        <w:t> </w:t>
      </w:r>
    </w:p>
    <w:tbl>
      <w:tblPr>
        <w:tblW w:w="7969" w:type="dxa"/>
        <w:jc w:val="left"/>
        <w:tblInd w:w="0" w:type="dxa"/>
        <w:tblLayout w:type="fixed"/>
        <w:tblCellMar>
          <w:top w:w="28" w:type="dxa"/>
          <w:left w:w="28" w:type="dxa"/>
          <w:bottom w:w="28" w:type="dxa"/>
          <w:right w:w="28" w:type="dxa"/>
        </w:tblCellMar>
      </w:tblPr>
      <w:tblGrid>
        <w:gridCol w:w="3376"/>
        <w:gridCol w:w="146"/>
        <w:gridCol w:w="259"/>
        <w:gridCol w:w="388"/>
        <w:gridCol w:w="204"/>
        <w:gridCol w:w="179"/>
        <w:gridCol w:w="259"/>
        <w:gridCol w:w="388"/>
        <w:gridCol w:w="166"/>
        <w:gridCol w:w="146"/>
        <w:gridCol w:w="215"/>
        <w:gridCol w:w="322"/>
        <w:gridCol w:w="169"/>
        <w:gridCol w:w="149"/>
        <w:gridCol w:w="215"/>
        <w:gridCol w:w="322"/>
        <w:gridCol w:w="169"/>
        <w:gridCol w:w="149"/>
        <w:gridCol w:w="215"/>
        <w:gridCol w:w="322"/>
        <w:gridCol w:w="21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77"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53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53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3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Years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receivable -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collected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Insurance receivable - end of period</w:t>
            </w:r>
            <w:r>
              <w:rPr>
                <w:rFonts w:ascii="Times New Roman" w:hAnsi="Times New Roman"/>
                <w:color w:val="000000"/>
                <w:sz w:val="13"/>
              </w:rPr>
              <w:t>(a)(b)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sz w:val="22"/>
        </w:rPr>
      </w:pPr>
      <w:r>
        <w:rPr>
          <w:rFonts w:ascii="Times New Roman" w:hAnsi="Times New Roman"/>
          <w:color w:val="000000"/>
          <w:sz w:val="16"/>
        </w:rPr>
        <w:t>The total allowance for credit losses was $1</w:t>
      </w:r>
      <w:r>
        <w:rPr>
          <w:rFonts w:ascii="Times New Roman" w:hAnsi="Times New Roman"/>
          <w:color w:val="000000"/>
          <w:sz w:val="22"/>
        </w:rPr>
        <w:t xml:space="preserve"> </w:t>
      </w:r>
      <w:r>
        <w:rPr>
          <w:rFonts w:ascii="Times New Roman" w:hAnsi="Times New Roman"/>
          <w:color w:val="000000"/>
          <w:sz w:val="16"/>
        </w:rPr>
        <w:t>million at June 30, 2025 and September 30, 2024.</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(b)</w:t>
      </w:r>
    </w:p>
    <w:p>
      <w:pPr>
        <w:pStyle w:val="TextBody"/>
        <w:bidi w:val="0"/>
        <w:spacing w:before="40" w:after="283"/>
        <w:jc w:val="both"/>
        <w:rPr>
          <w:rFonts w:ascii="Times New Roman" w:hAnsi="Times New Roman"/>
          <w:sz w:val="22"/>
        </w:rPr>
      </w:pPr>
      <w:r>
        <w:rPr>
          <w:rFonts w:ascii="Times New Roman" w:hAnsi="Times New Roman"/>
          <w:color w:val="000000"/>
          <w:sz w:val="16"/>
        </w:rPr>
        <w:t>Includes $6</w:t>
      </w:r>
      <w:r>
        <w:rPr>
          <w:rFonts w:ascii="Times New Roman" w:hAnsi="Times New Roman"/>
          <w:color w:val="000000"/>
          <w:sz w:val="22"/>
        </w:rPr>
        <w:t xml:space="preserve"> </w:t>
      </w:r>
      <w:r>
        <w:rPr>
          <w:rFonts w:ascii="Times New Roman" w:hAnsi="Times New Roman"/>
          <w:color w:val="000000"/>
          <w:sz w:val="16"/>
        </w:rPr>
        <w:t>million classified in accounts receivable, net on the Condensed Consolidated Balance Sheets at both June 30, 2025 and September 30, 2024.</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Asbestos litigation cost projection</w:t>
      </w:r>
    </w:p>
    <w:p>
      <w:pPr>
        <w:pStyle w:val="TextBody"/>
        <w:bidi w:val="0"/>
        <w:spacing w:before="120" w:after="283"/>
        <w:jc w:val="both"/>
        <w:rPr>
          <w:rFonts w:ascii="Times New Roman" w:hAnsi="Times New Roman"/>
          <w:sz w:val="20"/>
        </w:rPr>
      </w:pPr>
      <w:r>
        <w:rPr>
          <w:rFonts w:ascii="Times New Roman" w:hAnsi="Times New Roman"/>
          <w:color w:val="000000"/>
          <w:sz w:val="22"/>
        </w:rPr>
        <w:t>Projecting future asbestos costs is subject to numerous variables that are difficult to predict. In addition to the uncertainties surrounding the number of claims that might be received, other variables include the type and severity of the disease alleged by each claimant and the related costs incurred in resolving those claims, mortality rates, dismissal rates, and uncertainties surrounding the litigation process from jurisdiction to jurisdiction and from case to case. Furthermore, any predictions with respect to these variables are subject to even greater uncertainty as the projection period lengthens. In light of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w:t>
      </w:r>
      <w:r>
        <w:rPr>
          <w:rFonts w:ascii="Times New Roman" w:hAnsi="Times New Roman"/>
          <w:color w:val="000000"/>
          <w:sz w:val="20"/>
        </w:rPr>
        <w:t xml:space="preserve"> </w:t>
      </w:r>
      <w:r>
        <w:rPr>
          <w:rFonts w:ascii="Times New Roman" w:hAnsi="Times New Roman"/>
          <w:color w:val="000000"/>
          <w:sz w:val="22"/>
        </w:rPr>
        <w:t>year periods that it is reasonably possible that total future litigation defense and claim settlement costs on an inflated and undiscounted basis could range as high as approximately $382</w:t>
      </w:r>
      <w:r>
        <w:rPr>
          <w:rFonts w:ascii="Times New Roman" w:hAnsi="Times New Roman"/>
          <w:color w:val="000000"/>
          <w:sz w:val="20"/>
        </w:rPr>
        <w:t xml:space="preserve"> </w:t>
      </w:r>
      <w:r>
        <w:rPr>
          <w:rFonts w:ascii="Times New Roman" w:hAnsi="Times New Roman"/>
          <w:color w:val="000000"/>
          <w:sz w:val="22"/>
        </w:rPr>
        <w:t>million for the Ashland asbestos-related litigation (current reserve of $265</w:t>
      </w:r>
      <w:r>
        <w:rPr>
          <w:rFonts w:ascii="Times New Roman" w:hAnsi="Times New Roman"/>
          <w:color w:val="000000"/>
          <w:sz w:val="20"/>
        </w:rPr>
        <w:t xml:space="preserve"> </w:t>
      </w:r>
      <w:r>
        <w:rPr>
          <w:rFonts w:ascii="Times New Roman" w:hAnsi="Times New Roman"/>
          <w:color w:val="000000"/>
          <w:sz w:val="22"/>
        </w:rPr>
        <w:t>million) and approximately $262</w:t>
      </w:r>
      <w:r>
        <w:rPr>
          <w:rFonts w:ascii="Times New Roman" w:hAnsi="Times New Roman"/>
          <w:color w:val="000000"/>
          <w:sz w:val="20"/>
        </w:rPr>
        <w:t xml:space="preserve"> </w:t>
      </w:r>
      <w:r>
        <w:rPr>
          <w:rFonts w:ascii="Times New Roman" w:hAnsi="Times New Roman"/>
          <w:color w:val="000000"/>
          <w:sz w:val="22"/>
        </w:rPr>
        <w:t>million for the Hercules asbestos-related litigation (current reserve of $185</w:t>
      </w:r>
      <w:r>
        <w:rPr>
          <w:rFonts w:ascii="Times New Roman" w:hAnsi="Times New Roman"/>
          <w:color w:val="000000"/>
          <w:sz w:val="20"/>
        </w:rPr>
        <w:t xml:space="preserve"> </w:t>
      </w:r>
      <w:r>
        <w:rPr>
          <w:rFonts w:ascii="Times New Roman" w:hAnsi="Times New Roman"/>
          <w:color w:val="000000"/>
          <w:sz w:val="22"/>
        </w:rPr>
        <w:t>million), depending on the combination of assumptions selected in the various models. While the timeframe used in Ashland’s models for projecting asbestos liabilities generally decreases over time based on the expected lifetime of the liabilities, these models have been consistently</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applied between all periods presented.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Environmental remediation and asset retirement obligations</w:t>
      </w:r>
    </w:p>
    <w:p>
      <w:pPr>
        <w:pStyle w:val="TextBody"/>
        <w:bidi w:val="0"/>
        <w:spacing w:before="120" w:after="283"/>
        <w:jc w:val="both"/>
        <w:rPr>
          <w:rFonts w:ascii="Times New Roman" w:hAnsi="Times New Roman"/>
          <w:sz w:val="20"/>
        </w:rPr>
      </w:pPr>
      <w:r>
        <w:rPr>
          <w:rFonts w:ascii="Times New Roman" w:hAnsi="Times New Roman"/>
          <w:color w:val="000000"/>
          <w:sz w:val="22"/>
        </w:rPr>
        <w:t>Ashland is subject to various federal, state and local environmental laws and regulations that require environmental assessment or remediation efforts (collectively environmental remediation) at multiple locations. At June 30, 2025, such locations included 53</w:t>
      </w:r>
      <w:r>
        <w:rPr>
          <w:rFonts w:ascii="Times New Roman" w:hAnsi="Times New Roman"/>
          <w:color w:val="000000"/>
          <w:sz w:val="20"/>
        </w:rPr>
        <w:t xml:space="preserve"> </w:t>
      </w:r>
      <w:r>
        <w:rPr>
          <w:rFonts w:ascii="Times New Roman" w:hAnsi="Times New Roman"/>
          <w:color w:val="000000"/>
          <w:sz w:val="22"/>
        </w:rPr>
        <w:t>sites where Ashland has been identified as a potentially responsible party under Superfund or similar state laws, 107</w:t>
      </w:r>
      <w:r>
        <w:rPr>
          <w:rFonts w:ascii="Times New Roman" w:hAnsi="Times New Roman"/>
          <w:color w:val="000000"/>
          <w:sz w:val="20"/>
        </w:rPr>
        <w:t xml:space="preserve"> </w:t>
      </w:r>
      <w:r>
        <w:rPr>
          <w:rFonts w:ascii="Times New Roman" w:hAnsi="Times New Roman"/>
          <w:color w:val="000000"/>
          <w:sz w:val="22"/>
        </w:rPr>
        <w:t>current and former operating facilities and about 1,225</w:t>
      </w:r>
      <w:r>
        <w:rPr>
          <w:rFonts w:ascii="Times New Roman" w:hAnsi="Times New Roman"/>
          <w:color w:val="000000"/>
          <w:sz w:val="20"/>
        </w:rPr>
        <w:t xml:space="preserve"> </w:t>
      </w:r>
      <w:r>
        <w:rPr>
          <w:rFonts w:ascii="Times New Roman" w:hAnsi="Times New Roman"/>
          <w:color w:val="000000"/>
          <w:sz w:val="22"/>
        </w:rPr>
        <w:t>service station properties, of which 14</w:t>
      </w:r>
      <w:r>
        <w:rPr>
          <w:rFonts w:ascii="Times New Roman" w:hAnsi="Times New Roman"/>
          <w:color w:val="000000"/>
          <w:sz w:val="20"/>
        </w:rPr>
        <w:t xml:space="preserve"> </w:t>
      </w:r>
      <w:r>
        <w:rPr>
          <w:rFonts w:ascii="Times New Roman" w:hAnsi="Times New Roman"/>
          <w:color w:val="000000"/>
          <w:sz w:val="22"/>
        </w:rPr>
        <w:t>are being actively remediated.</w:t>
      </w:r>
    </w:p>
    <w:p>
      <w:pPr>
        <w:pStyle w:val="TextBody"/>
        <w:bidi w:val="0"/>
        <w:spacing w:before="120" w:after="283"/>
        <w:jc w:val="both"/>
        <w:rPr>
          <w:rFonts w:ascii="Times New Roman" w:hAnsi="Times New Roman"/>
          <w:sz w:val="20"/>
        </w:rPr>
      </w:pPr>
      <w:r>
        <w:rPr>
          <w:rFonts w:ascii="Times New Roman" w:hAnsi="Times New Roman"/>
          <w:color w:val="000000"/>
          <w:sz w:val="22"/>
        </w:rPr>
        <w:t>Ashland’s reserves for environmental remediation</w:t>
      </w:r>
      <w:r>
        <w:rPr>
          <w:rFonts w:ascii="Times New Roman" w:hAnsi="Times New Roman"/>
          <w:color w:val="000000"/>
          <w:sz w:val="20"/>
        </w:rPr>
        <w:t xml:space="preserve"> </w:t>
      </w:r>
      <w:r>
        <w:rPr>
          <w:rFonts w:ascii="Times New Roman" w:hAnsi="Times New Roman"/>
          <w:color w:val="000000"/>
          <w:sz w:val="22"/>
        </w:rPr>
        <w:t>and related environmental litigation amounted to $242</w:t>
      </w:r>
      <w:r>
        <w:rPr>
          <w:rFonts w:ascii="Times New Roman" w:hAnsi="Times New Roman"/>
          <w:color w:val="000000"/>
          <w:sz w:val="20"/>
        </w:rPr>
        <w:t xml:space="preserve"> </w:t>
      </w:r>
      <w:r>
        <w:rPr>
          <w:rFonts w:ascii="Times New Roman" w:hAnsi="Times New Roman"/>
          <w:color w:val="000000"/>
          <w:sz w:val="22"/>
        </w:rPr>
        <w:t>million and $221</w:t>
      </w:r>
      <w:r>
        <w:rPr>
          <w:rFonts w:ascii="Times New Roman" w:hAnsi="Times New Roman"/>
          <w:color w:val="000000"/>
          <w:sz w:val="20"/>
        </w:rPr>
        <w:t xml:space="preserve"> </w:t>
      </w:r>
      <w:r>
        <w:rPr>
          <w:rFonts w:ascii="Times New Roman" w:hAnsi="Times New Roman"/>
          <w:color w:val="000000"/>
          <w:sz w:val="22"/>
        </w:rPr>
        <w:t>million at June 30, 2025 and September 30, 2024, respectively, of which $185</w:t>
      </w:r>
      <w:r>
        <w:rPr>
          <w:rFonts w:ascii="Times New Roman" w:hAnsi="Times New Roman"/>
          <w:color w:val="000000"/>
          <w:sz w:val="20"/>
        </w:rPr>
        <w:t xml:space="preserve"> </w:t>
      </w:r>
      <w:r>
        <w:rPr>
          <w:rFonts w:ascii="Times New Roman" w:hAnsi="Times New Roman"/>
          <w:color w:val="000000"/>
          <w:sz w:val="22"/>
        </w:rPr>
        <w:t>million and $164</w:t>
      </w:r>
      <w:r>
        <w:rPr>
          <w:rFonts w:ascii="Times New Roman" w:hAnsi="Times New Roman"/>
          <w:color w:val="000000"/>
          <w:sz w:val="20"/>
        </w:rPr>
        <w:t xml:space="preserve"> </w:t>
      </w:r>
      <w:r>
        <w:rPr>
          <w:rFonts w:ascii="Times New Roman" w:hAnsi="Times New Roman"/>
          <w:color w:val="000000"/>
          <w:sz w:val="22"/>
        </w:rPr>
        <w:t>million at June 30, 2025 and September 30, 2024, respectively, were classified in other noncurrent liabilities on the Condensed Consolidated Balance Sheets. The remaining reserves were classified in accrued expenses and other liabilities on the Condensed Consolidated Balance Sheets.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following table provides a reconciliation of the changes in the environmental remediation reserves:</w:t>
      </w:r>
    </w:p>
    <w:p>
      <w:pPr>
        <w:pStyle w:val="TextBody"/>
        <w:bidi w:val="0"/>
        <w:jc w:val="both"/>
        <w:rPr/>
      </w:pPr>
      <w:r>
        <w:rPr/>
        <w:t> </w:t>
      </w:r>
    </w:p>
    <w:tbl>
      <w:tblPr>
        <w:tblW w:w="6053" w:type="dxa"/>
        <w:jc w:val="left"/>
        <w:tblInd w:w="0" w:type="dxa"/>
        <w:tblLayout w:type="fixed"/>
        <w:tblCellMar>
          <w:top w:w="28" w:type="dxa"/>
          <w:left w:w="28" w:type="dxa"/>
          <w:bottom w:w="28" w:type="dxa"/>
          <w:right w:w="28" w:type="dxa"/>
        </w:tblCellMar>
      </w:tblPr>
      <w:tblGrid>
        <w:gridCol w:w="3816"/>
        <w:gridCol w:w="146"/>
        <w:gridCol w:w="225"/>
        <w:gridCol w:w="449"/>
        <w:gridCol w:w="177"/>
        <w:gridCol w:w="155"/>
        <w:gridCol w:w="225"/>
        <w:gridCol w:w="449"/>
        <w:gridCol w:w="411"/>
      </w:tblGrid>
      <w:tr>
        <w:trPr/>
        <w:tc>
          <w:tcPr>
            <w:tcW w:w="3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80"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Disbursements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Revised obligation estimates and accretion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historical experience and other factors are used to identify and evaluate remediation alternatives and their related costs in determining the estimated reserves for environmental remediation. Ashland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June 30, 2025 and September 30, 2024, Ashland’s recorded receivables for these probable insurance recoveries were $14</w:t>
      </w:r>
      <w:r>
        <w:rPr>
          <w:rFonts w:ascii="Times New Roman" w:hAnsi="Times New Roman"/>
          <w:color w:val="000000"/>
          <w:sz w:val="20"/>
        </w:rPr>
        <w:t xml:space="preserve"> </w:t>
      </w:r>
      <w:r>
        <w:rPr>
          <w:rFonts w:ascii="Times New Roman" w:hAnsi="Times New Roman"/>
          <w:color w:val="000000"/>
          <w:sz w:val="22"/>
        </w:rPr>
        <w:t>million and $13</w:t>
      </w:r>
      <w:r>
        <w:rPr>
          <w:rFonts w:ascii="Times New Roman" w:hAnsi="Times New Roman"/>
          <w:color w:val="000000"/>
          <w:sz w:val="20"/>
        </w:rPr>
        <w:t xml:space="preserve"> </w:t>
      </w:r>
      <w:r>
        <w:rPr>
          <w:rFonts w:ascii="Times New Roman" w:hAnsi="Times New Roman"/>
          <w:color w:val="000000"/>
          <w:sz w:val="22"/>
        </w:rPr>
        <w:t>million, respectively,</w:t>
      </w:r>
      <w:r>
        <w:rPr>
          <w:rFonts w:ascii="Times New Roman" w:hAnsi="Times New Roman"/>
          <w:color w:val="000000"/>
          <w:sz w:val="20"/>
        </w:rPr>
        <w:t xml:space="preserve"> </w:t>
      </w:r>
      <w:r>
        <w:rPr>
          <w:rFonts w:ascii="Times New Roman" w:hAnsi="Times New Roman"/>
          <w:color w:val="000000"/>
          <w:sz w:val="22"/>
        </w:rPr>
        <w:t>of which $13</w:t>
      </w:r>
      <w:r>
        <w:rPr>
          <w:rFonts w:ascii="Times New Roman" w:hAnsi="Times New Roman"/>
          <w:color w:val="000000"/>
          <w:sz w:val="20"/>
        </w:rPr>
        <w:t xml:space="preserve"> </w:t>
      </w:r>
      <w:r>
        <w:rPr>
          <w:rFonts w:ascii="Times New Roman" w:hAnsi="Times New Roman"/>
          <w:color w:val="000000"/>
          <w:sz w:val="22"/>
        </w:rPr>
        <w:t>million and $11</w:t>
      </w:r>
      <w:r>
        <w:rPr>
          <w:rFonts w:ascii="Times New Roman" w:hAnsi="Times New Roman"/>
          <w:color w:val="000000"/>
          <w:sz w:val="20"/>
        </w:rPr>
        <w:t xml:space="preserve"> </w:t>
      </w:r>
      <w:r>
        <w:rPr>
          <w:rFonts w:ascii="Times New Roman" w:hAnsi="Times New Roman"/>
          <w:color w:val="000000"/>
          <w:sz w:val="22"/>
        </w:rPr>
        <w:t>million at June 30, 2025 and</w:t>
      </w:r>
      <w:r>
        <w:rPr>
          <w:rFonts w:ascii="Times New Roman" w:hAnsi="Times New Roman"/>
          <w:color w:val="000000"/>
          <w:sz w:val="20"/>
        </w:rPr>
        <w:t xml:space="preserve"> </w:t>
      </w:r>
      <w:r>
        <w:rPr>
          <w:rFonts w:ascii="Times New Roman" w:hAnsi="Times New Roman"/>
          <w:color w:val="000000"/>
          <w:sz w:val="22"/>
        </w:rPr>
        <w:t>September 30, 2024, respectively, were classified in other noncurrent assets on the Condensed Consolidated Balance Sheets.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Components of environmental remediation expense included within the selling, general and administrative expense caption of the Statements of Condensed Consolidated Comprehensive Income (Loss) are presented in the following table:</w:t>
      </w:r>
    </w:p>
    <w:tbl>
      <w:tblPr>
        <w:tblW w:w="8025" w:type="dxa"/>
        <w:jc w:val="left"/>
        <w:tblInd w:w="0" w:type="dxa"/>
        <w:tblLayout w:type="fixed"/>
        <w:tblCellMar>
          <w:top w:w="28" w:type="dxa"/>
          <w:left w:w="28" w:type="dxa"/>
          <w:bottom w:w="28" w:type="dxa"/>
          <w:right w:w="28" w:type="dxa"/>
        </w:tblCellMar>
      </w:tblPr>
      <w:tblGrid>
        <w:gridCol w:w="3726"/>
        <w:gridCol w:w="146"/>
        <w:gridCol w:w="259"/>
        <w:gridCol w:w="426"/>
        <w:gridCol w:w="204"/>
        <w:gridCol w:w="179"/>
        <w:gridCol w:w="259"/>
        <w:gridCol w:w="426"/>
        <w:gridCol w:w="166"/>
        <w:gridCol w:w="146"/>
        <w:gridCol w:w="259"/>
        <w:gridCol w:w="388"/>
        <w:gridCol w:w="204"/>
        <w:gridCol w:w="179"/>
        <w:gridCol w:w="259"/>
        <w:gridCol w:w="388"/>
        <w:gridCol w:w="411"/>
      </w:tblGrid>
      <w:tr>
        <w:trPr/>
        <w:tc>
          <w:tcPr>
            <w:tcW w:w="3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3"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77"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Environmental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Total expense, net of receivable activity</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sz w:val="22"/>
        </w:rPr>
      </w:pPr>
      <w:r>
        <w:rPr>
          <w:rFonts w:ascii="Times New Roman" w:hAnsi="Times New Roman"/>
          <w:color w:val="000000"/>
          <w:sz w:val="16"/>
        </w:rPr>
        <w:t>Net expense of $14</w:t>
      </w:r>
      <w:r>
        <w:rPr>
          <w:rFonts w:ascii="Times New Roman" w:hAnsi="Times New Roman"/>
          <w:color w:val="000000"/>
          <w:sz w:val="22"/>
        </w:rPr>
        <w:t xml:space="preserve"> </w:t>
      </w:r>
      <w:r>
        <w:rPr>
          <w:rFonts w:ascii="Times New Roman" w:hAnsi="Times New Roman"/>
          <w:color w:val="000000"/>
          <w:sz w:val="16"/>
        </w:rPr>
        <w:t>million for the three and nine months ended June 30, 2025</w:t>
      </w:r>
      <w:r>
        <w:rPr>
          <w:rFonts w:ascii="Times New Roman" w:hAnsi="Times New Roman"/>
          <w:color w:val="000000"/>
          <w:sz w:val="22"/>
        </w:rPr>
        <w:t xml:space="preserve"> </w:t>
      </w:r>
      <w:r>
        <w:rPr>
          <w:rFonts w:ascii="Times New Roman" w:hAnsi="Times New Roman"/>
          <w:color w:val="000000"/>
          <w:sz w:val="16"/>
        </w:rPr>
        <w:t>and $8</w:t>
      </w:r>
      <w:r>
        <w:rPr>
          <w:rFonts w:ascii="Times New Roman" w:hAnsi="Times New Roman"/>
          <w:color w:val="000000"/>
          <w:sz w:val="22"/>
        </w:rPr>
        <w:t xml:space="preserve"> </w:t>
      </w:r>
      <w:r>
        <w:rPr>
          <w:rFonts w:ascii="Times New Roman" w:hAnsi="Times New Roman"/>
          <w:color w:val="000000"/>
          <w:sz w:val="16"/>
        </w:rPr>
        <w:t>million and $10</w:t>
      </w:r>
      <w:r>
        <w:rPr>
          <w:rFonts w:ascii="Times New Roman" w:hAnsi="Times New Roman"/>
          <w:color w:val="000000"/>
          <w:sz w:val="22"/>
        </w:rPr>
        <w:t xml:space="preserve"> </w:t>
      </w:r>
      <w:r>
        <w:rPr>
          <w:rFonts w:ascii="Times New Roman" w:hAnsi="Times New Roman"/>
          <w:color w:val="000000"/>
          <w:sz w:val="16"/>
        </w:rPr>
        <w:t>million for the three and nine months ended June 30, 2024, respectively, relates to divested businesses which qualified for treatment as discontinued operations for which certain environmental liabilities were retained by Ashland. These amounts are classified within the loss from discontinued operations, net of income taxes caption of the Statements of Condensed Consolidated Comprehensive Income (Loss).</w:t>
      </w:r>
    </w:p>
    <w:p>
      <w:pPr>
        <w:pStyle w:val="TextBody"/>
        <w:bidi w:val="0"/>
        <w:spacing w:before="120" w:after="283"/>
        <w:jc w:val="both"/>
        <w:rPr>
          <w:rFonts w:ascii="Times New Roman" w:hAnsi="Times New Roman"/>
          <w:sz w:val="20"/>
        </w:rPr>
      </w:pPr>
      <w:r>
        <w:rPr>
          <w:rFonts w:ascii="Times New Roman" w:hAnsi="Times New Roman"/>
          <w:color w:val="000000"/>
          <w:sz w:val="22"/>
        </w:rPr>
        <w:t>Environmental remediation reserves are subject to uncertainties that affect Ashland’s ability to estimate its share of the costs. Such uncertainties involve the nature and extent of contamination at each site and the extent of required cleanup efforts under existing environmental regulations. Although it is not possible to predict with certainty the ultimate costs of environmental remediation, Ashland currently estimates that the upper end of the reasonably possible range of future costs for identified sites could be as high as approximately $510</w:t>
      </w:r>
      <w:r>
        <w:rPr>
          <w:rFonts w:ascii="Times New Roman" w:hAnsi="Times New Roman"/>
          <w:color w:val="000000"/>
          <w:sz w:val="20"/>
        </w:rPr>
        <w:t xml:space="preserve"> </w:t>
      </w:r>
      <w:r>
        <w:rPr>
          <w:rFonts w:ascii="Times New Roman" w:hAnsi="Times New Roman"/>
          <w:color w:val="000000"/>
          <w:sz w:val="22"/>
        </w:rPr>
        <w:t>million. The largest reserve for any site is 20% of the remediation reserve as of June 30, 2025.</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Other legal proceedings and claims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June 30, 2025. There is a reasonable possibility that a loss exceeding amounts already recognized may be incurred related to these actions; however, Ashland believes that such potential losses were immaterial as of June 30,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sz w:val="20"/>
        </w:rPr>
      </w:pPr>
      <w:r>
        <w:rPr>
          <w:rFonts w:ascii="Times New Roman" w:hAnsi="Times New Roman"/>
          <w:b/>
          <w:color w:val="000000"/>
          <w:sz w:val="22"/>
        </w:rPr>
        <w:t>NOTE M</w:t>
      </w:r>
      <w:r>
        <w:rPr>
          <w:rFonts w:ascii="Times New Roman" w:hAnsi="Times New Roman"/>
          <w:color w:val="000000"/>
          <w:sz w:val="20"/>
        </w:rPr>
        <w:t xml:space="preserve"> – </w:t>
      </w:r>
      <w:r>
        <w:rPr>
          <w:rFonts w:ascii="Times New Roman" w:hAnsi="Times New Roman"/>
          <w:b/>
          <w:color w:val="000000"/>
          <w:sz w:val="22"/>
        </w:rPr>
        <w:t>EARNINGS (LOSS) PER SHARE</w:t>
      </w:r>
    </w:p>
    <w:p>
      <w:pPr>
        <w:pStyle w:val="TextBody"/>
        <w:bidi w:val="0"/>
        <w:spacing w:before="120" w:after="40"/>
        <w:jc w:val="both"/>
        <w:rPr>
          <w:rFonts w:ascii="Times New Roman" w:hAnsi="Times New Roman"/>
          <w:color w:val="000000"/>
          <w:sz w:val="22"/>
        </w:rPr>
      </w:pPr>
      <w:r>
        <w:rPr>
          <w:rFonts w:ascii="Times New Roman" w:hAnsi="Times New Roman"/>
          <w:color w:val="000000"/>
          <w:sz w:val="22"/>
        </w:rPr>
        <w:t>The following is the computation of basic and diluted earnings (loss) per share ("EPS") from continuing operations attributable to Ashland. Stock appreciation rights and warrants available to purchase shares outstanding for each reporting period whose exercise price was greater than the average market price of Ashland common stock for each applicable period were not included in the computation of income (loss) from continuing operations per diluted share because the effect of these instruments would be antidilutive. The total number of these shares outstanding was approximately 2 million and 1 million at June 30, 2025 and 2024, respectively. The majority of these shares are for warrants with a strike price of $128.66. EPS is reported under the treasury stock method.</w:t>
      </w:r>
    </w:p>
    <w:tbl>
      <w:tblPr>
        <w:tblW w:w="10205" w:type="dxa"/>
        <w:jc w:val="left"/>
        <w:tblInd w:w="0" w:type="dxa"/>
        <w:tblLayout w:type="fixed"/>
        <w:tblCellMar>
          <w:top w:w="28" w:type="dxa"/>
          <w:left w:w="28" w:type="dxa"/>
          <w:bottom w:w="28" w:type="dxa"/>
          <w:right w:w="28" w:type="dxa"/>
        </w:tblCellMar>
      </w:tblPr>
      <w:tblGrid>
        <w:gridCol w:w="5514"/>
        <w:gridCol w:w="346"/>
        <w:gridCol w:w="211"/>
        <w:gridCol w:w="631"/>
        <w:gridCol w:w="166"/>
        <w:gridCol w:w="146"/>
        <w:gridCol w:w="211"/>
        <w:gridCol w:w="466"/>
        <w:gridCol w:w="146"/>
        <w:gridCol w:w="146"/>
        <w:gridCol w:w="211"/>
        <w:gridCol w:w="631"/>
        <w:gridCol w:w="166"/>
        <w:gridCol w:w="146"/>
        <w:gridCol w:w="211"/>
        <w:gridCol w:w="466"/>
        <w:gridCol w:w="391"/>
      </w:tblGrid>
      <w:tr>
        <w:trPr/>
        <w:tc>
          <w:tcPr>
            <w:tcW w:w="551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31"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31"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 except per share data)</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for basic and diluted EPS - Income (loss) from continuing operations, net of tax</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basic EPS - Weighted-average common shares outstanding</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based awards convertible to common shares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diluted EPS - Adjusted weighted-average shares and assumed conversions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EPS from continuing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Diluted</w:t>
            </w:r>
            <w:r>
              <w:rPr>
                <w:rFonts w:ascii="Times New Roman" w:hAnsi="Times New Roman"/>
                <w:color w:val="000000"/>
                <w:sz w:val="13"/>
              </w:rPr>
              <w:t>(a)</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As a result of the loss from continuing operations attributable to Ashland during the three and nine months ended June 30, 2025, the effect of the share-based awards convertible to common stock would be antidilutive and have been excluded from the diluted EPS calculation.</w:t>
      </w:r>
    </w:p>
    <w:p>
      <w:pPr>
        <w:pStyle w:val="TextBody"/>
        <w:bidi w:val="0"/>
        <w:spacing w:before="120" w:after="283"/>
        <w:jc w:val="both"/>
        <w:rPr>
          <w:rFonts w:ascii="Times New Roman" w:hAnsi="Times New Roman"/>
          <w:sz w:val="20"/>
        </w:rPr>
      </w:pPr>
      <w:r>
        <w:rPr>
          <w:rFonts w:ascii="Times New Roman" w:hAnsi="Times New Roman"/>
          <w:b/>
          <w:color w:val="000000"/>
          <w:sz w:val="22"/>
        </w:rPr>
        <w:t>NOTE N</w:t>
      </w:r>
      <w:r>
        <w:rPr>
          <w:rFonts w:ascii="Times New Roman" w:hAnsi="Times New Roman"/>
          <w:color w:val="000000"/>
          <w:sz w:val="20"/>
        </w:rPr>
        <w:t xml:space="preserve"> – </w:t>
      </w:r>
      <w:r>
        <w:rPr>
          <w:rFonts w:ascii="Times New Roman" w:hAnsi="Times New Roman"/>
          <w:b/>
          <w:color w:val="000000"/>
          <w:sz w:val="22"/>
        </w:rPr>
        <w:t>EQUITY ITEMS</w:t>
      </w:r>
    </w:p>
    <w:p>
      <w:pPr>
        <w:pStyle w:val="TextBody"/>
        <w:bidi w:val="0"/>
        <w:spacing w:before="120" w:after="283"/>
        <w:jc w:val="both"/>
        <w:rPr>
          <w:rFonts w:ascii="Times New Roman" w:hAnsi="Times New Roman"/>
          <w:sz w:val="20"/>
        </w:rPr>
      </w:pPr>
      <w:r>
        <w:rPr>
          <w:rFonts w:ascii="Times New Roman" w:hAnsi="Times New Roman"/>
          <w:b/>
          <w:color w:val="000000"/>
          <w:sz w:val="22"/>
        </w:rPr>
        <w:t>2023 Stock repurchase program</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22"/>
        </w:rPr>
        <w:t>On June 28, 2023, Ashland's board of directors authorized a new evergreen $1</w:t>
      </w:r>
      <w:r>
        <w:rPr>
          <w:rFonts w:ascii="Times New Roman" w:hAnsi="Times New Roman"/>
          <w:color w:val="000000"/>
          <w:sz w:val="20"/>
        </w:rPr>
        <w:t xml:space="preserve"> </w:t>
      </w:r>
      <w:r>
        <w:rPr>
          <w:rFonts w:ascii="Times New Roman" w:hAnsi="Times New Roman"/>
          <w:color w:val="000000"/>
          <w:sz w:val="22"/>
        </w:rPr>
        <w:t>billion common share repurchase program ("2023 Stock Repurchase Program"). The new authorization terminated and replaced the 2022 Stock Repurchase Program, which had $200</w:t>
      </w:r>
      <w:r>
        <w:rPr>
          <w:rFonts w:ascii="Times New Roman" w:hAnsi="Times New Roman"/>
          <w:color w:val="000000"/>
          <w:sz w:val="20"/>
        </w:rPr>
        <w:t xml:space="preserve"> </w:t>
      </w:r>
      <w:r>
        <w:rPr>
          <w:rFonts w:ascii="Times New Roman" w:hAnsi="Times New Roman"/>
          <w:color w:val="000000"/>
          <w:sz w:val="22"/>
        </w:rPr>
        <w:t>million outstanding at the date of termination. As of June 30, 2025, $520</w:t>
      </w:r>
      <w:r>
        <w:rPr>
          <w:rFonts w:ascii="Times New Roman" w:hAnsi="Times New Roman"/>
          <w:color w:val="000000"/>
          <w:sz w:val="20"/>
        </w:rPr>
        <w:t xml:space="preserve"> </w:t>
      </w:r>
      <w:r>
        <w:rPr>
          <w:rFonts w:ascii="Times New Roman" w:hAnsi="Times New Roman"/>
          <w:color w:val="000000"/>
          <w:sz w:val="22"/>
        </w:rPr>
        <w:t>million remained available for repurchase under the 2023 Stock Repurchase Program.</w:t>
      </w:r>
    </w:p>
    <w:p>
      <w:pPr>
        <w:pStyle w:val="TextBody"/>
        <w:bidi w:val="0"/>
        <w:spacing w:before="0" w:after="40"/>
        <w:jc w:val="both"/>
        <w:rPr>
          <w:rFonts w:ascii="Times New Roman" w:hAnsi="Times New Roman"/>
          <w:color w:val="000000"/>
          <w:sz w:val="22"/>
        </w:rPr>
      </w:pPr>
      <w:r>
        <w:rPr>
          <w:rFonts w:ascii="Times New Roman" w:hAnsi="Times New Roman"/>
          <w:color w:val="000000"/>
          <w:sz w:val="22"/>
        </w:rPr>
        <w:t>The following table provides the common stock repurchase activity:</w:t>
      </w:r>
    </w:p>
    <w:tbl>
      <w:tblPr>
        <w:tblW w:w="10205" w:type="dxa"/>
        <w:jc w:val="left"/>
        <w:tblInd w:w="0" w:type="dxa"/>
        <w:tblLayout w:type="fixed"/>
        <w:tblCellMar>
          <w:top w:w="28" w:type="dxa"/>
          <w:left w:w="28" w:type="dxa"/>
          <w:bottom w:w="28" w:type="dxa"/>
          <w:right w:w="28" w:type="dxa"/>
        </w:tblCellMar>
      </w:tblPr>
      <w:tblGrid>
        <w:gridCol w:w="2376"/>
        <w:gridCol w:w="146"/>
        <w:gridCol w:w="220"/>
        <w:gridCol w:w="360"/>
        <w:gridCol w:w="152"/>
        <w:gridCol w:w="152"/>
        <w:gridCol w:w="540"/>
        <w:gridCol w:w="1466"/>
        <w:gridCol w:w="146"/>
        <w:gridCol w:w="146"/>
        <w:gridCol w:w="540"/>
        <w:gridCol w:w="1466"/>
        <w:gridCol w:w="146"/>
        <w:gridCol w:w="146"/>
        <w:gridCol w:w="540"/>
        <w:gridCol w:w="1466"/>
        <w:gridCol w:w="197"/>
      </w:tblGrid>
      <w:tr>
        <w:trPr/>
        <w:tc>
          <w:tcPr>
            <w:tcW w:w="2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3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90"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304"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1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price per share</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Aggregate purchase price</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 Stock Repurchase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 Stock Repurchase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 Stock Repurchase Program</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Includes transactions costs.</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Stockholder dividends</w:t>
      </w:r>
    </w:p>
    <w:p>
      <w:pPr>
        <w:pStyle w:val="TextBody"/>
        <w:bidi w:val="0"/>
        <w:spacing w:before="120" w:after="120"/>
        <w:jc w:val="both"/>
        <w:rPr>
          <w:rFonts w:ascii="Times New Roman" w:hAnsi="Times New Roman"/>
          <w:sz w:val="20"/>
        </w:rPr>
      </w:pPr>
      <w:r>
        <w:rPr>
          <w:rFonts w:ascii="Times New Roman" w:hAnsi="Times New Roman"/>
          <w:color w:val="000000"/>
          <w:sz w:val="22"/>
        </w:rPr>
        <w:t>On May 6, 2025, Ashland's Board declared a quarterly cash dividend of $0.415</w:t>
      </w:r>
      <w:r>
        <w:rPr>
          <w:rFonts w:ascii="Times New Roman" w:hAnsi="Times New Roman"/>
          <w:color w:val="000000"/>
          <w:sz w:val="20"/>
        </w:rPr>
        <w:t xml:space="preserve"> </w:t>
      </w:r>
      <w:r>
        <w:rPr>
          <w:rFonts w:ascii="Times New Roman" w:hAnsi="Times New Roman"/>
          <w:color w:val="000000"/>
          <w:sz w:val="22"/>
        </w:rPr>
        <w:t>per share on the company's common stock representing a 2% increase from the previous quarter. The dividend was paid in the third quarter of fiscal 2025. Dividends of $0.405</w:t>
      </w:r>
      <w:r>
        <w:rPr>
          <w:rFonts w:ascii="Times New Roman" w:hAnsi="Times New Roman"/>
          <w:color w:val="000000"/>
          <w:sz w:val="20"/>
        </w:rPr>
        <w:t xml:space="preserve"> </w:t>
      </w:r>
      <w:r>
        <w:rPr>
          <w:rFonts w:ascii="Times New Roman" w:hAnsi="Times New Roman"/>
          <w:color w:val="000000"/>
          <w:sz w:val="22"/>
        </w:rPr>
        <w:t>per share were paid in the first and second quarters of fiscal 2025 and the third quarter of fiscal 2024 and $0.385</w:t>
      </w:r>
      <w:r>
        <w:rPr>
          <w:rFonts w:ascii="Times New Roman" w:hAnsi="Times New Roman"/>
          <w:color w:val="000000"/>
          <w:sz w:val="20"/>
        </w:rPr>
        <w:t xml:space="preserve"> </w:t>
      </w:r>
      <w:r>
        <w:rPr>
          <w:rFonts w:ascii="Times New Roman" w:hAnsi="Times New Roman"/>
          <w:color w:val="000000"/>
          <w:sz w:val="22"/>
        </w:rPr>
        <w:t>per share were paid in the first and second quarters of fiscal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Accumulated other comprehensive loss</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Components of other comprehensive income (loss) recorded in the Statements of Condensed Consolidated Comprehensive Income (Loss) are presented below, before tax and net of tax effects.</w:t>
      </w:r>
    </w:p>
    <w:tbl>
      <w:tblPr>
        <w:tblW w:w="10205" w:type="dxa"/>
        <w:jc w:val="left"/>
        <w:tblInd w:w="0" w:type="dxa"/>
        <w:tblLayout w:type="fixed"/>
        <w:tblCellMar>
          <w:top w:w="28" w:type="dxa"/>
          <w:left w:w="28" w:type="dxa"/>
          <w:bottom w:w="28" w:type="dxa"/>
          <w:right w:w="28" w:type="dxa"/>
        </w:tblCellMar>
      </w:tblPr>
      <w:tblGrid>
        <w:gridCol w:w="3087"/>
        <w:gridCol w:w="146"/>
        <w:gridCol w:w="269"/>
        <w:gridCol w:w="406"/>
        <w:gridCol w:w="166"/>
        <w:gridCol w:w="146"/>
        <w:gridCol w:w="573"/>
        <w:gridCol w:w="946"/>
        <w:gridCol w:w="166"/>
        <w:gridCol w:w="146"/>
        <w:gridCol w:w="242"/>
        <w:gridCol w:w="363"/>
        <w:gridCol w:w="166"/>
        <w:gridCol w:w="146"/>
        <w:gridCol w:w="242"/>
        <w:gridCol w:w="432"/>
        <w:gridCol w:w="166"/>
        <w:gridCol w:w="146"/>
        <w:gridCol w:w="347"/>
        <w:gridCol w:w="569"/>
        <w:gridCol w:w="146"/>
        <w:gridCol w:w="146"/>
        <w:gridCol w:w="225"/>
        <w:gridCol w:w="400"/>
        <w:gridCol w:w="418"/>
      </w:tblGrid>
      <w:tr>
        <w:trPr/>
        <w:tc>
          <w:tcPr>
            <w:tcW w:w="3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Before </w:t>
              <w:br/>
              <w:t>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Tax benefit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Net of </w:t>
              <w:br/>
              <w:t>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Before </w:t>
              <w:br/>
              <w:t>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Tax 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Net of </w:t>
              <w:br/>
              <w:t>tax</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translation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commodity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Nine months ended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translation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commodity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80" w:after="120"/>
        <w:jc w:val="both"/>
        <w:rPr>
          <w:rFonts w:ascii="Times New Roman" w:hAnsi="Times New Roman"/>
          <w:b/>
          <w:color w:val="000000"/>
          <w:sz w:val="22"/>
        </w:rPr>
      </w:pPr>
      <w:r>
        <w:rPr>
          <w:rFonts w:ascii="Times New Roman" w:hAnsi="Times New Roman"/>
          <w:b/>
          <w:color w:val="000000"/>
          <w:sz w:val="22"/>
        </w:rPr>
        <w:t>Summary of stockholders’ equity</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 reconciliation of changes in stockholders’ equity are as follows:</w:t>
      </w:r>
    </w:p>
    <w:tbl>
      <w:tblPr>
        <w:tblW w:w="9827" w:type="dxa"/>
        <w:jc w:val="left"/>
        <w:tblInd w:w="0" w:type="dxa"/>
        <w:tblLayout w:type="fixed"/>
        <w:tblCellMar>
          <w:top w:w="28" w:type="dxa"/>
          <w:left w:w="28" w:type="dxa"/>
          <w:bottom w:w="28" w:type="dxa"/>
          <w:right w:w="28" w:type="dxa"/>
        </w:tblCellMar>
      </w:tblPr>
      <w:tblGrid>
        <w:gridCol w:w="5206"/>
        <w:gridCol w:w="146"/>
        <w:gridCol w:w="211"/>
        <w:gridCol w:w="571"/>
        <w:gridCol w:w="166"/>
        <w:gridCol w:w="146"/>
        <w:gridCol w:w="211"/>
        <w:gridCol w:w="571"/>
        <w:gridCol w:w="166"/>
        <w:gridCol w:w="146"/>
        <w:gridCol w:w="211"/>
        <w:gridCol w:w="571"/>
        <w:gridCol w:w="166"/>
        <w:gridCol w:w="146"/>
        <w:gridCol w:w="211"/>
        <w:gridCol w:w="571"/>
        <w:gridCol w:w="411"/>
      </w:tblGrid>
      <w:tr>
        <w:trPr/>
        <w:tc>
          <w:tcPr>
            <w:tcW w:w="5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7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7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Common stock and paid 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Common shares issued under stock incentive and other plans</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Common shares purchased under repurchase program</w:t>
            </w:r>
            <w:r>
              <w:rPr>
                <w:rFonts w:ascii="Times New Roman" w:hAnsi="Times New Roman"/>
                <w:color w:val="000000"/>
                <w:sz w:val="13"/>
              </w:rPr>
              <w:t>(b)(c)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Regular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Common shares purchased under repurchase program</w:t>
            </w:r>
            <w:r>
              <w:rPr>
                <w:rFonts w:ascii="Times New Roman" w:hAnsi="Times New Roman"/>
                <w:color w:val="000000"/>
                <w:sz w:val="13"/>
              </w:rPr>
              <w:t>(b)(c)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translation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(loss) on commodity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dividends declared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40" w:after="283"/>
        <w:jc w:val="both"/>
        <w:rPr>
          <w:rFonts w:ascii="Times New Roman" w:hAnsi="Times New Roman"/>
          <w:sz w:val="22"/>
        </w:rPr>
      </w:pPr>
      <w:r>
        <w:rPr>
          <w:rFonts w:ascii="Times New Roman" w:hAnsi="Times New Roman"/>
          <w:color w:val="000000"/>
          <w:sz w:val="16"/>
        </w:rPr>
        <w:t>Common stock issued were 11,423</w:t>
      </w:r>
      <w:r>
        <w:rPr>
          <w:rFonts w:ascii="Times New Roman" w:hAnsi="Times New Roman"/>
          <w:color w:val="000000"/>
          <w:sz w:val="22"/>
        </w:rPr>
        <w:t xml:space="preserve"> </w:t>
      </w:r>
      <w:r>
        <w:rPr>
          <w:rFonts w:ascii="Times New Roman" w:hAnsi="Times New Roman"/>
          <w:color w:val="000000"/>
          <w:sz w:val="16"/>
        </w:rPr>
        <w:t>and 18,909</w:t>
      </w:r>
      <w:r>
        <w:rPr>
          <w:rFonts w:ascii="Times New Roman" w:hAnsi="Times New Roman"/>
          <w:color w:val="000000"/>
          <w:sz w:val="22"/>
        </w:rPr>
        <w:t xml:space="preserve"> </w:t>
      </w:r>
      <w:r>
        <w:rPr>
          <w:rFonts w:ascii="Times New Roman" w:hAnsi="Times New Roman"/>
          <w:color w:val="000000"/>
          <w:sz w:val="16"/>
        </w:rPr>
        <w:t>for the three months ended June 30, 2025 and 2024, respectively, and 139,824</w:t>
      </w:r>
      <w:r>
        <w:rPr>
          <w:rFonts w:ascii="Times New Roman" w:hAnsi="Times New Roman"/>
          <w:color w:val="000000"/>
          <w:sz w:val="22"/>
        </w:rPr>
        <w:t xml:space="preserve"> </w:t>
      </w:r>
      <w:r>
        <w:rPr>
          <w:rFonts w:ascii="Times New Roman" w:hAnsi="Times New Roman"/>
          <w:color w:val="000000"/>
          <w:sz w:val="16"/>
        </w:rPr>
        <w:t>and 129,716</w:t>
      </w:r>
      <w:r>
        <w:rPr>
          <w:rFonts w:ascii="Times New Roman" w:hAnsi="Times New Roman"/>
          <w:color w:val="000000"/>
          <w:sz w:val="22"/>
        </w:rPr>
        <w:t xml:space="preserve"> </w:t>
      </w:r>
      <w:r>
        <w:rPr>
          <w:rFonts w:ascii="Times New Roman" w:hAnsi="Times New Roman"/>
          <w:color w:val="000000"/>
          <w:sz w:val="16"/>
        </w:rPr>
        <w:t>for the nine months ended June 30, 2025 and 2024, respectively. Includes $1</w:t>
      </w:r>
      <w:r>
        <w:rPr>
          <w:rFonts w:ascii="Times New Roman" w:hAnsi="Times New Roman"/>
          <w:color w:val="000000"/>
          <w:sz w:val="22"/>
        </w:rPr>
        <w:t xml:space="preserve"> </w:t>
      </w:r>
      <w:r>
        <w:rPr>
          <w:rFonts w:ascii="Times New Roman" w:hAnsi="Times New Roman"/>
          <w:color w:val="000000"/>
          <w:sz w:val="16"/>
        </w:rPr>
        <w:t>million for both the three months ended June 30, 2025 and 2024, and $4</w:t>
      </w:r>
      <w:r>
        <w:rPr>
          <w:rFonts w:ascii="Times New Roman" w:hAnsi="Times New Roman"/>
          <w:color w:val="000000"/>
          <w:sz w:val="22"/>
        </w:rPr>
        <w:t xml:space="preserve"> </w:t>
      </w:r>
      <w:r>
        <w:rPr>
          <w:rFonts w:ascii="Times New Roman" w:hAnsi="Times New Roman"/>
          <w:color w:val="000000"/>
          <w:sz w:val="16"/>
        </w:rPr>
        <w:t>million and $5</w:t>
      </w:r>
      <w:r>
        <w:rPr>
          <w:rFonts w:ascii="Times New Roman" w:hAnsi="Times New Roman"/>
          <w:color w:val="000000"/>
          <w:sz w:val="22"/>
        </w:rPr>
        <w:t xml:space="preserve"> </w:t>
      </w:r>
      <w:r>
        <w:rPr>
          <w:rFonts w:ascii="Times New Roman" w:hAnsi="Times New Roman"/>
          <w:color w:val="000000"/>
          <w:sz w:val="16"/>
        </w:rPr>
        <w:t>million for the nine months ended June 30, 2025 and 2024, respectively, associated with stock-based compensation employee withholding taxes.</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(b)</w:t>
      </w:r>
    </w:p>
    <w:p>
      <w:pPr>
        <w:pStyle w:val="TextBody"/>
        <w:bidi w:val="0"/>
        <w:spacing w:before="40" w:after="283"/>
        <w:jc w:val="both"/>
        <w:rPr>
          <w:rFonts w:ascii="Times New Roman" w:hAnsi="Times New Roman"/>
          <w:sz w:val="22"/>
        </w:rPr>
      </w:pPr>
      <w:r>
        <w:rPr>
          <w:rFonts w:ascii="Times New Roman" w:hAnsi="Times New Roman"/>
          <w:color w:val="000000"/>
          <w:sz w:val="16"/>
        </w:rPr>
        <w:t>Common stock repurchased were zero</w:t>
      </w:r>
      <w:r>
        <w:rPr>
          <w:rFonts w:ascii="Times New Roman" w:hAnsi="Times New Roman"/>
          <w:color w:val="000000"/>
          <w:sz w:val="22"/>
        </w:rPr>
        <w:t xml:space="preserve"> </w:t>
      </w:r>
      <w:r>
        <w:rPr>
          <w:rFonts w:ascii="Times New Roman" w:hAnsi="Times New Roman"/>
          <w:color w:val="000000"/>
          <w:sz w:val="16"/>
        </w:rPr>
        <w:t>and 1,541,320</w:t>
      </w:r>
      <w:r>
        <w:rPr>
          <w:rFonts w:ascii="Times New Roman" w:hAnsi="Times New Roman"/>
          <w:color w:val="000000"/>
          <w:sz w:val="22"/>
        </w:rPr>
        <w:t xml:space="preserve"> </w:t>
      </w:r>
      <w:r>
        <w:rPr>
          <w:rFonts w:ascii="Times New Roman" w:hAnsi="Times New Roman"/>
          <w:color w:val="000000"/>
          <w:sz w:val="16"/>
        </w:rPr>
        <w:t>for the three and nine months ended June 30, 2025, respectively, and 1,314,485</w:t>
      </w:r>
      <w:r>
        <w:rPr>
          <w:rFonts w:ascii="Times New Roman" w:hAnsi="Times New Roman"/>
          <w:color w:val="000000"/>
          <w:sz w:val="22"/>
        </w:rPr>
        <w:t xml:space="preserve"> </w:t>
      </w:r>
      <w:r>
        <w:rPr>
          <w:rFonts w:ascii="Times New Roman" w:hAnsi="Times New Roman"/>
          <w:color w:val="000000"/>
          <w:sz w:val="16"/>
        </w:rPr>
        <w:t>and 2,552,697</w:t>
      </w:r>
      <w:r>
        <w:rPr>
          <w:rFonts w:ascii="Times New Roman" w:hAnsi="Times New Roman"/>
          <w:color w:val="000000"/>
          <w:sz w:val="22"/>
        </w:rPr>
        <w:t xml:space="preserve"> </w:t>
      </w:r>
      <w:r>
        <w:rPr>
          <w:rFonts w:ascii="Times New Roman" w:hAnsi="Times New Roman"/>
          <w:color w:val="000000"/>
          <w:sz w:val="16"/>
        </w:rPr>
        <w:t>for the three and nine months ended June 30, 2024, respectively.</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(c)</w:t>
      </w:r>
    </w:p>
    <w:p>
      <w:pPr>
        <w:pStyle w:val="TextBody"/>
        <w:bidi w:val="0"/>
        <w:spacing w:before="40" w:after="283"/>
        <w:jc w:val="both"/>
        <w:rPr>
          <w:rFonts w:ascii="Times New Roman" w:hAnsi="Times New Roman"/>
          <w:sz w:val="22"/>
        </w:rPr>
      </w:pPr>
      <w:r>
        <w:rPr>
          <w:rFonts w:ascii="Times New Roman" w:hAnsi="Times New Roman"/>
          <w:color w:val="000000"/>
          <w:sz w:val="16"/>
        </w:rPr>
        <w:t>Includes zero</w:t>
      </w:r>
      <w:r>
        <w:rPr>
          <w:rFonts w:ascii="Times New Roman" w:hAnsi="Times New Roman"/>
          <w:color w:val="000000"/>
          <w:sz w:val="22"/>
        </w:rPr>
        <w:t xml:space="preserve"> </w:t>
      </w:r>
      <w:r>
        <w:rPr>
          <w:rFonts w:ascii="Times New Roman" w:hAnsi="Times New Roman"/>
          <w:color w:val="000000"/>
          <w:sz w:val="16"/>
        </w:rPr>
        <w:t>and $1</w:t>
      </w:r>
      <w:r>
        <w:rPr>
          <w:rFonts w:ascii="Times New Roman" w:hAnsi="Times New Roman"/>
          <w:color w:val="000000"/>
          <w:sz w:val="22"/>
        </w:rPr>
        <w:t xml:space="preserve"> </w:t>
      </w:r>
      <w:r>
        <w:rPr>
          <w:rFonts w:ascii="Times New Roman" w:hAnsi="Times New Roman"/>
          <w:color w:val="000000"/>
          <w:sz w:val="16"/>
        </w:rPr>
        <w:t>million in excise tax on common stock repurchases for the three and nine months ended June 30, 2025, respectively, and $1</w:t>
      </w:r>
      <w:r>
        <w:rPr>
          <w:rFonts w:ascii="Times New Roman" w:hAnsi="Times New Roman"/>
          <w:color w:val="000000"/>
          <w:sz w:val="22"/>
        </w:rPr>
        <w:t xml:space="preserve"> </w:t>
      </w:r>
      <w:r>
        <w:rPr>
          <w:rFonts w:ascii="Times New Roman" w:hAnsi="Times New Roman"/>
          <w:color w:val="000000"/>
          <w:sz w:val="16"/>
        </w:rPr>
        <w:t>million and $2</w:t>
      </w:r>
      <w:r>
        <w:rPr>
          <w:rFonts w:ascii="Times New Roman" w:hAnsi="Times New Roman"/>
          <w:color w:val="000000"/>
          <w:sz w:val="22"/>
        </w:rPr>
        <w:t xml:space="preserve"> </w:t>
      </w:r>
      <w:r>
        <w:rPr>
          <w:rFonts w:ascii="Times New Roman" w:hAnsi="Times New Roman"/>
          <w:color w:val="000000"/>
          <w:sz w:val="16"/>
        </w:rPr>
        <w:t>million for the three and nine months ended June 30, 2024, respectively. Ashland paid a total of zero</w:t>
      </w:r>
      <w:r>
        <w:rPr>
          <w:rFonts w:ascii="Times New Roman" w:hAnsi="Times New Roman"/>
          <w:color w:val="000000"/>
          <w:sz w:val="22"/>
        </w:rPr>
        <w:t xml:space="preserve"> </w:t>
      </w:r>
      <w:r>
        <w:rPr>
          <w:rFonts w:ascii="Times New Roman" w:hAnsi="Times New Roman"/>
          <w:color w:val="000000"/>
          <w:sz w:val="16"/>
        </w:rPr>
        <w:t>and $100</w:t>
      </w:r>
      <w:r>
        <w:rPr>
          <w:rFonts w:ascii="Times New Roman" w:hAnsi="Times New Roman"/>
          <w:color w:val="000000"/>
          <w:sz w:val="22"/>
        </w:rPr>
        <w:t xml:space="preserve"> </w:t>
      </w:r>
      <w:r>
        <w:rPr>
          <w:rFonts w:ascii="Times New Roman" w:hAnsi="Times New Roman"/>
          <w:color w:val="000000"/>
          <w:sz w:val="16"/>
        </w:rPr>
        <w:t>million for the three and nine months ended June 30, 2025, respectively, and $130</w:t>
      </w:r>
      <w:r>
        <w:rPr>
          <w:rFonts w:ascii="Times New Roman" w:hAnsi="Times New Roman"/>
          <w:color w:val="000000"/>
          <w:sz w:val="22"/>
        </w:rPr>
        <w:t xml:space="preserve"> </w:t>
      </w:r>
      <w:r>
        <w:rPr>
          <w:rFonts w:ascii="Times New Roman" w:hAnsi="Times New Roman"/>
          <w:color w:val="000000"/>
          <w:sz w:val="16"/>
        </w:rPr>
        <w:t>million and $230</w:t>
      </w:r>
      <w:r>
        <w:rPr>
          <w:rFonts w:ascii="Times New Roman" w:hAnsi="Times New Roman"/>
          <w:color w:val="000000"/>
          <w:sz w:val="22"/>
        </w:rPr>
        <w:t xml:space="preserve"> </w:t>
      </w:r>
      <w:r>
        <w:rPr>
          <w:rFonts w:ascii="Times New Roman" w:hAnsi="Times New Roman"/>
          <w:color w:val="000000"/>
          <w:sz w:val="16"/>
        </w:rPr>
        <w:t>million for the three and nine months ended June 30, 2024, respectively, for common stock repurchases.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NOTE O – STOCK INCENTIVE PLANS</w:t>
      </w:r>
    </w:p>
    <w:p>
      <w:pPr>
        <w:pStyle w:val="TextBody"/>
        <w:bidi w:val="0"/>
        <w:jc w:val="both"/>
        <w:rPr/>
      </w:pPr>
      <w:r>
        <w:rPr/>
        <w:t>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components of Ashland’s pre-tax stock-based compensation expense included in continuing operations are as follows:</w:t>
      </w:r>
    </w:p>
    <w:tbl>
      <w:tblPr>
        <w:tblW w:w="6219" w:type="dxa"/>
        <w:jc w:val="left"/>
        <w:tblInd w:w="0" w:type="dxa"/>
        <w:tblLayout w:type="fixed"/>
        <w:tblCellMar>
          <w:top w:w="28" w:type="dxa"/>
          <w:left w:w="28" w:type="dxa"/>
          <w:bottom w:w="28" w:type="dxa"/>
          <w:right w:w="28" w:type="dxa"/>
        </w:tblCellMar>
      </w:tblPr>
      <w:tblGrid>
        <w:gridCol w:w="2191"/>
        <w:gridCol w:w="338"/>
        <w:gridCol w:w="338"/>
        <w:gridCol w:w="225"/>
        <w:gridCol w:w="225"/>
        <w:gridCol w:w="345"/>
        <w:gridCol w:w="345"/>
        <w:gridCol w:w="146"/>
        <w:gridCol w:w="146"/>
        <w:gridCol w:w="270"/>
        <w:gridCol w:w="405"/>
        <w:gridCol w:w="182"/>
        <w:gridCol w:w="182"/>
        <w:gridCol w:w="276"/>
        <w:gridCol w:w="414"/>
        <w:gridCol w:w="191"/>
      </w:tblGrid>
      <w:tr>
        <w:trPr/>
        <w:tc>
          <w:tcPr>
            <w:tcW w:w="219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1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729"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2025</w:t>
            </w:r>
            <w:r>
              <w:rPr>
                <w:rFonts w:ascii="Times New Roman" w:hAnsi="Times New Roman"/>
                <w:color w:val="000000"/>
                <w:sz w:val="13"/>
              </w:rPr>
              <w:t>(a)</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2024</w:t>
            </w:r>
            <w:r>
              <w:rPr>
                <w:rFonts w:ascii="Times New Roman" w:hAnsi="Times New Roman"/>
                <w:color w:val="000000"/>
                <w:sz w:val="13"/>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2025</w:t>
            </w:r>
            <w:r>
              <w:rPr>
                <w:rFonts w:ascii="Times New Roman" w:hAnsi="Times New Roman"/>
                <w:color w:val="000000"/>
                <w:sz w:val="13"/>
              </w:rPr>
              <w:t>(a)</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2024</w:t>
            </w:r>
            <w:r>
              <w:rPr>
                <w:rFonts w:ascii="Times New Roman" w:hAnsi="Times New Roman"/>
                <w:color w:val="000000"/>
                <w:sz w:val="13"/>
              </w:rPr>
              <w:t>(b)</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stock awards</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share awards</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sz w:val="22"/>
        </w:rPr>
      </w:pPr>
      <w:r>
        <w:rPr>
          <w:rFonts w:ascii="Times New Roman" w:hAnsi="Times New Roman"/>
          <w:color w:val="000000"/>
          <w:sz w:val="16"/>
        </w:rPr>
        <w:t>Included zero</w:t>
      </w:r>
      <w:r>
        <w:rPr>
          <w:rFonts w:ascii="Times New Roman" w:hAnsi="Times New Roman"/>
          <w:color w:val="000000"/>
          <w:sz w:val="22"/>
        </w:rPr>
        <w:t xml:space="preserve"> </w:t>
      </w:r>
      <w:r>
        <w:rPr>
          <w:rFonts w:ascii="Times New Roman" w:hAnsi="Times New Roman"/>
          <w:color w:val="000000"/>
          <w:sz w:val="16"/>
        </w:rPr>
        <w:t>and $1</w:t>
      </w:r>
      <w:r>
        <w:rPr>
          <w:rFonts w:ascii="Times New Roman" w:hAnsi="Times New Roman"/>
          <w:color w:val="000000"/>
          <w:sz w:val="22"/>
        </w:rPr>
        <w:t xml:space="preserve"> </w:t>
      </w:r>
      <w:r>
        <w:rPr>
          <w:rFonts w:ascii="Times New Roman" w:hAnsi="Times New Roman"/>
          <w:color w:val="000000"/>
          <w:sz w:val="16"/>
        </w:rPr>
        <w:t>million of expense related to cash-settled nonvested restricted stock awards during the three and nine months ended June 30, 2025, respectively, and zero</w:t>
      </w:r>
      <w:r>
        <w:rPr>
          <w:rFonts w:ascii="Times New Roman" w:hAnsi="Times New Roman"/>
          <w:color w:val="000000"/>
          <w:sz w:val="22"/>
        </w:rPr>
        <w:t xml:space="preserve"> </w:t>
      </w:r>
      <w:r>
        <w:rPr>
          <w:rFonts w:ascii="Times New Roman" w:hAnsi="Times New Roman"/>
          <w:color w:val="000000"/>
          <w:sz w:val="16"/>
        </w:rPr>
        <w:t>and income of $1</w:t>
      </w:r>
      <w:r>
        <w:rPr>
          <w:rFonts w:ascii="Times New Roman" w:hAnsi="Times New Roman"/>
          <w:color w:val="000000"/>
          <w:sz w:val="22"/>
        </w:rPr>
        <w:t xml:space="preserve"> </w:t>
      </w:r>
      <w:r>
        <w:rPr>
          <w:rFonts w:ascii="Times New Roman" w:hAnsi="Times New Roman"/>
          <w:color w:val="000000"/>
          <w:sz w:val="16"/>
        </w:rPr>
        <w:t>million related to cash-settled performance units during the three and nine months ended June 30, 2025, respectively.</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(b)</w:t>
      </w:r>
    </w:p>
    <w:p>
      <w:pPr>
        <w:pStyle w:val="TextBody"/>
        <w:bidi w:val="0"/>
        <w:spacing w:before="40" w:after="283"/>
        <w:jc w:val="both"/>
        <w:rPr>
          <w:rFonts w:ascii="Times New Roman" w:hAnsi="Times New Roman"/>
          <w:sz w:val="22"/>
        </w:rPr>
      </w:pPr>
      <w:r>
        <w:rPr>
          <w:rFonts w:ascii="Times New Roman" w:hAnsi="Times New Roman"/>
          <w:color w:val="000000"/>
          <w:sz w:val="16"/>
        </w:rPr>
        <w:t>Included $1</w:t>
      </w:r>
      <w:r>
        <w:rPr>
          <w:rFonts w:ascii="Times New Roman" w:hAnsi="Times New Roman"/>
          <w:color w:val="000000"/>
          <w:sz w:val="22"/>
        </w:rPr>
        <w:t xml:space="preserve"> </w:t>
      </w:r>
      <w:r>
        <w:rPr>
          <w:rFonts w:ascii="Times New Roman" w:hAnsi="Times New Roman"/>
          <w:color w:val="000000"/>
          <w:sz w:val="16"/>
        </w:rPr>
        <w:t>million and $2</w:t>
      </w:r>
      <w:r>
        <w:rPr>
          <w:rFonts w:ascii="Times New Roman" w:hAnsi="Times New Roman"/>
          <w:color w:val="000000"/>
          <w:sz w:val="22"/>
        </w:rPr>
        <w:t xml:space="preserve"> </w:t>
      </w:r>
      <w:r>
        <w:rPr>
          <w:rFonts w:ascii="Times New Roman" w:hAnsi="Times New Roman"/>
          <w:color w:val="000000"/>
          <w:sz w:val="16"/>
        </w:rPr>
        <w:t>million of expense related to cash-settled nonvested restricted stock awards during the three and nine months ended June 30, 2024, respectively, and zero</w:t>
      </w:r>
      <w:r>
        <w:rPr>
          <w:rFonts w:ascii="Times New Roman" w:hAnsi="Times New Roman"/>
          <w:color w:val="000000"/>
          <w:sz w:val="22"/>
        </w:rPr>
        <w:t xml:space="preserve"> </w:t>
      </w:r>
      <w:r>
        <w:rPr>
          <w:rFonts w:ascii="Times New Roman" w:hAnsi="Times New Roman"/>
          <w:color w:val="000000"/>
          <w:sz w:val="16"/>
        </w:rPr>
        <w:t>expense related to cash-settled performance units during both the three and nine months ended June 30,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NOTE P – REVENUE</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Disaggregation of revenue</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Ashland disaggregates its revenue by reportable segment and geographical region as Ashland believes these categories best depict how management reviews the financial performance of its operations. Ashland includes only U.S. and Canada in its North America designation and includes Europe, the Middle East and Africa in its Europe designation. See the following tables for details. See Note Q of the Notes to the Condensed Consolidated Financial Statements for additional information.</w:t>
      </w:r>
    </w:p>
    <w:tbl>
      <w:tblPr>
        <w:tblW w:w="6297" w:type="dxa"/>
        <w:jc w:val="left"/>
        <w:tblInd w:w="0" w:type="dxa"/>
        <w:tblLayout w:type="fixed"/>
        <w:tblCellMar>
          <w:top w:w="28" w:type="dxa"/>
          <w:left w:w="28" w:type="dxa"/>
          <w:bottom w:w="28" w:type="dxa"/>
          <w:right w:w="28" w:type="dxa"/>
        </w:tblCellMar>
      </w:tblPr>
      <w:tblGrid>
        <w:gridCol w:w="2036"/>
        <w:gridCol w:w="246"/>
        <w:gridCol w:w="238"/>
        <w:gridCol w:w="475"/>
        <w:gridCol w:w="164"/>
        <w:gridCol w:w="164"/>
        <w:gridCol w:w="238"/>
        <w:gridCol w:w="475"/>
        <w:gridCol w:w="146"/>
        <w:gridCol w:w="146"/>
        <w:gridCol w:w="227"/>
        <w:gridCol w:w="455"/>
        <w:gridCol w:w="157"/>
        <w:gridCol w:w="157"/>
        <w:gridCol w:w="227"/>
        <w:gridCol w:w="455"/>
        <w:gridCol w:w="291"/>
      </w:tblGrid>
      <w:tr>
        <w:trPr/>
        <w:tc>
          <w:tcPr>
            <w:tcW w:w="20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006" w:type="dxa"/>
            <w:gridSpan w:val="1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Sales by geography</w:t>
            </w:r>
          </w:p>
        </w:tc>
        <w:tc>
          <w:tcPr>
            <w:tcW w:w="2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Nine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2025</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6"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Life Sciences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North America</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Europe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Asia Pacific</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Latin America &amp; other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162</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468</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Nine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2025</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6"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Personal Care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North America</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116</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Europe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Asia Pacific</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Latin America &amp; other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426</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Nine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2025</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6"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Specialty Additives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North America</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Europe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Asia Pacific</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Latin America &amp; other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380</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Nine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2025</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6"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Intermediates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North America</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Europe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Asia Pacific</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Latin America &amp; other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Ashland has two product categories that represent 10% or greater of Ashland's total consolidated sales, which were cellulosics and polyvinylpyrrolidones (PVP). The following table summarizes the percentage of Ashland's total consolidated sales by product:</w:t>
      </w:r>
    </w:p>
    <w:tbl>
      <w:tblPr>
        <w:tblW w:w="5648" w:type="dxa"/>
        <w:jc w:val="left"/>
        <w:tblInd w:w="0" w:type="dxa"/>
        <w:tblLayout w:type="fixed"/>
        <w:tblCellMar>
          <w:top w:w="28" w:type="dxa"/>
          <w:left w:w="28" w:type="dxa"/>
          <w:bottom w:w="28" w:type="dxa"/>
          <w:right w:w="28" w:type="dxa"/>
        </w:tblCellMar>
      </w:tblPr>
      <w:tblGrid>
        <w:gridCol w:w="1136"/>
        <w:gridCol w:w="246"/>
        <w:gridCol w:w="191"/>
        <w:gridCol w:w="413"/>
        <w:gridCol w:w="354"/>
        <w:gridCol w:w="191"/>
        <w:gridCol w:w="191"/>
        <w:gridCol w:w="413"/>
        <w:gridCol w:w="271"/>
        <w:gridCol w:w="146"/>
        <w:gridCol w:w="183"/>
        <w:gridCol w:w="396"/>
        <w:gridCol w:w="339"/>
        <w:gridCol w:w="183"/>
        <w:gridCol w:w="183"/>
        <w:gridCol w:w="396"/>
        <w:gridCol w:w="416"/>
      </w:tblGrid>
      <w:tr>
        <w:trPr/>
        <w:tc>
          <w:tcPr>
            <w:tcW w:w="11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5232" w:type="dxa"/>
            <w:gridSpan w:val="1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Sales by product</w:t>
            </w:r>
          </w:p>
        </w:tc>
        <w:tc>
          <w:tcPr>
            <w:tcW w:w="4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Nine months ended</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June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2025</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2025</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2024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Cellulosics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w:t>
            </w:r>
          </w:p>
        </w:tc>
      </w:tr>
      <w:tr>
        <w:trPr/>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PVP</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w:t>
            </w:r>
          </w:p>
        </w:tc>
      </w:tr>
      <w:tr>
        <w:trPr/>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Trade receivables</w:t>
      </w:r>
    </w:p>
    <w:p>
      <w:pPr>
        <w:pStyle w:val="TextBody"/>
        <w:bidi w:val="0"/>
        <w:spacing w:before="120" w:after="283"/>
        <w:jc w:val="both"/>
        <w:rPr>
          <w:rFonts w:ascii="Times New Roman" w:hAnsi="Times New Roman"/>
          <w:sz w:val="20"/>
        </w:rPr>
      </w:pPr>
      <w:r>
        <w:rPr>
          <w:rFonts w:ascii="Times New Roman" w:hAnsi="Times New Roman"/>
          <w:color w:val="000000"/>
          <w:sz w:val="22"/>
        </w:rPr>
        <w:t>Trade receivables are defined as receivables arising from contracts with customers and are recorded within the accounts receivable, net caption within the Condensed Consolidated Balance Sheets. Ashland’s trade receivables were $158</w:t>
      </w:r>
      <w:r>
        <w:rPr>
          <w:rFonts w:ascii="Times New Roman" w:hAnsi="Times New Roman"/>
          <w:color w:val="000000"/>
          <w:sz w:val="20"/>
        </w:rPr>
        <w:t xml:space="preserve"> </w:t>
      </w:r>
      <w:r>
        <w:rPr>
          <w:rFonts w:ascii="Times New Roman" w:hAnsi="Times New Roman"/>
          <w:color w:val="000000"/>
          <w:sz w:val="22"/>
        </w:rPr>
        <w:t>million and $206</w:t>
      </w:r>
      <w:r>
        <w:rPr>
          <w:rFonts w:ascii="Times New Roman" w:hAnsi="Times New Roman"/>
          <w:color w:val="000000"/>
          <w:sz w:val="20"/>
        </w:rPr>
        <w:t xml:space="preserve"> </w:t>
      </w:r>
      <w:r>
        <w:rPr>
          <w:rFonts w:ascii="Times New Roman" w:hAnsi="Times New Roman"/>
          <w:color w:val="000000"/>
          <w:sz w:val="22"/>
        </w:rPr>
        <w:t>million as of June 30, 2025 and September 30, 2024, respectively. See Note H of the Notes to the Condensed Consolidated Financial Statements for additional information on Ashland’s programs to sell certain accounts receivables on a revolving basis to third party banks up to an aggregate purchase limit (U.S and Foreign Accounts Receivable Sales Programs).</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NOTE Q – REPORTABLE SEGMENT INFORMATION</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 determines its reportable segments based on how operations are managed internally for the products and services sold to customers, including how the results are reviewed by the chief operating decision maker, which includes determining resource allocation methodologies used for reportable segments. Operating loss and EBITDA (EBITDA is defined as net income (loss), plus income tax expense (benefit), net interest and other expense (income), and depreciation and amortization) are the primary measures of performance that are reviewed by the chief operating decision maker in assessing each reportable segment's financial performance. Ashland does not aggregate segments to arrive at these reportable segments.</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Reportable segment business descriptions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Life Sciences is comprised of pharmaceuticals, nutrition, agricultural chemicals, diagnostic films (formerly known as advanced materials) and fine chemicals. Pharmaceutical solutions include controlled release polymers, disintegrants, tablet coatings, thickeners, solubilizers and tablet binders. Nutrition solutions include thickeners, stabilizers, emulsifiers and additives for enhancing mouthfeel, controlling moisture migration, reducing oil uptake and binding structured foods. Customers include pharmaceutical, food, beverage, hospitals and radiologists and industrial manufacturers. The Nutraceutical business was sold in August 2024.</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Personal Care is comprised of biofunctionals, microbial protectants (preservatives), skin care, sun care, oral care, hair care and household. These businesses have a broad range of natural, nature-derived, biodegradable, and high-performance ingredients for customer-driven solutions to help protect, renew, moisturize and revitalize skin and hair, and provide solutions for toothpastes, mouth washes and rinses, denture cleaning and care for teeth. Personal Care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 The Avoca business was sold in March 2025.</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Specialty Additives is comprised of rheology and performance-enhancing additives serving the architectural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Life Sciences, Personal Care, and Specialty Additives for use as a raw material.</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Unallocated and other generally includes items such as certain significant company-wide restructuring activities, corporate governance costs and legacy costs or activities that relate to divested businesses that are no longer operated by Ashland.</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Reportable segment results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loss caption of the Statements of Condensed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reportable segments on a retrospective basis.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80" w:after="20"/>
        <w:jc w:val="both"/>
        <w:rPr>
          <w:rFonts w:ascii="Times New Roman" w:hAnsi="Times New Roman"/>
          <w:color w:val="000000"/>
          <w:sz w:val="22"/>
        </w:rPr>
      </w:pPr>
      <w:r>
        <w:rPr>
          <w:rFonts w:ascii="Times New Roman" w:hAnsi="Times New Roman"/>
          <w:color w:val="000000"/>
          <w:sz w:val="22"/>
        </w:rPr>
        <w:t>The following table presents various financial information for each reportable segment:</w:t>
      </w:r>
    </w:p>
    <w:tbl>
      <w:tblPr>
        <w:tblW w:w="7559" w:type="dxa"/>
        <w:jc w:val="left"/>
        <w:tblInd w:w="0" w:type="dxa"/>
        <w:tblLayout w:type="fixed"/>
        <w:tblCellMar>
          <w:top w:w="28" w:type="dxa"/>
          <w:left w:w="28" w:type="dxa"/>
          <w:bottom w:w="28" w:type="dxa"/>
          <w:right w:w="28" w:type="dxa"/>
        </w:tblCellMar>
      </w:tblPr>
      <w:tblGrid>
        <w:gridCol w:w="2806"/>
        <w:gridCol w:w="218"/>
        <w:gridCol w:w="498"/>
        <w:gridCol w:w="171"/>
        <w:gridCol w:w="151"/>
        <w:gridCol w:w="218"/>
        <w:gridCol w:w="498"/>
        <w:gridCol w:w="366"/>
        <w:gridCol w:w="346"/>
        <w:gridCol w:w="211"/>
        <w:gridCol w:w="571"/>
        <w:gridCol w:w="166"/>
        <w:gridCol w:w="146"/>
        <w:gridCol w:w="211"/>
        <w:gridCol w:w="571"/>
        <w:gridCol w:w="411"/>
      </w:tblGrid>
      <w:tr>
        <w:trPr/>
        <w:tc>
          <w:tcPr>
            <w:tcW w:w="280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4"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7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 - unaudited)</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SALES</w:t>
            </w:r>
          </w:p>
        </w:tc>
        <w:tc>
          <w:tcPr>
            <w:tcW w:w="7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Life Sciences</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Personal Care</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Specialty Additives</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Intermediates</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i/>
                <w:color w:val="000000"/>
                <w:sz w:val="20"/>
              </w:rPr>
              <w:t>Intersegment sales</w:t>
            </w:r>
            <w:r>
              <w:rPr>
                <w:rFonts w:ascii="Times New Roman" w:hAnsi="Times New Roman"/>
                <w:color w:val="000000"/>
                <w:sz w:val="13"/>
              </w:rPr>
              <w:t>(a)</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 (LOSS)</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i/>
                <w:color w:val="000000"/>
                <w:sz w:val="20"/>
              </w:rPr>
              <w:t>Life Sciences</w:t>
            </w:r>
            <w:r>
              <w:rPr>
                <w:rFonts w:ascii="Times New Roman" w:hAnsi="Times New Roman"/>
                <w:i/>
                <w:color w:val="000000"/>
                <w:sz w:val="13"/>
              </w:rPr>
              <w:t>(b)</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Personal Care</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i/>
                <w:color w:val="000000"/>
                <w:sz w:val="20"/>
              </w:rPr>
              <w:t>Specialty Additives</w:t>
            </w:r>
            <w:r>
              <w:rPr>
                <w:rFonts w:ascii="Times New Roman" w:hAnsi="Times New Roman"/>
                <w:i/>
                <w:color w:val="000000"/>
                <w:sz w:val="13"/>
              </w:rPr>
              <w:t>(c)</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Intermediates</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i/>
                <w:color w:val="000000"/>
                <w:sz w:val="20"/>
              </w:rPr>
              <w:t>Unallocated and other</w:t>
            </w:r>
            <w:r>
              <w:rPr>
                <w:rFonts w:ascii="Times New Roman" w:hAnsi="Times New Roman"/>
                <w:i/>
                <w:color w:val="000000"/>
                <w:sz w:val="13"/>
              </w:rPr>
              <w:t>(d)</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DEPRECIATION EXPENSE</w:t>
            </w:r>
          </w:p>
        </w:tc>
        <w:tc>
          <w:tcPr>
            <w:tcW w:w="7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i/>
                <w:color w:val="000000"/>
                <w:sz w:val="20"/>
              </w:rPr>
              <w:t>Life Sciences</w:t>
            </w:r>
            <w:r>
              <w:rPr>
                <w:rFonts w:ascii="Times New Roman" w:hAnsi="Times New Roman"/>
                <w:i/>
                <w:color w:val="000000"/>
                <w:sz w:val="13"/>
              </w:rPr>
              <w:t>(e)</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i/>
                <w:color w:val="000000"/>
                <w:sz w:val="20"/>
              </w:rPr>
              <w:t>Personal Care</w:t>
            </w:r>
            <w:r>
              <w:rPr>
                <w:rFonts w:ascii="Times New Roman" w:hAnsi="Times New Roman"/>
                <w:i/>
                <w:color w:val="000000"/>
                <w:sz w:val="13"/>
              </w:rPr>
              <w:t>(f)</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i/>
                <w:color w:val="000000"/>
                <w:sz w:val="20"/>
              </w:rPr>
              <w:t>Specialty Additives</w:t>
            </w:r>
            <w:r>
              <w:rPr>
                <w:rFonts w:ascii="Times New Roman" w:hAnsi="Times New Roman"/>
                <w:i/>
                <w:color w:val="000000"/>
                <w:sz w:val="13"/>
              </w:rPr>
              <w:t>(g)</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Intermediates</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AMORTIZATION EXPENSE</w:t>
            </w:r>
          </w:p>
        </w:tc>
        <w:tc>
          <w:tcPr>
            <w:tcW w:w="7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Life Sciences</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Personal Care</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Specialty Additives</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Intermediates</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EBITDA</w:t>
            </w:r>
            <w:r>
              <w:rPr>
                <w:rFonts w:ascii="Times New Roman" w:hAnsi="Times New Roman"/>
                <w:color w:val="000000"/>
                <w:sz w:val="13"/>
              </w:rPr>
              <w:t>(h)</w:t>
            </w:r>
          </w:p>
        </w:tc>
        <w:tc>
          <w:tcPr>
            <w:tcW w:w="7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Life Sciences</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Personal Care</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Specialty Additives</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Intermediates</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Unallocated and other</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861" w:type="dxa"/>
        <w:jc w:val="left"/>
        <w:tblInd w:w="0" w:type="dxa"/>
        <w:tblLayout w:type="fixed"/>
        <w:tblCellMar>
          <w:top w:w="28" w:type="dxa"/>
          <w:left w:w="28" w:type="dxa"/>
          <w:bottom w:w="28" w:type="dxa"/>
          <w:right w:w="28" w:type="dxa"/>
        </w:tblCellMar>
      </w:tblPr>
      <w:tblGrid>
        <w:gridCol w:w="2181"/>
        <w:gridCol w:w="211"/>
        <w:gridCol w:w="571"/>
        <w:gridCol w:w="146"/>
        <w:gridCol w:w="146"/>
        <w:gridCol w:w="327"/>
        <w:gridCol w:w="888"/>
        <w:gridCol w:w="391"/>
      </w:tblGrid>
      <w:tr>
        <w:trPr/>
        <w:tc>
          <w:tcPr>
            <w:tcW w:w="2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September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 millions - unaudited)</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TOTAL ASSETS</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9"/>
              </w:rPr>
            </w:pPr>
            <w:r>
              <w:rPr>
                <w:rFonts w:ascii="Times New Roman" w:hAnsi="Times New Roman"/>
                <w:i/>
                <w:color w:val="000000"/>
                <w:sz w:val="19"/>
              </w:rPr>
              <w:t>Life Sciences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1,778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9"/>
              </w:rPr>
            </w:pPr>
            <w:r>
              <w:rPr>
                <w:rFonts w:ascii="Times New Roman" w:hAnsi="Times New Roman"/>
                <w:i/>
                <w:color w:val="000000"/>
                <w:sz w:val="19"/>
              </w:rPr>
              <w:t>Personal Care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9"/>
              </w:rPr>
            </w:pPr>
            <w:r>
              <w:rPr>
                <w:rFonts w:ascii="Times New Roman" w:hAnsi="Times New Roman"/>
                <w:i/>
                <w:color w:val="000000"/>
                <w:sz w:val="19"/>
              </w:rPr>
              <w:t>Specialty Additives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9"/>
              </w:rPr>
            </w:pPr>
            <w:r>
              <w:rPr>
                <w:rFonts w:ascii="Times New Roman" w:hAnsi="Times New Roman"/>
                <w:i/>
                <w:color w:val="000000"/>
                <w:sz w:val="19"/>
              </w:rPr>
              <w:t>Intermediates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9"/>
              </w:rPr>
            </w:pPr>
            <w:r>
              <w:rPr>
                <w:rFonts w:ascii="Times New Roman" w:hAnsi="Times New Roman"/>
                <w:i/>
                <w:color w:val="000000"/>
                <w:sz w:val="19"/>
              </w:rPr>
              <w:t>Unallocated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20" w:after="283"/>
        <w:jc w:val="both"/>
        <w:rPr>
          <w:rFonts w:ascii="Times New Roman" w:hAnsi="Times New Roman"/>
          <w:color w:val="000000"/>
          <w:sz w:val="16"/>
        </w:rPr>
      </w:pPr>
      <w:r>
        <w:rPr>
          <w:rFonts w:ascii="Times New Roman" w:hAnsi="Times New Roman"/>
          <w:color w:val="000000"/>
          <w:sz w:val="16"/>
        </w:rPr>
        <w:t>Intersegment sales from Intermediates are accounted for at prices that approximate fair value. All other intersegment sales are accounted for at cost.</w:t>
      </w:r>
    </w:p>
    <w:p>
      <w:pPr>
        <w:pStyle w:val="TextBody"/>
        <w:bidi w:val="0"/>
        <w:spacing w:before="10" w:after="283"/>
        <w:jc w:val="both"/>
        <w:rPr>
          <w:rFonts w:ascii="Times New Roman" w:hAnsi="Times New Roman"/>
          <w:color w:val="000000"/>
          <w:sz w:val="16"/>
        </w:rPr>
      </w:pPr>
      <w:r>
        <w:rPr>
          <w:rFonts w:ascii="Times New Roman" w:hAnsi="Times New Roman"/>
          <w:color w:val="000000"/>
          <w:sz w:val="16"/>
        </w:rPr>
        <w:t>(b)</w:t>
      </w:r>
    </w:p>
    <w:p>
      <w:pPr>
        <w:pStyle w:val="TextBody"/>
        <w:bidi w:val="0"/>
        <w:spacing w:before="10" w:after="283"/>
        <w:jc w:val="both"/>
        <w:rPr>
          <w:rFonts w:ascii="Times New Roman" w:hAnsi="Times New Roman"/>
          <w:sz w:val="22"/>
        </w:rPr>
      </w:pPr>
      <w:r>
        <w:rPr>
          <w:rFonts w:ascii="Times New Roman" w:hAnsi="Times New Roman"/>
          <w:color w:val="000000"/>
          <w:sz w:val="16"/>
        </w:rPr>
        <w:t>Includes goodwill impairment of $375</w:t>
      </w:r>
      <w:r>
        <w:rPr>
          <w:rFonts w:ascii="Times New Roman" w:hAnsi="Times New Roman"/>
          <w:color w:val="000000"/>
          <w:sz w:val="22"/>
        </w:rPr>
        <w:t xml:space="preserve"> </w:t>
      </w:r>
      <w:r>
        <w:rPr>
          <w:rFonts w:ascii="Times New Roman" w:hAnsi="Times New Roman"/>
          <w:color w:val="000000"/>
          <w:sz w:val="16"/>
        </w:rPr>
        <w:t>million for Life Sciences for the three and nine months ended June 30, 2025.</w:t>
      </w:r>
    </w:p>
    <w:p>
      <w:pPr>
        <w:pStyle w:val="TextBody"/>
        <w:bidi w:val="0"/>
        <w:spacing w:before="10" w:after="283"/>
        <w:jc w:val="both"/>
        <w:rPr>
          <w:rFonts w:ascii="Times New Roman" w:hAnsi="Times New Roman"/>
          <w:color w:val="000000"/>
          <w:sz w:val="16"/>
        </w:rPr>
      </w:pPr>
      <w:r>
        <w:rPr>
          <w:rFonts w:ascii="Times New Roman" w:hAnsi="Times New Roman"/>
          <w:color w:val="000000"/>
          <w:sz w:val="16"/>
        </w:rPr>
        <w:t>(c)</w:t>
      </w:r>
    </w:p>
    <w:p>
      <w:pPr>
        <w:pStyle w:val="TextBody"/>
        <w:bidi w:val="0"/>
        <w:spacing w:before="10" w:after="283"/>
        <w:jc w:val="both"/>
        <w:rPr>
          <w:rFonts w:ascii="Times New Roman" w:hAnsi="Times New Roman"/>
          <w:sz w:val="22"/>
        </w:rPr>
      </w:pPr>
      <w:r>
        <w:rPr>
          <w:rFonts w:ascii="Times New Roman" w:hAnsi="Times New Roman"/>
          <w:color w:val="000000"/>
          <w:sz w:val="16"/>
        </w:rPr>
        <w:t>Includes goodwill impairment of $331</w:t>
      </w:r>
      <w:r>
        <w:rPr>
          <w:rFonts w:ascii="Times New Roman" w:hAnsi="Times New Roman"/>
          <w:color w:val="000000"/>
          <w:sz w:val="22"/>
        </w:rPr>
        <w:t xml:space="preserve"> </w:t>
      </w:r>
      <w:r>
        <w:rPr>
          <w:rFonts w:ascii="Times New Roman" w:hAnsi="Times New Roman"/>
          <w:color w:val="000000"/>
          <w:sz w:val="16"/>
        </w:rPr>
        <w:t>million for Specialty Additives for the three and nine months ended June 30, 2025.</w:t>
      </w:r>
      <w:r>
        <w:rPr>
          <w:rFonts w:ascii="Times New Roman" w:hAnsi="Times New Roman"/>
          <w:color w:val="000000"/>
          <w:sz w:val="22"/>
        </w:rPr>
        <w:t xml:space="preserve"> </w:t>
      </w:r>
    </w:p>
    <w:p>
      <w:pPr>
        <w:pStyle w:val="TextBody"/>
        <w:bidi w:val="0"/>
        <w:spacing w:before="10" w:after="283"/>
        <w:jc w:val="both"/>
        <w:rPr>
          <w:rFonts w:ascii="Times New Roman" w:hAnsi="Times New Roman"/>
          <w:color w:val="000000"/>
          <w:sz w:val="16"/>
        </w:rPr>
      </w:pPr>
      <w:r>
        <w:rPr>
          <w:rFonts w:ascii="Times New Roman" w:hAnsi="Times New Roman"/>
          <w:color w:val="000000"/>
          <w:sz w:val="16"/>
        </w:rPr>
        <w:t>(d)</w:t>
      </w:r>
    </w:p>
    <w:p>
      <w:pPr>
        <w:pStyle w:val="TextBody"/>
        <w:bidi w:val="0"/>
        <w:spacing w:before="10" w:after="283"/>
        <w:jc w:val="both"/>
        <w:rPr>
          <w:rFonts w:ascii="Times New Roman" w:hAnsi="Times New Roman"/>
          <w:sz w:val="22"/>
        </w:rPr>
      </w:pPr>
      <w:r>
        <w:rPr>
          <w:rFonts w:ascii="Times New Roman" w:hAnsi="Times New Roman"/>
          <w:color w:val="000000"/>
          <w:sz w:val="16"/>
        </w:rPr>
        <w:t>Includes a $8</w:t>
      </w:r>
      <w:r>
        <w:rPr>
          <w:rFonts w:ascii="Times New Roman" w:hAnsi="Times New Roman"/>
          <w:color w:val="000000"/>
          <w:sz w:val="22"/>
        </w:rPr>
        <w:t xml:space="preserve"> </w:t>
      </w:r>
      <w:r>
        <w:rPr>
          <w:rFonts w:ascii="Times New Roman" w:hAnsi="Times New Roman"/>
          <w:color w:val="000000"/>
          <w:sz w:val="16"/>
        </w:rPr>
        <w:t>million gain on sale and a $183</w:t>
      </w:r>
      <w:r>
        <w:rPr>
          <w:rFonts w:ascii="Times New Roman" w:hAnsi="Times New Roman"/>
          <w:color w:val="000000"/>
          <w:sz w:val="22"/>
        </w:rPr>
        <w:t xml:space="preserve"> </w:t>
      </w:r>
      <w:r>
        <w:rPr>
          <w:rFonts w:ascii="Times New Roman" w:hAnsi="Times New Roman"/>
          <w:color w:val="000000"/>
          <w:sz w:val="16"/>
        </w:rPr>
        <w:t>million impairment charge related to the sale of the Avoca business for the nine months ended June 30, 2025, and a $99</w:t>
      </w:r>
      <w:r>
        <w:rPr>
          <w:rFonts w:ascii="Times New Roman" w:hAnsi="Times New Roman"/>
          <w:color w:val="000000"/>
          <w:sz w:val="22"/>
        </w:rPr>
        <w:t xml:space="preserve"> </w:t>
      </w:r>
      <w:r>
        <w:rPr>
          <w:rFonts w:ascii="Times New Roman" w:hAnsi="Times New Roman"/>
          <w:color w:val="000000"/>
          <w:sz w:val="16"/>
        </w:rPr>
        <w:t>million impairment charge related to the sale of the Nutraceuticals business for the three and nine months ended June 30, 2024, within the loss on acquisitions and divestitures, net caption of the Statements of Condensed Consolidated Income (Loss).</w:t>
      </w:r>
    </w:p>
    <w:p>
      <w:pPr>
        <w:pStyle w:val="TextBody"/>
        <w:bidi w:val="0"/>
        <w:spacing w:before="10" w:after="283"/>
        <w:jc w:val="both"/>
        <w:rPr>
          <w:rFonts w:ascii="Times New Roman" w:hAnsi="Times New Roman"/>
          <w:color w:val="000000"/>
          <w:sz w:val="16"/>
        </w:rPr>
      </w:pPr>
      <w:r>
        <w:rPr>
          <w:rFonts w:ascii="Times New Roman" w:hAnsi="Times New Roman"/>
          <w:color w:val="000000"/>
          <w:sz w:val="16"/>
        </w:rPr>
        <w:t>(e)</w:t>
      </w:r>
    </w:p>
    <w:p>
      <w:pPr>
        <w:pStyle w:val="TextBody"/>
        <w:bidi w:val="0"/>
        <w:spacing w:before="10" w:after="283"/>
        <w:jc w:val="both"/>
        <w:rPr>
          <w:rFonts w:ascii="Times New Roman" w:hAnsi="Times New Roman"/>
          <w:sz w:val="22"/>
        </w:rPr>
      </w:pPr>
      <w:r>
        <w:rPr>
          <w:rFonts w:ascii="Times New Roman" w:hAnsi="Times New Roman"/>
          <w:color w:val="000000"/>
          <w:sz w:val="16"/>
        </w:rPr>
        <w:t>Depreciation includes accelerated depreciation of $8</w:t>
      </w:r>
      <w:r>
        <w:rPr>
          <w:rFonts w:ascii="Times New Roman" w:hAnsi="Times New Roman"/>
          <w:color w:val="000000"/>
          <w:sz w:val="22"/>
        </w:rPr>
        <w:t xml:space="preserve"> </w:t>
      </w:r>
      <w:r>
        <w:rPr>
          <w:rFonts w:ascii="Times New Roman" w:hAnsi="Times New Roman"/>
          <w:color w:val="000000"/>
          <w:sz w:val="16"/>
        </w:rPr>
        <w:t>million and $21</w:t>
      </w:r>
      <w:r>
        <w:rPr>
          <w:rFonts w:ascii="Times New Roman" w:hAnsi="Times New Roman"/>
          <w:color w:val="000000"/>
          <w:sz w:val="22"/>
        </w:rPr>
        <w:t xml:space="preserve"> </w:t>
      </w:r>
      <w:r>
        <w:rPr>
          <w:rFonts w:ascii="Times New Roman" w:hAnsi="Times New Roman"/>
          <w:color w:val="000000"/>
          <w:sz w:val="16"/>
        </w:rPr>
        <w:t>million for Life Sciences for the three and nine months ended June 30, 2025, respectively.</w:t>
      </w:r>
    </w:p>
    <w:p>
      <w:pPr>
        <w:pStyle w:val="TextBody"/>
        <w:bidi w:val="0"/>
        <w:spacing w:before="10" w:after="283"/>
        <w:jc w:val="both"/>
        <w:rPr>
          <w:rFonts w:ascii="Times New Roman" w:hAnsi="Times New Roman"/>
          <w:color w:val="000000"/>
          <w:sz w:val="16"/>
        </w:rPr>
      </w:pPr>
      <w:r>
        <w:rPr>
          <w:rFonts w:ascii="Times New Roman" w:hAnsi="Times New Roman"/>
          <w:color w:val="000000"/>
          <w:sz w:val="16"/>
        </w:rPr>
        <w:t>(f)</w:t>
      </w:r>
    </w:p>
    <w:p>
      <w:pPr>
        <w:pStyle w:val="TextBody"/>
        <w:bidi w:val="0"/>
        <w:spacing w:before="10" w:after="283"/>
        <w:jc w:val="both"/>
        <w:rPr>
          <w:rFonts w:ascii="Times New Roman" w:hAnsi="Times New Roman"/>
          <w:sz w:val="22"/>
        </w:rPr>
      </w:pPr>
      <w:r>
        <w:rPr>
          <w:rFonts w:ascii="Times New Roman" w:hAnsi="Times New Roman"/>
          <w:color w:val="000000"/>
          <w:sz w:val="16"/>
        </w:rPr>
        <w:t>Depreciation includes accelerated depreciation of $1</w:t>
      </w:r>
      <w:r>
        <w:rPr>
          <w:rFonts w:ascii="Times New Roman" w:hAnsi="Times New Roman"/>
          <w:color w:val="000000"/>
          <w:sz w:val="22"/>
        </w:rPr>
        <w:t xml:space="preserve"> </w:t>
      </w:r>
      <w:r>
        <w:rPr>
          <w:rFonts w:ascii="Times New Roman" w:hAnsi="Times New Roman"/>
          <w:color w:val="000000"/>
          <w:sz w:val="16"/>
        </w:rPr>
        <w:t>million for Personal Care for both the three and nine months ended June 30, 2024.</w:t>
      </w:r>
    </w:p>
    <w:p>
      <w:pPr>
        <w:pStyle w:val="TextBody"/>
        <w:bidi w:val="0"/>
        <w:spacing w:before="10" w:after="283"/>
        <w:jc w:val="both"/>
        <w:rPr>
          <w:rFonts w:ascii="Times New Roman" w:hAnsi="Times New Roman"/>
          <w:color w:val="000000"/>
          <w:sz w:val="16"/>
        </w:rPr>
      </w:pPr>
      <w:r>
        <w:rPr>
          <w:rFonts w:ascii="Times New Roman" w:hAnsi="Times New Roman"/>
          <w:color w:val="000000"/>
          <w:sz w:val="16"/>
        </w:rPr>
        <w:t>(g)</w:t>
      </w:r>
    </w:p>
    <w:p>
      <w:pPr>
        <w:pStyle w:val="TextBody"/>
        <w:bidi w:val="0"/>
        <w:spacing w:before="10" w:after="283"/>
        <w:jc w:val="both"/>
        <w:rPr>
          <w:rFonts w:ascii="Times New Roman" w:hAnsi="Times New Roman"/>
          <w:sz w:val="22"/>
        </w:rPr>
      </w:pPr>
      <w:r>
        <w:rPr>
          <w:rFonts w:ascii="Times New Roman" w:hAnsi="Times New Roman"/>
          <w:color w:val="000000"/>
          <w:sz w:val="16"/>
        </w:rPr>
        <w:t>Depreciation includes accelerated depreciation of $19</w:t>
      </w:r>
      <w:r>
        <w:rPr>
          <w:rFonts w:ascii="Times New Roman" w:hAnsi="Times New Roman"/>
          <w:color w:val="000000"/>
          <w:sz w:val="22"/>
        </w:rPr>
        <w:t xml:space="preserve"> </w:t>
      </w:r>
      <w:r>
        <w:rPr>
          <w:rFonts w:ascii="Times New Roman" w:hAnsi="Times New Roman"/>
          <w:color w:val="000000"/>
          <w:sz w:val="16"/>
        </w:rPr>
        <w:t>million for Specialty Additives for both the three and nine months ended June 30, 2025, and $7</w:t>
      </w:r>
      <w:r>
        <w:rPr>
          <w:rFonts w:ascii="Times New Roman" w:hAnsi="Times New Roman"/>
          <w:color w:val="000000"/>
          <w:sz w:val="22"/>
        </w:rPr>
        <w:t xml:space="preserve"> </w:t>
      </w:r>
      <w:r>
        <w:rPr>
          <w:rFonts w:ascii="Times New Roman" w:hAnsi="Times New Roman"/>
          <w:color w:val="000000"/>
          <w:sz w:val="16"/>
        </w:rPr>
        <w:t>million and $55</w:t>
      </w:r>
      <w:r>
        <w:rPr>
          <w:rFonts w:ascii="Times New Roman" w:hAnsi="Times New Roman"/>
          <w:color w:val="000000"/>
          <w:sz w:val="22"/>
        </w:rPr>
        <w:t xml:space="preserve"> </w:t>
      </w:r>
      <w:r>
        <w:rPr>
          <w:rFonts w:ascii="Times New Roman" w:hAnsi="Times New Roman"/>
          <w:color w:val="000000"/>
          <w:sz w:val="16"/>
        </w:rPr>
        <w:t>million for the three and nine months ended June 30, 2024, respectively.</w:t>
      </w:r>
    </w:p>
    <w:p>
      <w:pPr>
        <w:pStyle w:val="TextBody"/>
        <w:bidi w:val="0"/>
        <w:spacing w:before="10" w:after="283"/>
        <w:jc w:val="both"/>
        <w:rPr>
          <w:rFonts w:ascii="Times New Roman" w:hAnsi="Times New Roman"/>
          <w:color w:val="000000"/>
          <w:sz w:val="16"/>
        </w:rPr>
      </w:pPr>
      <w:r>
        <w:rPr>
          <w:rFonts w:ascii="Times New Roman" w:hAnsi="Times New Roman"/>
          <w:color w:val="000000"/>
          <w:sz w:val="16"/>
        </w:rPr>
        <w:t>(h)</w:t>
      </w:r>
    </w:p>
    <w:p>
      <w:pPr>
        <w:pStyle w:val="TextBody"/>
        <w:bidi w:val="0"/>
        <w:spacing w:before="10" w:after="283"/>
        <w:jc w:val="both"/>
        <w:rPr>
          <w:rFonts w:ascii="Times New Roman" w:hAnsi="Times New Roman"/>
          <w:color w:val="000000"/>
          <w:sz w:val="16"/>
        </w:rPr>
      </w:pPr>
      <w:r>
        <w:rPr>
          <w:rFonts w:ascii="Times New Roman" w:hAnsi="Times New Roman"/>
          <w:color w:val="000000"/>
          <w:sz w:val="16"/>
        </w:rPr>
        <w:t>Excludes loss from discontinued operations, net of income taxes and other net periodic benefit loss. See the Statements of Condensed Consolidated Comprehensive Income (Loss) for applicable amounts excluded.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2"/>
        </w:rPr>
      </w:pPr>
      <w:r>
        <w:rPr>
          <w:rFonts w:ascii="Times New Roman" w:hAnsi="Times New Roman"/>
          <w:b/>
          <w:color w:val="000000"/>
          <w:sz w:val="22"/>
        </w:rPr>
        <w:t>ASHLAND INC. AND CONSOLIDATED SUBSIDIARIES</w:t>
      </w:r>
    </w:p>
    <w:p>
      <w:pPr>
        <w:pStyle w:val="TextBody"/>
        <w:pBdr>
          <w:bottom w:val="single" w:sz="8" w:space="1" w:color="000000"/>
        </w:pBdr>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FORWARD-LOOKING STATEMENTS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This Quarterly Report on Form 10-Q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 to Stockholders,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as well as the economy and other future events or circumstances. Ashland’s expectations and assumptions include, without limitation, those mentioned within the MD&amp;A, internal forecasts and analyses of current and future market conditions and trends, management plans and strategies, operating efficiencies, cost savings and economic conditions (such as prices, supply and demand, cost of raw materials, and the ability to recover raw-material cost increases through price increases), and risks and uncertainties associated with the following: the impact of acquisitions and/or divestitures Ashland has made or may make (including the possibility that Ashland may not realize the anticipated benefits from such transactions); Ashland’s substantial indebtedness (including the possibility that such indebtedness and related restrictive covenants may adversely affect Ashland’s future cash flows, results of operations, financial condition and its ability to repay debt); execution risks associated with our growth strategies; the competitive nature of our business; severe weather, natural disasters, public health crises, cyber events and legal proceedings and claims (including product recalls, environmental and asbestos matters); the effect of announced or future tariff increases; the ongoing Israel/Iran, Ukraine/Russia and Israel/Hamas conflict on the geographies in which Ashland operates, the end markets Ashland serves and on Ashland’s supply chain and customers; and without limitation, risks and uncertainties affecting Ashland that are contained in “Use of estimates, risks and uncertainties” in Note A of Notes to Consolidated Financial Statements and in Item 1A of its most recent Form 10-K filed with SEC. Various risks and uncertainties may cause actual results to differ materially from those stated, projected or implied by any forward-looking statements. Ashland believes its expectations and assumptions are reasonable, but there can be no assurance that the expectations reflected herein will be achieved. Unless legally required, Ashland undertakes no obligation to update any forward-looking statements made in this Form 10-Q whether as a result of new information, future events or otherwise. Information on Ashland’s website is not incorporated into or a part of this Form 10-Q.</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ITEM 2. MANAGEMENT’S DISCUSSION AND ANALYSIS OF FINANCIAL CONDITION AND RESULTS OF OPERATIONS</w:t>
      </w:r>
    </w:p>
    <w:p>
      <w:pPr>
        <w:pStyle w:val="TextBody"/>
        <w:bidi w:val="0"/>
        <w:jc w:val="left"/>
        <w:rPr/>
      </w:pPr>
      <w:r>
        <w:rPr/>
        <w:t> </w:t>
      </w:r>
    </w:p>
    <w:p>
      <w:pPr>
        <w:pStyle w:val="TextBody"/>
        <w:pBdr>
          <w:top w:val="single" w:sz="8" w:space="1" w:color="000000"/>
        </w:pBdr>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ASHLAND INC. AND CONSOLIDATED SUBSIDIARIES</w:t>
      </w:r>
    </w:p>
    <w:p>
      <w:pPr>
        <w:pStyle w:val="TextBody"/>
        <w:bidi w:val="0"/>
        <w:jc w:val="left"/>
        <w:rPr>
          <w:rFonts w:ascii="Times New Roman" w:hAnsi="Times New Roman"/>
          <w:b/>
          <w:color w:val="000000"/>
          <w:sz w:val="22"/>
        </w:rPr>
      </w:pPr>
      <w:r>
        <w:rPr>
          <w:rFonts w:ascii="Times New Roman" w:hAnsi="Times New Roman"/>
          <w:b/>
          <w:color w:val="000000"/>
          <w:sz w:val="22"/>
        </w:rPr>
        <w:t>MANAGEMENT’S DISCUSSION AND ANALYSIS</w:t>
      </w:r>
    </w:p>
    <w:p>
      <w:pPr>
        <w:pStyle w:val="TextBody"/>
        <w:pBdr>
          <w:bottom w:val="single" w:sz="8" w:space="1" w:color="000000"/>
        </w:pBdr>
        <w:bidi w:val="0"/>
        <w:jc w:val="left"/>
        <w:rPr/>
      </w:pPr>
      <w:r>
        <w:rPr/>
        <w:t>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following discussion should be read in conjunction with the Condensed Consolidated Financial Statements and the accompanying Notes to Condensed Consolidated Financial Statements herein.</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BUSINESS OVERVIEW</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Ashland profile</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 is a global additives and specialty ingredients company with a conscious and proactive mindset for environmental, social and governance ("ESG"). The Company serves customers in a wide range of consumer and industrial markets, including architectural coatings, construction, energy, food and beverage, personal care and pharmaceutical. With approximately 2,960 employees worldwide, Ashland serves customers in more than 100 countries.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Ashland’s sales generated outside of North America were 73% and 72% for the three and nine months ended June 30, 2025, respectively, and 69% and 68% for the three and nine months ended June 30, 2024, respectively. Sales by region expressed as a percentage of total consolidated sales were as follows:</w:t>
      </w:r>
    </w:p>
    <w:p>
      <w:pPr>
        <w:pStyle w:val="TextBody"/>
        <w:bidi w:val="0"/>
        <w:jc w:val="both"/>
        <w:rPr/>
      </w:pPr>
      <w:r>
        <w:rPr/>
        <w:t> </w:t>
      </w:r>
    </w:p>
    <w:tbl>
      <w:tblPr>
        <w:tblW w:w="6247" w:type="dxa"/>
        <w:jc w:val="left"/>
        <w:tblInd w:w="0" w:type="dxa"/>
        <w:tblLayout w:type="fixed"/>
        <w:tblCellMar>
          <w:top w:w="28" w:type="dxa"/>
          <w:left w:w="28" w:type="dxa"/>
          <w:bottom w:w="28" w:type="dxa"/>
          <w:right w:w="28" w:type="dxa"/>
        </w:tblCellMar>
      </w:tblPr>
      <w:tblGrid>
        <w:gridCol w:w="1936"/>
        <w:gridCol w:w="146"/>
        <w:gridCol w:w="165"/>
        <w:gridCol w:w="476"/>
        <w:gridCol w:w="306"/>
        <w:gridCol w:w="165"/>
        <w:gridCol w:w="165"/>
        <w:gridCol w:w="476"/>
        <w:gridCol w:w="271"/>
        <w:gridCol w:w="146"/>
        <w:gridCol w:w="158"/>
        <w:gridCol w:w="456"/>
        <w:gridCol w:w="293"/>
        <w:gridCol w:w="158"/>
        <w:gridCol w:w="158"/>
        <w:gridCol w:w="456"/>
        <w:gridCol w:w="316"/>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3"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79"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by Geography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North America</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Europe</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Latin America &amp;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Ashland includes only U.S. and Canada in its North America designation and includes Europe, the Middle East and Africa in its Europe designation.</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Reportable segments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Ashland’s reportable segments include Life Sciences, Personal Care, Specialty Additives and Intermediates. Unallocated and other includes corporate governance activities and certain legacy matters. The contribution to sales by each reportable segment expressed as a percentage of total consolidated sales was as follows:</w:t>
      </w:r>
    </w:p>
    <w:p>
      <w:pPr>
        <w:pStyle w:val="TextBody"/>
        <w:bidi w:val="0"/>
        <w:jc w:val="both"/>
        <w:rPr/>
      </w:pPr>
      <w:r>
        <w:rPr/>
        <w:t> </w:t>
      </w:r>
    </w:p>
    <w:tbl>
      <w:tblPr>
        <w:tblW w:w="6802" w:type="dxa"/>
        <w:jc w:val="left"/>
        <w:tblInd w:w="0" w:type="dxa"/>
        <w:tblLayout w:type="fixed"/>
        <w:tblCellMar>
          <w:top w:w="28" w:type="dxa"/>
          <w:left w:w="28" w:type="dxa"/>
          <w:bottom w:w="28" w:type="dxa"/>
          <w:right w:w="28" w:type="dxa"/>
        </w:tblCellMar>
      </w:tblPr>
      <w:tblGrid>
        <w:gridCol w:w="2491"/>
        <w:gridCol w:w="146"/>
        <w:gridCol w:w="165"/>
        <w:gridCol w:w="476"/>
        <w:gridCol w:w="306"/>
        <w:gridCol w:w="165"/>
        <w:gridCol w:w="165"/>
        <w:gridCol w:w="476"/>
        <w:gridCol w:w="271"/>
        <w:gridCol w:w="146"/>
        <w:gridCol w:w="158"/>
        <w:gridCol w:w="456"/>
        <w:gridCol w:w="293"/>
        <w:gridCol w:w="158"/>
        <w:gridCol w:w="158"/>
        <w:gridCol w:w="456"/>
        <w:gridCol w:w="316"/>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3"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79"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by Reportable Segment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Life Sciences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Personal 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Specialty Additives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Intermediates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KEY DEVELOPMENTS</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Uncertainty related to tariffs and global trade policy changes</w:t>
      </w:r>
    </w:p>
    <w:p>
      <w:pPr>
        <w:pStyle w:val="TextBody"/>
        <w:bidi w:val="0"/>
        <w:jc w:val="both"/>
        <w:rPr>
          <w:rFonts w:ascii="Times New Roman" w:hAnsi="Times New Roman"/>
          <w:sz w:val="20"/>
        </w:rPr>
      </w:pPr>
      <w:r>
        <w:rPr>
          <w:rFonts w:ascii="Times New Roman" w:hAnsi="Times New Roman"/>
          <w:color w:val="000000"/>
          <w:sz w:val="22"/>
        </w:rPr>
        <w:t>The first nine months of the fiscal year saw increased regulatory activity, including the imposition of tariffs and evolving global trade policies, which have resulted in retaliatory measures on U.S. goods. The extent and duration of the tariffs and the resulting impact on general economic conditions and on Ashland are uncertain and depend on various factors, such as negotiations between the U.S. and affected countries, the responses of other countries or regions, exemptions that may be granted, availability and cost of alternative sources of supply and demand for Ashland's products in affected markets. Additionally, the uncertainty about trade policy, tariff rates, and other changes in practices affecting international trade, including whether such tariffs or other measures will be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2"/>
        </w:rPr>
        <w:t>withdrawn, or modified in the future, may make it difficult to operate optimally. Ashland continues to monitor the rapidly evolving tariff and global trade policies and is working to mitigate potential impacts on its business.</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Uncertainty relating to the ongoing Israel/Iran, Ukraine/Russia and Israel/Hamas conflicts</w:t>
      </w:r>
    </w:p>
    <w:p>
      <w:pPr>
        <w:pStyle w:val="TextBody"/>
        <w:bidi w:val="0"/>
        <w:jc w:val="both"/>
        <w:rPr>
          <w:rFonts w:ascii="Times New Roman" w:hAnsi="Times New Roman"/>
          <w:color w:val="000000"/>
          <w:sz w:val="22"/>
        </w:rPr>
      </w:pPr>
      <w:r>
        <w:rPr>
          <w:rFonts w:ascii="Times New Roman" w:hAnsi="Times New Roman"/>
          <w:color w:val="000000"/>
          <w:sz w:val="22"/>
        </w:rPr>
        <w:t>Business disruptions, including those related to the ongoing conflicts between Israel/Iran, Ukraine/Russia and Israel/Hamas continue to impact businesses around the globe. While it is impossible to predict the effects of the conflicts such as possible escalating geopolitical tensions (including the imposition of existing and additional sanctions by the U.S. and the European Union on Russia), worsening macroeconomic and general business conditions, supply chain interruptions and unfavorable energy markets, the impact could be material. Ashland is closely monitoring these situations and maintains business continuity plans that are intended to continue operations or mitigate the effects of events that could disrupt its business.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 does not have manufacturing operations in Iran, Israel, Russia, Ukraine, or Belarus. Ashland sells (or previously sold) additives and specialty ingredients to manufacturers in these countries for their use in pharmaceuticals, personal care, and coatings applications. Sales to Russia and Belarus were previously limited and our products were primarily used in products and applications that are essential to the population's well-being and currently support our customers' humanitarian efforts. We have sales controls in place to ensure that future potential sales into the region are only to support critical pharmaceutical or personal hygiene products which are essential for the general population and in accordance with any applicable sanctions. Sales to Israel, Ukraine, Russia, and Belarus represent less than 1% of total consolidated sales and less than 1% of total consolidated assets (related to accounts receivable).</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Other items</w:t>
      </w:r>
    </w:p>
    <w:p>
      <w:pPr>
        <w:pStyle w:val="TextBody"/>
        <w:bidi w:val="0"/>
        <w:jc w:val="both"/>
        <w:rPr>
          <w:rFonts w:ascii="Times New Roman" w:hAnsi="Times New Roman"/>
          <w:i/>
          <w:color w:val="000000"/>
          <w:sz w:val="22"/>
        </w:rPr>
      </w:pPr>
      <w:r>
        <w:rPr>
          <w:rFonts w:ascii="Times New Roman" w:hAnsi="Times New Roman"/>
          <w:i/>
          <w:color w:val="000000"/>
          <w:sz w:val="22"/>
        </w:rPr>
        <w:t>Restructuring programs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 previously announced, Ashland initiated a new $30 million pre-tax restructuring plan to offset the impact from the Nutraceuticals business sale, completed in fiscal 2024, and other portfolio optimization actions, which were expected to be realized 50 percent in fiscal 2025 and 50 percent in fiscal 2026. Ashland's current expectations include greater than 50 percent realization in fiscal 2025 of approximately $20 million.</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 is also advancing a multi-year manufacturing optimization restructuring plan to improve operational cost and strengthen its competitive position. This optimization plan is expected to generate pre-tax savings of $60 million once fully achieved, including savings of approximately $5 million in fiscal 2025.</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 is also continuing to execute its fiscal 2024 portfolio and plant optimization actions to further strengthen Ashland’s resilience and improve margins and returns. These previously announced actions include initiatives focused on carboxymethylcellulose (CMC), methylcellulose (MC), Nutraceuticals and Avoca Portfolio Optimization (collectively, Portfolio Optimization). Overall, these portfolio optimization actions reduced sales and operating loss by approximately $53 million and $8 million, respectively, for the three months ended June 30, 2025 and approximately $170 million and $22 million, respectively, for the nine months ended June 30, 2025 as compared to the prior year. Adjusted EBITDA was also reduced by $13 million and $34 million for the three and nine months ended June 30, 2025, respectively, as compared to the prior year.</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following table summarizes the expense impact of these restructuring actions:</w:t>
      </w:r>
    </w:p>
    <w:p>
      <w:pPr>
        <w:pStyle w:val="TextBody"/>
        <w:bidi w:val="0"/>
        <w:jc w:val="both"/>
        <w:rPr/>
      </w:pPr>
      <w:r>
        <w:rPr/>
        <w:t> </w:t>
      </w:r>
    </w:p>
    <w:tbl>
      <w:tblPr>
        <w:tblW w:w="7501" w:type="dxa"/>
        <w:jc w:val="left"/>
        <w:tblInd w:w="0" w:type="dxa"/>
        <w:tblLayout w:type="fixed"/>
        <w:tblCellMar>
          <w:top w:w="28" w:type="dxa"/>
          <w:left w:w="28" w:type="dxa"/>
          <w:bottom w:w="28" w:type="dxa"/>
          <w:right w:w="28" w:type="dxa"/>
        </w:tblCellMar>
      </w:tblPr>
      <w:tblGrid>
        <w:gridCol w:w="3586"/>
        <w:gridCol w:w="275"/>
        <w:gridCol w:w="412"/>
        <w:gridCol w:w="190"/>
        <w:gridCol w:w="190"/>
        <w:gridCol w:w="275"/>
        <w:gridCol w:w="412"/>
        <w:gridCol w:w="146"/>
        <w:gridCol w:w="146"/>
        <w:gridCol w:w="263"/>
        <w:gridCol w:w="394"/>
        <w:gridCol w:w="182"/>
        <w:gridCol w:w="182"/>
        <w:gridCol w:w="263"/>
        <w:gridCol w:w="394"/>
        <w:gridCol w:w="191"/>
      </w:tblGrid>
      <w:tr>
        <w:trPr/>
        <w:tc>
          <w:tcPr>
            <w:tcW w:w="358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4"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7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Accelerated depreciation</w:t>
            </w:r>
            <w:r>
              <w:rPr>
                <w:rFonts w:ascii="Times New Roman" w:hAnsi="Times New Roman"/>
                <w:color w:val="000000"/>
                <w:sz w:val="13"/>
              </w:rPr>
              <w:t>(a)</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separation and other costs</w:t>
            </w:r>
            <w:r>
              <w:rPr>
                <w:rFonts w:ascii="Times New Roman" w:hAnsi="Times New Roman"/>
                <w:color w:val="000000"/>
                <w:sz w:val="13"/>
              </w:rPr>
              <w:t>(b)</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plant optimization costs</w:t>
            </w:r>
            <w:r>
              <w:rPr>
                <w:rFonts w:ascii="Times New Roman" w:hAnsi="Times New Roman"/>
                <w:color w:val="000000"/>
                <w:sz w:val="13"/>
              </w:rPr>
              <w:t>(a)</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Recorded within the cost of sales caption within the Statements of Condensed Consolidated Comprehensive Income (Loss).</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(b)</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Recorded within the selling, general and administrative expense caption within the Statements of Condensed Consolidated Comprehensive Income (Loss).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Avoca business sale</w:t>
      </w:r>
    </w:p>
    <w:p>
      <w:pPr>
        <w:pStyle w:val="TextBody"/>
        <w:bidi w:val="0"/>
        <w:spacing w:before="120" w:after="283"/>
        <w:jc w:val="both"/>
        <w:rPr>
          <w:rFonts w:ascii="Times New Roman" w:hAnsi="Times New Roman"/>
          <w:sz w:val="20"/>
        </w:rPr>
      </w:pPr>
      <w:r>
        <w:rPr>
          <w:rFonts w:ascii="Times New Roman" w:hAnsi="Times New Roman"/>
          <w:color w:val="000000"/>
          <w:sz w:val="22"/>
        </w:rPr>
        <w:t>During the three months ended March 31, 2025, Ashland completed the sale of its Avoca business to Mane SA. Proceeds from the sale were approximately $16 million, net of transaction costs.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Avoca business was included within Ashland's Personal Care reportable segment.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 determined this transaction did not qualify for discontinued operations treatment since it neither represented a strategic shift nor did it have a major effect on Ashland's operations and financial results.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 recorded an impairment charge of $183 million ($1 million allocated to goodwill, $134 million to other intangible assets, $33 million to property, plant and equipment, $14 million to operating lease assets, net and $1 million to other current assets) for the nine months ended June 30, 2025, within the loss on acquisitions and divestitures, net caption of the Statement of Condensed Consolidated Comprehensive Income (Loss). The tax benefit associated with the sale is included within the income tax expense (benefit) caption of the Statement of Condensed Consolidated Comprehensive Income (Loss) for the nine months ended June 30, 2025. See Note J of the Notes to the Condensed Consolidated Financial Statements for tax details associated with the transaction. Ashland also recorded a pre-tax gain on sale of $8 million following the completion of this sale, mainly related to working capital movements, within the loss on acquisitions and divestitures, net caption of the Statements of Condensed Consolidated Comprehensive Income (Loss) for the nine months ended June 30, 2025.</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Goodwill impairment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During the third quarter fiscal 2025, Ashland experienced a continued decline in the market price of its Common</w:t>
        <w:br/>
        <w:t>Stock. Ashland also experienced slowing growth due to weakening macroeconomic environment that is dampening consumer sentiment and demand globally which resulted in lower growth and lower margins for the Life Sciences and Specialty Additives reportable segments (and reporting units) than what was previously reported. These factors led Ashland to determine that triggering events occurred, and a quantitative goodwill impairment assessment was performed during the three months ended June 30, 2025. Following the aforementioned quantitative analysis, the carrying value of the Life Sciences and the Specialty Additives reporting units exceeded their fair value, resulting in non-cash goodwill impairment charges of $375 million and $331 million, respectively, for a total goodwill impairment charge of $706 million, which was recorded during the three and nine months ended June 30, 2025, within the goodwill impairment caption of the Statements of Condensed Consolidated Comprehensive Income (Loss) for the both three and nine months ended June 30, 2025. No subsequent indicators of impairment have been identified.</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RESULTS OF OPERATIONS – CONSOLIDATED REVIEW</w:t>
      </w:r>
    </w:p>
    <w:p>
      <w:pPr>
        <w:pStyle w:val="TextBody"/>
        <w:bidi w:val="0"/>
        <w:spacing w:before="120" w:after="283"/>
        <w:jc w:val="both"/>
        <w:rPr>
          <w:rFonts w:ascii="Times New Roman" w:hAnsi="Times New Roman"/>
          <w:b/>
          <w:i/>
          <w:color w:val="000000"/>
          <w:sz w:val="22"/>
        </w:rPr>
      </w:pPr>
      <w:r>
        <w:rPr>
          <w:rFonts w:ascii="Times New Roman" w:hAnsi="Times New Roman"/>
          <w:b/>
          <w:i/>
          <w:color w:val="000000"/>
          <w:sz w:val="22"/>
        </w:rPr>
        <w:t>Consolidated review</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Overview</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Key financial results included the following:</w:t>
      </w:r>
    </w:p>
    <w:tbl>
      <w:tblPr>
        <w:tblW w:w="10205" w:type="dxa"/>
        <w:jc w:val="left"/>
        <w:tblInd w:w="0" w:type="dxa"/>
        <w:tblLayout w:type="fixed"/>
        <w:tblCellMar>
          <w:top w:w="28" w:type="dxa"/>
          <w:left w:w="28" w:type="dxa"/>
          <w:bottom w:w="28" w:type="dxa"/>
          <w:right w:w="28" w:type="dxa"/>
        </w:tblCellMar>
      </w:tblPr>
      <w:tblGrid>
        <w:gridCol w:w="3566"/>
        <w:gridCol w:w="146"/>
        <w:gridCol w:w="211"/>
        <w:gridCol w:w="631"/>
        <w:gridCol w:w="166"/>
        <w:gridCol w:w="146"/>
        <w:gridCol w:w="211"/>
        <w:gridCol w:w="466"/>
        <w:gridCol w:w="166"/>
        <w:gridCol w:w="146"/>
        <w:gridCol w:w="211"/>
        <w:gridCol w:w="631"/>
        <w:gridCol w:w="166"/>
        <w:gridCol w:w="146"/>
        <w:gridCol w:w="211"/>
        <w:gridCol w:w="631"/>
        <w:gridCol w:w="166"/>
        <w:gridCol w:w="146"/>
        <w:gridCol w:w="211"/>
        <w:gridCol w:w="466"/>
        <w:gridCol w:w="166"/>
        <w:gridCol w:w="146"/>
        <w:gridCol w:w="211"/>
        <w:gridCol w:w="631"/>
        <w:gridCol w:w="211"/>
      </w:tblGrid>
      <w:tr>
        <w:trPr/>
        <w:tc>
          <w:tcPr>
            <w:tcW w:w="3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985"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985"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Diluted earnings per share net income (loss)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Diluted earnings per share income (loss) from continuing operations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Diluted EPS from Continuing Operations Excluding Intangibles Amortization Expense</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As a result of the loss from continuing operations attributable to Ashland during the three and nine months ended June 30, 2025, the effect of the share-based awards convertible to common stock would be antidilutive and have been excluded from the diluted EPS calculation.</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(b)</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These are non-GAAP financial measures. See "Use of Non-GAAP Financial Measures" section below for reconciliations to U.S. GAAP.</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Business results current quarter</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Ashland's net loss of $742 million (loss of $16.21 diluted earnings per share) and income of $6 million ($0.12 diluted earnings per share) included loss from discontinued operations of $23 million (loss of $0.51 diluted earnings per share) and a loss from discontinued operations of $25 million (loss of $0.48 diluted earnings per share) in the three months ended June 30, 2025 and 2024, respectively.</w:t>
      </w:r>
    </w:p>
    <w:p>
      <w:pPr>
        <w:pStyle w:val="TextBody"/>
        <w:bidi w:val="0"/>
        <w:spacing w:before="120" w:after="283"/>
        <w:jc w:val="both"/>
        <w:rPr>
          <w:rFonts w:ascii="Times New Roman" w:hAnsi="Times New Roman"/>
          <w:sz w:val="20"/>
        </w:rPr>
      </w:pPr>
      <w:r>
        <w:rPr>
          <w:rFonts w:ascii="Times New Roman" w:hAnsi="Times New Roman"/>
          <w:color w:val="000000"/>
          <w:sz w:val="22"/>
        </w:rPr>
        <w:t>Results for Ashland’s continuing operations, diluted earnings per share from continuing operations and operating loss for the three months ended June 30, 2025 and 2024 included certain key items that were excluded to arrive at Adjusted EBITDA and are quantified in the “Use of Non-GAAP Financial Measures” section below. These pre-tax key items totaled expense of $754 million and $147 million for the three months ended June 30, 2025 and 2024, respectively, impacting continuing operations, including a non-cash goodwill impairment charge of $706 million in the current quarter ($375 million for the Life Sciences and $331 million for the Specialty Additives reportable segments). Continuing operations was also impacted by unfavorable tax specific key items for discrete tax items totaling $13 million and favorable tax specific key items for discrete tax items totaling $106 million for the three months ended June 30, 2025 and 2024, respectively.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Excluding these key items, the decrease in continuing operations, diluted earnings per share from continuing operations and operating loss was primarily driven by portfolio optimization actions, lower volume, and unfavorable production costs. This was partially offset by lower selling, administrative, research and development costs. In addition, diluted earnings per share from continuing operations was also impacted by common stock reductions from repurchases of Ashland common stock over the last twelve months. These common stock repurchases reduced the number of weighted average shares from 51 million diluted shares at June 30, 2024 to 46 million diluted shares at June 30, 2025.</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Ashland’s Adjusted EBITDA was $113 million for the three months ended June 30, 2025 compared to $139 million for the three months ended June 30, 2024 (see U.S. GAAP reconciliation under “Use of Non-GAAP Financial Measures” below). The $26 million decrease in Adjusted EBITDA was primarily driven by portfolio optimization actions, lower volume, and unfavorable production costs. This was partially offset by lower selling, administrative, research and development costs. Adjusted Diluted EPS from Continuing Operations (non-GAAP) Excluding Intangibles Amortization Expense was also impacted by these key factors along with the impact of common stock repurchases noted above.</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For further information on the items reported above, see the discussion in the comparative Statements of Condensed Consolidated Comprehensive Income (Loss) caption review analysis.</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Statements of Condensed Consolidated Comprehensive Income (Loss) – caption review</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A comparative analysis of the Statements of Condensed Consolidated Comprehensive Income (Loss) by caption is provided as follows:</w:t>
      </w:r>
    </w:p>
    <w:tbl>
      <w:tblPr>
        <w:tblW w:w="7263" w:type="dxa"/>
        <w:jc w:val="left"/>
        <w:tblInd w:w="0" w:type="dxa"/>
        <w:tblLayout w:type="fixed"/>
        <w:tblCellMar>
          <w:top w:w="28" w:type="dxa"/>
          <w:left w:w="28" w:type="dxa"/>
          <w:bottom w:w="28" w:type="dxa"/>
          <w:right w:w="28" w:type="dxa"/>
        </w:tblCellMar>
      </w:tblPr>
      <w:tblGrid>
        <w:gridCol w:w="1126"/>
        <w:gridCol w:w="146"/>
        <w:gridCol w:w="211"/>
        <w:gridCol w:w="421"/>
        <w:gridCol w:w="146"/>
        <w:gridCol w:w="146"/>
        <w:gridCol w:w="211"/>
        <w:gridCol w:w="421"/>
        <w:gridCol w:w="146"/>
        <w:gridCol w:w="146"/>
        <w:gridCol w:w="264"/>
        <w:gridCol w:w="472"/>
        <w:gridCol w:w="166"/>
        <w:gridCol w:w="146"/>
        <w:gridCol w:w="211"/>
        <w:gridCol w:w="571"/>
        <w:gridCol w:w="146"/>
        <w:gridCol w:w="146"/>
        <w:gridCol w:w="211"/>
        <w:gridCol w:w="571"/>
        <w:gridCol w:w="146"/>
        <w:gridCol w:w="146"/>
        <w:gridCol w:w="224"/>
        <w:gridCol w:w="512"/>
        <w:gridCol w:w="21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84"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 June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884"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 June 30</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following table provides a reconciliation of the change in sales for the three and nine months ended June 30, 2025 and 2024:</w:t>
      </w:r>
    </w:p>
    <w:tbl>
      <w:tblPr>
        <w:tblW w:w="6830" w:type="dxa"/>
        <w:jc w:val="left"/>
        <w:tblInd w:w="0" w:type="dxa"/>
        <w:tblLayout w:type="fixed"/>
        <w:tblCellMar>
          <w:top w:w="28" w:type="dxa"/>
          <w:left w:w="28" w:type="dxa"/>
          <w:bottom w:w="28" w:type="dxa"/>
          <w:right w:w="28" w:type="dxa"/>
        </w:tblCellMar>
      </w:tblPr>
      <w:tblGrid>
        <w:gridCol w:w="2526"/>
        <w:gridCol w:w="146"/>
        <w:gridCol w:w="629"/>
        <w:gridCol w:w="1126"/>
        <w:gridCol w:w="166"/>
        <w:gridCol w:w="146"/>
        <w:gridCol w:w="511"/>
        <w:gridCol w:w="1169"/>
        <w:gridCol w:w="411"/>
      </w:tblGrid>
      <w:tr>
        <w:trPr/>
        <w:tc>
          <w:tcPr>
            <w:tcW w:w="2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8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Sales 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Divestitures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Price/mix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exchange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Times New Roman" w:hAnsi="Times New Roman"/>
          <w:color w:val="000000"/>
          <w:sz w:val="22"/>
          <w:u w:val="single"/>
        </w:rPr>
        <w:t>Current Quarter</w:t>
      </w:r>
      <w:r>
        <w:rPr>
          <w:rFonts w:ascii="Times New Roman" w:hAnsi="Times New Roman"/>
          <w:color w:val="000000"/>
          <w:sz w:val="20"/>
        </w:rPr>
        <w:t xml:space="preserve"> </w:t>
      </w:r>
      <w:r>
        <w:rPr>
          <w:rFonts w:ascii="Times New Roman" w:hAnsi="Times New Roman"/>
          <w:color w:val="000000"/>
          <w:sz w:val="22"/>
        </w:rPr>
        <w:t>- Sales for the current quarter decreased $81 million compared to the prior year quarter. The decrease was driven by the unfavorable impact of divestitures, lower volume, and unfavorable pricing which was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partially offset by favorable foreign currency exchange. Portfolio optimization initiatives had an approximate $53 million impact on sales in the current quarter compared to the prior year quarter, primarily within divestitures and volume caption changes.</w:t>
      </w:r>
    </w:p>
    <w:p>
      <w:pPr>
        <w:pStyle w:val="TextBody"/>
        <w:bidi w:val="0"/>
        <w:spacing w:before="0" w:after="120"/>
        <w:jc w:val="both"/>
        <w:rPr>
          <w:rFonts w:ascii="Times New Roman" w:hAnsi="Times New Roman"/>
          <w:sz w:val="20"/>
        </w:rPr>
      </w:pPr>
      <w:r>
        <w:rPr>
          <w:rFonts w:ascii="Times New Roman" w:hAnsi="Times New Roman"/>
          <w:color w:val="000000"/>
          <w:sz w:val="22"/>
          <w:u w:val="single"/>
        </w:rPr>
        <w:t>Year-to-date</w:t>
      </w:r>
      <w:r>
        <w:rPr>
          <w:rFonts w:ascii="Times New Roman" w:hAnsi="Times New Roman"/>
          <w:color w:val="000000"/>
          <w:sz w:val="20"/>
        </w:rPr>
        <w:t xml:space="preserve"> </w:t>
      </w:r>
      <w:r>
        <w:rPr>
          <w:rFonts w:ascii="Times New Roman" w:hAnsi="Times New Roman"/>
          <w:color w:val="000000"/>
          <w:sz w:val="22"/>
        </w:rPr>
        <w:t>- Sales for the current year decreased $244 million compared to the prior year period. The decrease was driven by the unfavorable impact of divestitures, lower volume, and unfavorable pricing. Portfolio optimization initiatives had an approximate $170 million impact on sales in the current year period compared to the prior year period, primarily within divestitures and volume caption changes.</w:t>
      </w:r>
    </w:p>
    <w:tbl>
      <w:tblPr>
        <w:tblW w:w="9473" w:type="dxa"/>
        <w:jc w:val="left"/>
        <w:tblInd w:w="0" w:type="dxa"/>
        <w:tblLayout w:type="fixed"/>
        <w:tblCellMar>
          <w:top w:w="28" w:type="dxa"/>
          <w:left w:w="28" w:type="dxa"/>
          <w:bottom w:w="28" w:type="dxa"/>
          <w:right w:w="28" w:type="dxa"/>
        </w:tblCellMar>
      </w:tblPr>
      <w:tblGrid>
        <w:gridCol w:w="2851"/>
        <w:gridCol w:w="146"/>
        <w:gridCol w:w="211"/>
        <w:gridCol w:w="466"/>
        <w:gridCol w:w="271"/>
        <w:gridCol w:w="146"/>
        <w:gridCol w:w="211"/>
        <w:gridCol w:w="466"/>
        <w:gridCol w:w="271"/>
        <w:gridCol w:w="146"/>
        <w:gridCol w:w="264"/>
        <w:gridCol w:w="472"/>
        <w:gridCol w:w="166"/>
        <w:gridCol w:w="146"/>
        <w:gridCol w:w="211"/>
        <w:gridCol w:w="466"/>
        <w:gridCol w:w="271"/>
        <w:gridCol w:w="146"/>
        <w:gridCol w:w="211"/>
        <w:gridCol w:w="571"/>
        <w:gridCol w:w="271"/>
        <w:gridCol w:w="146"/>
        <w:gridCol w:w="224"/>
        <w:gridCol w:w="512"/>
        <w:gridCol w:w="21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924"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 June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029"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 June 30</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 as a percent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following table provides a reconciliation of the change in cost of sales between the three and nine months ended June 30, 2025 and 2024:</w:t>
      </w:r>
    </w:p>
    <w:tbl>
      <w:tblPr>
        <w:tblW w:w="7030" w:type="dxa"/>
        <w:jc w:val="left"/>
        <w:tblInd w:w="0" w:type="dxa"/>
        <w:tblLayout w:type="fixed"/>
        <w:tblCellMar>
          <w:top w:w="28" w:type="dxa"/>
          <w:left w:w="28" w:type="dxa"/>
          <w:bottom w:w="28" w:type="dxa"/>
          <w:right w:w="28" w:type="dxa"/>
        </w:tblCellMar>
      </w:tblPr>
      <w:tblGrid>
        <w:gridCol w:w="2526"/>
        <w:gridCol w:w="346"/>
        <w:gridCol w:w="629"/>
        <w:gridCol w:w="1126"/>
        <w:gridCol w:w="166"/>
        <w:gridCol w:w="146"/>
        <w:gridCol w:w="511"/>
        <w:gridCol w:w="1169"/>
        <w:gridCol w:w="411"/>
      </w:tblGrid>
      <w:tr>
        <w:trPr/>
        <w:tc>
          <w:tcPr>
            <w:tcW w:w="25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8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sales change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Divestitures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Volume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costs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exchange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Price/mix</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cost of sales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Times New Roman" w:hAnsi="Times New Roman"/>
          <w:color w:val="000000"/>
          <w:sz w:val="22"/>
          <w:u w:val="single"/>
        </w:rPr>
        <w:t>Current Quarter</w:t>
      </w:r>
      <w:r>
        <w:rPr>
          <w:rFonts w:ascii="Times New Roman" w:hAnsi="Times New Roman"/>
          <w:color w:val="000000"/>
          <w:sz w:val="20"/>
        </w:rPr>
        <w:t xml:space="preserve"> </w:t>
      </w:r>
      <w:r>
        <w:rPr>
          <w:rFonts w:ascii="Times New Roman" w:hAnsi="Times New Roman"/>
          <w:color w:val="000000"/>
          <w:sz w:val="22"/>
        </w:rPr>
        <w:t>- Cost of sales for the current quarter decreased $27 million compared to the prior year quarter. The decrease was primarily driven by the favorable impact of divestitures, lower sales volume, and favorable pricing, partially offset by higher operating costs and unfavorable foreign exchange currency. The current period operating costs were affected by $27 million of accelerated depreciation for product line optimization activities at manufacturing facilities within the Life Sciences, Personal Care and Specialty Additives reportable segments and $3 million of other plant optimization costs while the prior year quarter included $8 million of accelerated depreciation for product line optimization activities at two Speciality Additives manufacturing plants and one Personal Care manufacturing plant, and $4 million of other plant optimization costs. Gross profit as a percentage of sales decreased 5.7% primarily due to lower sales volume, higher operating costs and increased accelerated depreciation compared to the prior year quarter.</w:t>
      </w:r>
    </w:p>
    <w:p>
      <w:pPr>
        <w:pStyle w:val="TextBody"/>
        <w:bidi w:val="0"/>
        <w:spacing w:before="0" w:after="120"/>
        <w:jc w:val="both"/>
        <w:rPr>
          <w:rFonts w:ascii="Times New Roman" w:hAnsi="Times New Roman"/>
          <w:sz w:val="20"/>
        </w:rPr>
      </w:pPr>
      <w:r>
        <w:rPr>
          <w:rFonts w:ascii="Times New Roman" w:hAnsi="Times New Roman"/>
          <w:color w:val="000000"/>
          <w:sz w:val="22"/>
          <w:u w:val="single"/>
        </w:rPr>
        <w:t>Year-to-date</w:t>
      </w:r>
      <w:r>
        <w:rPr>
          <w:rFonts w:ascii="Times New Roman" w:hAnsi="Times New Roman"/>
          <w:color w:val="000000"/>
          <w:sz w:val="20"/>
        </w:rPr>
        <w:t xml:space="preserve"> </w:t>
      </w:r>
      <w:r>
        <w:rPr>
          <w:rFonts w:ascii="Times New Roman" w:hAnsi="Times New Roman"/>
          <w:color w:val="000000"/>
          <w:sz w:val="22"/>
        </w:rPr>
        <w:t>- Cost of sales for the current year decreased $190 million compared to the prior year period. The decrease was primarily driven by the favorable impact of divestitures, lower sales volume, and lower operating costs, partially offset by unfavorable pricing. The current period operating costs were affected by $40 million of accelerated depreciation for product line optimization activities at manufacturing facilities within the Life Sciences, Personal Care and Specialty Additives reportable segments and $12 million of other plant optimization costs while the prior year period included $56 million of accelerated depreciation for product line optimization activities at two Speciality Additives manufacturing plants and one Personal Care manufacturing plant, and $5 million of other plant optimization costs. Gross profit as a percentage of sales increased 1.1% primarily due to production volume recovery versus inventory corrective actions and decreased accelerated depreciation compared to the prior year period.</w:t>
      </w:r>
    </w:p>
    <w:tbl>
      <w:tblPr>
        <w:tblW w:w="10205" w:type="dxa"/>
        <w:jc w:val="left"/>
        <w:tblInd w:w="0" w:type="dxa"/>
        <w:tblLayout w:type="fixed"/>
        <w:tblCellMar>
          <w:top w:w="28" w:type="dxa"/>
          <w:left w:w="28" w:type="dxa"/>
          <w:bottom w:w="28" w:type="dxa"/>
          <w:right w:w="28" w:type="dxa"/>
        </w:tblCellMar>
      </w:tblPr>
      <w:tblGrid>
        <w:gridCol w:w="3688"/>
        <w:gridCol w:w="146"/>
        <w:gridCol w:w="211"/>
        <w:gridCol w:w="466"/>
        <w:gridCol w:w="271"/>
        <w:gridCol w:w="146"/>
        <w:gridCol w:w="211"/>
        <w:gridCol w:w="466"/>
        <w:gridCol w:w="271"/>
        <w:gridCol w:w="146"/>
        <w:gridCol w:w="322"/>
        <w:gridCol w:w="414"/>
        <w:gridCol w:w="166"/>
        <w:gridCol w:w="146"/>
        <w:gridCol w:w="211"/>
        <w:gridCol w:w="466"/>
        <w:gridCol w:w="271"/>
        <w:gridCol w:w="146"/>
        <w:gridCol w:w="211"/>
        <w:gridCol w:w="466"/>
        <w:gridCol w:w="271"/>
        <w:gridCol w:w="146"/>
        <w:gridCol w:w="264"/>
        <w:gridCol w:w="472"/>
        <w:gridCol w:w="211"/>
      </w:tblGrid>
      <w:tr>
        <w:trPr/>
        <w:tc>
          <w:tcPr>
            <w:tcW w:w="3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8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924"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 June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924"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 June 30</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 percent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r>
        <w:rPr>
          <w:rFonts w:ascii="Times New Roman" w:hAnsi="Times New Roman"/>
          <w:color w:val="000000"/>
          <w:sz w:val="22"/>
          <w:u w:val="single"/>
        </w:rPr>
        <w:t>Current Quarter</w:t>
      </w:r>
      <w:r>
        <w:rPr>
          <w:rFonts w:ascii="Times New Roman" w:hAnsi="Times New Roman"/>
          <w:color w:val="000000"/>
          <w:sz w:val="20"/>
        </w:rPr>
        <w:t xml:space="preserve"> </w:t>
      </w:r>
      <w:r>
        <w:rPr>
          <w:rFonts w:ascii="Times New Roman" w:hAnsi="Times New Roman"/>
          <w:color w:val="000000"/>
          <w:sz w:val="22"/>
        </w:rPr>
        <w:t>- Selling, general and administrative expense for the current quarter decreased $8 million compared to the prior year quarter with expenses as a percent of sales increasing 1.9%. Key drivers of the fluctuation in selling, general and administrative expense compared to the prior year quarter were:</w:t>
      </w:r>
      <w:r>
        <w:rPr>
          <w:rFonts w:ascii="Times New Roman" w:hAnsi="Times New Roman"/>
          <w:color w:val="000000"/>
          <w:sz w:val="20"/>
        </w:rPr>
        <w:t xml:space="preserve">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$30 million and $35 million in net environmental-related expenses during the current and prior year quarter, respectively (see Note L of the Notes to the Condensed Consolidated Financial Statements for more information);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Expense of $7 million and $3 million comprised of key items for severance, lease abandonment and other restructuring costs during the current and prior year quarter, respectively;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Lower variable compensation expense, the favorable impact of divestitures, and realized cost reductions associated with restructuring actions partially offset by unfavorable currency exchange between periods.</w:t>
      </w:r>
    </w:p>
    <w:p>
      <w:pPr>
        <w:pStyle w:val="TextBody"/>
        <w:bidi w:val="0"/>
        <w:spacing w:before="120" w:after="120"/>
        <w:jc w:val="both"/>
        <w:rPr>
          <w:rFonts w:ascii="Times New Roman" w:hAnsi="Times New Roman"/>
          <w:sz w:val="20"/>
        </w:rPr>
      </w:pPr>
      <w:r>
        <w:rPr>
          <w:rFonts w:ascii="Times New Roman" w:hAnsi="Times New Roman"/>
          <w:color w:val="000000"/>
          <w:sz w:val="22"/>
          <w:u w:val="single"/>
        </w:rPr>
        <w:t>Year-to-date</w:t>
      </w:r>
      <w:r>
        <w:rPr>
          <w:rFonts w:ascii="Times New Roman" w:hAnsi="Times New Roman"/>
          <w:color w:val="000000"/>
          <w:sz w:val="20"/>
        </w:rPr>
        <w:t xml:space="preserve"> </w:t>
      </w:r>
      <w:r>
        <w:rPr>
          <w:rFonts w:ascii="Times New Roman" w:hAnsi="Times New Roman"/>
          <w:color w:val="000000"/>
          <w:sz w:val="22"/>
        </w:rPr>
        <w:t>- Selling, general and administrative expense for the current year decreased $35 million compared to the prior year period with expenses as a percent of sales increasing 0.9%. Key drivers of the fluctuation in selling, general and administrative expense compared to the prior year period were:</w:t>
      </w:r>
      <w:r>
        <w:rPr>
          <w:rFonts w:ascii="Times New Roman" w:hAnsi="Times New Roman"/>
          <w:color w:val="000000"/>
          <w:sz w:val="20"/>
        </w:rPr>
        <w:t xml:space="preserve">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$33 million and $41 million in net environmental-related expenses during the current and prior year period, respectively (see Note L of the Notes to the Condensed Consolidated Financial Statements for more information);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Expense of $18 million and $28 million comprised of key items for severance, lease abandonment and other restructuring costs during the current and prior year period, respectively;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 $5 million charge associated with the impact of a currency devaluation in Argentina in the prior period;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Lower variable compensation expense, the favorable impact of divestitures, and the realized cost reductions associated with restructuring actions between periods.</w:t>
      </w:r>
    </w:p>
    <w:p>
      <w:pPr>
        <w:pStyle w:val="TextBody"/>
        <w:bidi w:val="0"/>
        <w:jc w:val="both"/>
        <w:rPr/>
      </w:pPr>
      <w:r>
        <w:rPr/>
        <w:t> </w:t>
      </w:r>
    </w:p>
    <w:tbl>
      <w:tblPr>
        <w:tblW w:w="8924" w:type="dxa"/>
        <w:jc w:val="left"/>
        <w:tblInd w:w="0" w:type="dxa"/>
        <w:tblLayout w:type="fixed"/>
        <w:tblCellMar>
          <w:top w:w="28" w:type="dxa"/>
          <w:left w:w="28" w:type="dxa"/>
          <w:bottom w:w="28" w:type="dxa"/>
          <w:right w:w="28" w:type="dxa"/>
        </w:tblCellMar>
      </w:tblPr>
      <w:tblGrid>
        <w:gridCol w:w="3091"/>
        <w:gridCol w:w="146"/>
        <w:gridCol w:w="241"/>
        <w:gridCol w:w="362"/>
        <w:gridCol w:w="167"/>
        <w:gridCol w:w="167"/>
        <w:gridCol w:w="241"/>
        <w:gridCol w:w="362"/>
        <w:gridCol w:w="167"/>
        <w:gridCol w:w="167"/>
        <w:gridCol w:w="322"/>
        <w:gridCol w:w="414"/>
        <w:gridCol w:w="166"/>
        <w:gridCol w:w="146"/>
        <w:gridCol w:w="234"/>
        <w:gridCol w:w="351"/>
        <w:gridCol w:w="162"/>
        <w:gridCol w:w="162"/>
        <w:gridCol w:w="234"/>
        <w:gridCol w:w="351"/>
        <w:gridCol w:w="162"/>
        <w:gridCol w:w="162"/>
        <w:gridCol w:w="322"/>
        <w:gridCol w:w="414"/>
        <w:gridCol w:w="21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10"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 June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554"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 June 30</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Times New Roman" w:hAnsi="Times New Roman"/>
          <w:color w:val="000000"/>
          <w:sz w:val="22"/>
          <w:u w:val="single"/>
        </w:rPr>
        <w:t>Current Quarter</w:t>
      </w:r>
      <w:r>
        <w:rPr>
          <w:rFonts w:ascii="Times New Roman" w:hAnsi="Times New Roman"/>
          <w:color w:val="000000"/>
          <w:sz w:val="20"/>
        </w:rPr>
        <w:t xml:space="preserve"> </w:t>
      </w:r>
      <w:r>
        <w:rPr>
          <w:rFonts w:ascii="Times New Roman" w:hAnsi="Times New Roman"/>
          <w:color w:val="000000"/>
          <w:sz w:val="22"/>
        </w:rPr>
        <w:t>- Research and development expense decreased mostly due to lower incentive compensation.</w:t>
      </w:r>
    </w:p>
    <w:p>
      <w:pPr>
        <w:pStyle w:val="TextBody"/>
        <w:bidi w:val="0"/>
        <w:spacing w:before="0" w:after="120"/>
        <w:jc w:val="both"/>
        <w:rPr>
          <w:rFonts w:ascii="Times New Roman" w:hAnsi="Times New Roman"/>
          <w:sz w:val="20"/>
        </w:rPr>
      </w:pPr>
      <w:r>
        <w:rPr>
          <w:rFonts w:ascii="Times New Roman" w:hAnsi="Times New Roman"/>
          <w:color w:val="000000"/>
          <w:sz w:val="22"/>
          <w:u w:val="single"/>
        </w:rPr>
        <w:t>Year-to-date</w:t>
      </w:r>
      <w:r>
        <w:rPr>
          <w:rFonts w:ascii="Times New Roman" w:hAnsi="Times New Roman"/>
          <w:color w:val="000000"/>
          <w:sz w:val="20"/>
        </w:rPr>
        <w:t xml:space="preserve"> </w:t>
      </w:r>
      <w:r>
        <w:rPr>
          <w:rFonts w:ascii="Times New Roman" w:hAnsi="Times New Roman"/>
          <w:color w:val="000000"/>
          <w:sz w:val="22"/>
        </w:rPr>
        <w:t>- Research and development expense is generally consistent with the prior year period.</w:t>
      </w:r>
    </w:p>
    <w:tbl>
      <w:tblPr>
        <w:tblW w:w="8671" w:type="dxa"/>
        <w:jc w:val="left"/>
        <w:tblInd w:w="0" w:type="dxa"/>
        <w:tblLayout w:type="fixed"/>
        <w:tblCellMar>
          <w:top w:w="28" w:type="dxa"/>
          <w:left w:w="28" w:type="dxa"/>
          <w:bottom w:w="28" w:type="dxa"/>
          <w:right w:w="28" w:type="dxa"/>
        </w:tblCellMar>
      </w:tblPr>
      <w:tblGrid>
        <w:gridCol w:w="2926"/>
        <w:gridCol w:w="146"/>
        <w:gridCol w:w="241"/>
        <w:gridCol w:w="362"/>
        <w:gridCol w:w="167"/>
        <w:gridCol w:w="167"/>
        <w:gridCol w:w="241"/>
        <w:gridCol w:w="362"/>
        <w:gridCol w:w="167"/>
        <w:gridCol w:w="167"/>
        <w:gridCol w:w="322"/>
        <w:gridCol w:w="414"/>
        <w:gridCol w:w="166"/>
        <w:gridCol w:w="146"/>
        <w:gridCol w:w="223"/>
        <w:gridCol w:w="334"/>
        <w:gridCol w:w="154"/>
        <w:gridCol w:w="154"/>
        <w:gridCol w:w="223"/>
        <w:gridCol w:w="334"/>
        <w:gridCol w:w="154"/>
        <w:gridCol w:w="154"/>
        <w:gridCol w:w="264"/>
        <w:gridCol w:w="472"/>
        <w:gridCol w:w="21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10"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 June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466"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 June 30</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Intangibles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Times New Roman" w:hAnsi="Times New Roman"/>
          <w:color w:val="000000"/>
          <w:sz w:val="22"/>
          <w:u w:val="single"/>
        </w:rPr>
        <w:t>Current Quarter</w:t>
      </w:r>
      <w:r>
        <w:rPr>
          <w:rFonts w:ascii="Times New Roman" w:hAnsi="Times New Roman"/>
          <w:color w:val="000000"/>
          <w:sz w:val="20"/>
        </w:rPr>
        <w:t xml:space="preserve"> </w:t>
      </w:r>
      <w:r>
        <w:rPr>
          <w:rFonts w:ascii="Times New Roman" w:hAnsi="Times New Roman"/>
          <w:color w:val="000000"/>
          <w:sz w:val="22"/>
        </w:rPr>
        <w:t>- The lower intangibles amortization expense in the current quarter is driven by the impact of amortization related to the divested Avoca business in the prior quarter and Nutraceuticals business in the prior year quarter.</w:t>
      </w:r>
    </w:p>
    <w:p>
      <w:pPr>
        <w:pStyle w:val="TextBody"/>
        <w:bidi w:val="0"/>
        <w:spacing w:before="0" w:after="120"/>
        <w:jc w:val="both"/>
        <w:rPr>
          <w:rFonts w:ascii="Times New Roman" w:hAnsi="Times New Roman"/>
          <w:sz w:val="20"/>
        </w:rPr>
      </w:pPr>
      <w:r>
        <w:rPr>
          <w:rFonts w:ascii="Times New Roman" w:hAnsi="Times New Roman"/>
          <w:color w:val="000000"/>
          <w:sz w:val="22"/>
          <w:u w:val="single"/>
        </w:rPr>
        <w:t>Year-to-date</w:t>
      </w:r>
      <w:r>
        <w:rPr>
          <w:rFonts w:ascii="Times New Roman" w:hAnsi="Times New Roman"/>
          <w:color w:val="000000"/>
          <w:sz w:val="20"/>
        </w:rPr>
        <w:t xml:space="preserve"> </w:t>
      </w:r>
      <w:r>
        <w:rPr>
          <w:rFonts w:ascii="Times New Roman" w:hAnsi="Times New Roman"/>
          <w:color w:val="000000"/>
          <w:sz w:val="22"/>
        </w:rPr>
        <w:t>- The lower intangibles amortization expense in the current year is driven by the impact of amortization related to the divested Avoca business in the current year and Nutraceuticals business in the prior year period.</w:t>
      </w:r>
    </w:p>
    <w:tbl>
      <w:tblPr>
        <w:tblW w:w="7927" w:type="dxa"/>
        <w:jc w:val="left"/>
        <w:tblInd w:w="0" w:type="dxa"/>
        <w:tblLayout w:type="fixed"/>
        <w:tblCellMar>
          <w:top w:w="28" w:type="dxa"/>
          <w:left w:w="28" w:type="dxa"/>
          <w:bottom w:w="28" w:type="dxa"/>
          <w:right w:w="28" w:type="dxa"/>
        </w:tblCellMar>
      </w:tblPr>
      <w:tblGrid>
        <w:gridCol w:w="2206"/>
        <w:gridCol w:w="146"/>
        <w:gridCol w:w="227"/>
        <w:gridCol w:w="373"/>
        <w:gridCol w:w="157"/>
        <w:gridCol w:w="157"/>
        <w:gridCol w:w="227"/>
        <w:gridCol w:w="373"/>
        <w:gridCol w:w="157"/>
        <w:gridCol w:w="157"/>
        <w:gridCol w:w="278"/>
        <w:gridCol w:w="458"/>
        <w:gridCol w:w="146"/>
        <w:gridCol w:w="146"/>
        <w:gridCol w:w="263"/>
        <w:gridCol w:w="263"/>
        <w:gridCol w:w="180"/>
        <w:gridCol w:w="180"/>
        <w:gridCol w:w="263"/>
        <w:gridCol w:w="263"/>
        <w:gridCol w:w="180"/>
        <w:gridCol w:w="180"/>
        <w:gridCol w:w="322"/>
        <w:gridCol w:w="414"/>
        <w:gridCol w:w="21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64"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 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508"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 June 30</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Times New Roman" w:hAnsi="Times New Roman"/>
          <w:color w:val="000000"/>
          <w:sz w:val="22"/>
          <w:u w:val="single"/>
        </w:rPr>
        <w:t>Current Quarter</w:t>
      </w:r>
      <w:r>
        <w:rPr>
          <w:rFonts w:ascii="Times New Roman" w:hAnsi="Times New Roman"/>
          <w:color w:val="000000"/>
          <w:sz w:val="20"/>
        </w:rPr>
        <w:t xml:space="preserve"> </w:t>
      </w:r>
      <w:r>
        <w:rPr>
          <w:rFonts w:ascii="Times New Roman" w:hAnsi="Times New Roman"/>
          <w:color w:val="000000"/>
          <w:sz w:val="22"/>
        </w:rPr>
        <w:t>- Equity and other income was zero for the current and prior year quarter.</w:t>
      </w:r>
    </w:p>
    <w:p>
      <w:pPr>
        <w:pStyle w:val="TextBody"/>
        <w:bidi w:val="0"/>
        <w:spacing w:before="0" w:after="120"/>
        <w:jc w:val="both"/>
        <w:rPr>
          <w:rFonts w:ascii="Times New Roman" w:hAnsi="Times New Roman"/>
          <w:sz w:val="20"/>
        </w:rPr>
      </w:pPr>
      <w:r>
        <w:rPr>
          <w:rFonts w:ascii="Times New Roman" w:hAnsi="Times New Roman"/>
          <w:color w:val="000000"/>
          <w:sz w:val="22"/>
          <w:u w:val="single"/>
        </w:rPr>
        <w:t>Year-to-date</w:t>
      </w:r>
      <w:r>
        <w:rPr>
          <w:rFonts w:ascii="Times New Roman" w:hAnsi="Times New Roman"/>
          <w:color w:val="000000"/>
          <w:sz w:val="20"/>
        </w:rPr>
        <w:t xml:space="preserve"> </w:t>
      </w:r>
      <w:r>
        <w:rPr>
          <w:rFonts w:ascii="Times New Roman" w:hAnsi="Times New Roman"/>
          <w:color w:val="000000"/>
          <w:sz w:val="22"/>
        </w:rPr>
        <w:t>- Equity and other income is lower than the prior year period, which included $2 million in China subsidies.</w:t>
      </w:r>
    </w:p>
    <w:tbl>
      <w:tblPr>
        <w:tblW w:w="7613" w:type="dxa"/>
        <w:jc w:val="left"/>
        <w:tblInd w:w="0" w:type="dxa"/>
        <w:tblLayout w:type="fixed"/>
        <w:tblCellMar>
          <w:top w:w="28" w:type="dxa"/>
          <w:left w:w="28" w:type="dxa"/>
          <w:bottom w:w="28" w:type="dxa"/>
          <w:right w:w="28" w:type="dxa"/>
        </w:tblCellMar>
      </w:tblPr>
      <w:tblGrid>
        <w:gridCol w:w="1951"/>
        <w:gridCol w:w="146"/>
        <w:gridCol w:w="213"/>
        <w:gridCol w:w="425"/>
        <w:gridCol w:w="147"/>
        <w:gridCol w:w="147"/>
        <w:gridCol w:w="213"/>
        <w:gridCol w:w="349"/>
        <w:gridCol w:w="147"/>
        <w:gridCol w:w="147"/>
        <w:gridCol w:w="245"/>
        <w:gridCol w:w="491"/>
        <w:gridCol w:w="146"/>
        <w:gridCol w:w="146"/>
        <w:gridCol w:w="211"/>
        <w:gridCol w:w="421"/>
        <w:gridCol w:w="146"/>
        <w:gridCol w:w="146"/>
        <w:gridCol w:w="211"/>
        <w:gridCol w:w="346"/>
        <w:gridCol w:w="146"/>
        <w:gridCol w:w="146"/>
        <w:gridCol w:w="245"/>
        <w:gridCol w:w="491"/>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24"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 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509"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 June 30</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r>
        <w:rPr>
          <w:rFonts w:ascii="Times New Roman" w:hAnsi="Times New Roman"/>
          <w:color w:val="000000"/>
          <w:sz w:val="22"/>
          <w:u w:val="single"/>
        </w:rPr>
        <w:t>Current Quarter</w:t>
      </w:r>
      <w:r>
        <w:rPr>
          <w:rFonts w:ascii="Times New Roman" w:hAnsi="Times New Roman"/>
          <w:color w:val="000000"/>
          <w:sz w:val="20"/>
        </w:rPr>
        <w:t xml:space="preserve"> </w:t>
      </w:r>
      <w:r>
        <w:rPr>
          <w:rFonts w:ascii="Times New Roman" w:hAnsi="Times New Roman"/>
          <w:color w:val="000000"/>
          <w:sz w:val="22"/>
        </w:rPr>
        <w:t>- Ashland recorded a $706 million goodwill impairment charge in the current quarter. See Note G of the Notes to the Condensed Consolidated Financial Statements for more information.</w:t>
      </w:r>
    </w:p>
    <w:p>
      <w:pPr>
        <w:pStyle w:val="TextBody"/>
        <w:bidi w:val="0"/>
        <w:spacing w:before="0" w:after="120"/>
        <w:jc w:val="both"/>
        <w:rPr>
          <w:rFonts w:ascii="Times New Roman" w:hAnsi="Times New Roman"/>
          <w:sz w:val="20"/>
        </w:rPr>
      </w:pPr>
      <w:r>
        <w:rPr>
          <w:rFonts w:ascii="Times New Roman" w:hAnsi="Times New Roman"/>
          <w:color w:val="000000"/>
          <w:sz w:val="22"/>
          <w:u w:val="single"/>
        </w:rPr>
        <w:t>Year-to-date</w:t>
      </w:r>
      <w:r>
        <w:rPr>
          <w:rFonts w:ascii="Times New Roman" w:hAnsi="Times New Roman"/>
          <w:color w:val="000000"/>
          <w:sz w:val="20"/>
        </w:rPr>
        <w:t xml:space="preserve"> </w:t>
      </w:r>
      <w:r>
        <w:rPr>
          <w:rFonts w:ascii="Times New Roman" w:hAnsi="Times New Roman"/>
          <w:color w:val="000000"/>
          <w:sz w:val="22"/>
        </w:rPr>
        <w:t>- Ashland recorded a $706 million goodwill impairment charge in the current year. See Note G of the Notes to the Condensed Consolidated Financial Statements for more information.</w:t>
      </w:r>
    </w:p>
    <w:tbl>
      <w:tblPr>
        <w:tblW w:w="9305" w:type="dxa"/>
        <w:jc w:val="left"/>
        <w:tblInd w:w="0" w:type="dxa"/>
        <w:tblLayout w:type="fixed"/>
        <w:tblCellMar>
          <w:top w:w="28" w:type="dxa"/>
          <w:left w:w="28" w:type="dxa"/>
          <w:bottom w:w="28" w:type="dxa"/>
          <w:right w:w="28" w:type="dxa"/>
        </w:tblCellMar>
      </w:tblPr>
      <w:tblGrid>
        <w:gridCol w:w="3541"/>
        <w:gridCol w:w="146"/>
        <w:gridCol w:w="227"/>
        <w:gridCol w:w="373"/>
        <w:gridCol w:w="157"/>
        <w:gridCol w:w="157"/>
        <w:gridCol w:w="227"/>
        <w:gridCol w:w="340"/>
        <w:gridCol w:w="157"/>
        <w:gridCol w:w="157"/>
        <w:gridCol w:w="264"/>
        <w:gridCol w:w="472"/>
        <w:gridCol w:w="166"/>
        <w:gridCol w:w="146"/>
        <w:gridCol w:w="211"/>
        <w:gridCol w:w="421"/>
        <w:gridCol w:w="146"/>
        <w:gridCol w:w="146"/>
        <w:gridCol w:w="211"/>
        <w:gridCol w:w="421"/>
        <w:gridCol w:w="146"/>
        <w:gridCol w:w="146"/>
        <w:gridCol w:w="294"/>
        <w:gridCol w:w="442"/>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31"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 June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584"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 June 30</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on acquisitions and divestitures,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Times New Roman" w:hAnsi="Times New Roman"/>
          <w:color w:val="000000"/>
          <w:sz w:val="22"/>
          <w:u w:val="single"/>
        </w:rPr>
        <w:t>Current Quarter</w:t>
      </w:r>
      <w:r>
        <w:rPr>
          <w:rFonts w:ascii="Times New Roman" w:hAnsi="Times New Roman"/>
          <w:color w:val="000000"/>
          <w:sz w:val="20"/>
        </w:rPr>
        <w:t xml:space="preserve"> </w:t>
      </w:r>
      <w:r>
        <w:rPr>
          <w:rFonts w:ascii="Times New Roman" w:hAnsi="Times New Roman"/>
          <w:color w:val="000000"/>
          <w:sz w:val="22"/>
        </w:rPr>
        <w:t>- The prior year quarter included $99 million of charges related to the Nutraceuticals business sale completed in fiscal 2024. See Note B of the Notes to the Condensed Consolidated Financial Statements for more information.</w:t>
      </w:r>
    </w:p>
    <w:p>
      <w:pPr>
        <w:pStyle w:val="TextBody"/>
        <w:bidi w:val="0"/>
        <w:spacing w:before="0" w:after="120"/>
        <w:jc w:val="both"/>
        <w:rPr>
          <w:rFonts w:ascii="Times New Roman" w:hAnsi="Times New Roman"/>
          <w:sz w:val="20"/>
        </w:rPr>
      </w:pPr>
      <w:r>
        <w:rPr>
          <w:rFonts w:ascii="Times New Roman" w:hAnsi="Times New Roman"/>
          <w:color w:val="000000"/>
          <w:sz w:val="22"/>
          <w:u w:val="single"/>
        </w:rPr>
        <w:t>Year-to-date</w:t>
      </w:r>
      <w:r>
        <w:rPr>
          <w:rFonts w:ascii="Times New Roman" w:hAnsi="Times New Roman"/>
          <w:color w:val="000000"/>
          <w:sz w:val="20"/>
        </w:rPr>
        <w:t xml:space="preserve"> </w:t>
      </w:r>
      <w:r>
        <w:rPr>
          <w:rFonts w:ascii="Times New Roman" w:hAnsi="Times New Roman"/>
          <w:color w:val="000000"/>
          <w:sz w:val="22"/>
        </w:rPr>
        <w:t>- Ashland recorded a $183 million impairment charge and a pre-tax gain on sale of $8 million associated with the Avoca business during the current year. In addition, Ashland recorded a pre-tax gain on sale of a land property of $11 million during the current year. Additionally, the prior year period included $99 million of charges related to the Nutraceuticals business sale completed in fiscal 2024 as well as legal fees associated with ongoing divestiture activity and acquisitions related due diligence costs. See Note B of the Notes to the Condensed Consolidated Financial Statements for more information.</w:t>
      </w:r>
    </w:p>
    <w:tbl>
      <w:tblPr>
        <w:tblW w:w="9973" w:type="dxa"/>
        <w:jc w:val="left"/>
        <w:tblInd w:w="0" w:type="dxa"/>
        <w:tblLayout w:type="fixed"/>
        <w:tblCellMar>
          <w:top w:w="28" w:type="dxa"/>
          <w:left w:w="28" w:type="dxa"/>
          <w:bottom w:w="28" w:type="dxa"/>
          <w:right w:w="28" w:type="dxa"/>
        </w:tblCellMar>
      </w:tblPr>
      <w:tblGrid>
        <w:gridCol w:w="3421"/>
        <w:gridCol w:w="346"/>
        <w:gridCol w:w="220"/>
        <w:gridCol w:w="393"/>
        <w:gridCol w:w="173"/>
        <w:gridCol w:w="152"/>
        <w:gridCol w:w="220"/>
        <w:gridCol w:w="330"/>
        <w:gridCol w:w="173"/>
        <w:gridCol w:w="152"/>
        <w:gridCol w:w="264"/>
        <w:gridCol w:w="472"/>
        <w:gridCol w:w="366"/>
        <w:gridCol w:w="346"/>
        <w:gridCol w:w="213"/>
        <w:gridCol w:w="381"/>
        <w:gridCol w:w="168"/>
        <w:gridCol w:w="147"/>
        <w:gridCol w:w="213"/>
        <w:gridCol w:w="381"/>
        <w:gridCol w:w="168"/>
        <w:gridCol w:w="147"/>
        <w:gridCol w:w="294"/>
        <w:gridCol w:w="442"/>
        <w:gridCol w:w="391"/>
      </w:tblGrid>
      <w:tr>
        <w:trPr/>
        <w:tc>
          <w:tcPr>
            <w:tcW w:w="34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49"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 June 30</w:t>
            </w:r>
          </w:p>
        </w:tc>
        <w:tc>
          <w:tcPr>
            <w:tcW w:w="3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554"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 June 30</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interest and other expense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restricted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financing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Times New Roman" w:hAnsi="Times New Roman"/>
          <w:color w:val="000000"/>
          <w:sz w:val="22"/>
          <w:u w:val="single"/>
        </w:rPr>
        <w:t>Current Quarter</w:t>
      </w:r>
      <w:r>
        <w:rPr>
          <w:rFonts w:ascii="Times New Roman" w:hAnsi="Times New Roman"/>
          <w:color w:val="000000"/>
          <w:sz w:val="20"/>
        </w:rPr>
        <w:t xml:space="preserve"> </w:t>
      </w:r>
      <w:r>
        <w:rPr>
          <w:rFonts w:ascii="Times New Roman" w:hAnsi="Times New Roman"/>
          <w:color w:val="000000"/>
          <w:sz w:val="22"/>
        </w:rPr>
        <w:t>- Net interest and other expense (income) decreased by $12 million during the current quarter compared to the prior year quarter. Interest expense increased primarily related to lower capitalized interest on capital projects in the current year quarter while interest income decreased primarily due to the decrease in cash equivalents during the current quarter compared to the prior year quarter. Restricted investments income of $22 million and $4 million included realized gains of $19 million compared to $1 million for the three months ended June 30, 2025 and 2024, respectively, and was the primary change between quarters. See Note E of the Notes to the Condensed Consolidated Financial Statements for more information on the restricted investments.</w:t>
      </w:r>
    </w:p>
    <w:p>
      <w:pPr>
        <w:pStyle w:val="TextBody"/>
        <w:bidi w:val="0"/>
        <w:spacing w:before="0" w:after="120"/>
        <w:jc w:val="both"/>
        <w:rPr>
          <w:rFonts w:ascii="Times New Roman" w:hAnsi="Times New Roman"/>
          <w:sz w:val="20"/>
        </w:rPr>
      </w:pPr>
      <w:r>
        <w:rPr>
          <w:rFonts w:ascii="Times New Roman" w:hAnsi="Times New Roman"/>
          <w:color w:val="000000"/>
          <w:sz w:val="22"/>
          <w:u w:val="single"/>
        </w:rPr>
        <w:t>Year-to-date</w:t>
      </w:r>
      <w:r>
        <w:rPr>
          <w:rFonts w:ascii="Times New Roman" w:hAnsi="Times New Roman"/>
          <w:color w:val="000000"/>
          <w:sz w:val="20"/>
        </w:rPr>
        <w:t xml:space="preserve"> </w:t>
      </w:r>
      <w:r>
        <w:rPr>
          <w:rFonts w:ascii="Times New Roman" w:hAnsi="Times New Roman"/>
          <w:color w:val="000000"/>
          <w:sz w:val="22"/>
        </w:rPr>
        <w:t>- Net interest and other expense (income) increased by $48 million during the current year compared to the prior year period. Interest expense increased primarily related to lower capitalized interest on capital projects in the current year period while interest income decreased primarily due to the decrease in cash equivalents during the current year period compared to the prior year. Restricted investments income of $15 million and $51 million included realized gains of $5 million compared to $39 million for the nine months ended June 30, 2025 and 2024, respectively, and was the primary change between periods. See Note E of the Notes to the Condensed Consolidated Financial Statements for more information on the restricted investments.</w:t>
      </w:r>
    </w:p>
    <w:tbl>
      <w:tblPr>
        <w:tblW w:w="8366" w:type="dxa"/>
        <w:jc w:val="left"/>
        <w:tblInd w:w="0" w:type="dxa"/>
        <w:tblLayout w:type="fixed"/>
        <w:tblCellMar>
          <w:top w:w="28" w:type="dxa"/>
          <w:left w:w="28" w:type="dxa"/>
          <w:bottom w:w="28" w:type="dxa"/>
          <w:right w:w="28" w:type="dxa"/>
        </w:tblCellMar>
      </w:tblPr>
      <w:tblGrid>
        <w:gridCol w:w="2641"/>
        <w:gridCol w:w="146"/>
        <w:gridCol w:w="268"/>
        <w:gridCol w:w="268"/>
        <w:gridCol w:w="185"/>
        <w:gridCol w:w="185"/>
        <w:gridCol w:w="268"/>
        <w:gridCol w:w="268"/>
        <w:gridCol w:w="185"/>
        <w:gridCol w:w="185"/>
        <w:gridCol w:w="322"/>
        <w:gridCol w:w="414"/>
        <w:gridCol w:w="166"/>
        <w:gridCol w:w="146"/>
        <w:gridCol w:w="263"/>
        <w:gridCol w:w="263"/>
        <w:gridCol w:w="180"/>
        <w:gridCol w:w="180"/>
        <w:gridCol w:w="263"/>
        <w:gridCol w:w="263"/>
        <w:gridCol w:w="180"/>
        <w:gridCol w:w="180"/>
        <w:gridCol w:w="322"/>
        <w:gridCol w:w="414"/>
        <w:gridCol w:w="21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48"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 June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508"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 June 30</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net periodic benefit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Times New Roman" w:hAnsi="Times New Roman"/>
          <w:color w:val="000000"/>
          <w:sz w:val="22"/>
          <w:u w:val="single"/>
        </w:rPr>
        <w:t>Current Quarter</w:t>
      </w:r>
      <w:r>
        <w:rPr>
          <w:rFonts w:ascii="Times New Roman" w:hAnsi="Times New Roman"/>
          <w:color w:val="000000"/>
          <w:sz w:val="20"/>
        </w:rPr>
        <w:t xml:space="preserve"> </w:t>
      </w:r>
      <w:r>
        <w:rPr>
          <w:rFonts w:ascii="Times New Roman" w:hAnsi="Times New Roman"/>
          <w:color w:val="000000"/>
          <w:sz w:val="22"/>
        </w:rPr>
        <w:t>- Other net periodic benefit loss for the three months ended June 30, 2025 primarily included interest cost of $3 million which was partially offset by expected return on plan assets of $2 million. Other net periodic benefit loss for the three months ended June 30, 2024 primarily included interest cost of $3 million which was partially offset by expected return on plan assets of $1 million. See Note K of the Notes to the Condensed Consolidated Financial Statements for more information.</w:t>
      </w:r>
    </w:p>
    <w:p>
      <w:pPr>
        <w:pStyle w:val="TextBody"/>
        <w:bidi w:val="0"/>
        <w:spacing w:before="0" w:after="120"/>
        <w:jc w:val="both"/>
        <w:rPr>
          <w:rFonts w:ascii="Times New Roman" w:hAnsi="Times New Roman"/>
          <w:sz w:val="20"/>
        </w:rPr>
      </w:pPr>
      <w:r>
        <w:rPr>
          <w:rFonts w:ascii="Times New Roman" w:hAnsi="Times New Roman"/>
          <w:color w:val="000000"/>
          <w:sz w:val="22"/>
          <w:u w:val="single"/>
        </w:rPr>
        <w:t>Year-to-date</w:t>
      </w:r>
      <w:r>
        <w:rPr>
          <w:rFonts w:ascii="Times New Roman" w:hAnsi="Times New Roman"/>
          <w:color w:val="000000"/>
          <w:sz w:val="20"/>
        </w:rPr>
        <w:t xml:space="preserve"> </w:t>
      </w:r>
      <w:r>
        <w:rPr>
          <w:rFonts w:ascii="Times New Roman" w:hAnsi="Times New Roman"/>
          <w:color w:val="000000"/>
          <w:sz w:val="22"/>
        </w:rPr>
        <w:t>- Other net periodic benefit loss for the nine months ended June 30, 2025 primarily included interest cost of $10 million and a $1 million curtailment loss partially offset by expected return on plan assets of $7 million.</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Other net periodic benefit loss for the nine months ended June 30, 2024 primarily included interest cost of $12 million which was partially offset by expected return on plan assets of $6 million. See Note K of the Notes to the Condensed Consolidated Financial Statements for more information.</w:t>
      </w:r>
    </w:p>
    <w:tbl>
      <w:tblPr>
        <w:tblW w:w="8773" w:type="dxa"/>
        <w:jc w:val="left"/>
        <w:tblInd w:w="0" w:type="dxa"/>
        <w:tblLayout w:type="fixed"/>
        <w:tblCellMar>
          <w:top w:w="28" w:type="dxa"/>
          <w:left w:w="28" w:type="dxa"/>
          <w:bottom w:w="28" w:type="dxa"/>
          <w:right w:w="28" w:type="dxa"/>
        </w:tblCellMar>
      </w:tblPr>
      <w:tblGrid>
        <w:gridCol w:w="2506"/>
        <w:gridCol w:w="146"/>
        <w:gridCol w:w="211"/>
        <w:gridCol w:w="316"/>
        <w:gridCol w:w="271"/>
        <w:gridCol w:w="146"/>
        <w:gridCol w:w="211"/>
        <w:gridCol w:w="481"/>
        <w:gridCol w:w="271"/>
        <w:gridCol w:w="146"/>
        <w:gridCol w:w="245"/>
        <w:gridCol w:w="491"/>
        <w:gridCol w:w="146"/>
        <w:gridCol w:w="146"/>
        <w:gridCol w:w="211"/>
        <w:gridCol w:w="376"/>
        <w:gridCol w:w="271"/>
        <w:gridCol w:w="146"/>
        <w:gridCol w:w="211"/>
        <w:gridCol w:w="481"/>
        <w:gridCol w:w="271"/>
        <w:gridCol w:w="146"/>
        <w:gridCol w:w="245"/>
        <w:gridCol w:w="491"/>
        <w:gridCol w:w="1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89"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 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849"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 June 30</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Times New Roman" w:hAnsi="Times New Roman"/>
          <w:sz w:val="20"/>
        </w:rPr>
      </w:pPr>
      <w:r>
        <w:rPr>
          <w:rFonts w:ascii="Times New Roman" w:hAnsi="Times New Roman"/>
          <w:color w:val="000000"/>
          <w:sz w:val="22"/>
          <w:u w:val="single"/>
        </w:rPr>
        <w:t>Current Quarter</w:t>
      </w:r>
      <w:r>
        <w:rPr>
          <w:rFonts w:ascii="Times New Roman" w:hAnsi="Times New Roman"/>
          <w:color w:val="000000"/>
          <w:sz w:val="20"/>
        </w:rPr>
        <w:t xml:space="preserve"> </w:t>
      </w:r>
      <w:r>
        <w:rPr>
          <w:rFonts w:ascii="Times New Roman" w:hAnsi="Times New Roman"/>
          <w:color w:val="000000"/>
          <w:sz w:val="22"/>
        </w:rPr>
        <w:t>- Ashland’s effective tax rate in any interim period is subject to adjustments related to discrete items and the mix of domestic and foreign operating results. The overall effective tax rate was an expense of 2% for the three months ended June 30, 2025 and was primarily impacted by jurisdictional income mix, nondeductible goodwill impairment of $706 million charge and a net $16 million from unfavorable tax discrete items primarily related to return to provision adjustments and changes in uncertain tax positions.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overall effective tax rate was 144% for the three months ended June 30, 2024 and was primarily impacted by jurisdictional income mix, as well as net favorable discrete items of $104 million primarily related to the tax impact of the held for sale classification for the Nutraceuticals business.</w:t>
      </w:r>
    </w:p>
    <w:p>
      <w:pPr>
        <w:pStyle w:val="TextBody"/>
        <w:bidi w:val="0"/>
        <w:spacing w:before="120" w:after="283"/>
        <w:jc w:val="both"/>
        <w:rPr>
          <w:rFonts w:ascii="Times New Roman" w:hAnsi="Times New Roman"/>
          <w:sz w:val="20"/>
        </w:rPr>
      </w:pPr>
      <w:r>
        <w:rPr>
          <w:rFonts w:ascii="Times New Roman" w:hAnsi="Times New Roman"/>
          <w:color w:val="000000"/>
          <w:sz w:val="22"/>
          <w:u w:val="single"/>
        </w:rPr>
        <w:t>Year-to-date</w:t>
      </w:r>
      <w:r>
        <w:rPr>
          <w:rFonts w:ascii="Times New Roman" w:hAnsi="Times New Roman"/>
          <w:color w:val="000000"/>
          <w:sz w:val="20"/>
        </w:rPr>
        <w:t xml:space="preserve"> </w:t>
      </w:r>
      <w:r>
        <w:rPr>
          <w:rFonts w:ascii="Times New Roman" w:hAnsi="Times New Roman"/>
          <w:color w:val="000000"/>
          <w:sz w:val="22"/>
        </w:rPr>
        <w:t>- Ashland’s effective tax rate in any interim period is subject to adjustments related to discrete items and the mix of domestic and foreign operating results. The overall effective tax rate was a benefit of 2% for the nine months ended June 30, 2025 and was primarily impacted by jurisdictional income mix, nondeductible goodwill impairment of $706 million, and a net $23 million from unfavorable tax discrete items primarily related to return to provision adjustments and changes to uncertain tax positions.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overall effective tax rate was 467% for the nine months ended June 30, 2024 and was primarily impacted by jurisdictional income mix, as well as net favorable discrete items of $231 million primarily related to changes in foreign tax activity and the tax impact of the held for sale classification for the Nutraceuticals business.</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Adjusted income tax expense (benefit)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Key items are defined as the financial effects from significant transactions that may have caused short-term fluctuations in net income (loss) and/or operating loss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financial measure, has been prepared to illustrate the ongoing tax effects of Ashland’s operations. Management believes investors and analysts use this financial measure in assessing Ashland's business performance and that presenting this non-GAAP financial measure on a consolidated basis assists investors in better understanding Ashland’s ongoing business performance enhancing their ability to compare period-to-period financial results.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effective tax rate during the three and nine months ended June 30, 2025 was primarily impacted by jurisdictional income mix, the tax impact of cash repatriation, and changes in uncertain tax positions, while the effective tax rate during the three and nine months ended June 30, 2024 was significantly impacted by foreign tax reform related activity.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following table is a calculation of the effective tax rate, excluding these key items.</w:t>
      </w:r>
    </w:p>
    <w:tbl>
      <w:tblPr>
        <w:tblW w:w="10205" w:type="dxa"/>
        <w:jc w:val="left"/>
        <w:tblInd w:w="0" w:type="dxa"/>
        <w:tblLayout w:type="fixed"/>
        <w:tblCellMar>
          <w:top w:w="28" w:type="dxa"/>
          <w:left w:w="28" w:type="dxa"/>
          <w:bottom w:w="28" w:type="dxa"/>
          <w:right w:w="28" w:type="dxa"/>
        </w:tblCellMar>
      </w:tblPr>
      <w:tblGrid>
        <w:gridCol w:w="5154"/>
        <w:gridCol w:w="346"/>
        <w:gridCol w:w="211"/>
        <w:gridCol w:w="481"/>
        <w:gridCol w:w="271"/>
        <w:gridCol w:w="146"/>
        <w:gridCol w:w="211"/>
        <w:gridCol w:w="481"/>
        <w:gridCol w:w="346"/>
        <w:gridCol w:w="346"/>
        <w:gridCol w:w="211"/>
        <w:gridCol w:w="481"/>
        <w:gridCol w:w="271"/>
        <w:gridCol w:w="146"/>
        <w:gridCol w:w="211"/>
        <w:gridCol w:w="481"/>
        <w:gridCol w:w="411"/>
      </w:tblGrid>
      <w:tr>
        <w:trPr/>
        <w:tc>
          <w:tcPr>
            <w:tcW w:w="515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15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01"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01"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 before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Key items (pre-tax)</w:t>
            </w:r>
            <w:r>
              <w:rPr>
                <w:rFonts w:ascii="Times New Roman" w:hAnsi="Times New Roman"/>
                <w:color w:val="000000"/>
                <w:sz w:val="13"/>
              </w:rPr>
              <w:t>(a)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Adjusted income from continuing operations before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rate adjustments: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Tax effect of key items</w:t>
            </w:r>
            <w:r>
              <w:rPr>
                <w:rFonts w:ascii="Times New Roman" w:hAnsi="Times New Roman"/>
                <w:color w:val="000000"/>
                <w:sz w:val="13"/>
              </w:rPr>
              <w:t>(b)</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Tax specific key items:</w:t>
            </w:r>
            <w:r>
              <w:rPr>
                <w:rFonts w:ascii="Times New Roman" w:hAnsi="Times New Roman"/>
                <w:color w:val="000000"/>
                <w:sz w:val="13"/>
              </w:rPr>
              <w:t>(c)</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Uncertain tax positions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and separation activity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and tax reform related activity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rate adjustments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income tax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Effective tax rate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Effective Tax Rate, Excluding Key Items (Non-GAAP)</w:t>
            </w:r>
            <w:r>
              <w:rPr>
                <w:rFonts w:ascii="Times New Roman" w:hAnsi="Times New Roman"/>
                <w:b/>
                <w:color w:val="000000"/>
                <w:sz w:val="13"/>
              </w:rPr>
              <w:t>(d)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See Adjusted EBITDA reconciliation table disclosed in this Management’s Discussion and Analysis of Financial Condition and Results of Operation for a summary of the key items, before tax.</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(b)</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The tax rate specific to the jurisdiction in which the key item originates is used to calculate the tax effect of key items.</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(c)</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For additional information on the effect that these tax specific key items had on EPS, see the adjusted diluted EPS table disclosed in this Management’s Discussion and Analysis of Financial Condition and Results of Operation.</w:t>
      </w:r>
    </w:p>
    <w:p>
      <w:pPr>
        <w:pStyle w:val="TextBody"/>
        <w:bidi w:val="0"/>
        <w:spacing w:before="40" w:after="120"/>
        <w:jc w:val="both"/>
        <w:rPr>
          <w:rFonts w:ascii="Times New Roman" w:hAnsi="Times New Roman"/>
          <w:color w:val="000000"/>
          <w:sz w:val="16"/>
        </w:rPr>
      </w:pPr>
      <w:r>
        <w:rPr>
          <w:rFonts w:ascii="Times New Roman" w:hAnsi="Times New Roman"/>
          <w:color w:val="000000"/>
          <w:sz w:val="16"/>
        </w:rPr>
        <w:t>(d)</w:t>
      </w:r>
    </w:p>
    <w:p>
      <w:pPr>
        <w:pStyle w:val="TextBody"/>
        <w:bidi w:val="0"/>
        <w:spacing w:before="40" w:after="120"/>
        <w:jc w:val="both"/>
        <w:rPr>
          <w:rFonts w:ascii="Times New Roman" w:hAnsi="Times New Roman"/>
          <w:color w:val="000000"/>
          <w:sz w:val="16"/>
        </w:rPr>
      </w:pPr>
      <w:r>
        <w:rPr>
          <w:rFonts w:ascii="Times New Roman" w:hAnsi="Times New Roman"/>
          <w:color w:val="000000"/>
          <w:sz w:val="16"/>
        </w:rPr>
        <w:t>Due to rounding conventions, the effective tax rate presented may not recalculate precisely based on the numbers disclosed within this table.</w:t>
      </w:r>
    </w:p>
    <w:tbl>
      <w:tblPr>
        <w:tblW w:w="10205" w:type="dxa"/>
        <w:jc w:val="left"/>
        <w:tblInd w:w="0" w:type="dxa"/>
        <w:tblLayout w:type="fixed"/>
        <w:tblCellMar>
          <w:top w:w="28" w:type="dxa"/>
          <w:left w:w="28" w:type="dxa"/>
          <w:bottom w:w="28" w:type="dxa"/>
          <w:right w:w="28" w:type="dxa"/>
        </w:tblCellMar>
      </w:tblPr>
      <w:tblGrid>
        <w:gridCol w:w="3241"/>
        <w:gridCol w:w="446"/>
        <w:gridCol w:w="214"/>
        <w:gridCol w:w="382"/>
        <w:gridCol w:w="168"/>
        <w:gridCol w:w="148"/>
        <w:gridCol w:w="214"/>
        <w:gridCol w:w="382"/>
        <w:gridCol w:w="168"/>
        <w:gridCol w:w="148"/>
        <w:gridCol w:w="278"/>
        <w:gridCol w:w="458"/>
        <w:gridCol w:w="466"/>
        <w:gridCol w:w="446"/>
        <w:gridCol w:w="211"/>
        <w:gridCol w:w="376"/>
        <w:gridCol w:w="166"/>
        <w:gridCol w:w="146"/>
        <w:gridCol w:w="211"/>
        <w:gridCol w:w="376"/>
        <w:gridCol w:w="166"/>
        <w:gridCol w:w="146"/>
        <w:gridCol w:w="278"/>
        <w:gridCol w:w="458"/>
        <w:gridCol w:w="512"/>
      </w:tblGrid>
      <w:tr>
        <w:trPr/>
        <w:tc>
          <w:tcPr>
            <w:tcW w:w="324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3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60"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 June 30</w:t>
            </w:r>
          </w:p>
        </w:tc>
        <w:tc>
          <w:tcPr>
            <w:tcW w:w="4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4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534"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 June 30</w:t>
            </w:r>
          </w:p>
        </w:tc>
        <w:tc>
          <w:tcPr>
            <w:tcW w:w="5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discontinued operations, net of income taxes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Performance Adhesives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Composites/Marl facility</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Distribution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Water Technologies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Valvoline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Asbestos-related litigation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Times New Roman" w:hAnsi="Times New Roman"/>
          <w:color w:val="000000"/>
          <w:sz w:val="22"/>
          <w:u w:val="single"/>
        </w:rPr>
        <w:t>Current Quarter</w:t>
      </w:r>
      <w:r>
        <w:rPr>
          <w:rFonts w:ascii="Times New Roman" w:hAnsi="Times New Roman"/>
          <w:color w:val="000000"/>
          <w:sz w:val="20"/>
        </w:rPr>
        <w:t xml:space="preserve"> </w:t>
      </w:r>
      <w:r>
        <w:rPr>
          <w:rFonts w:ascii="Times New Roman" w:hAnsi="Times New Roman"/>
          <w:color w:val="000000"/>
          <w:sz w:val="22"/>
        </w:rPr>
        <w:t>- The activity for Distribution in the current and prior quarter represents subsequent adjustments that were made in conjunction with post-closing adjustments related to environmental liabilities. The activity for Composites/Marl facility and Water Technologies was related to post-closing adjustments and environmental liabilities in the prior year quarter. Asbestos activity in each quarter primarily relates to Ashland's annual update.</w:t>
      </w:r>
    </w:p>
    <w:p>
      <w:pPr>
        <w:pStyle w:val="TextBody"/>
        <w:bidi w:val="0"/>
        <w:spacing w:before="0" w:after="120"/>
        <w:jc w:val="both"/>
        <w:rPr>
          <w:rFonts w:ascii="Times New Roman" w:hAnsi="Times New Roman"/>
          <w:sz w:val="20"/>
        </w:rPr>
      </w:pPr>
      <w:r>
        <w:rPr>
          <w:rFonts w:ascii="Times New Roman" w:hAnsi="Times New Roman"/>
          <w:color w:val="000000"/>
          <w:sz w:val="22"/>
          <w:u w:val="single"/>
        </w:rPr>
        <w:t>Year-to-date</w:t>
      </w:r>
      <w:r>
        <w:rPr>
          <w:rFonts w:ascii="Times New Roman" w:hAnsi="Times New Roman"/>
          <w:color w:val="000000"/>
          <w:sz w:val="20"/>
        </w:rPr>
        <w:t xml:space="preserve"> </w:t>
      </w:r>
      <w:r>
        <w:rPr>
          <w:rFonts w:ascii="Times New Roman" w:hAnsi="Times New Roman"/>
          <w:color w:val="000000"/>
          <w:sz w:val="22"/>
        </w:rPr>
        <w:t>- The activity for Performance Adhesives, Distribution and Valvoline in the current and prior year periods represents subsequent adjustments that were made in conjunction with post-closing disputes, environmental liabilities, and taxes. The activity for Composites/Marl facility and Water Technologies was related to post-closing adjustments and environmental liabilities in the prior year period. Asbestos activity in each period primarily relates to Ashland's annual update.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i/>
          <w:color w:val="000000"/>
          <w:sz w:val="22"/>
        </w:rPr>
      </w:pPr>
      <w:r>
        <w:rPr>
          <w:rFonts w:ascii="Times New Roman" w:hAnsi="Times New Roman"/>
          <w:i/>
          <w:color w:val="000000"/>
          <w:sz w:val="22"/>
        </w:rPr>
        <w:t>Other comprehensive income (loss)</w:t>
      </w:r>
    </w:p>
    <w:tbl>
      <w:tblPr>
        <w:tblW w:w="10205" w:type="dxa"/>
        <w:jc w:val="left"/>
        <w:tblInd w:w="0" w:type="dxa"/>
        <w:tblLayout w:type="fixed"/>
        <w:tblCellMar>
          <w:top w:w="28" w:type="dxa"/>
          <w:left w:w="28" w:type="dxa"/>
          <w:bottom w:w="28" w:type="dxa"/>
          <w:right w:w="28" w:type="dxa"/>
        </w:tblCellMar>
      </w:tblPr>
      <w:tblGrid>
        <w:gridCol w:w="3744"/>
        <w:gridCol w:w="346"/>
        <w:gridCol w:w="215"/>
        <w:gridCol w:w="323"/>
        <w:gridCol w:w="169"/>
        <w:gridCol w:w="148"/>
        <w:gridCol w:w="215"/>
        <w:gridCol w:w="384"/>
        <w:gridCol w:w="169"/>
        <w:gridCol w:w="148"/>
        <w:gridCol w:w="245"/>
        <w:gridCol w:w="491"/>
        <w:gridCol w:w="366"/>
        <w:gridCol w:w="346"/>
        <w:gridCol w:w="234"/>
        <w:gridCol w:w="352"/>
        <w:gridCol w:w="162"/>
        <w:gridCol w:w="162"/>
        <w:gridCol w:w="263"/>
        <w:gridCol w:w="263"/>
        <w:gridCol w:w="162"/>
        <w:gridCol w:w="162"/>
        <w:gridCol w:w="278"/>
        <w:gridCol w:w="458"/>
        <w:gridCol w:w="400"/>
      </w:tblGrid>
      <w:tr>
        <w:trPr/>
        <w:tc>
          <w:tcPr>
            <w:tcW w:w="37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374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07"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 June 30</w:t>
            </w:r>
          </w:p>
        </w:tc>
        <w:tc>
          <w:tcPr>
            <w:tcW w:w="3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496"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 June 30</w:t>
            </w:r>
          </w:p>
        </w:tc>
        <w:tc>
          <w:tcPr>
            <w:tcW w:w="40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 (loss), net of tax</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translation gain (loss)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commodity hedges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Times New Roman" w:hAnsi="Times New Roman"/>
          <w:color w:val="000000"/>
          <w:sz w:val="22"/>
          <w:u w:val="single"/>
        </w:rPr>
        <w:t>Current Quarter</w:t>
      </w:r>
      <w:r>
        <w:rPr>
          <w:rFonts w:ascii="Times New Roman" w:hAnsi="Times New Roman"/>
          <w:color w:val="000000"/>
          <w:sz w:val="20"/>
        </w:rPr>
        <w:t xml:space="preserve"> </w:t>
      </w:r>
      <w:r>
        <w:rPr>
          <w:rFonts w:ascii="Times New Roman" w:hAnsi="Times New Roman"/>
          <w:color w:val="000000"/>
          <w:sz w:val="22"/>
        </w:rPr>
        <w:t>- Total other comprehensive income (loss), net of tax, for the current quarter increased $113 million compared to the prior year quarter primarily as a result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For the three months ended June 30, 2025 and 2024, the change in unrealized gain (loss) from foreign currency translation adjustments resulted in gains of $91 million and losses of $25 million, respectively. The fluctuations in unrealized translation gains and losses are primarily due to translating foreign subsidiary financial statements from local currencies to U.S. Dollars.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For the three months ended June 30, 2025 and 2024, the change in commodity hedges is primarily due to the fluctuations of the market prices of the underlying commodities. Commodity hedges resulted in unrealized losses of $1 million and gains of $2 million for the three months ended June 30, 2025 and 2024, respectively.</w:t>
      </w:r>
    </w:p>
    <w:p>
      <w:pPr>
        <w:pStyle w:val="TextBody"/>
        <w:bidi w:val="0"/>
        <w:spacing w:before="120" w:after="283"/>
        <w:jc w:val="both"/>
        <w:rPr>
          <w:rFonts w:ascii="Times New Roman" w:hAnsi="Times New Roman"/>
          <w:sz w:val="20"/>
        </w:rPr>
      </w:pPr>
      <w:r>
        <w:rPr>
          <w:rFonts w:ascii="Times New Roman" w:hAnsi="Times New Roman"/>
          <w:color w:val="000000"/>
          <w:sz w:val="22"/>
          <w:u w:val="single"/>
        </w:rPr>
        <w:t>Year-to-date</w:t>
      </w:r>
      <w:r>
        <w:rPr>
          <w:rFonts w:ascii="Times New Roman" w:hAnsi="Times New Roman"/>
          <w:color w:val="000000"/>
          <w:sz w:val="20"/>
        </w:rPr>
        <w:t xml:space="preserve"> </w:t>
      </w:r>
      <w:r>
        <w:rPr>
          <w:rFonts w:ascii="Times New Roman" w:hAnsi="Times New Roman"/>
          <w:color w:val="000000"/>
          <w:sz w:val="22"/>
        </w:rPr>
        <w:t>- Total other comprehensive income (loss), net of tax, for the current year increased $44 million compared to the prior year period primarily as a result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For the nine months ended June 30, 2025 and 2024, the change in unrealized gain (loss) from foreign currency translation adjustments resulted in gains of $46 million and $2 million, respectively. The fluctuations in unrealized translation gains and losses are primarily due to translating foreign subsidiary financial statements from local currencies to U.S. Dollars.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For the nine months ended June 30, 2025 and 2024, the change in commodity hedges is primarily due to the fluctuations of the market prices of the underlying commodities. Commodity hedges resulted in unrealized gains of $2 million for both the nine months ended June 30, 2025 and 2024.</w:t>
      </w:r>
    </w:p>
    <w:p>
      <w:pPr>
        <w:pStyle w:val="TextBody"/>
        <w:bidi w:val="0"/>
        <w:spacing w:before="120" w:after="283"/>
        <w:jc w:val="both"/>
        <w:rPr>
          <w:rFonts w:ascii="Times New Roman" w:hAnsi="Times New Roman"/>
          <w:b/>
          <w:i/>
          <w:color w:val="000000"/>
          <w:sz w:val="22"/>
        </w:rPr>
      </w:pPr>
      <w:r>
        <w:rPr>
          <w:rFonts w:ascii="Times New Roman" w:hAnsi="Times New Roman"/>
          <w:b/>
          <w:i/>
          <w:color w:val="000000"/>
          <w:sz w:val="22"/>
        </w:rPr>
        <w:t>Use of Non-GAAP Financial Measures</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Ashland has included within this document the following non-GAAP financial measures, on both a consolidated and reportable segment basis, which are not defined within U.S. GAAP and do not purport to be alternatives to net income (loss) or cash flows from operating activities as a measure of operating performance or cash flows:</w:t>
      </w:r>
    </w:p>
    <w:p>
      <w:pPr>
        <w:pStyle w:val="TextBody"/>
        <w:bidi w:val="0"/>
        <w:jc w:val="both"/>
        <w:rPr>
          <w:rFonts w:ascii="Times New Roman" w:hAnsi="Times New Roman"/>
          <w:i/>
          <w:color w:val="000000"/>
          <w:sz w:val="22"/>
        </w:rPr>
      </w:pPr>
      <w:r>
        <w:rPr>
          <w:rFonts w:ascii="Times New Roman" w:hAnsi="Times New Roman"/>
          <w:i/>
          <w:color w:val="000000"/>
          <w:sz w:val="22"/>
        </w:rPr>
        <w:t>EBITDA, Adjusted EBITDA and Adjusted EBITDA Margin</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EBITDA is defined as net income (loss), plus income tax expense (benefit), net interest and other expense (income), and depreciation and amortization. Adjusted EBITDA is EBITDA adjusted for discontinued operations and key items. Adjusted EBITDA margin is Adjusted EBITDA divided by sales.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(loss) and operating loss. The adjustments Ashland makes to derive the non-GAAP financial measures of EBITDA and Adjusted EBITDA exclude items which may cause short-term fluctuations in net income (loss) and operating loss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segments and provide continuity to investors for comparability purposes.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Adjusted Diluted Earnings Per Share (EPS)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Adjusted Diluted EPS is defined as income (loss) from continuing operations, adjusted for key items, net of tax, divided by the average outstanding diluted shares for the applicable period. The Adjusted Diluted EPS metric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Adjusted Diluted Earnings Per Share (EPS) Excluding Intangibles Amortization Expense</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Adjusted Diluted EPS Excluding Intangible Amortization Expense is adjusted earnings per share adjusted for intangibles amortization expense net of tax, divided by the average outstanding diluted shares for the applicable period. The Adjusted Diluted EPS, Excluding Intangibles Amortization Expense metric enables Ashland to demonstrate the impact of non-cash intangibles amortization expense on EPS, in addition to the key items previously mentioned. Ashland’s management believes this presentation is helpful to illustrate how previous acquisitions impact applicable period results.</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Free Cash Flow, Ongoing Free Cash Flow and Ongoing Free Cash Flow Conversion</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Free Cash Flow is defined as operating cash flows less capital expenditures while Ongoing Free Cash Flow is operating cash flows less capital expenditures and certain other adjustments as applicable. Ongoing Free Cash Flow Conversion is Ongoing Free Cash flow divided by Adjusted EBITDA. These free cash flow metrics enable Ashland to provide a better indication of the ongoing cash being generated that is ultimately available for both debt and equity holders as well as other investment opportunities. Unlike cash flow provided by operating activities, Free Cash Flow and Ongoing Free Cash Flow include the impact of capital expenditures from continuing operations and other significant items impacting cash flow, providing a more complete picture of current and future cash generation. Free Cash Flow, Ongoing Free Cash Flow, and Free Cash Flow Conversion are non-GAAP liquidity measures that Ashland believes provide useful information to management and investors about Ashland's ability to convert Adjusted EBITDA to Ongoing Free Cash Flow. These liquidity measures are used regularly by Ashland's stakeholders and industry peers to measure the efficiency at providing cash from regular business activity. Free Cash Flow, Ongoing Free Cash Flow, and Free Cash Flow Conversion have certain limitations, including that they do not reflect adjustments for certain non-discretionary cash flows such as mandatory debt repayments. The amount of mandatory versus discretionary expenditures can vary significantly between periods.</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Other disclosures on non-GAAP financial measures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Although Ashland may provide forward-looking guidance for Adjusted EBITDA, Adjusted diluted EPS and Ongoing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These non-GAAP financial measures should be considered supplemental in nature and should not be construed as more significant than comparable measures defined by U.S. GAAP. Limitations associated with the use of these non-GAAP financial measures include that these measures do not present all of the amounts associated with our results as determined in accordance with U.S. GAAP. The non-GAAP financial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2022 Credit Agreement are based on similar non-GAAP financial measures and are defined further in the sections that reference this metric.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i/>
          <w:color w:val="000000"/>
          <w:sz w:val="22"/>
        </w:rPr>
      </w:pPr>
      <w:r>
        <w:rPr>
          <w:rFonts w:ascii="Times New Roman" w:hAnsi="Times New Roman"/>
          <w:i/>
          <w:color w:val="000000"/>
          <w:sz w:val="22"/>
        </w:rPr>
        <w:t>EBITDA and Adjusted EBITDA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EBITDA totaled loss of $683 million and income of $34 million for the three months ended June 30, 2025 and 2024, respectively, and loss of $713 million and income of $76 million for the nine months ended June 30, 2025 and 2024, respectively. EBITDA and Adjusted EBITDA results in the table below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These operating key items for the applicable periods are summarized as follows: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Goodwill impairment – Ashland recorded a non-cash goodwill impairment charge of $706 million within the goodwill impairment caption of the Statements of Condensed Consolidated Comprehensive Income (Loss) for the three and nine months ended June 30, 2025. See Note G of the Notes to the Condensed Consolidated Financial Statements for more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Avoca business impairment and sale – During March 2025, Ashland sold substantially all of the net assets of its Avoca business. As a result, Ashland recorded an impairment charge and gain on sale within the loss on acquisitions and divestitures, net caption of the Statements of Condensed Consolidated Comprehensive Income (Loss) for the nine months ended June 30, 2025. See Note B of the Notes to the Condensed Consolidated Financial Statements for more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Accelerated depreciation – As a result of product line optimization activities at manufacturing facilities within the Life Sciences, Specialty Additives, and Personal Care reportable segments, Ashland recorded accelerated depreciation due to changes in the expected useful life of certain property, plant and equipment during the three and nine months ended June 30, 2025 and 2024. See Note D of the Notes to the Condensed Consolidated Financial Statements for more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adjustments during each year to its environmental liabilities and receivables primarily related to previously divested businesses or non-operational sites. See Note L of the Notes to the Condensed Consolidated Financial Statements for more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Restructuring, separation and other costs – Ashland periodically implements company-wide and targeted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D of the Notes to the Condensed Consolidated Financial Statements for further information on the restructuring activities;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Other plant optimization costs – During the three and nine months ended June 30, 2025 and 2024, Ashland incurred inventory adjustments and production costs associated with product line optimization actions;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Nutraceutical impairment – During the three months ended June 30, 2024, Ashland entered into an agreement to sell substantially all of the net assets of its Nutraceuticals business. As a result, Ashland recorded a $99 million impairment charge within the loss on acquisitions and divestitures, net caption of the Statements of Consolidated Comprehensive Income (Loss) for the three and nine months ended June 30, 2024. See Note B of the Notes to Condensed Consolidated Financial Statements for more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Argentina foreign currency devaluation – Following the enactment by the Argentina government of a 50% peso devaluation against the dollar, Ashland recorded a currency devaluation charge within the selling, general and administrative expense caption of the Statement of Condensed Consolidated Comprehensive Income (Loss) for the nine months ended June 30,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Held for sale depreciation and amortization – Represents the depreciation and amortization for the Avoca business assets during the three and nine months ended June 30, 2025 and the Nutraceuticals business assets during the three and nine months ended June 30, 2024; and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Income on divestitures, net – Ashland recorded income of zero and $10 million during the three and nine months ended June 30, 2025. The income was related to the pre-tax gains in connection with the sale of a land property. See Note B of the Notes to Condensed Consolidated Financial Statements for more information.</w:t>
      </w:r>
    </w:p>
    <w:p>
      <w:pPr>
        <w:pStyle w:val="TextBody"/>
        <w:bidi w:val="0"/>
        <w:spacing w:before="120" w:after="120"/>
        <w:jc w:val="both"/>
        <w:rPr>
          <w:rFonts w:ascii="Times New Roman" w:hAnsi="Times New Roman"/>
          <w:i/>
          <w:color w:val="000000"/>
          <w:sz w:val="22"/>
        </w:rPr>
      </w:pPr>
      <w:r>
        <w:rPr>
          <w:rFonts w:ascii="Times New Roman" w:hAnsi="Times New Roman"/>
          <w:i/>
          <w:color w:val="000000"/>
          <w:sz w:val="22"/>
        </w:rPr>
        <w:t>Non-operating key items affecting EBITDA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During the current and prior years, there were certain key items that were not included in operating loss but were excluded to arrive at Adjusted EBITDA. These non-operating key items for the applicable periods are summarized as follows: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Loss on pension plan remeasurements – During the nine months ended June 30, 2025, Ashland recognized a curtailment loss for pension plan remeasurement for defined benefit pension plan. See Note K of the Notes to the Condensed Consolidated Financial Statements for more information.</w:t>
      </w:r>
    </w:p>
    <w:tbl>
      <w:tblPr>
        <w:tblW w:w="9510" w:type="dxa"/>
        <w:jc w:val="left"/>
        <w:tblInd w:w="0" w:type="dxa"/>
        <w:tblLayout w:type="fixed"/>
        <w:tblCellMar>
          <w:top w:w="28" w:type="dxa"/>
          <w:left w:w="28" w:type="dxa"/>
          <w:bottom w:w="28" w:type="dxa"/>
          <w:right w:w="28" w:type="dxa"/>
        </w:tblCellMar>
      </w:tblPr>
      <w:tblGrid>
        <w:gridCol w:w="4791"/>
        <w:gridCol w:w="446"/>
        <w:gridCol w:w="218"/>
        <w:gridCol w:w="498"/>
        <w:gridCol w:w="171"/>
        <w:gridCol w:w="151"/>
        <w:gridCol w:w="218"/>
        <w:gridCol w:w="498"/>
        <w:gridCol w:w="166"/>
        <w:gridCol w:w="146"/>
        <w:gridCol w:w="211"/>
        <w:gridCol w:w="481"/>
        <w:gridCol w:w="166"/>
        <w:gridCol w:w="146"/>
        <w:gridCol w:w="211"/>
        <w:gridCol w:w="481"/>
        <w:gridCol w:w="511"/>
      </w:tblGrid>
      <w:tr>
        <w:trPr/>
        <w:tc>
          <w:tcPr>
            <w:tcW w:w="479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7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4"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9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5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interest and other expense (income)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Depreciation and amortization</w:t>
            </w:r>
            <w:r>
              <w:rPr>
                <w:rFonts w:ascii="Times New Roman" w:hAnsi="Times New Roman"/>
                <w:color w:val="000000"/>
                <w:sz w:val="13"/>
              </w:rPr>
              <w:t>(a)</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discontinued operations, net of income taxes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Key items included in EBITDA:</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Avoca business impairment and sale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Accelerated depreciation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Environmental reserve adjustments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Restructuring, separation and other costs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plant optimization costs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Loss on pension plan remeasurements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Nutraceuticals impairment and sale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Argentina currency devaluation impact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Held for sale depreciation and amortization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Income on divestitures, net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key items included in EBITDA</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key items included in EBITDA</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gains on securities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key items, before tax</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Depreciation and amortization excludes accelerated depreciation of $8 million and $21 million for Life Sciences for the three and nine months ended June 30, 2025, respectively, $19 million for Specialty Additives for both the three and nine months ended June 30, 2025, $7 million and $55 million for Specialty Additives for the three and nine months ended June 30, 2024, respectively, and $1 million for Personal Care for both the three and nine months ended June 30, 2024, which is included as a key item within this table as a component of Adjusted EBITDA. Depreciation and amortization includes $2 million for Personal Care associated with the Avoca business assets for the nine months ended June 30, 2025, and $1 million for Life Sciences associated with the Nutraceuticals business assets for both the three and nine months ended June 30, 2024, which is included as a key item within this table as a component of Adjusted EBITDA.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Diluted EPS and Adjusted Diluted EPS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following table reflects the U.S. GAAP calculation for the income (loss)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(loss) and/or operating loss which Ashland believes do not accurately reflect Ashland’s underlying business performance and trends. The Adjusted Diluted EPS for the income (loss) from continuing operations in the following table has been prepared to illustrate the ongoing effects of Ashland’s operations. Management believes investors and analysts use this financial measure in assessing Ashland's business performance and that presenting this non-GAAP financial measure on a consolidated basis assists investors in better understanding Ashland’s ongoing business performance and enhances their ability to compare period-to-period financial results.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In addition to the operating key items previously described, additional non-operating key items for the applicable periods are summarized as follows: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2"/>
        </w:rPr>
      </w:pPr>
      <w:r>
        <w:rPr>
          <w:rFonts w:ascii="Times New Roman" w:hAnsi="Times New Roman"/>
          <w:color w:val="000000"/>
          <w:sz w:val="22"/>
        </w:rPr>
        <w:t xml:space="preserve">Unrealized gains on securities – represents gains recognized on restricted investments related to the Asbestos trust and Environmental trust for each period. See Note E of the Notes to Condensed Consolidated Financial Statements for more information; </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2"/>
        </w:rPr>
      </w:pPr>
      <w:r>
        <w:rPr>
          <w:rFonts w:ascii="Times New Roman" w:hAnsi="Times New Roman"/>
          <w:color w:val="000000"/>
          <w:sz w:val="22"/>
        </w:rPr>
        <w:t>Uncertain tax positions – represents the impact from the settlement of uncertain tax positions with various tax authorities for the three and nine months ended June 30, 2025 and 2024;</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2"/>
        </w:rPr>
      </w:pPr>
      <w:r>
        <w:rPr>
          <w:rFonts w:ascii="Times New Roman" w:hAnsi="Times New Roman"/>
          <w:color w:val="000000"/>
          <w:sz w:val="22"/>
        </w:rPr>
        <w:t>Restructuring and separation activity – represents the tax impact of the held for sale classification for the Nutraceuticals business; and</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2"/>
        </w:rPr>
      </w:pPr>
      <w:r>
        <w:rPr>
          <w:rFonts w:ascii="Times New Roman" w:hAnsi="Times New Roman"/>
          <w:color w:val="000000"/>
          <w:sz w:val="22"/>
        </w:rPr>
        <w:t>Other and tax reform related activity – primarily impacted by jurisdictional income mix, the tax impact of cash repatriation, and changes in uncertain tax positions for the three and nine months ended June 30, 2025, while the three and nine months ended June 30, 2024 were mostly impacted by foreign tax reform related activity.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554"/>
        <w:gridCol w:w="146"/>
        <w:gridCol w:w="211"/>
        <w:gridCol w:w="631"/>
        <w:gridCol w:w="166"/>
        <w:gridCol w:w="146"/>
        <w:gridCol w:w="211"/>
        <w:gridCol w:w="526"/>
        <w:gridCol w:w="166"/>
        <w:gridCol w:w="146"/>
        <w:gridCol w:w="211"/>
        <w:gridCol w:w="631"/>
        <w:gridCol w:w="166"/>
        <w:gridCol w:w="146"/>
        <w:gridCol w:w="211"/>
        <w:gridCol w:w="526"/>
        <w:gridCol w:w="411"/>
      </w:tblGrid>
      <w:tr>
        <w:trPr/>
        <w:tc>
          <w:tcPr>
            <w:tcW w:w="5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5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91"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91"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EPS from continuing operations (as reported)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Key items,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Avoca business impairment and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Accelerated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Environmental reserve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separation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plant optimization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pension plan remeasurements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Nutraceuticals impairment and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Argentina currency devaluation impact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Held for sale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gains on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on divestitures,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Key items,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effect of key items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Key items, after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specific key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Uncertain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separation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and tax reform related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specific key items</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key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Diluted EPS from Continuing Operations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Amortization expense adjustment (net of tax)</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Diluted EPS from Continuing Operations (non-GAAP) Excluding Intangibles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Represents the diluted EPS impact from the tax effect of the key items that are identified above.</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(b)</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Represents the diluted EPS impact from tax specific financial transactions, tax law changes or other matters that fall within the definition of tax specific key items. For additional explanation of these tax specific key items, see the income tax expense (benefit) discussion within the Statements of Condensed Consolidated Comprehensive Income (Loss) caption review section above.</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(c)</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Amortization expense adjustment (net of tax) tax rates were 20% and 21% for the three and nine months ended June 30, 2025, respectively, and 20% for both the three and nine months ended June 30, 2024.</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RESULTS OF OPERATIONS – REPORTABLE SEGMENT REVIEW</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Ashland’s reportable segments include Life Sciences, Personal Care, Specialty Additives, and Intermediates. Unallocated and Other includes corporate governance activities and certain legacy matters.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loss caption on the Statements of Condensed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following table discloses sales, operating income (loss), depreciation and amortization and EBITDA by reportable segment:</w:t>
      </w:r>
    </w:p>
    <w:tbl>
      <w:tblPr>
        <w:tblW w:w="9943" w:type="dxa"/>
        <w:jc w:val="left"/>
        <w:tblInd w:w="0" w:type="dxa"/>
        <w:tblLayout w:type="fixed"/>
        <w:tblCellMar>
          <w:top w:w="28" w:type="dxa"/>
          <w:left w:w="28" w:type="dxa"/>
          <w:bottom w:w="28" w:type="dxa"/>
          <w:right w:w="28" w:type="dxa"/>
        </w:tblCellMar>
      </w:tblPr>
      <w:tblGrid>
        <w:gridCol w:w="2806"/>
        <w:gridCol w:w="346"/>
        <w:gridCol w:w="211"/>
        <w:gridCol w:w="481"/>
        <w:gridCol w:w="166"/>
        <w:gridCol w:w="146"/>
        <w:gridCol w:w="211"/>
        <w:gridCol w:w="481"/>
        <w:gridCol w:w="166"/>
        <w:gridCol w:w="146"/>
        <w:gridCol w:w="224"/>
        <w:gridCol w:w="512"/>
        <w:gridCol w:w="366"/>
        <w:gridCol w:w="346"/>
        <w:gridCol w:w="211"/>
        <w:gridCol w:w="571"/>
        <w:gridCol w:w="166"/>
        <w:gridCol w:w="146"/>
        <w:gridCol w:w="211"/>
        <w:gridCol w:w="571"/>
        <w:gridCol w:w="166"/>
        <w:gridCol w:w="146"/>
        <w:gridCol w:w="224"/>
        <w:gridCol w:w="512"/>
        <w:gridCol w:w="411"/>
      </w:tblGrid>
      <w:tr>
        <w:trPr/>
        <w:tc>
          <w:tcPr>
            <w:tcW w:w="28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44"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924"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 - unaudited)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Life Sciences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Personal Care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Specialty Additives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Intermediates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i/>
                <w:color w:val="000000"/>
                <w:sz w:val="20"/>
              </w:rPr>
              <w:t>Intersegment sales</w:t>
            </w:r>
            <w:r>
              <w:rPr>
                <w:rFonts w:ascii="Times New Roman" w:hAnsi="Times New Roman"/>
                <w:color w:val="000000"/>
                <w:sz w:val="13"/>
              </w:rPr>
              <w:t>(a)</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i/>
                <w:color w:val="000000"/>
                <w:sz w:val="20"/>
              </w:rPr>
              <w:t>Life Sciences</w:t>
            </w:r>
            <w:r>
              <w:rPr>
                <w:rFonts w:ascii="Times New Roman" w:hAnsi="Times New Roman"/>
                <w:i/>
                <w:color w:val="000000"/>
                <w:sz w:val="13"/>
              </w:rPr>
              <w:t>(b)</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Personal Care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i/>
                <w:color w:val="000000"/>
                <w:sz w:val="20"/>
              </w:rPr>
              <w:t>Specialty Additives</w:t>
            </w:r>
            <w:r>
              <w:rPr>
                <w:rFonts w:ascii="Times New Roman" w:hAnsi="Times New Roman"/>
                <w:i/>
                <w:color w:val="000000"/>
                <w:sz w:val="13"/>
              </w:rPr>
              <w:t>(c)</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Intermediates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i/>
                <w:color w:val="000000"/>
                <w:sz w:val="20"/>
              </w:rPr>
              <w:t>Unallocated and other</w:t>
            </w:r>
            <w:r>
              <w:rPr>
                <w:rFonts w:ascii="Times New Roman" w:hAnsi="Times New Roman"/>
                <w:i/>
                <w:color w:val="000000"/>
                <w:sz w:val="13"/>
              </w:rPr>
              <w:t>(d)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DEPRECIATION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i/>
                <w:color w:val="000000"/>
                <w:sz w:val="20"/>
              </w:rPr>
              <w:t>Life Sciences</w:t>
            </w:r>
            <w:r>
              <w:rPr>
                <w:rFonts w:ascii="Times New Roman" w:hAnsi="Times New Roman"/>
                <w:i/>
                <w:color w:val="000000"/>
                <w:sz w:val="13"/>
              </w:rPr>
              <w:t>(e)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i/>
                <w:color w:val="000000"/>
                <w:sz w:val="20"/>
              </w:rPr>
              <w:t>Personal Care</w:t>
            </w:r>
            <w:r>
              <w:rPr>
                <w:rFonts w:ascii="Times New Roman" w:hAnsi="Times New Roman"/>
                <w:i/>
                <w:color w:val="000000"/>
                <w:sz w:val="13"/>
              </w:rPr>
              <w:t>(f)</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i/>
                <w:color w:val="000000"/>
                <w:sz w:val="20"/>
              </w:rPr>
              <w:t>Specialty Additives</w:t>
            </w:r>
            <w:r>
              <w:rPr>
                <w:rFonts w:ascii="Times New Roman" w:hAnsi="Times New Roman"/>
                <w:color w:val="000000"/>
                <w:sz w:val="13"/>
              </w:rPr>
              <w:t>(g)</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Intermediates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AMORTIZATION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Life Sciences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Personal Care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Specialty Additives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Intermediates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EBITDA</w:t>
            </w:r>
            <w:r>
              <w:rPr>
                <w:rFonts w:ascii="Times New Roman" w:hAnsi="Times New Roman"/>
                <w:color w:val="000000"/>
                <w:sz w:val="13"/>
              </w:rPr>
              <w:t>(h)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Life Sciences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Personal Care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Specialty Additives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Intermediates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Unallocated and other</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Intersegment sales from Intermediates are accounted for at prices that approximate fair value. All other intersegment sales are accounted for at cost.</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(b)</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Includes goodwill impairment of $375 million for Life Sciences for the three and nine months ended June 30, 2025.</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(c)</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 xml:space="preserve">Includes goodwill impairment of $331 million for Specialty Additives for the three and nine months ended June 30, 2025.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(d)</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Includes a $8 million gain on sale and a $183 million impairment charge related to the sale of the Avoca business for the nine months ended June 30, 2025, and a $99 million impairment charge related to the sale of the Nutraceuticals business for the three and nine months ended June 30, 2024, within the loss on acquisitions and divestitures, net caption of the Statements of Condensed Consolidated Income (Loss).</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(e)</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Depreciation includes accelerated depreciation of $8 million and $21 million for Life Sciences for the three and nine months ended June 30, 2025, respectively.</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(f)</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Depreciation includes accelerated depreciation of $1 million for Personal Care for both the three and nine months ended June 30, 2024.</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(g)</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Depreciation includes accelerated depreciation of $19 million for Specialty Additives for both the three and nine months ended June 30, 2025, respectively, and $7 million and $55 million for the three and nine months ended June 30, 2024.</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(h)</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Excludes loss from discontinued operations, net of income taxes and other net periodic benefit loss. See the Statements of Condensed Consolidated Comprehensive Income (Loss) for applicable amounts excluded.</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Life Sciences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Life Sciences is comprised of pharmaceuticals, nutrition, agricultural chemicals, diagnostic films (formerly known as advanced materials) and fine chemicals. Pharmaceutical solutions include controlled release polymers, disintegrants, tablet coating, thickeners, solubilizers, and tablet binders. Nutrition solutions include thickeners, stabilizers, emulsifiers and additives for enhancing mouthfeel, controlling moisture migration, reducing oil uptake and binding structured foods. Customers include pharmaceutical, food, beverage, hospitals and radiologists and industrial manufacturers. The Nutraceuticals business was sold in August 2024.</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following table provides a reconciliation of the change in sales for the Life Sciences reportable segment.</w:t>
      </w:r>
    </w:p>
    <w:tbl>
      <w:tblPr>
        <w:tblW w:w="6650" w:type="dxa"/>
        <w:jc w:val="left"/>
        <w:tblInd w:w="0" w:type="dxa"/>
        <w:tblLayout w:type="fixed"/>
        <w:tblCellMar>
          <w:top w:w="28" w:type="dxa"/>
          <w:left w:w="28" w:type="dxa"/>
          <w:bottom w:w="28" w:type="dxa"/>
          <w:right w:w="28" w:type="dxa"/>
        </w:tblCellMar>
      </w:tblPr>
      <w:tblGrid>
        <w:gridCol w:w="1746"/>
        <w:gridCol w:w="346"/>
        <w:gridCol w:w="629"/>
        <w:gridCol w:w="1126"/>
        <w:gridCol w:w="366"/>
        <w:gridCol w:w="346"/>
        <w:gridCol w:w="511"/>
        <w:gridCol w:w="1169"/>
        <w:gridCol w:w="411"/>
      </w:tblGrid>
      <w:tr>
        <w:trPr/>
        <w:tc>
          <w:tcPr>
            <w:tcW w:w="17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7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8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Sales change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Divestiture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Volume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Price/mix</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following table provides a reconciliation of the change in operating income (loss) for the Life Sciences reportable segment.</w:t>
      </w:r>
    </w:p>
    <w:tbl>
      <w:tblPr>
        <w:tblW w:w="7680" w:type="dxa"/>
        <w:jc w:val="left"/>
        <w:tblInd w:w="0" w:type="dxa"/>
        <w:tblLayout w:type="fixed"/>
        <w:tblCellMar>
          <w:top w:w="28" w:type="dxa"/>
          <w:left w:w="28" w:type="dxa"/>
          <w:bottom w:w="28" w:type="dxa"/>
          <w:right w:w="28" w:type="dxa"/>
        </w:tblCellMar>
      </w:tblPr>
      <w:tblGrid>
        <w:gridCol w:w="2776"/>
        <w:gridCol w:w="346"/>
        <w:gridCol w:w="534"/>
        <w:gridCol w:w="1221"/>
        <w:gridCol w:w="366"/>
        <w:gridCol w:w="346"/>
        <w:gridCol w:w="511"/>
        <w:gridCol w:w="1169"/>
        <w:gridCol w:w="411"/>
      </w:tblGrid>
      <w:tr>
        <w:trPr/>
        <w:tc>
          <w:tcPr>
            <w:tcW w:w="27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8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 (loss) change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Price/mix</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Volume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Divestiture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i/>
          <w:color w:val="000000"/>
          <w:sz w:val="22"/>
        </w:rPr>
      </w:pPr>
      <w:r>
        <w:rPr>
          <w:rFonts w:ascii="Times New Roman" w:hAnsi="Times New Roman"/>
          <w:i/>
          <w:color w:val="000000"/>
          <w:sz w:val="22"/>
        </w:rPr>
        <w:t>EBITDA and Adjusted EBITDA reconciliation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following EBITDA presentation is provided as a means to enhance the understanding of financial measurements that Ashland has internally determined to be relevant measures of comparison for the results of Life Sciences. There were key items in the three and nine months ended June 30, 2025 and 2024. These items are listed below and described within the "Use of Non-GAAP Financial Measures" section above.</w:t>
      </w:r>
    </w:p>
    <w:tbl>
      <w:tblPr>
        <w:tblW w:w="10205" w:type="dxa"/>
        <w:jc w:val="left"/>
        <w:tblInd w:w="0" w:type="dxa"/>
        <w:tblLayout w:type="fixed"/>
        <w:tblCellMar>
          <w:top w:w="28" w:type="dxa"/>
          <w:left w:w="28" w:type="dxa"/>
          <w:bottom w:w="28" w:type="dxa"/>
          <w:right w:w="28" w:type="dxa"/>
        </w:tblCellMar>
      </w:tblPr>
      <w:tblGrid>
        <w:gridCol w:w="2533"/>
        <w:gridCol w:w="146"/>
        <w:gridCol w:w="211"/>
        <w:gridCol w:w="631"/>
        <w:gridCol w:w="271"/>
        <w:gridCol w:w="146"/>
        <w:gridCol w:w="211"/>
        <w:gridCol w:w="466"/>
        <w:gridCol w:w="271"/>
        <w:gridCol w:w="146"/>
        <w:gridCol w:w="364"/>
        <w:gridCol w:w="835"/>
        <w:gridCol w:w="166"/>
        <w:gridCol w:w="146"/>
        <w:gridCol w:w="211"/>
        <w:gridCol w:w="526"/>
        <w:gridCol w:w="271"/>
        <w:gridCol w:w="146"/>
        <w:gridCol w:w="211"/>
        <w:gridCol w:w="466"/>
        <w:gridCol w:w="271"/>
        <w:gridCol w:w="146"/>
        <w:gridCol w:w="364"/>
        <w:gridCol w:w="835"/>
        <w:gridCol w:w="215"/>
      </w:tblGrid>
      <w:tr>
        <w:trPr/>
        <w:tc>
          <w:tcPr>
            <w:tcW w:w="2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53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11" w:type="dxa"/>
            <w:gridSpan w:val="2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Life Sciences</w:t>
            </w:r>
          </w:p>
        </w:tc>
        <w:tc>
          <w:tcPr>
            <w:tcW w:w="2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 June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Depreciation and amortization</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Environmental reserve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Held for sale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plant optimization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 (loss) as a percent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Not meaningful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Not meaningful</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as a percent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 bps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 bps</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4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Depreciation and amortization excludes accelerated depreciation of $8 million and $21 million for Life Sciences for the three and nine months ended June 30, 2025, respectively, and includes $1 million associated with the Nutraceuticals business held for sale assets for both the three and nine months ended June 30, 2024, which is included as a key item within this table as a component of Adjusted EBITDA.</w:t>
      </w:r>
    </w:p>
    <w:p>
      <w:pPr>
        <w:pStyle w:val="TextBody"/>
        <w:bidi w:val="0"/>
        <w:spacing w:before="120" w:after="120"/>
        <w:jc w:val="both"/>
        <w:rPr>
          <w:rFonts w:ascii="Times New Roman" w:hAnsi="Times New Roman"/>
          <w:i/>
          <w:color w:val="000000"/>
          <w:sz w:val="22"/>
        </w:rPr>
      </w:pPr>
      <w:r>
        <w:rPr>
          <w:rFonts w:ascii="Times New Roman" w:hAnsi="Times New Roman"/>
          <w:i/>
          <w:color w:val="000000"/>
          <w:sz w:val="22"/>
        </w:rPr>
        <w:t>Three months ended June 30, 2025 compared to three months ended June 30, 2024</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Life Sciences' sales, operating income (loss) and Adjusted EBITDA decreased in the current quarter primarily due to the divestiture of the Nutraceuticals business, higher costs, including the effects of portfolio optimization activities and accelerated depreciation, and unfavorable pricing, partially offset by favorable foreign currency exchange. The three months ended June 30, 2025 included a goodwill impairment charge of $375 million.</w:t>
      </w:r>
    </w:p>
    <w:p>
      <w:pPr>
        <w:pStyle w:val="TextBody"/>
        <w:bidi w:val="0"/>
        <w:spacing w:before="0" w:after="120"/>
        <w:jc w:val="both"/>
        <w:rPr>
          <w:rFonts w:ascii="Times New Roman" w:hAnsi="Times New Roman"/>
          <w:i/>
          <w:color w:val="000000"/>
          <w:sz w:val="22"/>
        </w:rPr>
      </w:pPr>
      <w:r>
        <w:rPr>
          <w:rFonts w:ascii="Times New Roman" w:hAnsi="Times New Roman"/>
          <w:i/>
          <w:color w:val="000000"/>
          <w:sz w:val="22"/>
        </w:rPr>
        <w:t>Fiscal 2025 year-to-date compared to fiscal 2024 year-to-date</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Life Sciences' sales, operating income (loss) and Adjusted EBITDA decreased in the current period primarily due to the divestiture of the Nutraceuticals business, higher costs, including the effects of portfolio optimization activities and accelerated depreciation, lower volume and unfavorable price/mix actions partially offset by favorable foreign currency exchange. The nine months ended June 30, 2025 included a goodwill impairment charge of $375 million.</w:t>
      </w:r>
    </w:p>
    <w:p>
      <w:pPr>
        <w:pStyle w:val="TextBody"/>
        <w:bidi w:val="0"/>
        <w:jc w:val="both"/>
        <w:rPr>
          <w:rFonts w:ascii="Times New Roman" w:hAnsi="Times New Roman"/>
          <w:sz w:val="20"/>
        </w:rPr>
      </w:pPr>
      <w:r>
        <w:rPr>
          <w:rFonts w:ascii="Times New Roman" w:hAnsi="Times New Roman"/>
          <w:b/>
          <w:color w:val="000000"/>
          <w:sz w:val="22"/>
        </w:rPr>
        <w:t>Personal Care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Personal Care is comprised of biofunctionals, microbial protectants (preservatives), skin care, sun care, oral care, hair care and household solutions. These businesses have a broad range of natural, nature-derived, biodegradable, and high-performance ingredients for customer driven solutions to help protect, renew, moisturize and revitalize skin and hair, and provide solutions for toothpastes, mouth washes and rinses, denture cleaning and care for teeth. Personal Care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 The Avoca business was sold in March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following table provides a reconciliation of the change in sales for the Personal Care reportable segment.</w:t>
      </w:r>
    </w:p>
    <w:tbl>
      <w:tblPr>
        <w:tblW w:w="6650" w:type="dxa"/>
        <w:jc w:val="left"/>
        <w:tblInd w:w="0" w:type="dxa"/>
        <w:tblLayout w:type="fixed"/>
        <w:tblCellMar>
          <w:top w:w="28" w:type="dxa"/>
          <w:left w:w="28" w:type="dxa"/>
          <w:bottom w:w="28" w:type="dxa"/>
          <w:right w:w="28" w:type="dxa"/>
        </w:tblCellMar>
      </w:tblPr>
      <w:tblGrid>
        <w:gridCol w:w="1746"/>
        <w:gridCol w:w="346"/>
        <w:gridCol w:w="629"/>
        <w:gridCol w:w="1126"/>
        <w:gridCol w:w="366"/>
        <w:gridCol w:w="346"/>
        <w:gridCol w:w="602"/>
        <w:gridCol w:w="1078"/>
        <w:gridCol w:w="411"/>
      </w:tblGrid>
      <w:tr>
        <w:trPr/>
        <w:tc>
          <w:tcPr>
            <w:tcW w:w="17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7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8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Sales change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Divestiture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Volume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Price/mix</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following table provides a reconciliation of the change in operating income for the Personal Care reportable segment.</w:t>
      </w:r>
    </w:p>
    <w:tbl>
      <w:tblPr>
        <w:tblW w:w="7205" w:type="dxa"/>
        <w:jc w:val="left"/>
        <w:tblInd w:w="0" w:type="dxa"/>
        <w:tblLayout w:type="fixed"/>
        <w:tblCellMar>
          <w:top w:w="28" w:type="dxa"/>
          <w:left w:w="28" w:type="dxa"/>
          <w:bottom w:w="28" w:type="dxa"/>
          <w:right w:w="28" w:type="dxa"/>
        </w:tblCellMar>
      </w:tblPr>
      <w:tblGrid>
        <w:gridCol w:w="2301"/>
        <w:gridCol w:w="346"/>
        <w:gridCol w:w="768"/>
        <w:gridCol w:w="987"/>
        <w:gridCol w:w="366"/>
        <w:gridCol w:w="346"/>
        <w:gridCol w:w="635"/>
        <w:gridCol w:w="1045"/>
        <w:gridCol w:w="411"/>
      </w:tblGrid>
      <w:tr>
        <w:trPr/>
        <w:tc>
          <w:tcPr>
            <w:tcW w:w="23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8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 change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Price/mix</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Volume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Divestiture (site closure)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EBITDA and Adjusted EBITDA reconciliation</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following EBITDA presentation is provided as a means to enhance the understanding of financial measurements that Ashland has internally determined to be relevant measures of comparison for the results of Personal Care. There were key items in the three and nine months ended June 30, 2025 and 2024. These items are listed below and described within the "Use of Non-GAAP Financial Measures" section above.</w:t>
      </w:r>
    </w:p>
    <w:tbl>
      <w:tblPr>
        <w:tblW w:w="10205" w:type="dxa"/>
        <w:jc w:val="left"/>
        <w:tblInd w:w="0" w:type="dxa"/>
        <w:tblLayout w:type="fixed"/>
        <w:tblCellMar>
          <w:top w:w="28" w:type="dxa"/>
          <w:left w:w="28" w:type="dxa"/>
          <w:bottom w:w="28" w:type="dxa"/>
          <w:right w:w="28" w:type="dxa"/>
        </w:tblCellMar>
      </w:tblPr>
      <w:tblGrid>
        <w:gridCol w:w="3601"/>
        <w:gridCol w:w="146"/>
        <w:gridCol w:w="211"/>
        <w:gridCol w:w="466"/>
        <w:gridCol w:w="271"/>
        <w:gridCol w:w="146"/>
        <w:gridCol w:w="211"/>
        <w:gridCol w:w="466"/>
        <w:gridCol w:w="271"/>
        <w:gridCol w:w="146"/>
        <w:gridCol w:w="289"/>
        <w:gridCol w:w="519"/>
        <w:gridCol w:w="166"/>
        <w:gridCol w:w="146"/>
        <w:gridCol w:w="211"/>
        <w:gridCol w:w="466"/>
        <w:gridCol w:w="271"/>
        <w:gridCol w:w="146"/>
        <w:gridCol w:w="211"/>
        <w:gridCol w:w="466"/>
        <w:gridCol w:w="271"/>
        <w:gridCol w:w="146"/>
        <w:gridCol w:w="327"/>
        <w:gridCol w:w="421"/>
        <w:gridCol w:w="214"/>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244" w:type="dxa"/>
            <w:gridSpan w:val="2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Personal Care</w:t>
            </w:r>
          </w:p>
        </w:tc>
        <w:tc>
          <w:tcPr>
            <w:tcW w:w="2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 June 30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Held for sale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plant optimization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 as a percent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 bps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 bps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as a percent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 bps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 bps</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4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Depreciation and amortization includes zero and $2 million for Personal Care associated with the Avoca business assets for the three and nine months ended June 30, 2025, respectively, and excludes accelerated depreciation of $1 million for both the three and nine months ended June 30, 2024, which is included as a key item within this table as a component of Adjusted EBITDA.</w:t>
      </w:r>
    </w:p>
    <w:p>
      <w:pPr>
        <w:pStyle w:val="TextBody"/>
        <w:bidi w:val="0"/>
        <w:spacing w:before="120" w:after="120"/>
        <w:jc w:val="both"/>
        <w:rPr>
          <w:rFonts w:ascii="Times New Roman" w:hAnsi="Times New Roman"/>
          <w:i/>
          <w:color w:val="000000"/>
          <w:sz w:val="22"/>
        </w:rPr>
      </w:pPr>
      <w:r>
        <w:rPr>
          <w:rFonts w:ascii="Times New Roman" w:hAnsi="Times New Roman"/>
          <w:i/>
          <w:color w:val="000000"/>
          <w:sz w:val="22"/>
        </w:rPr>
        <w:t>Three months ended June 30, 2025 compared to three months ended June 30, 2024</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Personal Care's sales, operating income and Adjusted EBITDA decreased in the current quarter due to lower volume, including the divestiture of the Avoca business and other portfolio optimization actions, and unfavorable price/mix partially offset by lower costs and favorable foreign currency exchange.</w:t>
      </w:r>
    </w:p>
    <w:p>
      <w:pPr>
        <w:pStyle w:val="TextBody"/>
        <w:bidi w:val="0"/>
        <w:spacing w:before="0" w:after="120"/>
        <w:jc w:val="both"/>
        <w:rPr>
          <w:rFonts w:ascii="Times New Roman" w:hAnsi="Times New Roman"/>
          <w:i/>
          <w:color w:val="000000"/>
          <w:sz w:val="22"/>
        </w:rPr>
      </w:pPr>
      <w:r>
        <w:rPr>
          <w:rFonts w:ascii="Times New Roman" w:hAnsi="Times New Roman"/>
          <w:i/>
          <w:color w:val="000000"/>
          <w:sz w:val="22"/>
        </w:rPr>
        <w:t>Fiscal 2025 year-to-date compared to fiscal 2024 year-to-date</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Personal Care's sales decreased in the current period primarily due to lower volume, including the divestiture of the Avoca business and other portfolio optimization actions, while operating income increased primarily due to lower costs partially offset by unfavorable price/mix. Adjusted EBITDA remained relatively consistent compared to the prior period.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Specialty Additives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Specialty Additives is comprised of rheology- and performance-enhancing additives serving the architectural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following table provides a reconciliation of the change in sales for the Specialty Additives reportable segment.</w:t>
      </w:r>
    </w:p>
    <w:tbl>
      <w:tblPr>
        <w:tblW w:w="6650" w:type="dxa"/>
        <w:jc w:val="left"/>
        <w:tblInd w:w="0" w:type="dxa"/>
        <w:tblLayout w:type="fixed"/>
        <w:tblCellMar>
          <w:top w:w="28" w:type="dxa"/>
          <w:left w:w="28" w:type="dxa"/>
          <w:bottom w:w="28" w:type="dxa"/>
          <w:right w:w="28" w:type="dxa"/>
        </w:tblCellMar>
      </w:tblPr>
      <w:tblGrid>
        <w:gridCol w:w="1746"/>
        <w:gridCol w:w="346"/>
        <w:gridCol w:w="629"/>
        <w:gridCol w:w="1126"/>
        <w:gridCol w:w="366"/>
        <w:gridCol w:w="346"/>
        <w:gridCol w:w="602"/>
        <w:gridCol w:w="1078"/>
        <w:gridCol w:w="411"/>
      </w:tblGrid>
      <w:tr>
        <w:trPr/>
        <w:tc>
          <w:tcPr>
            <w:tcW w:w="17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7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8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Sales change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Volume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Price/mix</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following table provides a reconciliation of the change in operating income (loss) for the Specialty Additives reportable segment.</w:t>
      </w:r>
    </w:p>
    <w:tbl>
      <w:tblPr>
        <w:tblW w:w="7680" w:type="dxa"/>
        <w:jc w:val="left"/>
        <w:tblInd w:w="0" w:type="dxa"/>
        <w:tblLayout w:type="fixed"/>
        <w:tblCellMar>
          <w:top w:w="28" w:type="dxa"/>
          <w:left w:w="28" w:type="dxa"/>
          <w:bottom w:w="28" w:type="dxa"/>
          <w:right w:w="28" w:type="dxa"/>
        </w:tblCellMar>
      </w:tblPr>
      <w:tblGrid>
        <w:gridCol w:w="2776"/>
        <w:gridCol w:w="346"/>
        <w:gridCol w:w="534"/>
        <w:gridCol w:w="1221"/>
        <w:gridCol w:w="366"/>
        <w:gridCol w:w="346"/>
        <w:gridCol w:w="511"/>
        <w:gridCol w:w="1169"/>
        <w:gridCol w:w="411"/>
      </w:tblGrid>
      <w:tr>
        <w:trPr/>
        <w:tc>
          <w:tcPr>
            <w:tcW w:w="27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8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 (loss) change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Volume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Price/mix</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EBITDA and Adjusted EBITDA reconciliation</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following EBITDA presentation is provided as a means to enhance the understanding of financial measurements that Ashland has internally determined to be relevant measures of comparison for the results of Specialty Additives. There were key items in the three and nine months ended June 30, 2025 and 2024. These items are listed below and described within the "Use of Non-GAAP Financial Measures" section above.</w:t>
      </w:r>
    </w:p>
    <w:tbl>
      <w:tblPr>
        <w:tblW w:w="10205" w:type="dxa"/>
        <w:jc w:val="left"/>
        <w:tblInd w:w="0" w:type="dxa"/>
        <w:tblLayout w:type="fixed"/>
        <w:tblCellMar>
          <w:top w:w="28" w:type="dxa"/>
          <w:left w:w="28" w:type="dxa"/>
          <w:bottom w:w="28" w:type="dxa"/>
          <w:right w:w="28" w:type="dxa"/>
        </w:tblCellMar>
      </w:tblPr>
      <w:tblGrid>
        <w:gridCol w:w="2533"/>
        <w:gridCol w:w="146"/>
        <w:gridCol w:w="211"/>
        <w:gridCol w:w="631"/>
        <w:gridCol w:w="271"/>
        <w:gridCol w:w="146"/>
        <w:gridCol w:w="211"/>
        <w:gridCol w:w="466"/>
        <w:gridCol w:w="271"/>
        <w:gridCol w:w="146"/>
        <w:gridCol w:w="364"/>
        <w:gridCol w:w="835"/>
        <w:gridCol w:w="166"/>
        <w:gridCol w:w="146"/>
        <w:gridCol w:w="211"/>
        <w:gridCol w:w="526"/>
        <w:gridCol w:w="271"/>
        <w:gridCol w:w="146"/>
        <w:gridCol w:w="211"/>
        <w:gridCol w:w="466"/>
        <w:gridCol w:w="271"/>
        <w:gridCol w:w="146"/>
        <w:gridCol w:w="364"/>
        <w:gridCol w:w="835"/>
        <w:gridCol w:w="215"/>
      </w:tblGrid>
      <w:tr>
        <w:trPr/>
        <w:tc>
          <w:tcPr>
            <w:tcW w:w="2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53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11" w:type="dxa"/>
            <w:gridSpan w:val="2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Specialty Additives</w:t>
            </w:r>
          </w:p>
        </w:tc>
        <w:tc>
          <w:tcPr>
            <w:tcW w:w="2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 June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Depreciation and amortization</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Environmental reserve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plant optimization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 (loss) as a percent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Not meaningful</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Not meaningful</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as a percent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 bps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 bps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Depreciation and amortization for Specialty Additives excludes accelerated depreciation of $19 million for the three and nine months ended June 30, 2025, and $7 million and $55 million for the three and nine months ended June 30, 2024, respectively, which is included as a key item within this table as a component of Adjusted EBITDA.</w:t>
      </w:r>
    </w:p>
    <w:p>
      <w:pPr>
        <w:pStyle w:val="TextBody"/>
        <w:bidi w:val="0"/>
        <w:spacing w:before="120" w:after="120"/>
        <w:jc w:val="both"/>
        <w:rPr>
          <w:rFonts w:ascii="Times New Roman" w:hAnsi="Times New Roman"/>
          <w:i/>
          <w:color w:val="000000"/>
          <w:sz w:val="22"/>
        </w:rPr>
      </w:pPr>
      <w:r>
        <w:rPr>
          <w:rFonts w:ascii="Times New Roman" w:hAnsi="Times New Roman"/>
          <w:i/>
          <w:color w:val="000000"/>
          <w:sz w:val="22"/>
        </w:rPr>
        <w:t>Three months ended June 30, 2025 compared to three months ended June 30, 2024</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Specialty Additives sales, operating income (loss) and Adjusted EBITDA for the quarter decreased as a result of lower volume, higher costs, including the effects of portfolio optimization activities and accelerated depreciation partially offset by favorable foreign currency exchange. The three months ended June 30, 2025 included a goodwill impairment charge of $331 million.</w:t>
      </w:r>
    </w:p>
    <w:p>
      <w:pPr>
        <w:pStyle w:val="TextBody"/>
        <w:bidi w:val="0"/>
        <w:spacing w:before="0" w:after="120"/>
        <w:jc w:val="both"/>
        <w:rPr>
          <w:rFonts w:ascii="Times New Roman" w:hAnsi="Times New Roman"/>
          <w:i/>
          <w:color w:val="000000"/>
          <w:sz w:val="22"/>
        </w:rPr>
      </w:pPr>
      <w:r>
        <w:rPr>
          <w:rFonts w:ascii="Times New Roman" w:hAnsi="Times New Roman"/>
          <w:i/>
          <w:color w:val="000000"/>
          <w:sz w:val="22"/>
        </w:rPr>
        <w:t>Fiscal 2025 year-to-date compared to fiscal 2024 year-to-date</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Specialty Additives sales, operating income (loss) and Adjusted EBITDA for the current period decreased primarily due to lower volume offset by lower costs, including the effects of portfolio optimization activities and accelerated depreciation. The nine months ended June 30, 2025 included a goodwill impairment charge of $331 million.</w:t>
      </w:r>
    </w:p>
    <w:p>
      <w:pPr>
        <w:pStyle w:val="TextBody"/>
        <w:bidi w:val="0"/>
        <w:jc w:val="left"/>
        <w:rPr>
          <w:rFonts w:ascii="Times New Roman" w:hAnsi="Times New Roman"/>
          <w:sz w:val="20"/>
        </w:rPr>
      </w:pPr>
      <w:r>
        <w:rPr>
          <w:rFonts w:ascii="Times New Roman" w:hAnsi="Times New Roman"/>
          <w:b/>
          <w:color w:val="000000"/>
          <w:sz w:val="22"/>
        </w:rPr>
        <w:t>Intermediates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BDO is also supplied to Life Sciences, Personal Care, and Specialty Additives for use as a raw material.</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following table provides a reconciliation of the change in sales for the Intermediates reportable segment.</w:t>
      </w:r>
    </w:p>
    <w:tbl>
      <w:tblPr>
        <w:tblW w:w="6650" w:type="dxa"/>
        <w:jc w:val="left"/>
        <w:tblInd w:w="0" w:type="dxa"/>
        <w:tblLayout w:type="fixed"/>
        <w:tblCellMar>
          <w:top w:w="28" w:type="dxa"/>
          <w:left w:w="28" w:type="dxa"/>
          <w:bottom w:w="28" w:type="dxa"/>
          <w:right w:w="28" w:type="dxa"/>
        </w:tblCellMar>
      </w:tblPr>
      <w:tblGrid>
        <w:gridCol w:w="1746"/>
        <w:gridCol w:w="346"/>
        <w:gridCol w:w="768"/>
        <w:gridCol w:w="987"/>
        <w:gridCol w:w="366"/>
        <w:gridCol w:w="346"/>
        <w:gridCol w:w="602"/>
        <w:gridCol w:w="1078"/>
        <w:gridCol w:w="411"/>
      </w:tblGrid>
      <w:tr>
        <w:trPr/>
        <w:tc>
          <w:tcPr>
            <w:tcW w:w="17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7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8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Sales change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Price/mix</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Volume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following table provides a reconciliation of the change in operating income for the Intermediates reportable segment.</w:t>
      </w:r>
    </w:p>
    <w:tbl>
      <w:tblPr>
        <w:tblW w:w="7200" w:type="dxa"/>
        <w:jc w:val="left"/>
        <w:tblInd w:w="0" w:type="dxa"/>
        <w:tblLayout w:type="fixed"/>
        <w:tblCellMar>
          <w:top w:w="28" w:type="dxa"/>
          <w:left w:w="28" w:type="dxa"/>
          <w:bottom w:w="28" w:type="dxa"/>
          <w:right w:w="28" w:type="dxa"/>
        </w:tblCellMar>
      </w:tblPr>
      <w:tblGrid>
        <w:gridCol w:w="2296"/>
        <w:gridCol w:w="346"/>
        <w:gridCol w:w="664"/>
        <w:gridCol w:w="1091"/>
        <w:gridCol w:w="366"/>
        <w:gridCol w:w="346"/>
        <w:gridCol w:w="602"/>
        <w:gridCol w:w="1078"/>
        <w:gridCol w:w="411"/>
      </w:tblGrid>
      <w:tr>
        <w:trPr/>
        <w:tc>
          <w:tcPr>
            <w:tcW w:w="22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2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8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 change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Price/mix</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Volume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EBITDA reconciliation</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following EBITDA presentation is provided as a means to enhance the understanding of financial measurements that Ashland has internally determined to be relevant measures of comparison for the results of Intermediates. Intermediates had no key items for the three and nine months ended June 30, 2025 or 2024.</w:t>
      </w:r>
    </w:p>
    <w:tbl>
      <w:tblPr>
        <w:tblW w:w="10131" w:type="dxa"/>
        <w:jc w:val="left"/>
        <w:tblInd w:w="0" w:type="dxa"/>
        <w:tblLayout w:type="fixed"/>
        <w:tblCellMar>
          <w:top w:w="28" w:type="dxa"/>
          <w:left w:w="28" w:type="dxa"/>
          <w:bottom w:w="28" w:type="dxa"/>
          <w:right w:w="28" w:type="dxa"/>
        </w:tblCellMar>
      </w:tblPr>
      <w:tblGrid>
        <w:gridCol w:w="3361"/>
        <w:gridCol w:w="146"/>
        <w:gridCol w:w="211"/>
        <w:gridCol w:w="466"/>
        <w:gridCol w:w="271"/>
        <w:gridCol w:w="146"/>
        <w:gridCol w:w="211"/>
        <w:gridCol w:w="466"/>
        <w:gridCol w:w="271"/>
        <w:gridCol w:w="146"/>
        <w:gridCol w:w="306"/>
        <w:gridCol w:w="504"/>
        <w:gridCol w:w="166"/>
        <w:gridCol w:w="146"/>
        <w:gridCol w:w="211"/>
        <w:gridCol w:w="466"/>
        <w:gridCol w:w="271"/>
        <w:gridCol w:w="146"/>
        <w:gridCol w:w="211"/>
        <w:gridCol w:w="466"/>
        <w:gridCol w:w="271"/>
        <w:gridCol w:w="146"/>
        <w:gridCol w:w="328"/>
        <w:gridCol w:w="587"/>
        <w:gridCol w:w="21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413" w:type="dxa"/>
            <w:gridSpan w:val="2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Intermediates</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 as a percent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 bps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 bps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 as a percent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 bps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 bps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i/>
          <w:color w:val="000000"/>
          <w:sz w:val="22"/>
        </w:rPr>
      </w:pPr>
      <w:r>
        <w:rPr>
          <w:rFonts w:ascii="Times New Roman" w:hAnsi="Times New Roman"/>
          <w:i/>
          <w:color w:val="000000"/>
          <w:sz w:val="22"/>
        </w:rPr>
        <w:t>Three months ended June 30, 2025 compared to three months ended June 30, 2024</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Intermediates' sales, operating income and EBITDA decreased primarily due to unfavorable price/mix and higher costs.</w:t>
      </w:r>
    </w:p>
    <w:p>
      <w:pPr>
        <w:pStyle w:val="TextBody"/>
        <w:bidi w:val="0"/>
        <w:spacing w:before="0" w:after="120"/>
        <w:jc w:val="both"/>
        <w:rPr>
          <w:rFonts w:ascii="Times New Roman" w:hAnsi="Times New Roman"/>
          <w:i/>
          <w:color w:val="000000"/>
          <w:sz w:val="22"/>
        </w:rPr>
      </w:pPr>
      <w:r>
        <w:rPr>
          <w:rFonts w:ascii="Times New Roman" w:hAnsi="Times New Roman"/>
          <w:i/>
          <w:color w:val="000000"/>
          <w:sz w:val="22"/>
        </w:rPr>
        <w:t>Fiscal 2025 year-to-date compared to fiscal 2024 year-to-date</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Intermediates' sales, operating income and EBITDA for the current period decreased primarily due to unfavorable price/mix partially offset by higher volume.</w:t>
      </w:r>
    </w:p>
    <w:p>
      <w:pPr>
        <w:pStyle w:val="TextBody"/>
        <w:bidi w:val="0"/>
        <w:jc w:val="left"/>
        <w:rPr>
          <w:rFonts w:ascii="Times New Roman" w:hAnsi="Times New Roman"/>
          <w:b/>
          <w:color w:val="000000"/>
          <w:sz w:val="22"/>
        </w:rPr>
      </w:pPr>
      <w:r>
        <w:rPr>
          <w:rFonts w:ascii="Times New Roman" w:hAnsi="Times New Roman"/>
          <w:b/>
          <w:color w:val="000000"/>
          <w:sz w:val="22"/>
        </w:rPr>
        <w:t>Unallocated and other</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following table summarizes the key components of the Unallocated and other’s operating loss between the three and nine months ended June 30, 2025 and 2024.</w:t>
      </w:r>
    </w:p>
    <w:tbl>
      <w:tblPr>
        <w:tblW w:w="10205" w:type="dxa"/>
        <w:jc w:val="left"/>
        <w:tblInd w:w="0" w:type="dxa"/>
        <w:tblLayout w:type="fixed"/>
        <w:tblCellMar>
          <w:top w:w="28" w:type="dxa"/>
          <w:left w:w="28" w:type="dxa"/>
          <w:bottom w:w="28" w:type="dxa"/>
          <w:right w:w="28" w:type="dxa"/>
        </w:tblCellMar>
      </w:tblPr>
      <w:tblGrid>
        <w:gridCol w:w="4153"/>
        <w:gridCol w:w="146"/>
        <w:gridCol w:w="211"/>
        <w:gridCol w:w="376"/>
        <w:gridCol w:w="166"/>
        <w:gridCol w:w="146"/>
        <w:gridCol w:w="211"/>
        <w:gridCol w:w="481"/>
        <w:gridCol w:w="166"/>
        <w:gridCol w:w="146"/>
        <w:gridCol w:w="245"/>
        <w:gridCol w:w="491"/>
        <w:gridCol w:w="166"/>
        <w:gridCol w:w="146"/>
        <w:gridCol w:w="211"/>
        <w:gridCol w:w="481"/>
        <w:gridCol w:w="166"/>
        <w:gridCol w:w="146"/>
        <w:gridCol w:w="211"/>
        <w:gridCol w:w="481"/>
        <w:gridCol w:w="166"/>
        <w:gridCol w:w="146"/>
        <w:gridCol w:w="264"/>
        <w:gridCol w:w="472"/>
        <w:gridCol w:w="211"/>
      </w:tblGrid>
      <w:tr>
        <w:trPr/>
        <w:tc>
          <w:tcPr>
            <w:tcW w:w="41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5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695" w:type="dxa"/>
            <w:gridSpan w:val="2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Unallocated and other</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Environmental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acquisitions and divestitures,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Argentina currency devaluation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(primarily governance and legacy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Three months ended June 30, 2025 compared to three months ended June 30, 2024</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Unallocated and other recorded expense of $49 million and $151 million for the three months ended June 30, 2025 and 2024, respectively. The current and prior year quarter included expense of $7 million and $3 million, respectively, for restructuring activities mainly comprised of severance, lease abandonment and other restructuring costs related to company-wide cost reduction programs during the current and prior year quarter, respectively.</w:t>
      </w:r>
    </w:p>
    <w:p>
      <w:pPr>
        <w:pStyle w:val="TextBody"/>
        <w:bidi w:val="0"/>
        <w:spacing w:before="120" w:after="283"/>
        <w:jc w:val="both"/>
        <w:rPr>
          <w:rFonts w:ascii="Times New Roman" w:hAnsi="Times New Roman"/>
          <w:sz w:val="20"/>
        </w:rPr>
      </w:pPr>
      <w:r>
        <w:rPr>
          <w:rFonts w:ascii="Times New Roman" w:hAnsi="Times New Roman"/>
          <w:color w:val="000000"/>
          <w:sz w:val="22"/>
        </w:rPr>
        <w:t>The current and prior year quarter included $28 million and $33 million for environmental expenses, respectively.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prior year quarter included a $99 million loss on acquisitions and divestitures, net due to an impairment charge within the Nutraceuticals business. See Note B of the Notes to the Condensed Consolidated Financial Statements for more information.</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Other expenses between periods were driven by changes in governance and legacy expenses primarily associated with fluctuations in foreign currency, deferred compensation and variable incentive compensation.</w:t>
      </w:r>
    </w:p>
    <w:p>
      <w:pPr>
        <w:pStyle w:val="TextBody"/>
        <w:bidi w:val="0"/>
        <w:spacing w:before="120" w:after="120"/>
        <w:jc w:val="both"/>
        <w:rPr>
          <w:rFonts w:ascii="Times New Roman" w:hAnsi="Times New Roman"/>
          <w:i/>
          <w:color w:val="000000"/>
          <w:sz w:val="22"/>
        </w:rPr>
      </w:pPr>
      <w:r>
        <w:rPr>
          <w:rFonts w:ascii="Times New Roman" w:hAnsi="Times New Roman"/>
          <w:i/>
          <w:color w:val="000000"/>
          <w:sz w:val="22"/>
        </w:rPr>
        <w:t>Fiscal 2025 year-to-date compared to fiscal 2024 year-to-date</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Unallocated and other recorded expense of $262 million and $223 million for the nine months ended June 30, 2025 and 2024, respectively. The current and prior year period included expense of $18 million and $28 million, respectively, for restructuring activities mainly comprised of severance, lease abandonment and other restructuring costs related to company-wide cost reduction programs during the current and prior year period, respectively.</w:t>
      </w:r>
    </w:p>
    <w:p>
      <w:pPr>
        <w:pStyle w:val="TextBody"/>
        <w:bidi w:val="0"/>
        <w:spacing w:before="0" w:after="120"/>
        <w:jc w:val="both"/>
        <w:rPr>
          <w:rFonts w:ascii="Times New Roman" w:hAnsi="Times New Roman"/>
          <w:sz w:val="20"/>
        </w:rPr>
      </w:pPr>
      <w:r>
        <w:rPr>
          <w:rFonts w:ascii="Times New Roman" w:hAnsi="Times New Roman"/>
          <w:color w:val="000000"/>
          <w:sz w:val="22"/>
        </w:rPr>
        <w:t>The current and prior year period included $31 million and $40 million for environmental expenses, respectively.</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2"/>
        </w:rPr>
        <w:t>The current year period included a loss on divestiture of $165 million, primarily related to the $183 million impairment of the Avoca business during the December quarter, $8 million pre-tax gain on the final sale of the Avoca business, and $11 million gain on the sale of a property, compared to a $99 million loss on acquisitions and divestitures, net due to an impairment charge within the Nutraceuticals business during the prior year period.</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prior year period also included expense of $5 million related to the devaluation of the currency in Argentina during the prior year.</w:t>
      </w:r>
    </w:p>
    <w:p>
      <w:pPr>
        <w:pStyle w:val="TextBody"/>
        <w:bidi w:val="0"/>
        <w:jc w:val="both"/>
        <w:rPr>
          <w:rFonts w:ascii="Times New Roman" w:hAnsi="Times New Roman"/>
          <w:color w:val="000000"/>
          <w:sz w:val="22"/>
        </w:rPr>
      </w:pPr>
      <w:r>
        <w:rPr>
          <w:rFonts w:ascii="Times New Roman" w:hAnsi="Times New Roman"/>
          <w:color w:val="000000"/>
          <w:sz w:val="22"/>
        </w:rPr>
        <w:t>Other expenses between periods were driven by changes in governance and legacy expenses primarily associated with fluctuations in foreign currency, deferred compensation and variable incentive compensation, including stock compensation expense in the current period.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FINANCIAL POSITION</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Liquidity</w:t>
      </w:r>
    </w:p>
    <w:p>
      <w:pPr>
        <w:pStyle w:val="TextBody"/>
        <w:bidi w:val="0"/>
        <w:spacing w:before="120" w:after="283"/>
        <w:jc w:val="both"/>
        <w:rPr>
          <w:rFonts w:ascii="Times New Roman" w:hAnsi="Times New Roman"/>
          <w:sz w:val="20"/>
        </w:rPr>
      </w:pPr>
      <w:r>
        <w:rPr>
          <w:rFonts w:ascii="Times New Roman" w:hAnsi="Times New Roman"/>
          <w:color w:val="000000"/>
          <w:sz w:val="22"/>
        </w:rPr>
        <w:t>Ashland believes that cash flow from operations, availability under existing credit facilities and arrangements, current cash and investment balances and the ability to obtain other financing, if necessary, will provide adequate cash funds for Ashland’s foreseeable working capital needs, capital expenditures at existing facilities, dividend payments and debt service obligations. Ashland’s cash requirements are subject to change as business conditions warrant and opportunities arise. The timing and size of any new business ventures or acquisitions that the Company may complete may also impact its cash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During April 2024, Ashland authorized a financing program offered through JP Morgan and Taulia Alliance. Under this program, JP Morgan and its affiliates may purchase certain confirmed receivables directly from suppliers pursuant to the terms of a separate arrangement entered into between JPMorgan and Taulia Alliance and such Suppliers. There were no changes to Ashland's standard payment terms with its suppliers in connection with this program. Ashland provides no guarantees to JP Morgan and Taulia Alliance under this program. The program was implemented during June 2025 and has been actively offered to suppliers. As of June 30, 2025 participation in the program was not significant.</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Cash flows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Ashland’s cash flows from operating, investing and financing activities, as reflected in the Statements of Condensed Consolidated Cash Flows, are summarized as follows:</w:t>
      </w:r>
    </w:p>
    <w:p>
      <w:pPr>
        <w:pStyle w:val="TextBody"/>
        <w:bidi w:val="0"/>
        <w:jc w:val="both"/>
        <w:rPr/>
      </w:pPr>
      <w:r>
        <w:rPr/>
        <w:t> </w:t>
      </w:r>
    </w:p>
    <w:tbl>
      <w:tblPr>
        <w:tblW w:w="8289" w:type="dxa"/>
        <w:jc w:val="left"/>
        <w:tblInd w:w="0" w:type="dxa"/>
        <w:tblLayout w:type="fixed"/>
        <w:tblCellMar>
          <w:top w:w="28" w:type="dxa"/>
          <w:left w:w="28" w:type="dxa"/>
          <w:bottom w:w="28" w:type="dxa"/>
          <w:right w:w="28" w:type="dxa"/>
        </w:tblCellMar>
      </w:tblPr>
      <w:tblGrid>
        <w:gridCol w:w="6036"/>
        <w:gridCol w:w="146"/>
        <w:gridCol w:w="211"/>
        <w:gridCol w:w="481"/>
        <w:gridCol w:w="166"/>
        <w:gridCol w:w="146"/>
        <w:gridCol w:w="211"/>
        <w:gridCol w:w="481"/>
        <w:gridCol w:w="411"/>
      </w:tblGrid>
      <w:tr>
        <w:trPr/>
        <w:tc>
          <w:tcPr>
            <w:tcW w:w="6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9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provided (used)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currency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2"/>
        </w:rPr>
      </w:pPr>
      <w:r>
        <w:rPr>
          <w:rFonts w:ascii="Times New Roman" w:hAnsi="Times New Roman"/>
          <w:color w:val="000000"/>
          <w:sz w:val="22"/>
        </w:rPr>
        <w:t>Cash and cash equivalents decreased $93 million for the nine months ended June 30, 2025 and $18 million for the nine months ended June 30, 2024.</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$93 million decrease for the nine months ended June 30, 2025 was primarily driven by payment of cash dividends, additions to property, plant and equipment and stock repurchase activity of $57 million, $64 million and $100 million, respectively, while discontinued operations cash flows were outflows of $27 million. These outflows were partially offset by inflows from operating activities from continuing operations, proceeds from the sale of Avoca and proceeds from the sale of a land property of $94 million, $16 million and $11million, respectively.</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$18 million decrease for the nine months ended June 30, 2024 was primarily driven by payment of cash dividends, additions to property, plant and equipment, and stock repurchase activity of $59 million, $99 million, and $230 million, respectively. Operating cash flows from continuing operations were inflows of $382 million.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change in cash flows from operating activities from continuing operations was primarily driven by U.S. and Foreign Accounts Receivable Sales Program activity, $132 million negative impact between periods, as well as unfavorable working capital, primarily related to changes in inventory and incentive compensation payouts between periods.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See the Statements of Condensed Consolidated Cash Flows for additional details.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i/>
          <w:color w:val="000000"/>
          <w:sz w:val="22"/>
        </w:rPr>
      </w:pPr>
      <w:r>
        <w:rPr>
          <w:rFonts w:ascii="Times New Roman" w:hAnsi="Times New Roman"/>
          <w:i/>
          <w:color w:val="000000"/>
          <w:sz w:val="22"/>
        </w:rPr>
        <w:t>Free Cash Flow and other liquidity resources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following represents Ashland’s calculation of Free Cash Flow and Ongoing Free Cash Flow for the disclosed periods. Free Cash Flow does not reflect adjustments for certain non-discretionary cash flows such as mandatory debt repayments.</w:t>
      </w:r>
    </w:p>
    <w:tbl>
      <w:tblPr>
        <w:tblW w:w="9387" w:type="dxa"/>
        <w:jc w:val="left"/>
        <w:tblInd w:w="0" w:type="dxa"/>
        <w:tblLayout w:type="fixed"/>
        <w:tblCellMar>
          <w:top w:w="28" w:type="dxa"/>
          <w:left w:w="28" w:type="dxa"/>
          <w:bottom w:w="28" w:type="dxa"/>
          <w:right w:w="28" w:type="dxa"/>
        </w:tblCellMar>
      </w:tblPr>
      <w:tblGrid>
        <w:gridCol w:w="6361"/>
        <w:gridCol w:w="146"/>
        <w:gridCol w:w="419"/>
        <w:gridCol w:w="961"/>
        <w:gridCol w:w="271"/>
        <w:gridCol w:w="146"/>
        <w:gridCol w:w="211"/>
        <w:gridCol w:w="481"/>
        <w:gridCol w:w="391"/>
      </w:tblGrid>
      <w:tr>
        <w:trPr/>
        <w:tc>
          <w:tcPr>
            <w:tcW w:w="6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3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89"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flows provided by operating activities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to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Cash (inflows) outflows from U.S. Accounts Receivable Sales Program</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Cash inflows from Foreign Accounts Receivable Sales Program</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Restructuring-related payments</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Environmental and related litigation payments</w:t>
            </w:r>
            <w:r>
              <w:rPr>
                <w:rFonts w:ascii="Times New Roman" w:hAnsi="Times New Roman"/>
                <w:color w:val="000000"/>
                <w:sz w:val="13"/>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Ongoing 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w:t>
            </w:r>
            <w:r>
              <w:rPr>
                <w:rFonts w:ascii="Times New Roman" w:hAnsi="Times New Roman"/>
                <w:color w:val="000000"/>
                <w:sz w:val="13"/>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Cash Flow Conversion</w:t>
            </w:r>
            <w:r>
              <w:rPr>
                <w:rFonts w:ascii="Times New Roman" w:hAnsi="Times New Roman"/>
                <w:color w:val="000000"/>
                <w:sz w:val="13"/>
              </w:rPr>
              <w: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Not meaningful</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Ongoing Free Cash Flow Conversion</w:t>
            </w:r>
            <w:r>
              <w:rPr>
                <w:rFonts w:ascii="Times New Roman" w:hAnsi="Times New Roman"/>
                <w:color w:val="000000"/>
                <w:sz w:val="13"/>
              </w:rPr>
              <w:t>(g)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Represents activity associated with the U.S. Accounts Receivable Sales Program impacting each period presented.</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(b)</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Represents activity associated with the Foreign Accounts Receivable Sales Program impacting each period presented.</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(c)</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Restructuring payments incurred during each period.</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(d)</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Represents cash outflows associated with environmental and related litigation payments which will be reimbursed by the environmental trust.</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(e)</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See Adjusted EBITDA reconciliation.</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(f)</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Operating Cash Flow Conversion is defined as Cash flows provided by operating activities from continuing operations divided by Net income (loss).</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(g)</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Ongoing Free Cash Flow Conversion is defined as Ongoing Free Cash Flow divided by Adjusted EBITDA.</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Working capital (current assets minus current liabilities, excluding long-term debt due within one year) amounted to $704 million and $705 million as of June 30, 2025 and September 30, 2024, respectively. Liquid assets (cash, cash equivalents and accounts receivable) amounted to 97% and 111% of current liabilities as as of June 30, 2025 and September 30, 2024, respectively. The decrease in Ongoing Free Cash Flows was driven by lower Adjusted EBITDA, higher variable compensation payouts, increased inventory, and inventory reductions in the prior year due to inventory control measures during that period offset by lower additions to property, plant and equipment.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following summary reflects Ashland’s cash and cash equivalents, unused borrowing capacity and liquidity as of:</w:t>
      </w:r>
    </w:p>
    <w:p>
      <w:pPr>
        <w:pStyle w:val="TextBody"/>
        <w:bidi w:val="0"/>
        <w:jc w:val="both"/>
        <w:rPr/>
      </w:pPr>
      <w:r>
        <w:rPr/>
        <w:t> </w:t>
      </w:r>
    </w:p>
    <w:tbl>
      <w:tblPr>
        <w:tblW w:w="6285" w:type="dxa"/>
        <w:jc w:val="left"/>
        <w:tblInd w:w="0" w:type="dxa"/>
        <w:tblLayout w:type="fixed"/>
        <w:tblCellMar>
          <w:top w:w="28" w:type="dxa"/>
          <w:left w:w="28" w:type="dxa"/>
          <w:bottom w:w="28" w:type="dxa"/>
          <w:right w:w="28" w:type="dxa"/>
        </w:tblCellMar>
      </w:tblPr>
      <w:tblGrid>
        <w:gridCol w:w="3706"/>
        <w:gridCol w:w="146"/>
        <w:gridCol w:w="245"/>
        <w:gridCol w:w="490"/>
        <w:gridCol w:w="146"/>
        <w:gridCol w:w="146"/>
        <w:gridCol w:w="404"/>
        <w:gridCol w:w="811"/>
        <w:gridCol w:w="1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1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Restricted investments</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Unused borrowing capacity and liquidity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Accounts Receivable Sales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Accounts Receivable Sales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120"/>
        <w:jc w:val="both"/>
        <w:rPr>
          <w:rFonts w:ascii="Times New Roman" w:hAnsi="Times New Roman"/>
          <w:color w:val="000000"/>
          <w:sz w:val="16"/>
        </w:rPr>
      </w:pPr>
      <w:r>
        <w:rPr>
          <w:rFonts w:ascii="Times New Roman" w:hAnsi="Times New Roman"/>
          <w:color w:val="000000"/>
          <w:sz w:val="16"/>
        </w:rPr>
        <w:t>(a)</w:t>
      </w:r>
    </w:p>
    <w:p>
      <w:pPr>
        <w:pStyle w:val="TextBody"/>
        <w:bidi w:val="0"/>
        <w:spacing w:before="40" w:after="120"/>
        <w:jc w:val="both"/>
        <w:rPr>
          <w:rFonts w:ascii="Times New Roman" w:hAnsi="Times New Roman"/>
          <w:color w:val="000000"/>
          <w:sz w:val="16"/>
        </w:rPr>
      </w:pPr>
      <w:r>
        <w:rPr>
          <w:rFonts w:ascii="Times New Roman" w:hAnsi="Times New Roman"/>
          <w:color w:val="000000"/>
          <w:sz w:val="16"/>
        </w:rPr>
        <w:t>Includes $228 million and $248 million related to the Asbestos trust and $122 million and $120 million related to the Environmental trust as of June 30, 2025 and September 30, 2024,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borrowing capacity remaining under the 2022 Credit Agreement was $596 million, which reflects the full $600 million revolving credit facility less a reduction of $4 million for letters of credit outstanding at June 30, 2025. In total, Ashland’s available liquidity position, which includes cash and cash equivalents and the revolving credit facility, was $803 million at June 30, 2025, compared to $896 million at September 30, 2024. Ashland had no available liquidity under the U.S. and Foreign Accounts Receivable Sales Programs as of June 30, 2025. Ashland also maintained $350 million of restricted investments to pay for future asbestos claims and environmental remediation and related litigation.</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Capital resources</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Debt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following summary reflects Ashland’s debt as of:</w:t>
      </w:r>
    </w:p>
    <w:p>
      <w:pPr>
        <w:pStyle w:val="TextBody"/>
        <w:bidi w:val="0"/>
        <w:jc w:val="both"/>
        <w:rPr/>
      </w:pPr>
      <w:r>
        <w:rPr/>
        <w:t> </w:t>
      </w:r>
    </w:p>
    <w:tbl>
      <w:tblPr>
        <w:tblW w:w="6962" w:type="dxa"/>
        <w:jc w:val="left"/>
        <w:tblInd w:w="0" w:type="dxa"/>
        <w:tblLayout w:type="fixed"/>
        <w:tblCellMar>
          <w:top w:w="28" w:type="dxa"/>
          <w:left w:w="28" w:type="dxa"/>
          <w:bottom w:w="28" w:type="dxa"/>
          <w:right w:w="28" w:type="dxa"/>
        </w:tblCellMar>
      </w:tblPr>
      <w:tblGrid>
        <w:gridCol w:w="4336"/>
        <w:gridCol w:w="146"/>
        <w:gridCol w:w="211"/>
        <w:gridCol w:w="571"/>
        <w:gridCol w:w="146"/>
        <w:gridCol w:w="146"/>
        <w:gridCol w:w="327"/>
        <w:gridCol w:w="888"/>
        <w:gridCol w:w="1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1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Long-term debt (less debt issuance cost discounts)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40" w:after="283"/>
        <w:jc w:val="both"/>
        <w:rPr/>
      </w:pPr>
      <w:r>
        <w:rPr>
          <w:rFonts w:ascii="Times New Roman" w:hAnsi="Times New Roman"/>
          <w:color w:val="000000"/>
          <w:sz w:val="16"/>
        </w:rPr>
        <w:t>Includes $10 million and $12 million of debt issuance cost discounts as of June 30, 2025 and September 30, 2024</w:t>
      </w:r>
      <w:r>
        <w:rPr>
          <w:rFonts w:ascii="Times New Roman" w:hAnsi="Times New Roman"/>
          <w:color w:val="000000"/>
          <w:sz w:val="20"/>
        </w:rPr>
        <w:t xml:space="preserve">, </w:t>
      </w:r>
      <w:r>
        <w:rPr>
          <w:rFonts w:ascii="Times New Roman" w:hAnsi="Times New Roman"/>
          <w:color w:val="000000"/>
          <w:sz w:val="16"/>
        </w:rPr>
        <w:t>respectively.</w:t>
      </w:r>
      <w:r>
        <w:rPr>
          <w:color w:val="000000"/>
        </w:rPr>
        <w:t xml:space="preserve">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Debt as a percent of capital employed was 42% and 32% at June 30, 2025 and September 30, 2024, respectively. At June 30, 2025, Ashland’s total debt had an outstanding principal balance of $1,418 million, discounts of $26 million, and debt issuance costs of $10 million. Ashland has no long-term debt (excluding debt issuance costs) maturing within 2025 and 2026, $4 million due in fiscal 2027, $586 million due in 2028, $97 million in 2029, and zero in 2030.</w:t>
      </w:r>
    </w:p>
    <w:p>
      <w:pPr>
        <w:pStyle w:val="TextBody"/>
        <w:bidi w:val="0"/>
        <w:spacing w:before="0" w:after="120"/>
        <w:jc w:val="both"/>
        <w:rPr>
          <w:rFonts w:ascii="Times New Roman" w:hAnsi="Times New Roman"/>
          <w:i/>
          <w:color w:val="000000"/>
          <w:sz w:val="22"/>
        </w:rPr>
      </w:pPr>
      <w:r>
        <w:rPr>
          <w:rFonts w:ascii="Times New Roman" w:hAnsi="Times New Roman"/>
          <w:i/>
          <w:color w:val="000000"/>
          <w:sz w:val="22"/>
        </w:rPr>
        <w:t>Ashland credit ratings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Ashland’s corporate credit ratings remained unchanged at BB+ by Standard &amp; Poor’s and Ba1 by Moody’s Investor Services. As of June 30, 2025, both Moody’s Investor Services and Standard &amp; Poor's outlook remained at stable. Subsequent changes to these ratings or outlook may have an effect on Ashland’s borrowing rate or ability to access capital markets in the future.</w:t>
      </w:r>
    </w:p>
    <w:p>
      <w:pPr>
        <w:pStyle w:val="TextBody"/>
        <w:bidi w:val="0"/>
        <w:spacing w:before="0" w:after="120"/>
        <w:jc w:val="both"/>
        <w:rPr>
          <w:rFonts w:ascii="Times New Roman" w:hAnsi="Times New Roman"/>
          <w:i/>
          <w:color w:val="000000"/>
          <w:sz w:val="22"/>
        </w:rPr>
      </w:pPr>
      <w:r>
        <w:rPr>
          <w:rFonts w:ascii="Times New Roman" w:hAnsi="Times New Roman"/>
          <w:i/>
          <w:color w:val="000000"/>
          <w:sz w:val="22"/>
        </w:rPr>
        <w:t>Ashland debt covenant restrictions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Ashland's 2022 credit agreement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June 30, 2025, Ashland is in compliance with all debt agreement covenant restrictions under the 2022 Credit Agreement.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maximum consolidated net leverage ratio permitted under the 2022 Credit Agreement is 4.0. The 2022 Credit Agreement defines the consolidated net leverage ratio as the ratio of consolidated indebtedness minus unrestricted cash and cash equivalents to consolidated EBITDA (Covenant Adjusted EBITDA) for any measurement period. In general, the 2022 Credit Agreement defines Covenant Adjusted EBITDA as net income (loss)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(loss). The computation of Covenant Adjusted EBITDA differs from the calculation of EBITDA and Adjusted EBITDA, which have been reconciled above in the “consolidated review” section. In general, consolidated indebtedness includes debt plus all purchase money indebtedness, banker’s acceptances and bank guaranties, deferred purchase price of property or services, attributable indebtedness and guarantees. At June 30, 2025, Ashland’s calculation of the consolidated net leverage ratio was 2.9.</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minimum required consolidated interest coverage ratio under the 2022 Credit Agreement is 3.0. The 2022 Credit Agreement defines the consolidated interest coverage ratio as the ratio of Covenant Adjusted EBITDA to consolidated interest charges for any measurement period. At June 30, 2025, Ashland’s calculation of the consolidated interest coverage ratio was 6.5.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Any change in Covenant Adjusted EBITDA of $100 million would have an approximate 0.6x effect on the consolidated net leverage ratio and a 1.6x effect on the consolidated interest coverage ratio. The change in consolidated indebtedness of $100 million would affect the consolidated leverage ratio by approximately 0.3x.</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Additional capital resources</w:t>
      </w:r>
    </w:p>
    <w:p>
      <w:pPr>
        <w:pStyle w:val="TextBody"/>
        <w:bidi w:val="0"/>
        <w:jc w:val="both"/>
        <w:rPr>
          <w:rFonts w:ascii="Times New Roman" w:hAnsi="Times New Roman"/>
          <w:i/>
          <w:color w:val="000000"/>
          <w:sz w:val="22"/>
        </w:rPr>
      </w:pPr>
      <w:r>
        <w:rPr>
          <w:rFonts w:ascii="Times New Roman" w:hAnsi="Times New Roman"/>
          <w:i/>
          <w:color w:val="000000"/>
          <w:sz w:val="22"/>
        </w:rPr>
        <w:t>Total equity</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Total equity decreased by $979 million since September 30, 2024 to $1,889 million at June 30, 2025. The decrease of $979 million was due to net loss of $877 million, stock repurchase activity of $101 million (includes $1 million in excise tax), and dividends of $57 million partially offset by $46 million of deferred translation gains, $8 million of common stock issued, and $2 million for unrealized gains on commodity hedges.</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2023 Stock Repurchase program</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On June 28, 2023, Ashland's board of directors authorized a new evergreen $1 billion common share repurchase program (the "2023 Stock Repurchase Program"). The new authorization terminated and replaced the 2022 Stock Repurchase Program, which had $200 million outstanding at the date of termination. As of June 30, 2025, $520 million remained available for repurchase under the 2023 Stock Repurchase Program.</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Stock repurchase program agreements</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following table provides the common stock repurchase activity for the three and nine months ended June 30, 2025 and 2024:</w:t>
      </w:r>
    </w:p>
    <w:tbl>
      <w:tblPr>
        <w:tblW w:w="10205" w:type="dxa"/>
        <w:jc w:val="left"/>
        <w:tblInd w:w="0" w:type="dxa"/>
        <w:tblLayout w:type="fixed"/>
        <w:tblCellMar>
          <w:top w:w="28" w:type="dxa"/>
          <w:left w:w="28" w:type="dxa"/>
          <w:bottom w:w="28" w:type="dxa"/>
          <w:right w:w="28" w:type="dxa"/>
        </w:tblCellMar>
      </w:tblPr>
      <w:tblGrid>
        <w:gridCol w:w="2376"/>
        <w:gridCol w:w="146"/>
        <w:gridCol w:w="220"/>
        <w:gridCol w:w="360"/>
        <w:gridCol w:w="152"/>
        <w:gridCol w:w="152"/>
        <w:gridCol w:w="540"/>
        <w:gridCol w:w="1466"/>
        <w:gridCol w:w="146"/>
        <w:gridCol w:w="146"/>
        <w:gridCol w:w="540"/>
        <w:gridCol w:w="1466"/>
        <w:gridCol w:w="146"/>
        <w:gridCol w:w="146"/>
        <w:gridCol w:w="540"/>
        <w:gridCol w:w="1466"/>
        <w:gridCol w:w="197"/>
      </w:tblGrid>
      <w:tr>
        <w:trPr/>
        <w:tc>
          <w:tcPr>
            <w:tcW w:w="2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3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90"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304"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 ended</w:t>
            </w:r>
          </w:p>
        </w:tc>
        <w:tc>
          <w:tcPr>
            <w:tcW w:w="1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price per share</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Aggregate purchase price</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 Stock Repurchase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 Stock Repurchase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 Stock Repurchase Program</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Includes transactions costs.</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Stockholder dividends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On May 6, 2025, Ashland's Board declared a quarterly cash dividend of 41.5 cents per share on the company's common stock representing a 2.5 percent increase from the previous quarter. The dividend was paid in the third quarter of fiscal 2025. Dividends of 40.5 cents per share were paid in the first and second quarters of fiscal 2024 and the third quarter of fiscal 2024 and 38.5 cents per share in the first and second quarters of fiscal 2024.</w:t>
      </w:r>
    </w:p>
    <w:p>
      <w:pPr>
        <w:pStyle w:val="TextBody"/>
        <w:bidi w:val="0"/>
        <w:spacing w:before="120" w:after="283"/>
        <w:jc w:val="both"/>
        <w:rPr>
          <w:rFonts w:ascii="Times New Roman" w:hAnsi="Times New Roman"/>
          <w:sz w:val="20"/>
        </w:rPr>
      </w:pPr>
      <w:r>
        <w:rPr>
          <w:rFonts w:ascii="Times New Roman" w:hAnsi="Times New Roman"/>
          <w:i/>
          <w:color w:val="000000"/>
          <w:sz w:val="22"/>
        </w:rPr>
        <w:t>Capital</w:t>
      </w:r>
      <w:r>
        <w:rPr>
          <w:rFonts w:ascii="Times New Roman" w:hAnsi="Times New Roman"/>
          <w:color w:val="000000"/>
          <w:sz w:val="20"/>
        </w:rPr>
        <w:t xml:space="preserve"> </w:t>
      </w:r>
      <w:r>
        <w:rPr>
          <w:rFonts w:ascii="Times New Roman" w:hAnsi="Times New Roman"/>
          <w:i/>
          <w:color w:val="000000"/>
          <w:sz w:val="22"/>
        </w:rPr>
        <w:t>expenditures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Capital expenditures were $64 million for the nine months ended June 30, 2025, compared to $99 million for the nine months ended June 30, 2024.</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CRITICAL ACCOUNTING POLICIES</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preparation of Ashland’s Condensed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long-lived assets (including goodwill and other intangible assets), income taxes, other liabilities and receivables associated with asbestos litigation and environmental remediation. These accounting policies are discussed in detail in “Management’s Discussion and Analysis – Critical Accounting Policies” in Ashland’s Annual Report on Form 10-K for the fiscal year ended September 30, 2024.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 No material changes have been made to the valuation techniques during the nine months ended June 30,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Goodwill</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Ashland reviews goodwill for impairment annually as of July 1 or when events and circumstances indicate an impairment may have occurred. Ashland tests goodwill for impairment by comparing the estimated fair value of the reporting units to the related carrying value. If the fair value of the reporting unit is lower than its carrying amount, goodwill is written down for the amount by which the carrying amount exceeds fair value. However, the loss recognized cannot exceed the carrying amount of goodwill. Reporting units are defined as either operating segments or one level below the operating segments for which discrete financial information is available and reviewed by the business management. Ashland determined that its reporting units are Life Sciences, Personal Care, Specialty Additives and Intermediates.</w:t>
      </w:r>
    </w:p>
    <w:p>
      <w:pPr>
        <w:pStyle w:val="TextBody"/>
        <w:bidi w:val="0"/>
        <w:spacing w:before="0" w:after="120"/>
        <w:jc w:val="both"/>
        <w:rPr>
          <w:rFonts w:ascii="Times New Roman" w:hAnsi="Times New Roman"/>
          <w:sz w:val="20"/>
        </w:rPr>
      </w:pPr>
      <w:r>
        <w:rPr>
          <w:rFonts w:ascii="Times New Roman" w:hAnsi="Times New Roman"/>
          <w:color w:val="000000"/>
          <w:sz w:val="22"/>
        </w:rPr>
        <w:t>Ashland makes various estimates and assumptions in determining the estimated fair value of each reporting unit using a combination of discounted cash flow models and valuations based on earnings multiples for guideline public companies in each reporting unit’s industry peer group, when externally quoted market prices are not readily available. Discounted cash flow models are reliant on various assumptions, including projected business results, long-term growth factors and weighted-average cost of capital. Management judgment is involved in estimating these variables, and they include uncertainties since they are forecasting future events. Ashland performs sensitivity analyses by using a range of inputs to confirm the reasonableness of the long-term growth rate and weighted average cost of capital estimates. Additionally, Ashland compares the indicated equity value to Ashland’s market capitalization and evaluates the resulting implied control premium/discount to determine if the estimated enterprise value is reasonable.</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During the third quarter fiscal 2025, Ashland experienced a continued decline in the market price of its Common Stock. Ashland also experienced slowing growth due to weakening macroeconomic environment that is dampening consumer sentiment and demand globally which resulted in lower growth and lower margins for the Life Sciences and Specialty Additives reporting units then what was previously forecasted. These factors led Ashland to determine that triggering events occurred, and a quantitative goodwill impairment assessment was performed as of June 30, 2025.</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Following the completion of this quantitative analysis, Ashland concluded that the fair value of Personal Care reporting unit exceeded its carrying value by more than 100%. The Intermediates reporting unit has no associated goodwill. The carrying values of the Life Sciences and Specialty Additives reporting units exceeded their respective fair values, resulting in non-cash goodwill impairment charges of $375 million and $331 million, respectively, for a total goodwill impairment charge of $706 million, which was recorded within the goodwill impairment caption of the Statements of Condensed Consolidated Comprehensive Income (Loss) for the both three and nine months ended June 30, 2025. Remaining goodwill after impairment was $466 million for Life Sciences and $112 million for Specialty Additives. For further information, see Note G of the Notes to the Condensed Consolidated Financial Statements.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below table provides a sensitivity analysis for Life Sciences and Specialty Additives reporting units remaining goodwill, utilizing reasonably possible changes in the assumptions for the shorter term and residual growth rates and the discount rate, to demonstrate the potential impacts to the estimated fair values. The below table provides, in isolation, the estimated fair value impacts related to a 25-basis point increase to discount rate or a 25-basis point decrease to residual growth rates, both of which would result in incremental impairment charges to the Life Sciences and Specialty Additives reporting units.</w:t>
      </w:r>
    </w:p>
    <w:tbl>
      <w:tblPr>
        <w:tblW w:w="6211" w:type="dxa"/>
        <w:jc w:val="left"/>
        <w:tblInd w:w="0" w:type="dxa"/>
        <w:tblLayout w:type="fixed"/>
        <w:tblCellMar>
          <w:top w:w="28" w:type="dxa"/>
          <w:left w:w="28" w:type="dxa"/>
          <w:bottom w:w="28" w:type="dxa"/>
          <w:right w:w="28" w:type="dxa"/>
        </w:tblCellMar>
      </w:tblPr>
      <w:tblGrid>
        <w:gridCol w:w="1726"/>
        <w:gridCol w:w="2194"/>
        <w:gridCol w:w="254"/>
        <w:gridCol w:w="2037"/>
      </w:tblGrid>
      <w:tr>
        <w:trPr/>
        <w:tc>
          <w:tcPr>
            <w:tcW w:w="1726"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r>
      <w:tr>
        <w:trPr/>
        <w:tc>
          <w:tcPr>
            <w:tcW w:w="17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485"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Approximate Percent Change in Estimated Fair Value</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 bps</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 bps</w:t>
            </w:r>
          </w:p>
        </w:tc>
      </w:tr>
      <w:tr>
        <w:trPr/>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Discount Rate</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Growth Rate</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Life Sciences</w:t>
            </w:r>
          </w:p>
        </w:tc>
        <w:tc>
          <w:tcPr>
            <w:tcW w:w="21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Specialty Additives</w:t>
            </w:r>
          </w:p>
        </w:tc>
        <w:tc>
          <w:tcPr>
            <w:tcW w:w="21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r>
      <w:tr>
        <w:trPr/>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Times New Roman" w:hAnsi="Times New Roman"/>
          <w:color w:val="000000"/>
          <w:sz w:val="22"/>
        </w:rPr>
        <w:t>Assumptions inherent in the valuation methodologies include estimates of future projected business results (principally sales and EBITDA), long-term growth rates, and the weighted-average cost of capital. Ashland performed sensitivity analyses by using a range of inputs to confirm the reasonableness of long-term growth rate and weighted average cost of capital estimates. Significant assumptions utilized in the impairment analysis included the weighted-average cost of capital, ranging between 12.50% and 13.75%, and terminal growth rate, ranging between 2.0% and 4.0% depending on the reporting unit. Based on sensitivity analysis performed on two key</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assumptions in the discounted cash flow model at June 30, 2025, a 1% decrease in the long-term growth factor assumption or a 1% increase in the weighted average cost of capital assumption for the Personal Care reporting unit would not have resulted in a fair value below the carrying value. For further information, see Note G of the Notes to the Condensed Consolidated Financial Statements.</w:t>
      </w:r>
    </w:p>
    <w:p>
      <w:pPr>
        <w:pStyle w:val="TextBody"/>
        <w:bidi w:val="0"/>
        <w:jc w:val="both"/>
        <w:rPr>
          <w:rFonts w:ascii="Times New Roman" w:hAnsi="Times New Roman"/>
          <w:b/>
          <w:color w:val="000000"/>
          <w:sz w:val="22"/>
        </w:rPr>
      </w:pPr>
      <w:r>
        <w:rPr>
          <w:rFonts w:ascii="Times New Roman" w:hAnsi="Times New Roman"/>
          <w:b/>
          <w:color w:val="000000"/>
          <w:sz w:val="22"/>
        </w:rPr>
        <w:t>OUTLOOK</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Ashland is updating its full-year fiscal 2025 outlook to reflect a stable but subdued macroeconomic environment and continued caution across customer channels. Demand trends remain mixed: pharma continues to recover and show resilience, Personal Care is stable with early signs of company-specific momentum, while Specialty Additives and Intermediates remain under pressure. Ashland maintains a measured outlook, supported by innovation tracking ahead of plan, early signs of recovery in its “globalize” platforms, and the execution of high-impact self-help initiatives. These strategic levers are helping to mitigate near-term volume pressure and position the company for improved performance going forward.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Tariff-related uncertainty persists, and the company continues to monitor the evolving regulatory landscape. While long-term rules are still being finalized, Ashland does not expect a material direct impact to fiscal year 2025.</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At the same time, Ashland is benefiting from an FX tailwind, while other input costs and pricing dynamics remain stable. Raw material costs are steady, and year-over-year pricing pressure is easing as the company laps prior actions. These conditions are expected to support margin performance through the fourth quarter.</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Ashland continues to prioritize controllable levers. The company’s $30 million restructuring program is expected to generate approximately $7.5 million in savings in the fourth quarter. Progress continues on the $60 million manufacturing network optimization initiative. These efforts, combined with strong execution, are expected to support continued margin strength. Free Cash Flow generation was strong in the third quarter, and Ashland expects continued healthy conversion in the fourth quarter.</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Based on these factors, Ashland now expects full-year fiscal 2025 sales of approximately $1.825 billion to $1.850 billion and Adjusted EBITDA in the range of $400 million to $410 million. While the company has narrowed its guidance to reflect muted near-term growth, current assumptions are weighted toward the lower end of the range, reflecting a prudent base-case stance amid ongoing uncertainty, while underscoring the resilience of Ashland’s business model.</w:t>
      </w:r>
    </w:p>
    <w:p>
      <w:pPr>
        <w:pStyle w:val="TextBody"/>
        <w:bidi w:val="0"/>
        <w:spacing w:before="0" w:after="12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ITEM 3. QUANTITATIVE AND QUALITATIVE DISCLOSURES ABOUT MARKET RISK</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Ashland’s market risk exposure at June 30, 2025 is generally consistent with the types of market risk exposures presented in Ashland’s Annual Report on Form 10-K for the fiscal year ended September 30, 2024.</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ITEM 4. CONTROLS AND PROCEDURES</w:t>
      </w:r>
    </w:p>
    <w:p>
      <w:pPr>
        <w:pStyle w:val="TextBody"/>
        <w:bidi w:val="0"/>
        <w:spacing w:before="120" w:after="283"/>
        <w:jc w:val="both"/>
        <w:rPr>
          <w:rFonts w:ascii="Times New Roman" w:hAnsi="Times New Roman"/>
          <w:sz w:val="20"/>
        </w:rPr>
      </w:pPr>
      <w:r>
        <w:rPr>
          <w:rFonts w:ascii="Times New Roman" w:hAnsi="Times New Roman"/>
          <w:i/>
          <w:color w:val="000000"/>
          <w:sz w:val="22"/>
        </w:rPr>
        <w:t xml:space="preserve">Disclosure Controls and Procedures </w:t>
      </w:r>
      <w:r>
        <w:rPr>
          <w:rFonts w:ascii="Times New Roman" w:hAnsi="Times New Roman"/>
          <w:color w:val="000000"/>
          <w:sz w:val="22"/>
        </w:rPr>
        <w:t>- As of the end of the period covered by this quarterly report, Ashland, under the supervision and with the participation of its management, including Ashland’s Chief Executive Officer and its Chief Financial Officer, evaluated the effectiveness of Ashland’s disclosure controls and procedures pursuant to Rule 13a-15(b) and 15d-15(b) promulgated under the Securities Exchange Act of 1934, as amended. Based upon that evaluation, the Chief Executive Officer and Chief Financial Officer concluded that the disclosure controls and procedures were effective as of June 30, 2025.</w:t>
      </w:r>
    </w:p>
    <w:p>
      <w:pPr>
        <w:pStyle w:val="TextBody"/>
        <w:bidi w:val="0"/>
        <w:spacing w:before="120" w:after="283"/>
        <w:jc w:val="both"/>
        <w:rPr>
          <w:rFonts w:ascii="Times New Roman" w:hAnsi="Times New Roman"/>
          <w:sz w:val="20"/>
        </w:rPr>
      </w:pPr>
      <w:r>
        <w:rPr>
          <w:rFonts w:ascii="Times New Roman" w:hAnsi="Times New Roman"/>
          <w:i/>
          <w:color w:val="000000"/>
          <w:sz w:val="22"/>
        </w:rPr>
        <w:t xml:space="preserve">Changes in Internal Control over Financial Reporting </w:t>
      </w:r>
      <w:r>
        <w:rPr>
          <w:rFonts w:ascii="Times New Roman" w:hAnsi="Times New Roman"/>
          <w:color w:val="000000"/>
          <w:sz w:val="22"/>
        </w:rPr>
        <w:t>- During the nine months ended June 30, 2025, there were no significant changes in Ashland's internal control over financial reporting, or in other factors, that occurred during the period covered by this quarterly report that have materially affected, or are reasonably likely to materially affect, Ashland's internal control over financial reporting.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PART II – OTHER INFORMATION</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ITEM 1. LEGAL PROCEEDINGS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following is a description of Ashland’s material legal proceedings. Ashland’s threshold for disclosing material environmental legal proceedings involving a governmental authority where potential monetary sanctions are involved is $1 million.</w:t>
      </w:r>
    </w:p>
    <w:p>
      <w:pPr>
        <w:pStyle w:val="TextBody"/>
        <w:bidi w:val="0"/>
        <w:spacing w:before="120" w:after="283"/>
        <w:jc w:val="both"/>
        <w:rPr>
          <w:rFonts w:ascii="Times New Roman" w:hAnsi="Times New Roman"/>
          <w:b/>
          <w:i/>
          <w:color w:val="000000"/>
          <w:sz w:val="22"/>
        </w:rPr>
      </w:pPr>
      <w:r>
        <w:rPr>
          <w:rFonts w:ascii="Times New Roman" w:hAnsi="Times New Roman"/>
          <w:b/>
          <w:i/>
          <w:color w:val="000000"/>
          <w:sz w:val="22"/>
        </w:rPr>
        <w:t>Asbestos-Related Litigation</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asbestos-containing components provided by other companies.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Ashland and Hercules are also defendants in lawsuits alleging exposure to asbestos at facilities formerly or presently owned or operated by Ashland or Hercules.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For additional detailed information regarding liabilities arising from asbestos-related litigation, see Note L of the Notes to Condensed Consolidated Financial Statements in this quarterly report on Form 10-Q.</w:t>
      </w:r>
    </w:p>
    <w:p>
      <w:pPr>
        <w:pStyle w:val="TextBody"/>
        <w:bidi w:val="0"/>
        <w:spacing w:before="120" w:after="283"/>
        <w:jc w:val="both"/>
        <w:rPr>
          <w:rFonts w:ascii="Times New Roman" w:hAnsi="Times New Roman"/>
          <w:b/>
          <w:i/>
          <w:color w:val="000000"/>
          <w:sz w:val="22"/>
        </w:rPr>
      </w:pPr>
      <w:r>
        <w:rPr>
          <w:rFonts w:ascii="Times New Roman" w:hAnsi="Times New Roman"/>
          <w:b/>
          <w:i/>
          <w:color w:val="000000"/>
          <w:sz w:val="22"/>
        </w:rPr>
        <w:t>Environmental Proceedings</w:t>
      </w:r>
    </w:p>
    <w:p>
      <w:pPr>
        <w:pStyle w:val="TextBody"/>
        <w:bidi w:val="0"/>
        <w:spacing w:before="120" w:after="283"/>
        <w:jc w:val="both"/>
        <w:rPr>
          <w:rFonts w:ascii="Times New Roman" w:hAnsi="Times New Roman"/>
          <w:sz w:val="20"/>
        </w:rPr>
      </w:pPr>
      <w:r>
        <w:rPr>
          <w:rFonts w:ascii="Times New Roman" w:hAnsi="Times New Roman"/>
          <w:i/>
          <w:color w:val="000000"/>
          <w:sz w:val="22"/>
        </w:rPr>
        <w:t>(a) CERCLA and Similar State Law Sites -</w:t>
      </w:r>
      <w:r>
        <w:rPr>
          <w:rFonts w:ascii="Times New Roman" w:hAnsi="Times New Roman"/>
          <w:color w:val="000000"/>
          <w:sz w:val="20"/>
        </w:rPr>
        <w:t xml:space="preserve"> </w:t>
      </w:r>
      <w:r>
        <w:rPr>
          <w:rFonts w:ascii="Times New Roman" w:hAnsi="Times New Roman"/>
          <w:color w:val="000000"/>
          <w:sz w:val="22"/>
        </w:rPr>
        <w:t>Under the Comprehensive Environmental Response, Compensation and Liability Act of 1980 and similar state laws, Ashland and its subsidiaries may be subject to joint and several liability for cleanup costs in connection with alleged releases of hazardous substances at sites where it has been identified as a “potentially responsible party” (PRP). As of June 30, 2025, Ashland and its subsidiaries have been identified as a PRP by U.S. federal and state authorities, or by private parties seeking contribution, for the cost of environmental investigation and/or cleanup at 53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2"/>
        </w:rPr>
        <w:t>(b) Lower Passaic River, New Jersey Matters -</w:t>
      </w:r>
      <w:r>
        <w:rPr>
          <w:rFonts w:ascii="Times New Roman" w:hAnsi="Times New Roman"/>
          <w:color w:val="000000"/>
          <w:sz w:val="20"/>
        </w:rPr>
        <w:t xml:space="preserve"> </w:t>
      </w:r>
      <w:r>
        <w:rPr>
          <w:rFonts w:ascii="Times New Roman" w:hAnsi="Times New Roman"/>
          <w:color w:val="000000"/>
          <w:sz w:val="22"/>
        </w:rPr>
        <w:t>Ashland, through two formerly owned facilities, and ISP, through a now-closed facility, have been identified as PRPs, along with approximately 70 other companies (the Cooperating Parties Group or the CPG), in a May 2007 Administrative Order of Consent (AOOC) with the USEPA. The parties are required to perform a remedial investigation and feasibility study (RI/FS) of the entire 17 miles of the Passaic River. In June 2007, the USEPA separately commenced a Focused Feasibility Study (FFS) as an interim measure. In accordance with the 2007 AOOC, in June 2012 the CPG voluntarily entered into another AOOC for an interim removal action focused solely at mile 10.9 of the Passaic River. The allocations for the 2007 AOOC and the 2012 removal action are based on interim allocations, are immaterial and have been accrued. In April 2014, the USEPA released the FFS. The CPG submitted the Draft RI/FS Report on April 30, 2015. The USEPA has released the FFS Record of Decision for the lower 8 miles and reached an agreement with another chemical company to conduct and pay for the remedial design. This chemical company has sued Ashland, ISP and numerous other defendants to recover past and future costs pursuant to the CERCLA. Ashland and ISP participated in an USEPA allocation process that resulted in a partial settlement with the EPA. Possible future allocation proceedings are not expected to have a significant impact to Ashland.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For additional information regarding environmental matters and reserves, see Note L of the Notes to Condensed Consolidated Financial Statements in this quarterly report on Form 10-Q.</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2"/>
        </w:rPr>
      </w:pPr>
      <w:r>
        <w:rPr>
          <w:rFonts w:ascii="Times New Roman" w:hAnsi="Times New Roman"/>
          <w:b/>
          <w:i/>
          <w:color w:val="000000"/>
          <w:sz w:val="22"/>
        </w:rPr>
        <w:t>Other Pending Legal Proceedings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as of June 30, 2025. There is a reasonable possibility that a loss exceeding amounts already recognized may be incurred related to these actions; however, Ashland believes that such potential losses were immaterial as of June 30, 2025.</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ITEM 1A. RISK FACTORS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During the period covered by this report, there were no material changes from the risk factors previously disclosed in Ashland’s Annual Report on Form 10-K for the fiscal year ended September 30, 2024.</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ITEM 2. UNREGISTERED SALES OF EQUITY SECURITIES AND USE OF PROCEEDS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Share repurchase activity during the three months ended June 30, 2025 was as follow:</w:t>
      </w:r>
    </w:p>
    <w:p>
      <w:pPr>
        <w:pStyle w:val="TextBody"/>
        <w:bidi w:val="0"/>
        <w:jc w:val="both"/>
        <w:rPr/>
      </w:pPr>
      <w:r>
        <w:rPr/>
        <w:t> </w:t>
      </w:r>
    </w:p>
    <w:tbl>
      <w:tblPr>
        <w:tblW w:w="10044" w:type="dxa"/>
        <w:jc w:val="left"/>
        <w:tblInd w:w="0" w:type="dxa"/>
        <w:tblLayout w:type="fixed"/>
        <w:tblCellMar>
          <w:top w:w="28" w:type="dxa"/>
          <w:left w:w="28" w:type="dxa"/>
          <w:bottom w:w="28" w:type="dxa"/>
          <w:right w:w="28" w:type="dxa"/>
        </w:tblCellMar>
      </w:tblPr>
      <w:tblGrid>
        <w:gridCol w:w="2641"/>
        <w:gridCol w:w="146"/>
        <w:gridCol w:w="444"/>
        <w:gridCol w:w="1056"/>
        <w:gridCol w:w="146"/>
        <w:gridCol w:w="146"/>
        <w:gridCol w:w="494"/>
        <w:gridCol w:w="811"/>
        <w:gridCol w:w="146"/>
        <w:gridCol w:w="146"/>
        <w:gridCol w:w="466"/>
        <w:gridCol w:w="1109"/>
        <w:gridCol w:w="146"/>
        <w:gridCol w:w="146"/>
        <w:gridCol w:w="469"/>
        <w:gridCol w:w="941"/>
        <w:gridCol w:w="5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9453" w:type="dxa"/>
            <w:gridSpan w:val="1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Issuer Purchases of Equity Securities</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Q3 Fiscal Periods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 Number of</w:t>
              <w:br/>
              <w:t>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Average Price</w:t>
              <w:br/>
              <w:t>Paid Per Share,</w:t>
              <w:br/>
              <w:t>including</w:t>
              <w:br/>
              <w:t>commission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 Number of</w:t>
              <w:br/>
              <w:t>Shares Purchased</w:t>
              <w:br/>
              <w:t>as Part of Publicly</w:t>
              <w:br/>
              <w:t>Announced Plans</w:t>
              <w:br/>
              <w:t>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Dollar Value of</w:t>
              <w:br/>
              <w:t>Shares that May</w:t>
              <w:br/>
              <w:t>Be Purchased</w:t>
              <w:br/>
              <w:t>Under the Plans</w:t>
              <w:br/>
              <w:t>or Programs</w:t>
              <w:br/>
              <w:t>(in millions)</w:t>
            </w:r>
            <w:r>
              <w:rPr>
                <w:rFonts w:ascii="Times New Roman" w:hAnsi="Times New Roman"/>
                <w:color w:val="000000"/>
                <w:sz w:val="13"/>
              </w:rPr>
              <w:t>(a)</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2025 to April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2025 to May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2025 to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jc w:val="both"/>
        <w:rPr>
          <w:rFonts w:ascii="Times New Roman" w:hAnsi="Times New Roman"/>
          <w:color w:val="000000"/>
          <w:sz w:val="16"/>
        </w:rPr>
      </w:pPr>
      <w:r>
        <w:rPr>
          <w:rFonts w:ascii="Times New Roman" w:hAnsi="Times New Roman"/>
          <w:color w:val="000000"/>
          <w:sz w:val="16"/>
        </w:rPr>
        <w:t>On June 28, 2023, Ashland's board of directors authorized a new evergreen $1 billion common share repurchase program (2023 Stock Repurchase Program). The new authorization terminated and replaced the 2022 Stock Repurchase Program, which had $200 million outstanding at the date of termination. As of June 30, 2025, $520 million remained available for repurchase under this authorization.</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ITEM 5. OTHER INFORMATION</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Securities Trading Plans of Directors and Executive Officers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1"/>
        <w:gridCol w:w="9414"/>
      </w:tblGrid>
      <w:tr>
        <w:trPr/>
        <w:tc>
          <w:tcPr>
            <w:tcW w:w="791" w:type="dxa"/>
            <w:tcBorders/>
            <w:vAlign w:val="center"/>
          </w:tcPr>
          <w:p>
            <w:pPr>
              <w:pStyle w:val="TableContents"/>
              <w:bidi w:val="0"/>
              <w:spacing w:before="0" w:after="283"/>
              <w:jc w:val="left"/>
              <w:rPr>
                <w:sz w:val="4"/>
                <w:szCs w:val="4"/>
              </w:rPr>
            </w:pPr>
            <w:r>
              <w:rPr>
                <w:sz w:val="4"/>
                <w:szCs w:val="4"/>
              </w:rPr>
            </w:r>
          </w:p>
        </w:tc>
        <w:tc>
          <w:tcPr>
            <w:tcW w:w="9414" w:type="dxa"/>
            <w:tcBorders/>
            <w:vAlign w:val="center"/>
          </w:tcPr>
          <w:p>
            <w:pPr>
              <w:pStyle w:val="TableContents"/>
              <w:bidi w:val="0"/>
              <w:spacing w:before="0" w:after="283"/>
              <w:jc w:val="left"/>
              <w:rPr>
                <w:sz w:val="4"/>
                <w:szCs w:val="4"/>
              </w:rPr>
            </w:pPr>
            <w:r>
              <w:rPr>
                <w:sz w:val="4"/>
                <w:szCs w:val="4"/>
              </w:rPr>
            </w:r>
          </w:p>
        </w:tc>
      </w:tr>
      <w:tr>
        <w:trPr/>
        <w:tc>
          <w:tcPr>
            <w:tcW w:w="7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 Exhibits</w:t>
            </w:r>
          </w:p>
        </w:tc>
        <w:tc>
          <w:tcPr>
            <w:tcW w:w="94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94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3.1</w:t>
            </w:r>
          </w:p>
        </w:tc>
        <w:tc>
          <w:tcPr>
            <w:tcW w:w="9414" w:type="dxa"/>
            <w:tcBorders/>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2"/>
                  <w:u w:val="single"/>
                </w:rPr>
                <w:t>Amended and Restated Articles of Incorporation of Ashland Global Holdings Inc. (filed as Exhibit 3.1 to Ashland’s Form 8-K filed on September 20, 2016 (SEC File No. 001-32532)) and incorporated by reference herein).</w:t>
              </w:r>
            </w:hyperlink>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94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3.2</w:t>
            </w:r>
          </w:p>
        </w:tc>
        <w:tc>
          <w:tcPr>
            <w:tcW w:w="9414"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2"/>
                  <w:u w:val="single"/>
                </w:rPr>
                <w:t>Certificate of Ownership &amp; Merger, amending the Company’s Amended and Restated Certificate of Incorporation (filed as Exhibit 3.1 to Ashland’s Form 8-K filed on August 1, 2022 (SEC File No. 001-32532) and incorporated by reference herein).</w:t>
              </w:r>
            </w:hyperlink>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94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3.3</w:t>
            </w:r>
          </w:p>
        </w:tc>
        <w:tc>
          <w:tcPr>
            <w:tcW w:w="9414"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2"/>
                  <w:u w:val="single"/>
                </w:rPr>
                <w:t>By-laws of Ashland Inc. (Amended and Restated as of September 20, 2022) (filed as Exhibit 3.1 to Ashland’s Form 8-K filed on September 20, 2022 (SEC File No. 333-211719) and incorporated by reference herein).</w:t>
              </w:r>
            </w:hyperlink>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94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31.1*</w:t>
            </w:r>
          </w:p>
        </w:tc>
        <w:tc>
          <w:tcPr>
            <w:tcW w:w="9414" w:type="dxa"/>
            <w:tcBorders/>
            <w:tcMar>
              <w:top w:w="0" w:type="dxa"/>
              <w:left w:w="0" w:type="dxa"/>
              <w:bottom w:w="0" w:type="dxa"/>
              <w:right w:w="0" w:type="dxa"/>
            </w:tcMar>
            <w:vAlign w:val="center"/>
          </w:tcPr>
          <w:p>
            <w:pPr>
              <w:pStyle w:val="TableContents"/>
              <w:bidi w:val="0"/>
              <w:spacing w:before="0" w:after="283"/>
              <w:jc w:val="both"/>
              <w:rPr/>
            </w:pPr>
            <w:hyperlink w:anchor="ash-ex31_1.htm">
              <w:r>
                <w:rPr>
                  <w:rStyle w:val="InternetLink"/>
                  <w:rFonts w:ascii="Times New Roman" w:hAnsi="Times New Roman"/>
                  <w:color w:val="0000FF"/>
                  <w:sz w:val="22"/>
                  <w:u w:val="single"/>
                </w:rPr>
                <w:t>Certificate of Guillermo Novo, Chief Executive Officer of Ashland pursuant to Section 302 of the Sarbanes-Oxley Act of 2002.</w:t>
              </w:r>
            </w:hyperlink>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94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31.2*</w:t>
            </w:r>
          </w:p>
        </w:tc>
        <w:tc>
          <w:tcPr>
            <w:tcW w:w="9414" w:type="dxa"/>
            <w:tcBorders/>
            <w:tcMar>
              <w:top w:w="0" w:type="dxa"/>
              <w:left w:w="0" w:type="dxa"/>
              <w:bottom w:w="0" w:type="dxa"/>
              <w:right w:w="0" w:type="dxa"/>
            </w:tcMar>
            <w:vAlign w:val="center"/>
          </w:tcPr>
          <w:p>
            <w:pPr>
              <w:pStyle w:val="TableContents"/>
              <w:bidi w:val="0"/>
              <w:spacing w:before="0" w:after="283"/>
              <w:jc w:val="both"/>
              <w:rPr/>
            </w:pPr>
            <w:hyperlink w:anchor="ash-ex31_2.htm">
              <w:r>
                <w:rPr>
                  <w:rStyle w:val="InternetLink"/>
                  <w:rFonts w:ascii="Times New Roman" w:hAnsi="Times New Roman"/>
                  <w:color w:val="0000FF"/>
                  <w:sz w:val="22"/>
                  <w:u w:val="single"/>
                </w:rPr>
                <w:t>Certificate of William C. Whitaker, Chief Financial Officer of Ashland pursuant to Section 302 of the Sarbanes-Oxley Act of 2002.</w:t>
              </w:r>
            </w:hyperlink>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94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32*</w:t>
            </w:r>
          </w:p>
        </w:tc>
        <w:tc>
          <w:tcPr>
            <w:tcW w:w="9414" w:type="dxa"/>
            <w:tcBorders/>
            <w:tcMar>
              <w:top w:w="0" w:type="dxa"/>
              <w:left w:w="0" w:type="dxa"/>
              <w:bottom w:w="0" w:type="dxa"/>
              <w:right w:w="0" w:type="dxa"/>
            </w:tcMar>
            <w:vAlign w:val="center"/>
          </w:tcPr>
          <w:p>
            <w:pPr>
              <w:pStyle w:val="TableContents"/>
              <w:bidi w:val="0"/>
              <w:spacing w:before="0" w:after="283"/>
              <w:jc w:val="both"/>
              <w:rPr/>
            </w:pPr>
            <w:hyperlink w:anchor="ash-ex32.htm">
              <w:r>
                <w:rPr>
                  <w:rStyle w:val="InternetLink"/>
                  <w:rFonts w:ascii="Times New Roman" w:hAnsi="Times New Roman"/>
                  <w:color w:val="0000FF"/>
                  <w:sz w:val="22"/>
                  <w:u w:val="single"/>
                </w:rPr>
                <w:t>Certificate of Guillermo Novo, Chief Executive Officer of Ashland, and William C. Whitaker, Chief Financial Officer of Ashland pursuant to Section 906 of the Sarbanes-Oxley Act of 2002.</w:t>
              </w:r>
            </w:hyperlink>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94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101.INS**</w:t>
            </w:r>
          </w:p>
        </w:tc>
        <w:tc>
          <w:tcPr>
            <w:tcW w:w="94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Inline XBRL Instance Document.</w:t>
            </w:r>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94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101.SCH**</w:t>
            </w:r>
          </w:p>
        </w:tc>
        <w:tc>
          <w:tcPr>
            <w:tcW w:w="94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Inline XBRL Taxonomy Extension Schema With Embedded Linkbases Document.</w:t>
            </w:r>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94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104</w:t>
            </w:r>
          </w:p>
        </w:tc>
        <w:tc>
          <w:tcPr>
            <w:tcW w:w="94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Cover Page Interactive Data File (formatted as inline XBRL and contained in Exhibit 101).</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616"/>
        <w:gridCol w:w="9428"/>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42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color w:val="000000"/>
                <w:sz w:val="16"/>
              </w:rPr>
            </w:pPr>
            <w:r>
              <w:rPr>
                <w:rFonts w:ascii="Times New Roman" w:hAnsi="Times New Roman"/>
                <w:color w:val="000000"/>
                <w:sz w:val="16"/>
              </w:rPr>
              <w:t>*</w:t>
            </w:r>
          </w:p>
        </w:tc>
        <w:tc>
          <w:tcPr>
            <w:tcW w:w="9428" w:type="dxa"/>
            <w:tcBorders/>
            <w:tcMar>
              <w:top w:w="0" w:type="dxa"/>
              <w:left w:w="0" w:type="dxa"/>
              <w:bottom w:w="0" w:type="dxa"/>
              <w:right w:w="0" w:type="dxa"/>
            </w:tcMar>
            <w:vAlign w:val="center"/>
          </w:tcPr>
          <w:p>
            <w:pPr>
              <w:pStyle w:val="TableContents"/>
              <w:bidi w:val="0"/>
              <w:spacing w:before="40" w:after="283"/>
              <w:ind w:left="0" w:right="0" w:firstLine="360"/>
              <w:jc w:val="both"/>
              <w:rPr>
                <w:rFonts w:ascii="Times New Roman" w:hAnsi="Times New Roman"/>
                <w:color w:val="000000"/>
                <w:sz w:val="16"/>
              </w:rPr>
            </w:pPr>
            <w:r>
              <w:rPr>
                <w:rFonts w:ascii="Times New Roman" w:hAnsi="Times New Roman"/>
                <w:color w:val="000000"/>
                <w:sz w:val="16"/>
              </w:rPr>
              <w:t>Filed herewith.</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61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16"/>
              </w:rPr>
            </w:pPr>
            <w:r>
              <w:rPr>
                <w:rFonts w:ascii="Times New Roman" w:hAnsi="Times New Roman"/>
                <w:color w:val="000000"/>
                <w:sz w:val="16"/>
              </w:rPr>
              <w:t>**</w:t>
            </w:r>
          </w:p>
        </w:tc>
        <w:tc>
          <w:tcPr>
            <w:tcW w:w="942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16"/>
              </w:rPr>
            </w:pPr>
            <w:r>
              <w:rPr>
                <w:rFonts w:ascii="Times New Roman" w:hAnsi="Times New Roman"/>
                <w:color w:val="000000"/>
                <w:sz w:val="16"/>
              </w:rPr>
              <w:t>Attached as Exhibit 101 to this report are the following documents formatted in XBRL (Extensible Business Reporting Language): (i) Statements of Condensed Consolidated Comprehensive Income (Loss) for the three and nine months ended June 30, 2025 and June 30, 2024; (ii) Condensed Consolidated Balance Sheets at June 30, 2025 and September 30, 2024; (iii) Statements of Condensed Consolidated Cash Flows for the nine months ended June 30, 2025 and June 30, 2024; and (iv) Notes to Condensed Consolidated Financial Statements.</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616" w:type="dxa"/>
            <w:tcBorders/>
            <w:tcMar>
              <w:top w:w="0" w:type="dxa"/>
              <w:left w:w="0" w:type="dxa"/>
              <w:bottom w:w="0" w:type="dxa"/>
              <w:right w:w="0" w:type="dxa"/>
            </w:tcMar>
            <w:vAlign w:val="center"/>
          </w:tcPr>
          <w:p>
            <w:pPr>
              <w:pStyle w:val="TableContents"/>
              <w:bidi w:val="0"/>
              <w:spacing w:before="40" w:after="283"/>
              <w:ind w:left="0" w:right="0" w:firstLine="360"/>
              <w:jc w:val="both"/>
              <w:rPr>
                <w:rFonts w:ascii="Times New Roman" w:hAnsi="Times New Roman"/>
                <w:color w:val="000000"/>
                <w:sz w:val="11"/>
              </w:rPr>
            </w:pPr>
            <w:r>
              <w:rPr>
                <w:rFonts w:ascii="Times New Roman" w:hAnsi="Times New Roman"/>
                <w:color w:val="000000"/>
                <w:sz w:val="11"/>
              </w:rPr>
              <w:t>SM</w:t>
            </w:r>
          </w:p>
        </w:tc>
        <w:tc>
          <w:tcPr>
            <w:tcW w:w="9428" w:type="dxa"/>
            <w:tcBorders/>
            <w:tcMar>
              <w:top w:w="0" w:type="dxa"/>
              <w:left w:w="0" w:type="dxa"/>
              <w:bottom w:w="0" w:type="dxa"/>
              <w:right w:w="0" w:type="dxa"/>
            </w:tcMar>
            <w:vAlign w:val="center"/>
          </w:tcPr>
          <w:p>
            <w:pPr>
              <w:pStyle w:val="TableContents"/>
              <w:bidi w:val="0"/>
              <w:spacing w:before="40" w:after="283"/>
              <w:ind w:left="0" w:right="0" w:firstLine="360"/>
              <w:jc w:val="both"/>
              <w:rPr>
                <w:rFonts w:ascii="Times New Roman" w:hAnsi="Times New Roman"/>
                <w:color w:val="000000"/>
                <w:sz w:val="16"/>
              </w:rPr>
            </w:pPr>
            <w:r>
              <w:rPr>
                <w:rFonts w:ascii="Times New Roman" w:hAnsi="Times New Roman"/>
                <w:color w:val="000000"/>
                <w:sz w:val="16"/>
              </w:rPr>
              <w:t>Service mark, Ashland or its subsidiaries, registered in various countries.</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616" w:type="dxa"/>
            <w:tcBorders/>
            <w:tcMar>
              <w:top w:w="0" w:type="dxa"/>
              <w:left w:w="0" w:type="dxa"/>
              <w:bottom w:w="0" w:type="dxa"/>
              <w:right w:w="0" w:type="dxa"/>
            </w:tcMar>
            <w:vAlign w:val="center"/>
          </w:tcPr>
          <w:p>
            <w:pPr>
              <w:pStyle w:val="TableContents"/>
              <w:bidi w:val="0"/>
              <w:spacing w:before="40" w:after="283"/>
              <w:ind w:left="0" w:right="0" w:firstLine="360"/>
              <w:jc w:val="both"/>
              <w:rPr>
                <w:rFonts w:ascii="Times New Roman" w:hAnsi="Times New Roman"/>
                <w:color w:val="000000"/>
                <w:sz w:val="16"/>
              </w:rPr>
            </w:pPr>
            <w:r>
              <w:rPr>
                <w:rFonts w:ascii="Times New Roman" w:hAnsi="Times New Roman"/>
                <w:color w:val="000000"/>
                <w:sz w:val="16"/>
              </w:rPr>
              <w:t></w:t>
            </w:r>
          </w:p>
        </w:tc>
        <w:tc>
          <w:tcPr>
            <w:tcW w:w="9428" w:type="dxa"/>
            <w:tcBorders/>
            <w:tcMar>
              <w:top w:w="0" w:type="dxa"/>
              <w:left w:w="0" w:type="dxa"/>
              <w:bottom w:w="0" w:type="dxa"/>
              <w:right w:w="0" w:type="dxa"/>
            </w:tcMar>
            <w:vAlign w:val="center"/>
          </w:tcPr>
          <w:p>
            <w:pPr>
              <w:pStyle w:val="TableContents"/>
              <w:bidi w:val="0"/>
              <w:spacing w:before="40" w:after="283"/>
              <w:ind w:left="0" w:right="0" w:firstLine="360"/>
              <w:jc w:val="both"/>
              <w:rPr>
                <w:rFonts w:ascii="Times New Roman" w:hAnsi="Times New Roman"/>
                <w:color w:val="000000"/>
                <w:sz w:val="16"/>
              </w:rPr>
            </w:pPr>
            <w:r>
              <w:rPr>
                <w:rFonts w:ascii="Times New Roman" w:hAnsi="Times New Roman"/>
                <w:color w:val="000000"/>
                <w:sz w:val="16"/>
              </w:rPr>
              <w:t>Trademark, Ashland or its subsidiaries, registered in various countries.</w:t>
            </w:r>
          </w:p>
        </w:tc>
      </w:tr>
    </w:tbl>
    <w:p>
      <w:pPr>
        <w:pStyle w:val="TextBody"/>
        <w:bidi w:val="0"/>
        <w:spacing w:before="40" w:after="283"/>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SIGNATURE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198"/>
        <w:gridCol w:w="146"/>
        <w:gridCol w:w="8861"/>
      </w:tblGrid>
      <w:tr>
        <w:trPr/>
        <w:tc>
          <w:tcPr>
            <w:tcW w:w="11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1" w:type="dxa"/>
            <w:tcBorders/>
            <w:vAlign w:val="center"/>
          </w:tcPr>
          <w:p>
            <w:pPr>
              <w:pStyle w:val="TableContents"/>
              <w:bidi w:val="0"/>
              <w:spacing w:before="0" w:after="283"/>
              <w:jc w:val="left"/>
              <w:rPr>
                <w:sz w:val="4"/>
                <w:szCs w:val="4"/>
              </w:rPr>
            </w:pPr>
            <w:r>
              <w:rPr>
                <w:sz w:val="4"/>
                <w:szCs w:val="4"/>
              </w:rPr>
            </w:r>
          </w:p>
        </w:tc>
      </w:tr>
      <w:tr>
        <w:trPr/>
        <w:tc>
          <w:tcPr>
            <w:tcW w:w="11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Ashland Inc.</w:t>
            </w:r>
          </w:p>
        </w:tc>
      </w:tr>
      <w:tr>
        <w:trPr/>
        <w:tc>
          <w:tcPr>
            <w:tcW w:w="11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w:t>
            </w:r>
          </w:p>
        </w:tc>
      </w:tr>
      <w:tr>
        <w:trPr/>
        <w:tc>
          <w:tcPr>
            <w:tcW w:w="1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C. Whitaker</w:t>
            </w:r>
          </w:p>
        </w:tc>
      </w:tr>
      <w:tr>
        <w:trPr/>
        <w:tc>
          <w:tcPr>
            <w:tcW w:w="11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C. Whitaker</w:t>
            </w:r>
          </w:p>
        </w:tc>
      </w:tr>
      <w:tr>
        <w:trPr/>
        <w:tc>
          <w:tcPr>
            <w:tcW w:w="11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8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Senior Vice President and Chief Financial Officer (on behalf of the Registrant and as Principal Financial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bookmarkStart w:id="2" w:name="ash-ex31_1.htm"/>
      <w:bookmarkStart w:id="3" w:name="ksashex31_1"/>
      <w:bookmarkEnd w:id="2"/>
      <w:bookmarkEnd w:id="3"/>
      <w:r>
        <w:rPr/>
        <w:t> </w:t>
      </w:r>
      <w:r>
        <w:br w:type="page"/>
      </w:r>
    </w:p>
    <w:p>
      <w:pPr>
        <w:pStyle w:val="TextBody"/>
        <w:bidi w:val="0"/>
        <w:jc w:val="right"/>
        <w:rPr>
          <w:rFonts w:ascii="Times New Roman" w:hAnsi="Times New Roman"/>
          <w:color w:val="000000"/>
          <w:sz w:val="22"/>
        </w:rPr>
      </w:pPr>
      <w:r>
        <w:rPr>
          <w:rFonts w:ascii="Times New Roman" w:hAnsi="Times New Roman"/>
          <w:color w:val="000000"/>
          <w:sz w:val="22"/>
        </w:rPr>
        <w:t>EXHIBIT 31.1</w:t>
      </w:r>
    </w:p>
    <w:p>
      <w:pPr>
        <w:pStyle w:val="TextBody"/>
        <w:bidi w:val="0"/>
        <w:spacing w:before="240" w:after="283"/>
        <w:jc w:val="center"/>
        <w:rPr>
          <w:rFonts w:ascii="Times New Roman" w:hAnsi="Times New Roman"/>
          <w:b/>
          <w:color w:val="000000"/>
          <w:sz w:val="22"/>
          <w:u w:val="single"/>
        </w:rPr>
      </w:pPr>
      <w:r>
        <w:rPr>
          <w:rFonts w:ascii="Times New Roman" w:hAnsi="Times New Roman"/>
          <w:b/>
          <w:color w:val="000000"/>
          <w:sz w:val="22"/>
          <w:u w:val="single"/>
        </w:rPr>
        <w:t>CERTIFICATION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 Guillermo Novo, certify that: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 have reviewed this quarterly report on Form 10-Q of Ashland Inc.;</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Date: July 30, 2025</w:t>
      </w:r>
    </w:p>
    <w:tbl>
      <w:tblPr>
        <w:tblW w:w="3507" w:type="dxa"/>
        <w:jc w:val="left"/>
        <w:tblInd w:w="0" w:type="dxa"/>
        <w:tblLayout w:type="fixed"/>
        <w:tblCellMar>
          <w:top w:w="28" w:type="dxa"/>
          <w:left w:w="28" w:type="dxa"/>
          <w:bottom w:w="28" w:type="dxa"/>
          <w:right w:w="28" w:type="dxa"/>
        </w:tblCellMar>
      </w:tblPr>
      <w:tblGrid>
        <w:gridCol w:w="161"/>
        <w:gridCol w:w="3346"/>
      </w:tblGrid>
      <w:tr>
        <w:trPr/>
        <w:tc>
          <w:tcPr>
            <w:tcW w:w="161"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Guillermo Novo</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Guillermo Novo</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Chair and 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 w:name="ash-ex31_2.htm"/>
      <w:bookmarkStart w:id="5" w:name="ksashex31_2"/>
      <w:bookmarkEnd w:id="4"/>
      <w:bookmarkEnd w:id="5"/>
      <w:r>
        <w:rPr/>
        <w:t> </w:t>
      </w:r>
      <w:r>
        <w:br w:type="page"/>
      </w:r>
    </w:p>
    <w:p>
      <w:pPr>
        <w:pStyle w:val="TextBody"/>
        <w:bidi w:val="0"/>
        <w:jc w:val="right"/>
        <w:rPr>
          <w:rFonts w:ascii="Times New Roman" w:hAnsi="Times New Roman"/>
          <w:color w:val="000000"/>
          <w:sz w:val="22"/>
        </w:rPr>
      </w:pPr>
      <w:r>
        <w:rPr>
          <w:rFonts w:ascii="Times New Roman" w:hAnsi="Times New Roman"/>
          <w:color w:val="000000"/>
          <w:sz w:val="22"/>
        </w:rPr>
        <w:t>EXHIBIT 31.2</w:t>
      </w:r>
    </w:p>
    <w:p>
      <w:pPr>
        <w:pStyle w:val="TextBody"/>
        <w:bidi w:val="0"/>
        <w:spacing w:before="240" w:after="283"/>
        <w:jc w:val="center"/>
        <w:rPr>
          <w:rFonts w:ascii="Times New Roman" w:hAnsi="Times New Roman"/>
          <w:b/>
          <w:color w:val="000000"/>
          <w:sz w:val="22"/>
          <w:u w:val="single"/>
        </w:rPr>
      </w:pPr>
      <w:r>
        <w:rPr>
          <w:rFonts w:ascii="Times New Roman" w:hAnsi="Times New Roman"/>
          <w:b/>
          <w:color w:val="000000"/>
          <w:sz w:val="22"/>
          <w:u w:val="single"/>
        </w:rPr>
        <w:t>CERTIFICATIONS</w:t>
      </w:r>
    </w:p>
    <w:p>
      <w:pPr>
        <w:pStyle w:val="TextBody"/>
        <w:bidi w:val="0"/>
        <w:jc w:val="center"/>
        <w:rPr/>
      </w:pPr>
      <w:r>
        <w:rPr/>
        <w:t> </w:t>
      </w:r>
    </w:p>
    <w:p>
      <w:pPr>
        <w:pStyle w:val="TextBody"/>
        <w:bidi w:val="0"/>
        <w:jc w:val="both"/>
        <w:rPr>
          <w:rFonts w:ascii="Times New Roman" w:hAnsi="Times New Roman"/>
          <w:color w:val="000000"/>
          <w:sz w:val="22"/>
        </w:rPr>
      </w:pPr>
      <w:r>
        <w:rPr>
          <w:rFonts w:ascii="Times New Roman" w:hAnsi="Times New Roman"/>
          <w:color w:val="000000"/>
          <w:sz w:val="22"/>
        </w:rPr>
        <w:t>I, William C. Whitaker, certify that: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 have reviewed this quarterly report on Form 10-Q of Ashland Inc.;</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Date: July 30, 2025</w:t>
      </w:r>
    </w:p>
    <w:tbl>
      <w:tblPr>
        <w:tblW w:w="2502" w:type="dxa"/>
        <w:jc w:val="left"/>
        <w:tblInd w:w="0" w:type="dxa"/>
        <w:tblLayout w:type="fixed"/>
        <w:tblCellMar>
          <w:top w:w="28" w:type="dxa"/>
          <w:left w:w="28" w:type="dxa"/>
          <w:bottom w:w="28" w:type="dxa"/>
          <w:right w:w="28" w:type="dxa"/>
        </w:tblCellMar>
      </w:tblPr>
      <w:tblGrid>
        <w:gridCol w:w="161"/>
        <w:gridCol w:w="2341"/>
      </w:tblGrid>
      <w:tr>
        <w:trPr/>
        <w:tc>
          <w:tcPr>
            <w:tcW w:w="16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William C. Whitaker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William C. Whitaker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 w:name="ash-ex32.htm"/>
      <w:bookmarkStart w:id="7" w:name="ksashex32"/>
      <w:bookmarkEnd w:id="6"/>
      <w:bookmarkEnd w:id="7"/>
      <w:r>
        <w:rPr/>
        <w:t> </w:t>
      </w:r>
      <w:r>
        <w:br w:type="page"/>
      </w:r>
    </w:p>
    <w:p>
      <w:pPr>
        <w:pStyle w:val="TextBody"/>
        <w:bidi w:val="0"/>
        <w:jc w:val="right"/>
        <w:rPr>
          <w:rFonts w:ascii="Times New Roman" w:hAnsi="Times New Roman"/>
          <w:color w:val="000000"/>
          <w:sz w:val="22"/>
        </w:rPr>
      </w:pPr>
      <w:r>
        <w:rPr>
          <w:rFonts w:ascii="Times New Roman" w:hAnsi="Times New Roman"/>
          <w:color w:val="000000"/>
          <w:sz w:val="22"/>
        </w:rPr>
        <w:t>EXHIBIT 32</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ASHLAND INC.</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CERTIFICATION PURSUANT TO</w:t>
      </w:r>
    </w:p>
    <w:p>
      <w:pPr>
        <w:pStyle w:val="TextBody"/>
        <w:bidi w:val="0"/>
        <w:jc w:val="center"/>
        <w:rPr>
          <w:rFonts w:ascii="Times New Roman" w:hAnsi="Times New Roman"/>
          <w:color w:val="000000"/>
          <w:sz w:val="22"/>
        </w:rPr>
      </w:pPr>
      <w:r>
        <w:rPr>
          <w:rFonts w:ascii="Times New Roman" w:hAnsi="Times New Roman"/>
          <w:color w:val="000000"/>
          <w:sz w:val="22"/>
        </w:rPr>
        <w:t>18 U.S.C. SECTION 1350,</w:t>
      </w:r>
    </w:p>
    <w:p>
      <w:pPr>
        <w:pStyle w:val="TextBody"/>
        <w:bidi w:val="0"/>
        <w:jc w:val="center"/>
        <w:rPr>
          <w:rFonts w:ascii="Times New Roman" w:hAnsi="Times New Roman"/>
          <w:color w:val="000000"/>
          <w:sz w:val="22"/>
        </w:rPr>
      </w:pPr>
      <w:r>
        <w:rPr>
          <w:rFonts w:ascii="Times New Roman" w:hAnsi="Times New Roman"/>
          <w:color w:val="000000"/>
          <w:sz w:val="22"/>
        </w:rPr>
        <w:t>AS ADOPTED PURSUANT TO</w:t>
      </w:r>
    </w:p>
    <w:p>
      <w:pPr>
        <w:pStyle w:val="TextBody"/>
        <w:bidi w:val="0"/>
        <w:jc w:val="center"/>
        <w:rPr>
          <w:rFonts w:ascii="Times New Roman" w:hAnsi="Times New Roman"/>
          <w:color w:val="000000"/>
          <w:sz w:val="22"/>
        </w:rPr>
      </w:pPr>
      <w:r>
        <w:rPr>
          <w:rFonts w:ascii="Times New Roman" w:hAnsi="Times New Roman"/>
          <w:color w:val="000000"/>
          <w:sz w:val="22"/>
        </w:rPr>
        <w:t>SECTION 906 OF THE SARBANES-OXLEY ACT OF 2002</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connection with the Quarterly Report of Ashland Inc. (the “Company”) on Form 10-Q for the period ended June 30, 2025, as filed with the Securities and Exchange Commission on the date hereof (the “Report”), each of the undersigned, Guillermo Novo, Chief Executive Officer of the Company, and William C. Whitaker, Interim Chief Financial Officer of the Company, certify, pursuant to 18 U.S.C. Section 1350, as adopted pursuant to Section 906 of the Sarbanes-Oxley Act of 2002, that: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Report fully complies with the requirements of Section 13(a) or 15(d) of the Securities Exchange Act of 1934; and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The information contained in the Report fairly presents, in all material respects, the financial condition and results of operations of the Company.</w:t>
      </w:r>
    </w:p>
    <w:p>
      <w:pPr>
        <w:pStyle w:val="TextBody"/>
        <w:bidi w:val="0"/>
        <w:jc w:val="center"/>
        <w:rPr/>
      </w:pPr>
      <w:r>
        <w:rPr/>
        <w:t> </w:t>
      </w:r>
    </w:p>
    <w:tbl>
      <w:tblPr>
        <w:tblW w:w="2532" w:type="dxa"/>
        <w:jc w:val="left"/>
        <w:tblInd w:w="0" w:type="dxa"/>
        <w:tblLayout w:type="fixed"/>
        <w:tblCellMar>
          <w:top w:w="28" w:type="dxa"/>
          <w:left w:w="28" w:type="dxa"/>
          <w:bottom w:w="28" w:type="dxa"/>
          <w:right w:w="28" w:type="dxa"/>
        </w:tblCellMar>
      </w:tblPr>
      <w:tblGrid>
        <w:gridCol w:w="2341"/>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Guillermo Novo</w:t>
            </w:r>
          </w:p>
        </w:tc>
        <w:tc>
          <w:tcPr>
            <w:tcW w:w="191"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Guillermo Novo</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July 30, 2025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William C. Whitaker</w:t>
            </w:r>
          </w:p>
        </w:tc>
        <w:tc>
          <w:tcPr>
            <w:tcW w:w="191"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William C. Whitaker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July 30, 2025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74862/000119312516714093/d246354dex31.htm" TargetMode="External"/><Relationship Id="rId3" Type="http://schemas.openxmlformats.org/officeDocument/2006/relationships/hyperlink" Target="https://www.sec.gov/Archives/edgar/data/1674862/000095017022013666/ash-ex3_1.htm" TargetMode="External"/><Relationship Id="rId4" Type="http://schemas.openxmlformats.org/officeDocument/2006/relationships/hyperlink" Target="https://www.sec.gov/Archives/edgar/data/1674862/000095017022018687/ash-ex3_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32785</Words>
  <Characters>177542</Characters>
  <CharactersWithSpaces>213610</CharactersWithSpaces>
  <Paragraphs>14742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