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sh-20260630.htm"/>
      <w:bookmarkStart w:id="1" w:name="ksash20260630"/>
      <w:bookmarkEnd w:id="0"/>
      <w:bookmarkEnd w:id="1"/>
      <w:r>
        <w:rPr/>
        <w:t> </w:t>
      </w:r>
    </w:p>
    <w:p>
      <w:pPr>
        <w:pStyle w:val="TextBody"/>
        <w:pBdr>
          <w:bottom w:val="double" w:sz="6" w:space="1" w:color="000000"/>
        </w:pBdr>
        <w:bidi w:val="0"/>
        <w:jc w:val="left"/>
        <w:rPr/>
      </w:pPr>
      <w:r>
        <w:rPr/>
        <w:t> </w:t>
      </w:r>
    </w:p>
    <w:p>
      <w:pPr>
        <w:pStyle w:val="TextBody"/>
        <w:bidi w:val="0"/>
        <w:spacing w:before="40" w:after="283"/>
        <w:jc w:val="center"/>
        <w:rPr>
          <w:rFonts w:ascii="Ashland;sans-serif" w:hAnsi="Ashland;sans-serif"/>
          <w:b/>
          <w:color w:val="000000"/>
          <w:sz w:val="36"/>
        </w:rPr>
      </w:pPr>
      <w:r>
        <w:rPr>
          <w:rFonts w:ascii="Ashland;sans-serif" w:hAnsi="Ashland;sans-serif"/>
          <w:b/>
          <w:color w:val="000000"/>
          <w:sz w:val="36"/>
        </w:rPr>
        <w:t>UNITED STATES</w:t>
      </w:r>
    </w:p>
    <w:p>
      <w:pPr>
        <w:pStyle w:val="TextBody"/>
        <w:bidi w:val="0"/>
        <w:jc w:val="center"/>
        <w:rPr>
          <w:rFonts w:ascii="Ashland;sans-serif" w:hAnsi="Ashland;sans-serif"/>
          <w:b/>
          <w:color w:val="000000"/>
          <w:sz w:val="36"/>
        </w:rPr>
      </w:pPr>
      <w:r>
        <w:rPr>
          <w:rFonts w:ascii="Ashland;sans-serif" w:hAnsi="Ashland;sans-serif"/>
          <w:b/>
          <w:color w:val="000000"/>
          <w:sz w:val="36"/>
        </w:rPr>
        <w:t>SECURITIES AND EXCHANGE COMMISSION</w:t>
      </w:r>
    </w:p>
    <w:p>
      <w:pPr>
        <w:pStyle w:val="TextBody"/>
        <w:bidi w:val="0"/>
        <w:jc w:val="center"/>
        <w:rPr>
          <w:rFonts w:ascii="Ashland;sans-serif" w:hAnsi="Ashland;sans-serif"/>
          <w:b/>
          <w:color w:val="000000"/>
          <w:sz w:val="24"/>
        </w:rPr>
      </w:pPr>
      <w:r>
        <w:rPr>
          <w:rFonts w:ascii="Ashland;sans-serif" w:hAnsi="Ashland;sans-serif"/>
          <w:b/>
          <w:color w:val="000000"/>
          <w:sz w:val="24"/>
        </w:rPr>
        <w:t>WASHINGTON, D.C. 20549</w:t>
      </w:r>
    </w:p>
    <w:p>
      <w:pPr>
        <w:pStyle w:val="TextBody"/>
        <w:pBdr>
          <w:bottom w:val="single" w:sz="4" w:space="1" w:color="000000"/>
        </w:pBdr>
        <w:bidi w:val="0"/>
        <w:jc w:val="center"/>
        <w:rPr/>
      </w:pPr>
      <w:r>
        <w:rPr/>
        <w:t> </w:t>
      </w:r>
    </w:p>
    <w:p>
      <w:pPr>
        <w:pStyle w:val="TextBody"/>
        <w:bidi w:val="0"/>
        <w:spacing w:before="40" w:after="283"/>
        <w:jc w:val="center"/>
        <w:rPr>
          <w:rFonts w:ascii="Ashland;sans-serif" w:hAnsi="Ashland;sans-serif"/>
          <w:b/>
          <w:color w:val="000000"/>
          <w:sz w:val="36"/>
        </w:rPr>
      </w:pPr>
      <w:r>
        <w:rPr>
          <w:rFonts w:ascii="Ashland;sans-serif" w:hAnsi="Ashland;sans-serif"/>
          <w:b/>
          <w:color w:val="000000"/>
          <w:sz w:val="36"/>
        </w:rPr>
        <w:t>FORM 10-Q</w:t>
      </w:r>
    </w:p>
    <w:p>
      <w:pPr>
        <w:pStyle w:val="TextBody"/>
        <w:pBdr>
          <w:bottom w:val="single" w:sz="4" w:space="1" w:color="000000"/>
        </w:pBdr>
        <w:bidi w:val="0"/>
        <w:jc w:val="center"/>
        <w:rPr/>
      </w:pPr>
      <w:r>
        <w:rPr/>
        <w:t> </w:t>
      </w:r>
    </w:p>
    <w:p>
      <w:pPr>
        <w:pStyle w:val="TextBody"/>
        <w:bidi w:val="0"/>
        <w:spacing w:before="40" w:after="283"/>
        <w:jc w:val="left"/>
        <w:rPr>
          <w:rFonts w:ascii="Ashland;sans-serif" w:hAnsi="Ashland;sans-serif"/>
          <w:color w:val="000000"/>
          <w:sz w:val="20"/>
        </w:rPr>
      </w:pPr>
      <w:r>
        <w:rPr>
          <w:rFonts w:ascii="Ashland;sans-serif" w:hAnsi="Ashland;sans-serif"/>
          <w:color w:val="000000"/>
          <w:sz w:val="20"/>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left"/>
              <w:rPr>
                <w:rFonts w:ascii="Ashland;sans-serif" w:hAnsi="Ashland;sans-serif"/>
                <w:b/>
                <w:color w:val="000000"/>
                <w:sz w:val="24"/>
              </w:rPr>
            </w:pPr>
            <w:r>
              <w:rPr>
                <w:rFonts w:ascii="Ashland;sans-serif" w:hAnsi="Ashland;sans-serif"/>
                <w:b/>
                <w:color w:val="000000"/>
                <w:sz w:val="24"/>
              </w:rPr>
              <w:t>QUARTERLY REPORT PURSUANT TO SECTION 13 OR 15(d) OF THE SECURITIES EXCHANGE ACT OF 1934</w:t>
            </w:r>
          </w:p>
        </w:tc>
      </w:tr>
    </w:tbl>
    <w:p>
      <w:pPr>
        <w:pStyle w:val="TextBody"/>
        <w:bidi w:val="0"/>
        <w:spacing w:before="40" w:after="283"/>
        <w:jc w:val="center"/>
        <w:rPr>
          <w:rFonts w:ascii="Ashland;sans-serif" w:hAnsi="Ashland;sans-serif"/>
          <w:b/>
          <w:color w:val="000000"/>
          <w:sz w:val="20"/>
        </w:rPr>
      </w:pPr>
      <w:r>
        <w:rPr>
          <w:rFonts w:ascii="Ashland;sans-serif" w:hAnsi="Ashland;sans-serif"/>
          <w:b/>
          <w:color w:val="000000"/>
          <w:sz w:val="20"/>
        </w:rPr>
        <w:t>For the quarterly period ended June 30, 2026</w:t>
      </w:r>
    </w:p>
    <w:p>
      <w:pPr>
        <w:pStyle w:val="TextBody"/>
        <w:bidi w:val="0"/>
        <w:spacing w:before="40" w:after="283"/>
        <w:jc w:val="center"/>
        <w:rPr>
          <w:rFonts w:ascii="Ashland;sans-serif" w:hAnsi="Ashland;sans-serif"/>
          <w:b/>
          <w:color w:val="000000"/>
          <w:sz w:val="20"/>
        </w:rPr>
      </w:pPr>
      <w:r>
        <w:rPr>
          <w:rFonts w:ascii="Ashland;sans-serif" w:hAnsi="Ashland;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left"/>
              <w:rPr>
                <w:rFonts w:ascii="Ashland;sans-serif" w:hAnsi="Ashland;sans-serif"/>
                <w:b/>
                <w:color w:val="000000"/>
                <w:sz w:val="24"/>
              </w:rPr>
            </w:pPr>
            <w:r>
              <w:rPr>
                <w:rFonts w:ascii="Ashland;sans-serif" w:hAnsi="Ashland;sans-serif"/>
                <w:b/>
                <w:color w:val="000000"/>
                <w:sz w:val="24"/>
              </w:rPr>
              <w:t>TRANSITION REPORT PURSUANT TO SECTION 13 OR 15(d) OF THE SECURITIES EXCHANGE ACT OF 1934</w:t>
            </w:r>
          </w:p>
        </w:tc>
      </w:tr>
    </w:tbl>
    <w:p>
      <w:pPr>
        <w:pStyle w:val="TextBody"/>
        <w:bidi w:val="0"/>
        <w:spacing w:before="40" w:after="283"/>
        <w:jc w:val="center"/>
        <w:rPr>
          <w:rFonts w:ascii="Times New Roman" w:hAnsi="Times New Roman"/>
          <w:sz w:val="20"/>
        </w:rPr>
      </w:pPr>
      <w:r>
        <w:rPr>
          <w:rFonts w:ascii="Ashland;sans-serif" w:hAnsi="Ashland;sans-serif"/>
          <w:color w:val="000000"/>
          <w:sz w:val="20"/>
        </w:rPr>
        <w:t>For the transition period from to</w:t>
      </w:r>
      <w:r>
        <w:rPr>
          <w:rFonts w:ascii="Times New Roman" w:hAnsi="Times New Roman"/>
          <w:color w:val="000000"/>
          <w:sz w:val="20"/>
        </w:rPr>
        <w:t xml:space="preserve"> </w:t>
      </w:r>
    </w:p>
    <w:p>
      <w:pPr>
        <w:pStyle w:val="TextBody"/>
        <w:bidi w:val="0"/>
        <w:spacing w:before="40" w:after="283"/>
        <w:jc w:val="center"/>
        <w:rPr>
          <w:rFonts w:ascii="Ashland;sans-serif" w:hAnsi="Ashland;sans-serif"/>
          <w:color w:val="000000"/>
          <w:sz w:val="20"/>
        </w:rPr>
      </w:pPr>
      <w:r>
        <w:rPr>
          <w:rFonts w:ascii="Ashland;sans-serif" w:hAnsi="Ashland;sans-serif"/>
          <w:color w:val="000000"/>
          <w:sz w:val="20"/>
        </w:rPr>
        <w:t>Commission file number 333-211719</w:t>
      </w:r>
    </w:p>
    <w:p>
      <w:pPr>
        <w:pStyle w:val="TextBody"/>
        <w:bidi w:val="0"/>
        <w:spacing w:before="40" w:after="283"/>
        <w:jc w:val="center"/>
        <w:rPr>
          <w:rFonts w:ascii="Ashland;sans-serif" w:hAnsi="Ashland;sans-serif"/>
          <w:b/>
          <w:color w:val="000000"/>
          <w:sz w:val="48"/>
        </w:rPr>
      </w:pPr>
      <w:r>
        <w:rPr>
          <w:rFonts w:ascii="Ashland;sans-serif" w:hAnsi="Ashland;sans-serif"/>
          <w:b/>
          <w:color w:val="000000"/>
          <w:sz w:val="48"/>
        </w:rPr>
        <w:t>ASHLAND INC.</w:t>
      </w:r>
    </w:p>
    <w:p>
      <w:pPr>
        <w:pStyle w:val="TextBody"/>
        <w:bidi w:val="0"/>
        <w:spacing w:before="40" w:after="283"/>
        <w:jc w:val="center"/>
        <w:rPr>
          <w:rFonts w:ascii="Times New Roman" w:hAnsi="Times New Roman"/>
          <w:sz w:val="20"/>
        </w:rPr>
      </w:pPr>
      <w:r>
        <w:rPr>
          <w:rFonts w:ascii="Ashland;sans-serif" w:hAnsi="Ashland;sans-serif"/>
          <w:color w:val="000000"/>
          <w:sz w:val="20"/>
        </w:rPr>
        <w:t>(a Delaware</w:t>
      </w:r>
      <w:r>
        <w:rPr>
          <w:rFonts w:ascii="Times New Roman" w:hAnsi="Times New Roman"/>
          <w:color w:val="000000"/>
          <w:sz w:val="20"/>
        </w:rPr>
        <w:t xml:space="preserve"> </w:t>
      </w:r>
      <w:r>
        <w:rPr>
          <w:rFonts w:ascii="Ashland;sans-serif" w:hAnsi="Ashland;sans-serif"/>
          <w:color w:val="000000"/>
          <w:sz w:val="20"/>
        </w:rPr>
        <w:t>corporation)</w:t>
      </w:r>
    </w:p>
    <w:p>
      <w:pPr>
        <w:pStyle w:val="TextBody"/>
        <w:bidi w:val="0"/>
        <w:spacing w:before="40" w:after="283"/>
        <w:jc w:val="center"/>
        <w:rPr>
          <w:rFonts w:ascii="Ashland;sans-serif" w:hAnsi="Ashland;sans-serif"/>
          <w:color w:val="000000"/>
          <w:sz w:val="20"/>
        </w:rPr>
      </w:pPr>
      <w:r>
        <w:rPr>
          <w:rFonts w:ascii="Ashland;sans-serif" w:hAnsi="Ashland;sans-serif"/>
          <w:color w:val="000000"/>
          <w:sz w:val="20"/>
        </w:rPr>
        <w:t>I.R.S. No. 81-2587835</w:t>
      </w:r>
    </w:p>
    <w:p>
      <w:pPr>
        <w:pStyle w:val="TextBody"/>
        <w:bidi w:val="0"/>
        <w:spacing w:before="40" w:after="283"/>
        <w:jc w:val="center"/>
        <w:rPr>
          <w:rFonts w:ascii="Ashland;sans-serif" w:hAnsi="Ashland;sans-serif"/>
          <w:color w:val="000000"/>
          <w:sz w:val="20"/>
        </w:rPr>
      </w:pPr>
      <w:r>
        <w:rPr>
          <w:rFonts w:ascii="Ashland;sans-serif" w:hAnsi="Ashland;sans-serif"/>
          <w:color w:val="000000"/>
          <w:sz w:val="20"/>
        </w:rPr>
        <w:t>8145 Blazer Drive</w:t>
      </w:r>
    </w:p>
    <w:p>
      <w:pPr>
        <w:pStyle w:val="TextBody"/>
        <w:bidi w:val="0"/>
        <w:spacing w:before="40" w:after="283"/>
        <w:jc w:val="center"/>
        <w:rPr>
          <w:rFonts w:ascii="Times New Roman" w:hAnsi="Times New Roman"/>
          <w:sz w:val="20"/>
        </w:rPr>
      </w:pPr>
      <w:r>
        <w:rPr>
          <w:rFonts w:ascii="Ashland;sans-serif" w:hAnsi="Ashland;sans-serif"/>
          <w:color w:val="000000"/>
          <w:sz w:val="20"/>
        </w:rPr>
        <w:t>Wilmington, Delaware</w:t>
      </w:r>
      <w:r>
        <w:rPr>
          <w:rFonts w:ascii="Times New Roman" w:hAnsi="Times New Roman"/>
          <w:color w:val="000000"/>
          <w:sz w:val="20"/>
        </w:rPr>
        <w:t xml:space="preserve"> </w:t>
      </w:r>
      <w:r>
        <w:rPr>
          <w:rFonts w:ascii="Ashland;sans-serif" w:hAnsi="Ashland;sans-serif"/>
          <w:color w:val="000000"/>
          <w:sz w:val="20"/>
        </w:rPr>
        <w:t>19808</w:t>
      </w:r>
    </w:p>
    <w:p>
      <w:pPr>
        <w:pStyle w:val="TextBody"/>
        <w:bidi w:val="0"/>
        <w:spacing w:before="40" w:after="283"/>
        <w:jc w:val="center"/>
        <w:rPr>
          <w:rFonts w:ascii="Ashland;sans-serif" w:hAnsi="Ashland;sans-serif"/>
          <w:color w:val="000000"/>
          <w:sz w:val="20"/>
        </w:rPr>
      </w:pPr>
      <w:r>
        <w:rPr>
          <w:rFonts w:ascii="Ashland;sans-serif" w:hAnsi="Ashland;sans-serif"/>
          <w:color w:val="000000"/>
          <w:sz w:val="20"/>
        </w:rPr>
        <w:t>Telephone Number (302) 995-3000</w:t>
      </w:r>
    </w:p>
    <w:p>
      <w:pPr>
        <w:pStyle w:val="TextBody"/>
        <w:bidi w:val="0"/>
        <w:spacing w:before="40" w:after="283"/>
        <w:jc w:val="center"/>
        <w:rPr>
          <w:rFonts w:ascii="Ashland;sans-serif" w:hAnsi="Ashland;sans-serif"/>
          <w:color w:val="000000"/>
          <w:sz w:val="18"/>
        </w:rPr>
      </w:pPr>
      <w:r>
        <w:rPr>
          <w:rFonts w:ascii="Ashland;sans-serif" w:hAnsi="Ashland;sans-serif"/>
          <w:color w:val="000000"/>
          <w:sz w:val="18"/>
        </w:rPr>
        <w:t>Securities Registered Pursuant to Section 12(b) of the Act:</w:t>
      </w:r>
    </w:p>
    <w:p>
      <w:pPr>
        <w:pStyle w:val="TextBody"/>
        <w:bidi w:val="0"/>
        <w:jc w:val="left"/>
        <w:rPr/>
      </w:pPr>
      <w:r>
        <w:rPr/>
        <w:t> </w:t>
      </w:r>
    </w:p>
    <w:tbl>
      <w:tblPr>
        <w:tblW w:w="9513" w:type="dxa"/>
        <w:jc w:val="left"/>
        <w:tblInd w:w="0" w:type="dxa"/>
        <w:tblLayout w:type="fixed"/>
        <w:tblCellMar>
          <w:top w:w="28" w:type="dxa"/>
          <w:left w:w="28" w:type="dxa"/>
          <w:bottom w:w="28" w:type="dxa"/>
          <w:right w:w="28" w:type="dxa"/>
        </w:tblCellMar>
      </w:tblPr>
      <w:tblGrid>
        <w:gridCol w:w="4216"/>
        <w:gridCol w:w="1426"/>
        <w:gridCol w:w="3871"/>
      </w:tblGrid>
      <w:tr>
        <w:trPr/>
        <w:tc>
          <w:tcPr>
            <w:tcW w:w="421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4216" w:type="dxa"/>
            <w:tcBorders/>
            <w:tcMar>
              <w:top w:w="0" w:type="dxa"/>
              <w:left w:w="0" w:type="dxa"/>
              <w:bottom w:w="0" w:type="dxa"/>
              <w:right w:w="0" w:type="dxa"/>
            </w:tcMar>
            <w:vAlign w:val="center"/>
          </w:tcPr>
          <w:p>
            <w:pPr>
              <w:pStyle w:val="TableContents"/>
              <w:bidi w:val="0"/>
              <w:spacing w:before="0" w:after="40"/>
              <w:jc w:val="center"/>
              <w:rPr>
                <w:rFonts w:ascii="Ashland;sans-serif" w:hAnsi="Ashland;sans-serif"/>
                <w:color w:val="000000"/>
                <w:sz w:val="16"/>
                <w:u w:val="single"/>
              </w:rPr>
            </w:pPr>
            <w:r>
              <w:rPr>
                <w:rFonts w:ascii="Ashland;sans-serif" w:hAnsi="Ashland;sans-serif"/>
                <w:color w:val="000000"/>
                <w:sz w:val="16"/>
                <w:u w:val="single"/>
              </w:rPr>
              <w:t>Title of each class</w:t>
            </w:r>
          </w:p>
        </w:tc>
        <w:tc>
          <w:tcPr>
            <w:tcW w:w="1426" w:type="dxa"/>
            <w:tcBorders/>
            <w:tcMar>
              <w:top w:w="0" w:type="dxa"/>
              <w:left w:w="0" w:type="dxa"/>
              <w:bottom w:w="0" w:type="dxa"/>
              <w:right w:w="0" w:type="dxa"/>
            </w:tcMar>
            <w:vAlign w:val="center"/>
          </w:tcPr>
          <w:p>
            <w:pPr>
              <w:pStyle w:val="TableContents"/>
              <w:bidi w:val="0"/>
              <w:spacing w:before="0" w:after="40"/>
              <w:jc w:val="center"/>
              <w:rPr>
                <w:rFonts w:ascii="Ashland;sans-serif" w:hAnsi="Ashland;sans-serif"/>
                <w:color w:val="000000"/>
                <w:sz w:val="16"/>
                <w:u w:val="single"/>
              </w:rPr>
            </w:pPr>
            <w:r>
              <w:rPr>
                <w:rFonts w:ascii="Ashland;sans-serif" w:hAnsi="Ashland;sans-serif"/>
                <w:color w:val="000000"/>
                <w:sz w:val="16"/>
                <w:u w:val="single"/>
              </w:rPr>
              <w:t>Trading Symbol</w:t>
            </w:r>
          </w:p>
        </w:tc>
        <w:tc>
          <w:tcPr>
            <w:tcW w:w="3871" w:type="dxa"/>
            <w:tcBorders/>
            <w:tcMar>
              <w:top w:w="0" w:type="dxa"/>
              <w:left w:w="0" w:type="dxa"/>
              <w:bottom w:w="0" w:type="dxa"/>
              <w:right w:w="0" w:type="dxa"/>
            </w:tcMar>
            <w:vAlign w:val="center"/>
          </w:tcPr>
          <w:p>
            <w:pPr>
              <w:pStyle w:val="TableContents"/>
              <w:bidi w:val="0"/>
              <w:spacing w:before="0" w:after="40"/>
              <w:jc w:val="center"/>
              <w:rPr>
                <w:rFonts w:ascii="Ashland;sans-serif" w:hAnsi="Ashland;sans-serif"/>
                <w:color w:val="000000"/>
                <w:sz w:val="16"/>
                <w:u w:val="single"/>
              </w:rPr>
            </w:pPr>
            <w:r>
              <w:rPr>
                <w:rFonts w:ascii="Ashland;sans-serif" w:hAnsi="Ashland;sans-serif"/>
                <w:color w:val="000000"/>
                <w:sz w:val="16"/>
                <w:u w:val="single"/>
              </w:rPr>
              <w:t>Name of each exchange on which registered</w:t>
            </w:r>
          </w:p>
        </w:tc>
      </w:tr>
      <w:tr>
        <w:trPr/>
        <w:tc>
          <w:tcPr>
            <w:tcW w:w="4216" w:type="dxa"/>
            <w:tcBorders/>
            <w:tcMar>
              <w:top w:w="0" w:type="dxa"/>
              <w:left w:w="0" w:type="dxa"/>
              <w:bottom w:w="0" w:type="dxa"/>
              <w:right w:w="0" w:type="dxa"/>
            </w:tcMar>
            <w:vAlign w:val="center"/>
          </w:tcPr>
          <w:p>
            <w:pPr>
              <w:pStyle w:val="TableContents"/>
              <w:bidi w:val="0"/>
              <w:spacing w:before="0" w:after="283"/>
              <w:jc w:val="center"/>
              <w:rPr>
                <w:rFonts w:ascii="Ashland;sans-serif" w:hAnsi="Ashland;sans-serif"/>
                <w:color w:val="000000"/>
                <w:sz w:val="20"/>
              </w:rPr>
            </w:pPr>
            <w:r>
              <w:rPr>
                <w:rFonts w:ascii="Ashland;sans-serif" w:hAnsi="Ashland;sans-serif"/>
                <w:color w:val="000000"/>
                <w:sz w:val="20"/>
              </w:rPr>
              <w:t>Common Stock, par value $0.01 per share</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Ashland;sans-serif" w:hAnsi="Ashland;sans-serif"/>
                <w:color w:val="000000"/>
                <w:sz w:val="20"/>
              </w:rPr>
            </w:pPr>
            <w:r>
              <w:rPr>
                <w:rFonts w:ascii="Ashland;sans-serif" w:hAnsi="Ashland;sans-serif"/>
                <w:color w:val="000000"/>
                <w:sz w:val="20"/>
              </w:rPr>
              <w:t>ASH</w:t>
            </w:r>
          </w:p>
        </w:tc>
        <w:tc>
          <w:tcPr>
            <w:tcW w:w="3871" w:type="dxa"/>
            <w:tcBorders/>
            <w:tcMar>
              <w:top w:w="0" w:type="dxa"/>
              <w:left w:w="0" w:type="dxa"/>
              <w:bottom w:w="0" w:type="dxa"/>
              <w:right w:w="0" w:type="dxa"/>
            </w:tcMar>
            <w:vAlign w:val="center"/>
          </w:tcPr>
          <w:p>
            <w:pPr>
              <w:pStyle w:val="TableContents"/>
              <w:bidi w:val="0"/>
              <w:spacing w:before="0" w:after="283"/>
              <w:jc w:val="center"/>
              <w:rPr>
                <w:rFonts w:ascii="Ashland;sans-serif" w:hAnsi="Ashland;sans-serif"/>
                <w:color w:val="000000"/>
                <w:sz w:val="20"/>
              </w:rPr>
            </w:pPr>
            <w:r>
              <w:rPr>
                <w:rFonts w:ascii="Ashland;sans-serif" w:hAnsi="Ashland;sans-serif"/>
                <w:color w:val="000000"/>
                <w:sz w:val="20"/>
              </w:rPr>
              <w:t>New York Stock Exchange</w:t>
            </w:r>
          </w:p>
        </w:tc>
      </w:tr>
    </w:tbl>
    <w:p>
      <w:pPr>
        <w:pStyle w:val="TextBody"/>
        <w:bidi w:val="0"/>
        <w:jc w:val="left"/>
        <w:rPr/>
      </w:pPr>
      <w:r>
        <w:rPr/>
        <w:t> </w:t>
      </w:r>
    </w:p>
    <w:p>
      <w:pPr>
        <w:pStyle w:val="TextBody"/>
        <w:bidi w:val="0"/>
        <w:jc w:val="center"/>
        <w:rPr>
          <w:rFonts w:ascii="Ashland;sans-serif" w:hAnsi="Ashland;sans-serif"/>
          <w:color w:val="000000"/>
          <w:sz w:val="18"/>
        </w:rPr>
      </w:pPr>
      <w:r>
        <w:rPr>
          <w:rFonts w:ascii="Ashland;sans-serif" w:hAnsi="Ashland;sans-serif"/>
          <w:color w:val="000000"/>
          <w:sz w:val="18"/>
        </w:rPr>
        <w:t>Securities Registered Pursuant to Section 12(g) of the Act: None</w:t>
      </w:r>
    </w:p>
    <w:p>
      <w:pPr>
        <w:pStyle w:val="TextBody"/>
        <w:bidi w:val="0"/>
        <w:spacing w:before="80" w:after="283"/>
        <w:jc w:val="both"/>
        <w:rPr>
          <w:rFonts w:ascii="Times New Roman" w:hAnsi="Times New Roman"/>
          <w:sz w:val="20"/>
        </w:rPr>
      </w:pPr>
      <w:r>
        <w:rPr>
          <w:rFonts w:ascii="Ashland;sans-serif" w:hAnsi="Ashland;sans-serif"/>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Ashland;sans-serif" w:hAnsi="Ashland;sans-serif"/>
          <w:color w:val="000000"/>
          <w:sz w:val="20"/>
        </w:rPr>
        <w:t>No ☐</w:t>
      </w:r>
    </w:p>
    <w:p>
      <w:pPr>
        <w:pStyle w:val="TextBody"/>
        <w:bidi w:val="0"/>
        <w:spacing w:before="80" w:after="283"/>
        <w:jc w:val="both"/>
        <w:rPr>
          <w:rFonts w:ascii="Times New Roman" w:hAnsi="Times New Roman"/>
          <w:sz w:val="20"/>
        </w:rPr>
      </w:pPr>
      <w:r>
        <w:rPr>
          <w:rFonts w:ascii="Ashland;sans-serif" w:hAnsi="Ashland;sans-serif"/>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Ashland;sans-serif" w:hAnsi="Ashland;sans-serif"/>
          <w:color w:val="000000"/>
          <w:sz w:val="20"/>
        </w:rPr>
        <w:t>No ☐</w:t>
      </w:r>
    </w:p>
    <w:p>
      <w:pPr>
        <w:pStyle w:val="TextBody"/>
        <w:bidi w:val="0"/>
        <w:spacing w:before="80" w:after="283"/>
        <w:jc w:val="both"/>
        <w:rPr>
          <w:rFonts w:ascii="Times New Roman" w:hAnsi="Times New Roman"/>
          <w:sz w:val="20"/>
        </w:rPr>
      </w:pPr>
      <w:r>
        <w:rPr>
          <w:rFonts w:ascii="Ashland;sans-serif" w:hAnsi="Ashland;sans-serif"/>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both"/>
        <w:rPr/>
      </w:pPr>
      <w:r>
        <w:rPr/>
        <w:t> </w:t>
      </w:r>
    </w:p>
    <w:tbl>
      <w:tblPr>
        <w:tblW w:w="6322" w:type="dxa"/>
        <w:jc w:val="left"/>
        <w:tblInd w:w="0" w:type="dxa"/>
        <w:tblLayout w:type="fixed"/>
        <w:tblCellMar>
          <w:top w:w="28" w:type="dxa"/>
          <w:left w:w="28" w:type="dxa"/>
          <w:bottom w:w="28" w:type="dxa"/>
          <w:right w:w="28" w:type="dxa"/>
        </w:tblCellMar>
      </w:tblPr>
      <w:tblGrid>
        <w:gridCol w:w="2356"/>
        <w:gridCol w:w="316"/>
        <w:gridCol w:w="146"/>
        <w:gridCol w:w="146"/>
        <w:gridCol w:w="2851"/>
        <w:gridCol w:w="146"/>
        <w:gridCol w:w="361"/>
      </w:tblGrid>
      <w:tr>
        <w:trPr/>
        <w:tc>
          <w:tcPr>
            <w:tcW w:w="23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356" w:type="dxa"/>
            <w:tcBorders/>
            <w:tcMar>
              <w:top w:w="0" w:type="dxa"/>
              <w:left w:w="0" w:type="dxa"/>
              <w:bottom w:w="0" w:type="dxa"/>
              <w:right w:w="0" w:type="dxa"/>
            </w:tcMar>
            <w:vAlign w:val="center"/>
          </w:tcPr>
          <w:p>
            <w:pPr>
              <w:pStyle w:val="TableContents"/>
              <w:bidi w:val="0"/>
              <w:spacing w:before="0" w:after="283"/>
              <w:jc w:val="both"/>
              <w:rPr>
                <w:rFonts w:ascii="Ashland;sans-serif" w:hAnsi="Ashland;sans-serif"/>
                <w:color w:val="000000"/>
                <w:sz w:val="20"/>
              </w:rPr>
            </w:pPr>
            <w:r>
              <w:rPr>
                <w:rFonts w:ascii="Ashland;sans-serif" w:hAnsi="Ashland;sans-serif"/>
                <w:color w:val="000000"/>
                <w:sz w:val="20"/>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851" w:type="dxa"/>
            <w:tcBorders/>
            <w:tcMar>
              <w:top w:w="0" w:type="dxa"/>
              <w:left w:w="0" w:type="dxa"/>
              <w:bottom w:w="0" w:type="dxa"/>
              <w:right w:w="0" w:type="dxa"/>
            </w:tcMar>
            <w:vAlign w:val="center"/>
          </w:tcPr>
          <w:p>
            <w:pPr>
              <w:pStyle w:val="TableContents"/>
              <w:bidi w:val="0"/>
              <w:spacing w:before="0" w:after="283"/>
              <w:jc w:val="both"/>
              <w:rPr>
                <w:rFonts w:ascii="Ashland;sans-serif" w:hAnsi="Ashland;sans-serif"/>
                <w:color w:val="000000"/>
                <w:sz w:val="20"/>
              </w:rPr>
            </w:pPr>
            <w:r>
              <w:rPr>
                <w:rFonts w:ascii="Ashland;sans-serif" w:hAnsi="Ashland;sans-serif"/>
                <w:color w:val="000000"/>
                <w:sz w:val="20"/>
              </w:rPr>
              <w:t>Accelerated Filer</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2356" w:type="dxa"/>
            <w:tcBorders/>
            <w:tcMar>
              <w:top w:w="0" w:type="dxa"/>
              <w:left w:w="0" w:type="dxa"/>
              <w:bottom w:w="0" w:type="dxa"/>
              <w:right w:w="0" w:type="dxa"/>
            </w:tcMar>
            <w:vAlign w:val="center"/>
          </w:tcPr>
          <w:p>
            <w:pPr>
              <w:pStyle w:val="TableContents"/>
              <w:bidi w:val="0"/>
              <w:spacing w:before="0" w:after="283"/>
              <w:jc w:val="both"/>
              <w:rPr>
                <w:rFonts w:ascii="Ashland;sans-serif" w:hAnsi="Ashland;sans-serif"/>
                <w:color w:val="000000"/>
                <w:sz w:val="20"/>
              </w:rPr>
            </w:pPr>
            <w:r>
              <w:rPr>
                <w:rFonts w:ascii="Ashland;sans-serif" w:hAnsi="Ashland;sans-serif"/>
                <w:color w:val="000000"/>
                <w:sz w:val="20"/>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851" w:type="dxa"/>
            <w:tcBorders/>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20"/>
              </w:rPr>
            </w:pPr>
            <w:r>
              <w:rPr>
                <w:rFonts w:ascii="Ashland;sans-serif" w:hAnsi="Ashland;sans-serif"/>
                <w:color w:val="000000"/>
                <w:sz w:val="20"/>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2818" w:type="dxa"/>
            <w:gridSpan w:val="3"/>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851" w:type="dxa"/>
            <w:tcBorders/>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20"/>
              </w:rPr>
            </w:pPr>
            <w:r>
              <w:rPr>
                <w:rFonts w:ascii="Ashland;sans-serif" w:hAnsi="Ashland;sans-serif"/>
                <w:color w:val="000000"/>
                <w:sz w:val="20"/>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bl>
    <w:p>
      <w:pPr>
        <w:pStyle w:val="TextBody"/>
        <w:bidi w:val="0"/>
        <w:jc w:val="both"/>
        <w:rPr/>
      </w:pPr>
      <w:r>
        <w:rPr/>
        <w:t> </w:t>
      </w:r>
    </w:p>
    <w:p>
      <w:pPr>
        <w:pStyle w:val="TextBody"/>
        <w:bidi w:val="0"/>
        <w:jc w:val="both"/>
        <w:rPr>
          <w:rFonts w:ascii="Ashland;sans-serif" w:hAnsi="Ashland;sans-serif"/>
          <w:color w:val="000000"/>
          <w:sz w:val="20"/>
        </w:rPr>
      </w:pPr>
      <w:r>
        <w:rPr>
          <w:rFonts w:ascii="Ashland;sans-serif" w:hAnsi="Ashland;sans-serif"/>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both"/>
        <w:rPr>
          <w:rFonts w:ascii="Times New Roman" w:hAnsi="Times New Roman"/>
          <w:sz w:val="20"/>
        </w:rPr>
      </w:pPr>
      <w:r>
        <w:rPr>
          <w:rFonts w:ascii="Ashland;sans-serif" w:hAnsi="Ashland;sans-serif"/>
          <w:color w:val="000000"/>
          <w:sz w:val="20"/>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80" w:after="283"/>
        <w:jc w:val="both"/>
        <w:rPr>
          <w:rFonts w:ascii="Times New Roman" w:hAnsi="Times New Roman"/>
          <w:sz w:val="20"/>
        </w:rPr>
      </w:pPr>
      <w:r>
        <w:rPr>
          <w:rFonts w:ascii="Ashland;sans-serif" w:hAnsi="Ashland;sans-serif"/>
          <w:color w:val="000000"/>
          <w:sz w:val="20"/>
        </w:rPr>
        <w:t>At June 30, 2026, there were 45,793,370</w:t>
      </w:r>
      <w:r>
        <w:rPr>
          <w:rFonts w:ascii="Times New Roman" w:hAnsi="Times New Roman"/>
          <w:color w:val="000000"/>
          <w:sz w:val="20"/>
        </w:rPr>
        <w:t xml:space="preserve"> </w:t>
      </w:r>
      <w:r>
        <w:rPr>
          <w:rFonts w:ascii="Ashland;sans-serif" w:hAnsi="Ashland;sans-serif"/>
          <w:color w:val="000000"/>
          <w:sz w:val="20"/>
        </w:rPr>
        <w:t>shares of Registrant’s Common Stock outstanding.</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shland;sans-serif" w:hAnsi="Ashland;sans-serif"/>
          <w:b/>
          <w:color w:val="000000"/>
          <w:sz w:val="20"/>
          <w:u w:val="single"/>
        </w:rPr>
      </w:pPr>
      <w:r>
        <w:rPr>
          <w:rFonts w:ascii="Ashland;sans-serif" w:hAnsi="Ashland;sans-serif"/>
          <w:b/>
          <w:color w:val="000000"/>
          <w:sz w:val="20"/>
          <w:u w:val="single"/>
        </w:rPr>
        <w:t>PART I - FINANCIAL INFORMATION</w:t>
      </w:r>
    </w:p>
    <w:p>
      <w:pPr>
        <w:pStyle w:val="TextBody"/>
        <w:pBdr>
          <w:bottom w:val="single" w:sz="4" w:space="1" w:color="000000"/>
        </w:pBdr>
        <w:bidi w:val="0"/>
        <w:spacing w:before="120" w:after="283"/>
        <w:jc w:val="left"/>
        <w:rPr>
          <w:rFonts w:ascii="Ashland;sans-serif" w:hAnsi="Ashland;sans-serif"/>
          <w:b/>
          <w:color w:val="000000"/>
          <w:sz w:val="20"/>
        </w:rPr>
      </w:pPr>
      <w:r>
        <w:rPr>
          <w:rFonts w:ascii="Ashland;sans-serif" w:hAnsi="Ashland;sans-serif"/>
          <w:b/>
          <w:color w:val="000000"/>
          <w:sz w:val="20"/>
        </w:rPr>
        <w:t>ITEM 1. FINANCIAL STATEMENTS</w:t>
      </w:r>
    </w:p>
    <w:p>
      <w:pPr>
        <w:pStyle w:val="TextBody"/>
        <w:bidi w:val="0"/>
        <w:spacing w:before="120" w:after="283"/>
        <w:jc w:val="left"/>
        <w:rPr>
          <w:rFonts w:ascii="Ashland;sans-serif" w:hAnsi="Ashland;sans-serif"/>
          <w:b/>
          <w:color w:val="000000"/>
          <w:sz w:val="20"/>
        </w:rPr>
      </w:pPr>
      <w:r>
        <w:rPr>
          <w:rFonts w:ascii="Ashland;sans-serif" w:hAnsi="Ashland;sans-serif"/>
          <w:b/>
          <w:color w:val="000000"/>
          <w:sz w:val="20"/>
        </w:rPr>
        <w:t>ASHLAND INC. AND CONSOLIDATED SUBSIDIARIES</w:t>
      </w:r>
    </w:p>
    <w:p>
      <w:pPr>
        <w:pStyle w:val="TextBody"/>
        <w:bidi w:val="0"/>
        <w:jc w:val="left"/>
        <w:rPr>
          <w:rFonts w:ascii="Ashland;sans-serif" w:hAnsi="Ashland;sans-serif"/>
          <w:b/>
          <w:color w:val="000000"/>
          <w:sz w:val="20"/>
        </w:rPr>
      </w:pPr>
      <w:r>
        <w:rPr>
          <w:rFonts w:ascii="Ashland;sans-serif" w:hAnsi="Ashland;sans-serif"/>
          <w:b/>
          <w:color w:val="000000"/>
          <w:sz w:val="20"/>
        </w:rPr>
        <w:t>STATEMENTS OF CONDENSED CONSOLIDATED COMPREHENSIVE INCOME (LOSS)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059"/>
        <w:gridCol w:w="146"/>
        <w:gridCol w:w="226"/>
        <w:gridCol w:w="601"/>
        <w:gridCol w:w="181"/>
        <w:gridCol w:w="146"/>
        <w:gridCol w:w="226"/>
        <w:gridCol w:w="721"/>
        <w:gridCol w:w="181"/>
        <w:gridCol w:w="146"/>
        <w:gridCol w:w="226"/>
        <w:gridCol w:w="646"/>
        <w:gridCol w:w="181"/>
        <w:gridCol w:w="146"/>
        <w:gridCol w:w="226"/>
        <w:gridCol w:w="721"/>
        <w:gridCol w:w="426"/>
      </w:tblGrid>
      <w:tr>
        <w:trPr/>
        <w:tc>
          <w:tcPr>
            <w:tcW w:w="50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505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01"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Three months ended</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146"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Nine months ended</w:t>
            </w:r>
          </w:p>
        </w:tc>
        <w:tc>
          <w:tcPr>
            <w:tcW w:w="42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50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 except per share data - unaudited)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2025</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59"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Sales - Note 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497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463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1,365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1,347</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9"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Cost of sales - Note Q</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327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331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943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957</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59"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170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132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422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390</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59"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Selling, general and administrative expense - Note Q</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99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106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264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268</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9"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Research and development expense - Note Q</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41</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9"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Intangibles amortization expense - Note G and Note Q</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47</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9"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Equity and other income - Note Q</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9"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Goodwill impairment - Note 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706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706</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9"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Income (loss) on divestitures, net - Note B and Note Q</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(165</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5059"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Operating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(708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(836</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50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59"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Net interest and 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34</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9"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Other net periodic benefit (income) loss - Note 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59"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Income (loss) from continuing operations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(704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(874</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5059"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Income tax expense (benefit) - Note J</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(19</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5059"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Income (loss)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(719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(855</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5059"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Loss from discontinued operations, net of income taxes - Note 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(22</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5059"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16</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(742</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(877</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50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59"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PER SHARE DATA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59"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Basic earnings (loss) per share - Note 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Income (loss)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0.89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(15.70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0.91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(18.39</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w:t>
            </w:r>
          </w:p>
        </w:tc>
      </w:tr>
      <w:tr>
        <w:trPr/>
        <w:tc>
          <w:tcPr>
            <w:tcW w:w="50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Loss from 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(0.54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(0.51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(0.48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(0.46</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w:t>
            </w:r>
          </w:p>
        </w:tc>
      </w:tr>
      <w:tr>
        <w:trPr/>
        <w:tc>
          <w:tcPr>
            <w:tcW w:w="50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0.35</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(16.21</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0.43</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(18.85</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w:t>
            </w:r>
          </w:p>
        </w:tc>
      </w:tr>
      <w:tr>
        <w:trPr/>
        <w:tc>
          <w:tcPr>
            <w:tcW w:w="50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59"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Diluted earnings (loss) per share - Note 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Income (loss)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0.89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(15.70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0.91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(18.39</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w:t>
            </w:r>
          </w:p>
        </w:tc>
      </w:tr>
      <w:tr>
        <w:trPr/>
        <w:tc>
          <w:tcPr>
            <w:tcW w:w="50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Loss from 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(0.54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(0.51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(0.48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(0.46</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w:t>
            </w:r>
          </w:p>
        </w:tc>
      </w:tr>
      <w:tr>
        <w:trPr/>
        <w:tc>
          <w:tcPr>
            <w:tcW w:w="50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0.35</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(16.21</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0.43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(18.85</w:t>
            </w:r>
          </w:p>
        </w:tc>
        <w:tc>
          <w:tcPr>
            <w:tcW w:w="4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50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59"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59"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(742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(877</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5059"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Unrealized translation gain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91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46</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Unrealized (loss) gain on commodity hedges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0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Other comprehensive income (loss) - Note 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90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48</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59"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18</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(652</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12</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(829</w:t>
            </w:r>
          </w:p>
        </w:tc>
        <w:tc>
          <w:tcPr>
            <w:tcW w:w="4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50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both"/>
        <w:rPr>
          <w:rFonts w:ascii="Ashland;sans-serif" w:hAnsi="Ashland;sans-serif"/>
          <w:color w:val="000000"/>
          <w:sz w:val="20"/>
        </w:rPr>
      </w:pPr>
      <w:r>
        <w:rPr>
          <w:rFonts w:ascii="Ashland;sans-serif" w:hAnsi="Ashland;sans-serif"/>
          <w:color w:val="000000"/>
          <w:sz w:val="20"/>
        </w:rPr>
        <w:t>SEE NOTES TO CONDENSED CONSOLIDATED FINANCIAL STATEMENTS.</w:t>
      </w:r>
    </w:p>
    <w:p>
      <w:pPr>
        <w:pStyle w:val="TextBody"/>
        <w:bidi w:val="0"/>
        <w:spacing w:before="120" w:after="283"/>
        <w:jc w:val="center"/>
        <w:rPr>
          <w:rFonts w:ascii="Ashland;sans-serif" w:hAnsi="Ashland;sans-serif"/>
          <w:color w:val="000000"/>
          <w:sz w:val="20"/>
        </w:rPr>
      </w:pPr>
      <w:r>
        <w:rPr>
          <w:rFonts w:ascii="Ashland;sans-serif" w:hAnsi="Ashland;sans-serif"/>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shland;sans-serif" w:hAnsi="Ashland;sans-serif"/>
          <w:b/>
          <w:color w:val="000000"/>
          <w:sz w:val="20"/>
        </w:rPr>
      </w:pPr>
      <w:r>
        <w:rPr>
          <w:rFonts w:ascii="Ashland;sans-serif" w:hAnsi="Ashland;sans-serif"/>
          <w:b/>
          <w:color w:val="000000"/>
          <w:sz w:val="20"/>
        </w:rPr>
        <w:t>ASHLAND INC. AND CONSOLIDATED SUBSIDIARIES</w:t>
      </w:r>
    </w:p>
    <w:p>
      <w:pPr>
        <w:pStyle w:val="TextBody"/>
        <w:bidi w:val="0"/>
        <w:jc w:val="left"/>
        <w:rPr>
          <w:rFonts w:ascii="Ashland;sans-serif" w:hAnsi="Ashland;sans-serif"/>
          <w:b/>
          <w:color w:val="000000"/>
          <w:sz w:val="20"/>
        </w:rPr>
      </w:pPr>
      <w:r>
        <w:rPr>
          <w:rFonts w:ascii="Ashland;sans-serif" w:hAnsi="Ashland;sans-serif"/>
          <w:b/>
          <w:color w:val="000000"/>
          <w:sz w:val="20"/>
        </w:rPr>
        <w:t>CONDENSED CONSOLIDATED BALANCE SHEETS</w:t>
      </w:r>
    </w:p>
    <w:p>
      <w:pPr>
        <w:pStyle w:val="TextBody"/>
        <w:bidi w:val="0"/>
        <w:jc w:val="left"/>
        <w:rPr/>
      </w:pPr>
      <w:r>
        <w:rPr/>
        <w:t> </w:t>
      </w:r>
    </w:p>
    <w:tbl>
      <w:tblPr>
        <w:tblW w:w="7522" w:type="dxa"/>
        <w:jc w:val="left"/>
        <w:tblInd w:w="0" w:type="dxa"/>
        <w:tblLayout w:type="fixed"/>
        <w:tblCellMar>
          <w:top w:w="28" w:type="dxa"/>
          <w:left w:w="28" w:type="dxa"/>
          <w:bottom w:w="28" w:type="dxa"/>
          <w:right w:w="28" w:type="dxa"/>
        </w:tblCellMar>
      </w:tblPr>
      <w:tblGrid>
        <w:gridCol w:w="4411"/>
        <w:gridCol w:w="146"/>
        <w:gridCol w:w="226"/>
        <w:gridCol w:w="646"/>
        <w:gridCol w:w="146"/>
        <w:gridCol w:w="146"/>
        <w:gridCol w:w="364"/>
        <w:gridCol w:w="1046"/>
        <w:gridCol w:w="391"/>
      </w:tblGrid>
      <w:tr>
        <w:trPr/>
        <w:tc>
          <w:tcPr>
            <w:tcW w:w="4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 - unaudited)</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7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w:t>
              <w:br/>
              <w:t>2026</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1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September 30</w:t>
              <w:br/>
              <w:t>2025</w:t>
            </w:r>
          </w:p>
        </w:tc>
        <w:tc>
          <w:tcPr>
            <w:tcW w:w="3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u w:val="single"/>
              </w:rPr>
            </w:pPr>
            <w:r>
              <w:rPr>
                <w:rFonts w:ascii="Ashland;sans-serif" w:hAnsi="Ashland;sans-serif"/>
                <w:b/>
                <w:color w:val="000000"/>
                <w:sz w:val="18"/>
                <w:u w:val="single"/>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215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shland;sans-serif" w:hAnsi="Ashland;sans-serif"/>
                <w:color w:val="000000"/>
                <w:sz w:val="18"/>
              </w:rPr>
              <w:t>Accounts receivable, net</w:t>
            </w:r>
            <w:r>
              <w:rPr>
                <w:rFonts w:ascii="Ashland;sans-serif" w:hAnsi="Ashland;sans-serif"/>
                <w:color w:val="000000"/>
                <w:sz w:val="12"/>
              </w:rPr>
              <w:t>(a)</w:t>
            </w:r>
            <w:r>
              <w:rPr>
                <w:rFonts w:ascii="Times New Roman" w:hAnsi="Times New Roman"/>
                <w:color w:val="000000"/>
                <w:sz w:val="18"/>
              </w:rPr>
              <w:t> </w:t>
            </w:r>
            <w:r>
              <w:rPr>
                <w:rFonts w:ascii="Ashland;sans-serif" w:hAnsi="Ashland;sans-serif"/>
                <w:color w:val="000000"/>
                <w:sz w:val="18"/>
              </w:rPr>
              <w:t>- Note 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242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Inventories - Note 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568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180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1,292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1,205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3,377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3,355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2,228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2,154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Net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1,149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1,201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Goodwill - Note 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705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Intangibles, net - Note 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563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Operating lease assets, net - Note 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103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Restricted investments - Note 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297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shland;sans-serif" w:hAnsi="Ashland;sans-serif"/>
                <w:color w:val="000000"/>
                <w:sz w:val="18"/>
              </w:rPr>
              <w:t>Asbestos insurance receivable, net</w:t>
            </w:r>
            <w:r>
              <w:rPr>
                <w:rFonts w:ascii="Ashland;sans-serif" w:hAnsi="Ashland;sans-serif"/>
                <w:color w:val="000000"/>
                <w:sz w:val="12"/>
              </w:rPr>
              <w:t>(b)</w:t>
            </w:r>
            <w:r>
              <w:rPr>
                <w:rFonts w:ascii="Times New Roman" w:hAnsi="Times New Roman"/>
                <w:color w:val="000000"/>
                <w:sz w:val="18"/>
              </w:rPr>
              <w:t> </w:t>
            </w:r>
            <w:r>
              <w:rPr>
                <w:rFonts w:ascii="Ashland;sans-serif" w:hAnsi="Ashland;sans-serif"/>
                <w:color w:val="000000"/>
                <w:sz w:val="18"/>
              </w:rPr>
              <w:t>- Note 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127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157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253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Total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3,286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3,406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4,578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0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4,611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u w:val="single"/>
              </w:rPr>
            </w:pPr>
            <w:r>
              <w:rPr>
                <w:rFonts w:ascii="Ashland;sans-serif" w:hAnsi="Ashland;sans-serif"/>
                <w:b/>
                <w:color w:val="000000"/>
                <w:sz w:val="18"/>
                <w:u w:val="single"/>
              </w:rPr>
              <w:t>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Trade and other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189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213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Current operating lease obligations - Note 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423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Long-term debt - Note 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1,374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1,384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Asbestos litigation reserves - Note 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389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Employee benefit obligations - Note 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96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Operating lease obligations - Note 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85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299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Total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2,284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2,284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Commitments and contingencies - Note I and 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Equity - Note 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1,870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1,904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Total liabilities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4,578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0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4,611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Ashland;sans-serif" w:hAnsi="Ashland;sans-serif"/>
          <w:color w:val="000000"/>
          <w:sz w:val="14"/>
        </w:rPr>
      </w:pPr>
      <w:r>
        <w:rPr>
          <w:rFonts w:ascii="Ashland;sans-serif" w:hAnsi="Ashland;sans-serif"/>
          <w:color w:val="000000"/>
          <w:sz w:val="14"/>
        </w:rPr>
        <w:t>(a)</w:t>
      </w:r>
    </w:p>
    <w:p>
      <w:pPr>
        <w:pStyle w:val="TextBody"/>
        <w:bidi w:val="0"/>
        <w:spacing w:before="120" w:after="283"/>
        <w:jc w:val="both"/>
        <w:rPr/>
      </w:pPr>
      <w:r>
        <w:rPr>
          <w:rFonts w:ascii="Ashland;sans-serif" w:hAnsi="Ashland;sans-serif"/>
          <w:color w:val="000000"/>
          <w:sz w:val="14"/>
        </w:rPr>
        <w:t>Accounts receivable, net includes an allowance for credit losses of $4</w:t>
      </w:r>
      <w:r>
        <w:rPr>
          <w:color w:val="000000"/>
        </w:rPr>
        <w:t xml:space="preserve"> </w:t>
      </w:r>
      <w:r>
        <w:rPr>
          <w:rFonts w:ascii="Ashland;sans-serif" w:hAnsi="Ashland;sans-serif"/>
          <w:color w:val="000000"/>
          <w:sz w:val="14"/>
        </w:rPr>
        <w:t>million and $2</w:t>
      </w:r>
      <w:r>
        <w:rPr>
          <w:color w:val="000000"/>
        </w:rPr>
        <w:t xml:space="preserve"> </w:t>
      </w:r>
      <w:r>
        <w:rPr>
          <w:rFonts w:ascii="Ashland;sans-serif" w:hAnsi="Ashland;sans-serif"/>
          <w:color w:val="000000"/>
          <w:sz w:val="14"/>
        </w:rPr>
        <w:t>million at June 30, 2026 and September 30, 2025, respectively.</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(b)</w:t>
      </w:r>
    </w:p>
    <w:p>
      <w:pPr>
        <w:pStyle w:val="TextBody"/>
        <w:bidi w:val="0"/>
        <w:spacing w:before="40" w:after="283"/>
        <w:jc w:val="both"/>
        <w:rPr/>
      </w:pPr>
      <w:r>
        <w:rPr>
          <w:rFonts w:ascii="Ashland;sans-serif" w:hAnsi="Ashland;sans-serif"/>
          <w:color w:val="000000"/>
          <w:sz w:val="14"/>
        </w:rPr>
        <w:t>Asbestos insurance receivable, net includes an allowance for credit losses of $2</w:t>
      </w:r>
      <w:r>
        <w:rPr>
          <w:color w:val="000000"/>
        </w:rPr>
        <w:t xml:space="preserve"> </w:t>
      </w:r>
      <w:r>
        <w:rPr>
          <w:rFonts w:ascii="Ashland;sans-serif" w:hAnsi="Ashland;sans-serif"/>
          <w:color w:val="000000"/>
          <w:sz w:val="14"/>
        </w:rPr>
        <w:t>million at both June 30, 2026 and September 30, 2025.</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SEE NOTES TO CONDENSED CONSOLIDATED FINANCIAL STATEMENTS.</w:t>
      </w:r>
    </w:p>
    <w:p>
      <w:pPr>
        <w:pStyle w:val="TextBody"/>
        <w:bidi w:val="0"/>
        <w:spacing w:before="120" w:after="283"/>
        <w:jc w:val="center"/>
        <w:rPr>
          <w:rFonts w:ascii="Ashland;sans-serif" w:hAnsi="Ashland;sans-serif"/>
          <w:color w:val="000000"/>
          <w:sz w:val="20"/>
        </w:rPr>
      </w:pPr>
      <w:r>
        <w:rPr>
          <w:rFonts w:ascii="Ashland;sans-serif" w:hAnsi="Ashland;sans-serif"/>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shland;sans-serif" w:hAnsi="Ashland;sans-serif"/>
          <w:b/>
          <w:color w:val="000000"/>
          <w:sz w:val="22"/>
        </w:rPr>
      </w:pPr>
      <w:r>
        <w:rPr>
          <w:rFonts w:ascii="Ashland;sans-serif" w:hAnsi="Ashland;sans-serif"/>
          <w:b/>
          <w:color w:val="000000"/>
          <w:sz w:val="22"/>
        </w:rPr>
        <w:t>ASHLAND INC. AND CONSOLIDATED SUBSIDIARIES</w:t>
      </w:r>
    </w:p>
    <w:p>
      <w:pPr>
        <w:pStyle w:val="TextBody"/>
        <w:bidi w:val="0"/>
        <w:jc w:val="left"/>
        <w:rPr>
          <w:rFonts w:ascii="Ashland;sans-serif" w:hAnsi="Ashland;sans-serif"/>
          <w:b/>
          <w:color w:val="000000"/>
          <w:sz w:val="22"/>
        </w:rPr>
      </w:pPr>
      <w:r>
        <w:rPr>
          <w:rFonts w:ascii="Ashland;sans-serif" w:hAnsi="Ashland;sans-serif"/>
          <w:b/>
          <w:color w:val="000000"/>
          <w:sz w:val="22"/>
        </w:rPr>
        <w:t>STATEMENTS OF CONDENSED CONSOLIDATED CASH FLOWS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33"/>
        <w:gridCol w:w="146"/>
        <w:gridCol w:w="220"/>
        <w:gridCol w:w="441"/>
        <w:gridCol w:w="174"/>
        <w:gridCol w:w="153"/>
        <w:gridCol w:w="220"/>
        <w:gridCol w:w="504"/>
        <w:gridCol w:w="214"/>
      </w:tblGrid>
      <w:tr>
        <w:trPr/>
        <w:tc>
          <w:tcPr>
            <w:tcW w:w="8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813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712"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7"/>
              </w:rPr>
            </w:pPr>
            <w:r>
              <w:rPr>
                <w:rFonts w:ascii="Ashland;sans-serif" w:hAnsi="Ashland;sans-serif"/>
                <w:color w:val="000000"/>
                <w:sz w:val="17"/>
              </w:rPr>
              <w:t>Nine months ended</w:t>
            </w:r>
          </w:p>
        </w:tc>
        <w:tc>
          <w:tcPr>
            <w:tcW w:w="21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81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7"/>
              </w:rPr>
            </w:pPr>
            <w:r>
              <w:rPr>
                <w:rFonts w:ascii="Ashland;sans-serif" w:hAnsi="Ashland;sans-serif"/>
                <w:color w:val="000000"/>
                <w:sz w:val="17"/>
              </w:rPr>
              <w:t>June 30</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1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(In millions - unaudited)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7"/>
              </w:rPr>
            </w:pPr>
            <w:r>
              <w:rPr>
                <w:rFonts w:ascii="Ashland;sans-serif" w:hAnsi="Ashland;sans-serif"/>
                <w:color w:val="000000"/>
                <w:sz w:val="17"/>
              </w:rPr>
              <w:t>2026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7"/>
              </w:rPr>
            </w:pPr>
            <w:r>
              <w:rPr>
                <w:rFonts w:ascii="Ashland;sans-serif" w:hAnsi="Ashland;sans-serif"/>
                <w:color w:val="000000"/>
                <w:sz w:val="17"/>
              </w:rPr>
              <w:t>2025</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133"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7"/>
              </w:rPr>
            </w:pPr>
            <w:r>
              <w:rPr>
                <w:rFonts w:ascii="Ashland;sans-serif" w:hAnsi="Ashland;sans-serif"/>
                <w:b/>
                <w:color w:val="000000"/>
                <w:sz w:val="17"/>
              </w:rPr>
              <w:t>CASH FLOWS PROVIDED (USED) BY OPERATING ACTIVITIES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33"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20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(877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r>
      <w:tr>
        <w:trPr/>
        <w:tc>
          <w:tcPr>
            <w:tcW w:w="8133"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Loss from discontinued operations, net of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22</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22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33"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Adjustments to reconcile income (loss) from continuing operations to cash flows from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133"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141</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187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33"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Original issue discount and debt issuance costs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33"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4</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5</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33"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Gain from sales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(11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r>
      <w:tr>
        <w:trPr/>
        <w:tc>
          <w:tcPr>
            <w:tcW w:w="8133"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Income from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(1</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(1</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r>
      <w:tr>
        <w:trPr/>
        <w:tc>
          <w:tcPr>
            <w:tcW w:w="8133"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Stock 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13</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11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33"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Loss from excess tax deduction on stock 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(1</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33"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Income from restricted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(28</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(15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r>
      <w:tr>
        <w:trPr/>
        <w:tc>
          <w:tcPr>
            <w:tcW w:w="8133"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Loss on divestitures,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176</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33"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Goodwill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706</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33"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Pension contributions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(10</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(9</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r>
      <w:tr>
        <w:trPr/>
        <w:tc>
          <w:tcPr>
            <w:tcW w:w="8133"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(Gain) loss on pension and other postretirement plan remeasurements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(5</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33"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Change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136</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(106</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r>
      <w:tr>
        <w:trPr/>
        <w:tc>
          <w:tcPr>
            <w:tcW w:w="8133"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Total cash flows provided by operating activities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295</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94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33"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7"/>
              </w:rPr>
            </w:pPr>
            <w:r>
              <w:rPr>
                <w:rFonts w:ascii="Ashland;sans-serif" w:hAnsi="Ashland;sans-serif"/>
                <w:b/>
                <w:color w:val="000000"/>
                <w:sz w:val="17"/>
              </w:rPr>
              <w:t>CASH FLOWS PROVIDED (USED) BY INVESTING ACTIVITIES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133"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Additions to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(51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(64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r>
      <w:tr>
        <w:trPr/>
        <w:tc>
          <w:tcPr>
            <w:tcW w:w="8133"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Proceeds from disposal of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4</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11</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33"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Proceeds from sale of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16</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33"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Proceeds from settlement of Company-owned life insurance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25</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5</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33"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Company-owned life insurance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r>
      <w:tr>
        <w:trPr/>
        <w:tc>
          <w:tcPr>
            <w:tcW w:w="8133"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Funds restricted for specific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(9</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(8</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r>
      <w:tr>
        <w:trPr/>
        <w:tc>
          <w:tcPr>
            <w:tcW w:w="8133"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Reimbursements from restricted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52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41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33"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Proceeds from sale of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40</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36</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33"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Purchases of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(40</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(36</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r>
      <w:tr>
        <w:trPr/>
        <w:tc>
          <w:tcPr>
            <w:tcW w:w="8133"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Total cash flows provided by investing activities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22</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33"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7"/>
              </w:rPr>
            </w:pPr>
            <w:r>
              <w:rPr>
                <w:rFonts w:ascii="Ashland;sans-serif" w:hAnsi="Ashland;sans-serif"/>
                <w:b/>
                <w:color w:val="000000"/>
                <w:sz w:val="17"/>
              </w:rPr>
              <w:t>CASH FLOWS USED BY FINANCING ACTIVITIES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33"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Repurchase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(100</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r>
      <w:tr>
        <w:trPr/>
        <w:tc>
          <w:tcPr>
            <w:tcW w:w="8133"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33"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Cash dividends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(57</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(57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r>
      <w:tr>
        <w:trPr/>
        <w:tc>
          <w:tcPr>
            <w:tcW w:w="8133"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Stock based compensation employee withholding taxes paid in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(1</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(4</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r>
      <w:tr>
        <w:trPr/>
        <w:tc>
          <w:tcPr>
            <w:tcW w:w="8133"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Total cash flows used by financing activities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(60</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(161</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r>
      <w:tr>
        <w:trPr/>
        <w:tc>
          <w:tcPr>
            <w:tcW w:w="8133"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7"/>
              </w:rPr>
            </w:pPr>
            <w:r>
              <w:rPr>
                <w:rFonts w:ascii="Ashland;sans-serif" w:hAnsi="Ashland;sans-serif"/>
                <w:b/>
                <w:color w:val="000000"/>
                <w:sz w:val="17"/>
              </w:rPr>
              <w:t>CASH PROVIDED (USED) BY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257</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(67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r>
      <w:tr>
        <w:trPr/>
        <w:tc>
          <w:tcPr>
            <w:tcW w:w="8133"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7"/>
              </w:rPr>
            </w:pPr>
            <w:r>
              <w:rPr>
                <w:rFonts w:ascii="Ashland;sans-serif" w:hAnsi="Ashland;sans-serif"/>
                <w:b/>
                <w:color w:val="000000"/>
                <w:sz w:val="17"/>
              </w:rPr>
              <w:t>CASH USED BY 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133"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Operating cash flows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(31</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(27</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r>
      <w:tr>
        <w:trPr/>
        <w:tc>
          <w:tcPr>
            <w:tcW w:w="8133"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Total cash used by 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(31</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(27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r>
      <w:tr>
        <w:trPr/>
        <w:tc>
          <w:tcPr>
            <w:tcW w:w="8133"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Effect of currency exchange rate changes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(1</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1</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8133"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7"/>
              </w:rPr>
            </w:pPr>
            <w:r>
              <w:rPr>
                <w:rFonts w:ascii="Ashland;sans-serif" w:hAnsi="Ashland;sans-serif"/>
                <w:b/>
                <w:color w:val="000000"/>
                <w:sz w:val="17"/>
              </w:rPr>
              <w:t>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225</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(93</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r>
      <w:tr>
        <w:trPr/>
        <w:tc>
          <w:tcPr>
            <w:tcW w:w="8133"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7"/>
              </w:rPr>
            </w:pPr>
            <w:r>
              <w:rPr>
                <w:rFonts w:ascii="Ashland;sans-serif" w:hAnsi="Ashland;sans-serif"/>
                <w:b/>
                <w:color w:val="000000"/>
                <w:sz w:val="17"/>
              </w:rPr>
              <w:t>CASH AND CASH EQUIVALENTS -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215</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300</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8133"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7"/>
              </w:rPr>
            </w:pPr>
            <w:r>
              <w:rPr>
                <w:rFonts w:ascii="Ashland;sans-serif" w:hAnsi="Ashland;sans-serif"/>
                <w:b/>
                <w:color w:val="000000"/>
                <w:sz w:val="17"/>
              </w:rPr>
              <w:t>CASH AND CASH EQUIVALENTS -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c>
          <w:tcPr>
            <w:tcW w:w="4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440</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c>
          <w:tcPr>
            <w:tcW w:w="5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207</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81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SEE NOTES TO CONDENSED CONSOLIDATED FINANCIAL STATEMENTS.</w:t>
      </w:r>
    </w:p>
    <w:p>
      <w:pPr>
        <w:pStyle w:val="TextBody"/>
        <w:bidi w:val="0"/>
        <w:spacing w:before="120" w:after="283"/>
        <w:jc w:val="center"/>
        <w:rPr>
          <w:rFonts w:ascii="Ashland;sans-serif" w:hAnsi="Ashland;sans-serif"/>
          <w:color w:val="000000"/>
          <w:sz w:val="20"/>
        </w:rPr>
      </w:pPr>
      <w:r>
        <w:rPr>
          <w:rFonts w:ascii="Ashland;sans-serif" w:hAnsi="Ashland;sans-serif"/>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top w:val="single" w:sz="4" w:space="1" w:color="000000"/>
        </w:pBdr>
        <w:bidi w:val="0"/>
        <w:jc w:val="left"/>
        <w:rPr>
          <w:rFonts w:ascii="Ashland;sans-serif" w:hAnsi="Ashland;sans-serif"/>
          <w:b/>
          <w:color w:val="000000"/>
          <w:sz w:val="20"/>
        </w:rPr>
      </w:pPr>
      <w:r>
        <w:rPr>
          <w:rFonts w:ascii="Ashland;sans-serif" w:hAnsi="Ashland;sans-serif"/>
          <w:b/>
          <w:color w:val="000000"/>
          <w:sz w:val="20"/>
        </w:rPr>
        <w:t>ASHLAND INC. AND CONSOLIDATED SUBSIDIARIES</w:t>
      </w:r>
    </w:p>
    <w:p>
      <w:pPr>
        <w:pStyle w:val="TextBody"/>
        <w:bidi w:val="0"/>
        <w:jc w:val="left"/>
        <w:rPr>
          <w:rFonts w:ascii="Ashland;sans-serif" w:hAnsi="Ashland;sans-serif"/>
          <w:b/>
          <w:color w:val="000000"/>
          <w:sz w:val="20"/>
        </w:rPr>
      </w:pPr>
      <w:r>
        <w:rPr>
          <w:rFonts w:ascii="Ashland;sans-serif" w:hAnsi="Ashland;sans-serif"/>
          <w:b/>
          <w:color w:val="000000"/>
          <w:sz w:val="20"/>
        </w:rPr>
        <w:t>NOTES TO CONDENSED CONSOLIDATED FINANCIAL STATEMENTS</w:t>
      </w:r>
    </w:p>
    <w:p>
      <w:pPr>
        <w:pStyle w:val="TextBody"/>
        <w:pBdr>
          <w:bottom w:val="single" w:sz="4" w:space="1" w:color="000000"/>
        </w:pBdr>
        <w:bidi w:val="0"/>
        <w:jc w:val="left"/>
        <w:rPr/>
      </w:pPr>
      <w:r>
        <w:rPr/>
        <w:t> </w:t>
      </w:r>
    </w:p>
    <w:p>
      <w:pPr>
        <w:pStyle w:val="TextBody"/>
        <w:bidi w:val="0"/>
        <w:jc w:val="left"/>
        <w:rPr>
          <w:rFonts w:ascii="Times New Roman" w:hAnsi="Times New Roman"/>
          <w:sz w:val="20"/>
        </w:rPr>
      </w:pPr>
      <w:r>
        <w:rPr>
          <w:rFonts w:ascii="Ashland;sans-serif" w:hAnsi="Ashland;sans-serif"/>
          <w:b/>
          <w:color w:val="000000"/>
          <w:sz w:val="20"/>
        </w:rPr>
        <w:t>NOTE A – SIGNIFICANT ACCOUNTING POLICIES</w:t>
      </w:r>
      <w:r>
        <w:rPr>
          <w:rFonts w:ascii="Times New Roman" w:hAnsi="Times New Roman"/>
          <w:color w:val="000000"/>
          <w:sz w:val="20"/>
        </w:rPr>
        <w:t xml:space="preserve"> </w:t>
      </w:r>
    </w:p>
    <w:p>
      <w:pPr>
        <w:pStyle w:val="TextBody"/>
        <w:bidi w:val="0"/>
        <w:spacing w:before="120" w:after="283"/>
        <w:jc w:val="left"/>
        <w:rPr>
          <w:rFonts w:ascii="Ashland;sans-serif" w:hAnsi="Ashland;sans-serif"/>
          <w:b/>
          <w:color w:val="000000"/>
          <w:sz w:val="20"/>
        </w:rPr>
      </w:pPr>
      <w:r>
        <w:rPr>
          <w:rFonts w:ascii="Ashland;sans-serif" w:hAnsi="Ashland;sans-serif"/>
          <w:b/>
          <w:color w:val="000000"/>
          <w:sz w:val="20"/>
        </w:rPr>
        <w:t>Basis of presentation</w:t>
      </w:r>
    </w:p>
    <w:p>
      <w:pPr>
        <w:pStyle w:val="TextBody"/>
        <w:bidi w:val="0"/>
        <w:spacing w:before="120" w:after="283"/>
        <w:jc w:val="both"/>
        <w:rPr>
          <w:rFonts w:ascii="Times New Roman" w:hAnsi="Times New Roman"/>
          <w:sz w:val="20"/>
        </w:rPr>
      </w:pPr>
      <w:r>
        <w:rPr>
          <w:rFonts w:ascii="Ashland;sans-serif" w:hAnsi="Ashland;sans-serif"/>
          <w:color w:val="000000"/>
          <w:sz w:val="20"/>
        </w:rPr>
        <w:t>The accompanying unaudited Condensed Consolidated Financial Statements have been prepared in accordance with United States ("U.S.") generally accepted accounting principles for interim financial reporting ("U.S. GAAP") and U.S. Securities and Exchange Commission ("SEC") regulations. In the opinion of management, all adjustments considered necessary for a fair presentation have been included. These Condensed Consolidated Financial Statements omit certain information and footnote disclosures required for complete annual financial statements and, therefore, should be read in conjunction with the Ashland Inc. and consolidated subsidiaries ("Ashland" or the "Company") Annual Report on Form 10-K for the fiscal year ended September 30, 2025, filed with the SEC on November 20, 2025. Results of operations for the three and nine months ended June 30, 2026, are not necessarily indicative of the expected results for the remainder of the fiscal year.</w:t>
      </w:r>
      <w:r>
        <w:rPr>
          <w:rFonts w:ascii="Times New Roman" w:hAnsi="Times New Roman"/>
          <w:color w:val="000000"/>
          <w:sz w:val="20"/>
        </w:rPr>
        <w:t xml:space="preserve"> </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Ashland is comprised of the following reportable segments: Life Sciences, Personal Care, Specialty Additives and Intermediates. Unallocated and other includes corporate governance activities and certain legacy matters. For additional information about Ashland's reportable segments, see Note Q.</w:t>
      </w:r>
    </w:p>
    <w:p>
      <w:pPr>
        <w:pStyle w:val="TextBody"/>
        <w:bidi w:val="0"/>
        <w:spacing w:before="120" w:after="283"/>
        <w:jc w:val="both"/>
        <w:rPr>
          <w:rFonts w:ascii="Ashland;sans-serif" w:hAnsi="Ashland;sans-serif"/>
          <w:b/>
          <w:color w:val="000000"/>
          <w:sz w:val="20"/>
        </w:rPr>
      </w:pPr>
      <w:r>
        <w:rPr>
          <w:rFonts w:ascii="Ashland;sans-serif" w:hAnsi="Ashland;sans-serif"/>
          <w:b/>
          <w:color w:val="000000"/>
          <w:sz w:val="20"/>
        </w:rPr>
        <w:t>Use of estimates, risks and uncertainties</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The preparation of the Condensed Consolidated Financial Statements in conformity with U.S. GAAP requires management to make estimates and assumptions that affect the reported amounts of assets, liabilities, revenues and expenses, and the disclosures of contingent assets and liabilities. Significant items that are subject to such estimates and assumptions include, but are not limited to, environmental remediation, asbestos litigation, accounting for goodwill and other indefinite-lived intangible assets and income taxes. Although management bases its estimates on historical experience and various other assumptions that are believed to be reasonable under the circumstances, actual results could differ significantly from the estimates under different assumptions or conditions.</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Ashland’s results are affected by domestic and international economic, political, legislative, regulatory and legal actions. Economic conditions, such as recessionary trends, inflation, interest and monetary exchange rates, government fiscal policies and changes in the prices of certain key raw materials, can have a significant effect on operations. While Ashland maintains reserves for anticipated liabilities and carries various levels of insurance, Ashland could be affected by civil, criminal, regulatory or administrative actions, claims or proceedings relating to asbestos, environmental remediation, income taxes or other matters.</w:t>
      </w:r>
    </w:p>
    <w:p>
      <w:pPr>
        <w:pStyle w:val="TextBody"/>
        <w:bidi w:val="0"/>
        <w:spacing w:before="120" w:after="283"/>
        <w:jc w:val="both"/>
        <w:rPr>
          <w:rFonts w:ascii="Times New Roman" w:hAnsi="Times New Roman"/>
          <w:sz w:val="20"/>
        </w:rPr>
      </w:pPr>
      <w:r>
        <w:rPr>
          <w:rFonts w:ascii="Ashland;sans-serif" w:hAnsi="Ashland;sans-serif"/>
          <w:b/>
          <w:color w:val="000000"/>
          <w:sz w:val="20"/>
        </w:rPr>
        <w:t>New accounting pronouncements</w:t>
      </w:r>
      <w:r>
        <w:rPr>
          <w:rFonts w:ascii="Times New Roman" w:hAnsi="Times New Roman"/>
          <w:color w:val="000000"/>
          <w:sz w:val="20"/>
        </w:rPr>
        <w:t xml:space="preserve"> </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A description of new U.S. GAAP accounting standards issued or adopted during the current quarter is required in interim financial reporting. A detailed listing of new accounting standards relevant to Ashland is included in the Annual Report on Form 10-K for the fiscal year ended September 30, 2025. There were no new accounting pronouncements recently adopted or issued since then that are expected to have a material impact on the Condensed Consolidated Financial Statements.</w:t>
      </w:r>
    </w:p>
    <w:p>
      <w:pPr>
        <w:pStyle w:val="TextBody"/>
        <w:bidi w:val="0"/>
        <w:spacing w:before="120" w:after="283"/>
        <w:jc w:val="both"/>
        <w:rPr>
          <w:rFonts w:ascii="Ashland;sans-serif" w:hAnsi="Ashland;sans-serif"/>
          <w:b/>
          <w:color w:val="000000"/>
          <w:sz w:val="20"/>
        </w:rPr>
      </w:pPr>
      <w:r>
        <w:rPr>
          <w:rFonts w:ascii="Ashland;sans-serif" w:hAnsi="Ashland;sans-serif"/>
          <w:b/>
          <w:color w:val="000000"/>
          <w:sz w:val="20"/>
        </w:rPr>
        <w:t>NOTE B – DIVESTITURES</w:t>
      </w:r>
    </w:p>
    <w:p>
      <w:pPr>
        <w:pStyle w:val="TextBody"/>
        <w:bidi w:val="0"/>
        <w:spacing w:before="120" w:after="283"/>
        <w:jc w:val="both"/>
        <w:rPr>
          <w:rFonts w:ascii="Ashland;sans-serif" w:hAnsi="Ashland;sans-serif"/>
          <w:b/>
          <w:i/>
          <w:color w:val="000000"/>
          <w:sz w:val="20"/>
        </w:rPr>
      </w:pPr>
      <w:r>
        <w:rPr>
          <w:rFonts w:ascii="Ashland;sans-serif" w:hAnsi="Ashland;sans-serif"/>
          <w:b/>
          <w:i/>
          <w:color w:val="000000"/>
          <w:sz w:val="20"/>
        </w:rPr>
        <w:t>Avoca business sale</w:t>
      </w:r>
    </w:p>
    <w:p>
      <w:pPr>
        <w:pStyle w:val="TextBody"/>
        <w:bidi w:val="0"/>
        <w:spacing w:before="120" w:after="283"/>
        <w:jc w:val="both"/>
        <w:rPr>
          <w:rFonts w:ascii="Times New Roman" w:hAnsi="Times New Roman"/>
          <w:sz w:val="20"/>
        </w:rPr>
      </w:pPr>
      <w:r>
        <w:rPr>
          <w:rFonts w:ascii="Ashland;sans-serif" w:hAnsi="Ashland;sans-serif"/>
          <w:color w:val="000000"/>
          <w:sz w:val="20"/>
        </w:rPr>
        <w:t>On March 31, 2025, Ashland completed the sale of its Avoca business to Mane SA. Proceeds from the sale were $16</w:t>
      </w:r>
      <w:r>
        <w:rPr>
          <w:rFonts w:ascii="Times New Roman" w:hAnsi="Times New Roman"/>
          <w:color w:val="000000"/>
          <w:sz w:val="20"/>
        </w:rPr>
        <w:t xml:space="preserve"> </w:t>
      </w:r>
      <w:r>
        <w:rPr>
          <w:rFonts w:ascii="Ashland;sans-serif" w:hAnsi="Ashland;sans-serif"/>
          <w:color w:val="000000"/>
          <w:sz w:val="20"/>
        </w:rPr>
        <w:t>million, net of transaction costs for the nine months ended June 30, 2025 within the investing activities section of the Statement of Condensed Consolidated Cash Flows. Ashland recorded the final sale proceeds</w:t>
      </w:r>
      <w:r>
        <w:rPr>
          <w:rFonts w:ascii="Times New Roman" w:hAnsi="Times New Roman"/>
          <w:color w:val="000000"/>
          <w:sz w:val="20"/>
        </w:rPr>
        <w:t xml:space="preserve"> </w:t>
      </w:r>
    </w:p>
    <w:p>
      <w:pPr>
        <w:pStyle w:val="TextBody"/>
        <w:bidi w:val="0"/>
        <w:spacing w:before="120" w:after="283"/>
        <w:jc w:val="center"/>
        <w:rPr>
          <w:rFonts w:ascii="Ashland;sans-serif" w:hAnsi="Ashland;sans-serif"/>
          <w:color w:val="000000"/>
          <w:sz w:val="20"/>
        </w:rPr>
      </w:pPr>
      <w:r>
        <w:rPr>
          <w:rFonts w:ascii="Ashland;sans-serif" w:hAnsi="Ashland;sans-serif"/>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Ashland;sans-serif" w:hAnsi="Ashland;sans-serif"/>
          <w:color w:val="000000"/>
          <w:sz w:val="20"/>
        </w:rPr>
        <w:t>of $2</w:t>
      </w:r>
      <w:r>
        <w:rPr>
          <w:rFonts w:ascii="Times New Roman" w:hAnsi="Times New Roman"/>
          <w:color w:val="000000"/>
          <w:sz w:val="20"/>
        </w:rPr>
        <w:t xml:space="preserve"> </w:t>
      </w:r>
      <w:r>
        <w:rPr>
          <w:rFonts w:ascii="Ashland;sans-serif" w:hAnsi="Ashland;sans-serif"/>
          <w:color w:val="000000"/>
          <w:sz w:val="20"/>
        </w:rPr>
        <w:t>million within the investing activities section of the Statement of Condensed Consolidated Cash Flows for the nine months ended June 30, 2026.</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The Avoca business was included within Ashland's Personal Care reportable segment.</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Ashland determined this transaction did not qualify for discontinued operations treatment since it neither represented a strategic shift nor did it have a major effect on Ashland's operations and financial results.</w:t>
      </w:r>
    </w:p>
    <w:p>
      <w:pPr>
        <w:pStyle w:val="TextBody"/>
        <w:bidi w:val="0"/>
        <w:spacing w:before="120" w:after="283"/>
        <w:jc w:val="both"/>
        <w:rPr>
          <w:rFonts w:ascii="Times New Roman" w:hAnsi="Times New Roman"/>
          <w:sz w:val="20"/>
        </w:rPr>
      </w:pPr>
      <w:r>
        <w:rPr>
          <w:rFonts w:ascii="Ashland;sans-serif" w:hAnsi="Ashland;sans-serif"/>
          <w:color w:val="000000"/>
          <w:sz w:val="20"/>
        </w:rPr>
        <w:t>Ashland recorded an impairment charge of zero</w:t>
      </w:r>
      <w:r>
        <w:rPr>
          <w:rFonts w:ascii="Times New Roman" w:hAnsi="Times New Roman"/>
          <w:color w:val="000000"/>
          <w:sz w:val="20"/>
        </w:rPr>
        <w:t xml:space="preserve"> </w:t>
      </w:r>
      <w:r>
        <w:rPr>
          <w:rFonts w:ascii="Ashland;sans-serif" w:hAnsi="Ashland;sans-serif"/>
          <w:color w:val="000000"/>
          <w:sz w:val="20"/>
        </w:rPr>
        <w:t>and $183</w:t>
      </w:r>
      <w:r>
        <w:rPr>
          <w:rFonts w:ascii="Times New Roman" w:hAnsi="Times New Roman"/>
          <w:color w:val="000000"/>
          <w:sz w:val="20"/>
        </w:rPr>
        <w:t xml:space="preserve"> </w:t>
      </w:r>
      <w:r>
        <w:rPr>
          <w:rFonts w:ascii="Ashland;sans-serif" w:hAnsi="Ashland;sans-serif"/>
          <w:color w:val="000000"/>
          <w:sz w:val="20"/>
        </w:rPr>
        <w:t>million ($1</w:t>
      </w:r>
      <w:r>
        <w:rPr>
          <w:rFonts w:ascii="Times New Roman" w:hAnsi="Times New Roman"/>
          <w:color w:val="000000"/>
          <w:sz w:val="20"/>
        </w:rPr>
        <w:t xml:space="preserve"> </w:t>
      </w:r>
      <w:r>
        <w:rPr>
          <w:rFonts w:ascii="Ashland;sans-serif" w:hAnsi="Ashland;sans-serif"/>
          <w:color w:val="000000"/>
          <w:sz w:val="20"/>
        </w:rPr>
        <w:t>million allocated to goodwill, $134</w:t>
      </w:r>
      <w:r>
        <w:rPr>
          <w:rFonts w:ascii="Times New Roman" w:hAnsi="Times New Roman"/>
          <w:color w:val="000000"/>
          <w:sz w:val="20"/>
        </w:rPr>
        <w:t xml:space="preserve"> </w:t>
      </w:r>
      <w:r>
        <w:rPr>
          <w:rFonts w:ascii="Ashland;sans-serif" w:hAnsi="Ashland;sans-serif"/>
          <w:color w:val="000000"/>
          <w:sz w:val="20"/>
        </w:rPr>
        <w:t>million to other intangible assets, $33</w:t>
      </w:r>
      <w:r>
        <w:rPr>
          <w:rFonts w:ascii="Times New Roman" w:hAnsi="Times New Roman"/>
          <w:color w:val="000000"/>
          <w:sz w:val="20"/>
        </w:rPr>
        <w:t xml:space="preserve"> </w:t>
      </w:r>
      <w:r>
        <w:rPr>
          <w:rFonts w:ascii="Ashland;sans-serif" w:hAnsi="Ashland;sans-serif"/>
          <w:color w:val="000000"/>
          <w:sz w:val="20"/>
        </w:rPr>
        <w:t>million to property, plant and equipment, $14</w:t>
      </w:r>
      <w:r>
        <w:rPr>
          <w:rFonts w:ascii="Times New Roman" w:hAnsi="Times New Roman"/>
          <w:color w:val="000000"/>
          <w:sz w:val="20"/>
        </w:rPr>
        <w:t xml:space="preserve"> </w:t>
      </w:r>
      <w:r>
        <w:rPr>
          <w:rFonts w:ascii="Ashland;sans-serif" w:hAnsi="Ashland;sans-serif"/>
          <w:color w:val="000000"/>
          <w:sz w:val="20"/>
        </w:rPr>
        <w:t>million to operating lease assets, net and $1</w:t>
      </w:r>
      <w:r>
        <w:rPr>
          <w:rFonts w:ascii="Times New Roman" w:hAnsi="Times New Roman"/>
          <w:color w:val="000000"/>
          <w:sz w:val="20"/>
        </w:rPr>
        <w:t xml:space="preserve"> </w:t>
      </w:r>
      <w:r>
        <w:rPr>
          <w:rFonts w:ascii="Ashland;sans-serif" w:hAnsi="Ashland;sans-serif"/>
          <w:color w:val="000000"/>
          <w:sz w:val="20"/>
        </w:rPr>
        <w:t>million to other current assets) within the income (loss) on divestitures, net caption of the Statement of Condensed Consolidated Comprehensive Income (Loss) for the three and nine months ended June 30, 2025.</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shland;sans-serif" w:hAnsi="Ashland;sans-serif"/>
          <w:color w:val="000000"/>
          <w:sz w:val="20"/>
        </w:rPr>
        <w:t>The impairment charge includes the impact of the related inside tax basis differences associated with the impaired assets. The tax benefit associated with the sale is included within the income tax expense (benefit) caption of the Statement of Condensed Consolidated Comprehensive Income (Loss) for the nine months ended June 30, 2025. Ashland also recorded a pre-tax gain on sale of $8</w:t>
      </w:r>
      <w:r>
        <w:rPr>
          <w:rFonts w:ascii="Times New Roman" w:hAnsi="Times New Roman"/>
          <w:color w:val="000000"/>
          <w:sz w:val="20"/>
        </w:rPr>
        <w:t xml:space="preserve"> </w:t>
      </w:r>
      <w:r>
        <w:rPr>
          <w:rFonts w:ascii="Ashland;sans-serif" w:hAnsi="Ashland;sans-serif"/>
          <w:color w:val="000000"/>
          <w:sz w:val="20"/>
        </w:rPr>
        <w:t>million following the completion of this sale, mainly related to working capital movements, within the income (loss) on divestitures, net caption of the Statement of Condensed Consolidated Comprehensive Income (Loss) for the nine months ended June 30, 2025.</w:t>
      </w:r>
    </w:p>
    <w:p>
      <w:pPr>
        <w:pStyle w:val="TextBody"/>
        <w:bidi w:val="0"/>
        <w:spacing w:before="120" w:after="283"/>
        <w:jc w:val="both"/>
        <w:rPr>
          <w:rFonts w:ascii="Ashland;sans-serif" w:hAnsi="Ashland;sans-serif"/>
          <w:b/>
          <w:i/>
          <w:color w:val="000000"/>
          <w:sz w:val="20"/>
        </w:rPr>
      </w:pPr>
      <w:r>
        <w:rPr>
          <w:rFonts w:ascii="Ashland;sans-serif" w:hAnsi="Ashland;sans-serif"/>
          <w:b/>
          <w:i/>
          <w:color w:val="000000"/>
          <w:sz w:val="20"/>
        </w:rPr>
        <w:t>Other corporate assets</w:t>
      </w:r>
    </w:p>
    <w:p>
      <w:pPr>
        <w:pStyle w:val="TextBody"/>
        <w:bidi w:val="0"/>
        <w:spacing w:before="120" w:after="283"/>
        <w:jc w:val="both"/>
        <w:rPr>
          <w:rFonts w:ascii="Times New Roman" w:hAnsi="Times New Roman"/>
          <w:sz w:val="20"/>
        </w:rPr>
      </w:pPr>
      <w:r>
        <w:rPr>
          <w:rFonts w:ascii="Ashland;sans-serif" w:hAnsi="Ashland;sans-serif"/>
          <w:color w:val="000000"/>
          <w:sz w:val="20"/>
        </w:rPr>
        <w:t>During the nine months ended June 30, 2026, Ashland completed the sale of an excess land property with a net book value of $2</w:t>
      </w:r>
      <w:r>
        <w:rPr>
          <w:rFonts w:ascii="Times New Roman" w:hAnsi="Times New Roman"/>
          <w:color w:val="000000"/>
          <w:sz w:val="20"/>
        </w:rPr>
        <w:t xml:space="preserve"> </w:t>
      </w:r>
      <w:r>
        <w:rPr>
          <w:rFonts w:ascii="Ashland;sans-serif" w:hAnsi="Ashland;sans-serif"/>
          <w:color w:val="000000"/>
          <w:sz w:val="20"/>
        </w:rPr>
        <w:t>million. Ashland received net proceeds of $4</w:t>
      </w:r>
      <w:r>
        <w:rPr>
          <w:rFonts w:ascii="Times New Roman" w:hAnsi="Times New Roman"/>
          <w:color w:val="000000"/>
          <w:sz w:val="20"/>
        </w:rPr>
        <w:t xml:space="preserve"> </w:t>
      </w:r>
      <w:r>
        <w:rPr>
          <w:rFonts w:ascii="Ashland;sans-serif" w:hAnsi="Ashland;sans-serif"/>
          <w:color w:val="000000"/>
          <w:sz w:val="20"/>
        </w:rPr>
        <w:t>million and recorded a pre-tax gain of $2</w:t>
      </w:r>
      <w:r>
        <w:rPr>
          <w:rFonts w:ascii="Times New Roman" w:hAnsi="Times New Roman"/>
          <w:color w:val="000000"/>
          <w:sz w:val="20"/>
        </w:rPr>
        <w:t xml:space="preserve"> </w:t>
      </w:r>
      <w:r>
        <w:rPr>
          <w:rFonts w:ascii="Ashland;sans-serif" w:hAnsi="Ashland;sans-serif"/>
          <w:color w:val="000000"/>
          <w:sz w:val="20"/>
        </w:rPr>
        <w:t>million within the income (loss) on divestitures, net caption of the Statement of Condensed Consolidated Comprehensive Income (Loss) for the nine months ended June 30, 2026.</w:t>
      </w:r>
    </w:p>
    <w:p>
      <w:pPr>
        <w:pStyle w:val="TextBody"/>
        <w:bidi w:val="0"/>
        <w:spacing w:before="120" w:after="283"/>
        <w:jc w:val="both"/>
        <w:rPr>
          <w:rFonts w:ascii="Times New Roman" w:hAnsi="Times New Roman"/>
          <w:sz w:val="20"/>
        </w:rPr>
      </w:pPr>
      <w:r>
        <w:rPr>
          <w:rFonts w:ascii="Ashland;sans-serif" w:hAnsi="Ashland;sans-serif"/>
          <w:color w:val="000000"/>
          <w:sz w:val="20"/>
        </w:rPr>
        <w:t>Ashland also recorded a $2</w:t>
      </w:r>
      <w:r>
        <w:rPr>
          <w:rFonts w:ascii="Times New Roman" w:hAnsi="Times New Roman"/>
          <w:color w:val="000000"/>
          <w:sz w:val="20"/>
        </w:rPr>
        <w:t xml:space="preserve"> </w:t>
      </w:r>
      <w:r>
        <w:rPr>
          <w:rFonts w:ascii="Ashland;sans-serif" w:hAnsi="Ashland;sans-serif"/>
          <w:color w:val="000000"/>
          <w:sz w:val="20"/>
        </w:rPr>
        <w:t>million pre-tax gain related to excess land property termination fee within the income (loss) on divestitures, net caption of the Statements of Condensed Consolidated Comprehensive Income (Loss) during the three and nine months ended June 30, 2026.</w:t>
      </w:r>
    </w:p>
    <w:p>
      <w:pPr>
        <w:pStyle w:val="TextBody"/>
        <w:bidi w:val="0"/>
        <w:spacing w:before="120" w:after="283"/>
        <w:jc w:val="both"/>
        <w:rPr>
          <w:rFonts w:ascii="Times New Roman" w:hAnsi="Times New Roman"/>
          <w:sz w:val="20"/>
        </w:rPr>
      </w:pPr>
      <w:r>
        <w:rPr>
          <w:rFonts w:ascii="Ashland;sans-serif" w:hAnsi="Ashland;sans-serif"/>
          <w:color w:val="000000"/>
          <w:sz w:val="20"/>
        </w:rPr>
        <w:t>During the nine months ended June 30, 2025, Ashland completed the sale of an excess land property with a net book value of zero. Ashland received net proceeds and recorded a pre-tax gain of $11</w:t>
      </w:r>
      <w:r>
        <w:rPr>
          <w:rFonts w:ascii="Times New Roman" w:hAnsi="Times New Roman"/>
          <w:color w:val="000000"/>
          <w:sz w:val="20"/>
        </w:rPr>
        <w:t xml:space="preserve"> </w:t>
      </w:r>
      <w:r>
        <w:rPr>
          <w:rFonts w:ascii="Ashland;sans-serif" w:hAnsi="Ashland;sans-serif"/>
          <w:color w:val="000000"/>
          <w:sz w:val="20"/>
        </w:rPr>
        <w:t>million within the income (loss) on divestitures, net caption of the Statement of Condensed Consolidated Comprehensive Income (Loss) for the nine months ended June 30, 2025.</w:t>
      </w:r>
    </w:p>
    <w:p>
      <w:pPr>
        <w:pStyle w:val="TextBody"/>
        <w:bidi w:val="0"/>
        <w:spacing w:before="120" w:after="283"/>
        <w:jc w:val="both"/>
        <w:rPr>
          <w:rFonts w:ascii="Ashland;sans-serif" w:hAnsi="Ashland;sans-serif"/>
          <w:b/>
          <w:color w:val="000000"/>
          <w:sz w:val="20"/>
        </w:rPr>
      </w:pPr>
      <w:r>
        <w:rPr>
          <w:rFonts w:ascii="Ashland;sans-serif" w:hAnsi="Ashland;sans-serif"/>
          <w:b/>
          <w:color w:val="000000"/>
          <w:sz w:val="20"/>
        </w:rPr>
        <w:t>NOTE C – DISCONTINUED OPERATIONS</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Ashland has divested certain businesses that have qualified as discontinued operations. The operating results from these divested businesses and subsequent adjustments related to ongoing assessments of certain retained liabilities and income tax items have been recorded within the loss from discontinued operations, net of income taxes caption in the Statements of Condensed Consolidated Comprehensive Income (Loss) for all periods presented.</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Due to the ongoing assessment of certain matters associated with previous divestitures, subsequent adjustments to these divestitures may continue in future periods in the loss from discontinued operations, net of income taxes caption in the Statements of Condensed Consolidated Comprehensive Income (Loss).</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The following divested businesses represent disposal groups that qualified as discontinued operations in previous periods and impacted discontinued operations for the three and nine months ended June 30, 2026 and 2025:</w:t>
      </w:r>
    </w:p>
    <w:p>
      <w:pPr>
        <w:pStyle w:val="TextBody"/>
        <w:bidi w:val="0"/>
        <w:spacing w:before="120" w:after="283"/>
        <w:jc w:val="both"/>
        <w:rPr>
          <w:color w:val="000000"/>
        </w:rPr>
      </w:pPr>
      <w:r>
        <w:rPr>
          <w:color w:val="000000"/>
        </w:rPr>
        <w:t>•</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The Performance Adhesives business divested in 2022;</w:t>
      </w:r>
    </w:p>
    <w:p>
      <w:pPr>
        <w:pStyle w:val="TextBody"/>
        <w:bidi w:val="0"/>
        <w:spacing w:before="120" w:after="283"/>
        <w:jc w:val="both"/>
        <w:rPr>
          <w:color w:val="000000"/>
        </w:rPr>
      </w:pPr>
      <w:r>
        <w:rPr>
          <w:color w:val="000000"/>
        </w:rPr>
        <w:t>•</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The sale of Ashland Water Technologies ("Water Technologies") business divested in 2014;</w:t>
      </w:r>
    </w:p>
    <w:p>
      <w:pPr>
        <w:pStyle w:val="TextBody"/>
        <w:bidi w:val="0"/>
        <w:spacing w:before="120" w:after="283"/>
        <w:jc w:val="center"/>
        <w:rPr>
          <w:rFonts w:ascii="Ashland;sans-serif" w:hAnsi="Ashland;sans-serif"/>
          <w:color w:val="000000"/>
          <w:sz w:val="20"/>
        </w:rPr>
      </w:pPr>
      <w:r>
        <w:rPr>
          <w:rFonts w:ascii="Ashland;sans-serif" w:hAnsi="Ashland;sans-serif"/>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 xml:space="preserve">The separation of Valvoline Inc. ("Valvoline") business divested in 2017; </w:t>
      </w:r>
    </w:p>
    <w:p>
      <w:pPr>
        <w:pStyle w:val="TextBody"/>
        <w:bidi w:val="0"/>
        <w:spacing w:before="120" w:after="283"/>
        <w:jc w:val="both"/>
        <w:rPr>
          <w:color w:val="000000"/>
        </w:rPr>
      </w:pPr>
      <w:r>
        <w:rPr>
          <w:color w:val="000000"/>
        </w:rPr>
        <w:t>•</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The sale of the Ashland Distribution ("Distribution") business divested in 2011; and</w:t>
      </w:r>
    </w:p>
    <w:p>
      <w:pPr>
        <w:pStyle w:val="TextBody"/>
        <w:bidi w:val="0"/>
        <w:spacing w:before="120" w:after="283"/>
        <w:jc w:val="both"/>
        <w:rPr>
          <w:color w:val="000000"/>
        </w:rPr>
      </w:pPr>
      <w:r>
        <w:rPr>
          <w:color w:val="000000"/>
        </w:rPr>
        <w:t>•</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Ashland is subject to liabilities from claims alleging personal injury caused by exposure to asbestos. Such claims result primarily from indemnification obligations undertaken in 1990 in connection with the sale of Riley Stoker Corporation ("Riley"), a former subsidiary, which qualified as a discontinued operation and from the acquisition during 2009 of Hercules LLC (formerly Hercules Incorporated) ("Hercules"), an indirect wholly-owned subsidiary of Ashland. Adjustments to the recorded asbestos litigation reserves and related insurance receivables are recorded within the loss from discontinued operations, net of income taxes caption within the Statements of Condensed Consolidated Comprehensive Income (Loss). See Note L for more information related to the adjustments on asbestos litigation reserves and receivables.</w:t>
      </w:r>
    </w:p>
    <w:p>
      <w:pPr>
        <w:pStyle w:val="TextBody"/>
        <w:bidi w:val="0"/>
        <w:spacing w:before="120" w:after="120"/>
        <w:jc w:val="both"/>
        <w:rPr>
          <w:rFonts w:ascii="Ashland;sans-serif" w:hAnsi="Ashland;sans-serif"/>
          <w:color w:val="000000"/>
          <w:sz w:val="20"/>
        </w:rPr>
      </w:pPr>
      <w:r>
        <w:rPr>
          <w:rFonts w:ascii="Ashland;sans-serif" w:hAnsi="Ashland;sans-serif"/>
          <w:color w:val="000000"/>
          <w:sz w:val="20"/>
        </w:rPr>
        <w:t>Components of amounts reflected in the Statements of Condensed Consolidated Comprehensive Income (Loss) related to discontinued operations are presented in the following table:</w:t>
      </w:r>
    </w:p>
    <w:tbl>
      <w:tblPr>
        <w:tblW w:w="7027" w:type="dxa"/>
        <w:jc w:val="left"/>
        <w:tblInd w:w="0" w:type="dxa"/>
        <w:tblLayout w:type="fixed"/>
        <w:tblCellMar>
          <w:top w:w="28" w:type="dxa"/>
          <w:left w:w="28" w:type="dxa"/>
          <w:bottom w:w="28" w:type="dxa"/>
          <w:right w:w="28" w:type="dxa"/>
        </w:tblCellMar>
      </w:tblPr>
      <w:tblGrid>
        <w:gridCol w:w="2446"/>
        <w:gridCol w:w="146"/>
        <w:gridCol w:w="278"/>
        <w:gridCol w:w="518"/>
        <w:gridCol w:w="222"/>
        <w:gridCol w:w="179"/>
        <w:gridCol w:w="278"/>
        <w:gridCol w:w="518"/>
        <w:gridCol w:w="181"/>
        <w:gridCol w:w="146"/>
        <w:gridCol w:w="263"/>
        <w:gridCol w:w="491"/>
        <w:gridCol w:w="211"/>
        <w:gridCol w:w="170"/>
        <w:gridCol w:w="263"/>
        <w:gridCol w:w="491"/>
        <w:gridCol w:w="226"/>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24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93"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Three months ended</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89"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Nine months ended</w:t>
            </w:r>
          </w:p>
        </w:tc>
        <w:tc>
          <w:tcPr>
            <w:tcW w:w="22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2026</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2025</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Performance Adhesives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Water Technologies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Valvoline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Distribution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Asbestos-related litigation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(22</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(13</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(25</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(22</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2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Ashland;sans-serif" w:hAnsi="Ashland;sans-serif"/>
          <w:b/>
          <w:color w:val="000000"/>
          <w:sz w:val="20"/>
        </w:rPr>
      </w:pPr>
      <w:r>
        <w:rPr>
          <w:rFonts w:ascii="Ashland;sans-serif" w:hAnsi="Ashland;sans-serif"/>
          <w:b/>
          <w:color w:val="000000"/>
          <w:sz w:val="20"/>
        </w:rPr>
        <w:t>NOTE D – RESTRUCTURING ACTIVITIES</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Ashland periodically implements restructuring programs related to acquisitions, divestitures and other cost reduction programs in order to enhance profitability through streamlined operations and an improved overall cost structure.</w:t>
      </w:r>
    </w:p>
    <w:p>
      <w:pPr>
        <w:pStyle w:val="TextBody"/>
        <w:bidi w:val="0"/>
        <w:spacing w:before="120" w:after="283"/>
        <w:jc w:val="both"/>
        <w:rPr>
          <w:rFonts w:ascii="Ashland;sans-serif" w:hAnsi="Ashland;sans-serif"/>
          <w:i/>
          <w:color w:val="000000"/>
          <w:sz w:val="20"/>
        </w:rPr>
      </w:pPr>
      <w:r>
        <w:rPr>
          <w:rFonts w:ascii="Ashland;sans-serif" w:hAnsi="Ashland;sans-serif"/>
          <w:i/>
          <w:color w:val="000000"/>
          <w:sz w:val="20"/>
        </w:rPr>
        <w:t>Restructuring costs</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During fiscal 2025, Ashland initiated a restructuring plan to offset the impact from the Nutraceuticals business sale completed in fiscal 2024, the Avoca business sale completed in fiscal 2025, and other portfolio optimization actions ("2025 Restructuring Program"). As a part of the 2025 Restructuring Program, Ashland is also advancing a multi-year manufacturing network optimization to improve operational cost and strengthen its competitive position. The 2025 Restructuring Program continued into fiscal 2026.</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During fiscal 2023, Ashland implemented targeted organizational restructuring actions to reduce costs ("2023 Restructuring Program"). The 2023 Restructuring Program is now completed.</w:t>
      </w:r>
    </w:p>
    <w:p>
      <w:pPr>
        <w:pStyle w:val="TextBody"/>
        <w:bidi w:val="0"/>
        <w:spacing w:before="120" w:after="120"/>
        <w:jc w:val="both"/>
        <w:rPr>
          <w:rFonts w:ascii="Ashland;sans-serif" w:hAnsi="Ashland;sans-serif"/>
          <w:color w:val="000000"/>
          <w:sz w:val="20"/>
        </w:rPr>
      </w:pPr>
      <w:r>
        <w:rPr>
          <w:rFonts w:ascii="Ashland;sans-serif" w:hAnsi="Ashland;sans-serif"/>
          <w:color w:val="000000"/>
          <w:sz w:val="20"/>
        </w:rPr>
        <w:t>The following tables detail the amount of restructuring severance expense related to these programs.</w:t>
      </w:r>
    </w:p>
    <w:tbl>
      <w:tblPr>
        <w:tblW w:w="10145" w:type="dxa"/>
        <w:jc w:val="left"/>
        <w:tblInd w:w="0" w:type="dxa"/>
        <w:tblLayout w:type="fixed"/>
        <w:tblCellMar>
          <w:top w:w="28" w:type="dxa"/>
          <w:left w:w="28" w:type="dxa"/>
          <w:bottom w:w="28" w:type="dxa"/>
          <w:right w:w="28" w:type="dxa"/>
        </w:tblCellMar>
      </w:tblPr>
      <w:tblGrid>
        <w:gridCol w:w="2731"/>
        <w:gridCol w:w="146"/>
        <w:gridCol w:w="528"/>
        <w:gridCol w:w="809"/>
        <w:gridCol w:w="341"/>
        <w:gridCol w:w="341"/>
        <w:gridCol w:w="528"/>
        <w:gridCol w:w="809"/>
        <w:gridCol w:w="181"/>
        <w:gridCol w:w="146"/>
        <w:gridCol w:w="546"/>
        <w:gridCol w:w="836"/>
        <w:gridCol w:w="352"/>
        <w:gridCol w:w="352"/>
        <w:gridCol w:w="546"/>
        <w:gridCol w:w="727"/>
        <w:gridCol w:w="226"/>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273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356"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Three months ended June 30, 2026</w:t>
            </w:r>
          </w:p>
        </w:tc>
        <w:tc>
          <w:tcPr>
            <w:tcW w:w="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3359"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Three months ended June 30, 2025</w:t>
            </w:r>
          </w:p>
        </w:tc>
        <w:tc>
          <w:tcPr>
            <w:tcW w:w="2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2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Ashland;sans-serif" w:hAnsi="Ashland;sans-serif"/>
                <w:color w:val="000000"/>
                <w:sz w:val="18"/>
              </w:rPr>
              <w:t>Severance</w:t>
              <w:br/>
              <w:t>expense</w:t>
            </w:r>
            <w:r>
              <w:rPr>
                <w:rFonts w:ascii="Ashland;sans-serif" w:hAnsi="Ashland;sans-serif"/>
                <w:color w:val="000000"/>
                <w:sz w:val="12"/>
              </w:rPr>
              <w:t>(a)</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Utilization</w:t>
              <w:br/>
              <w:t>(cash paid)</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Ashland;sans-serif" w:hAnsi="Ashland;sans-serif"/>
                <w:color w:val="000000"/>
                <w:sz w:val="18"/>
              </w:rPr>
              <w:t>Severance</w:t>
              <w:br/>
              <w:t>expense</w:t>
            </w:r>
            <w:r>
              <w:rPr>
                <w:rFonts w:ascii="Ashland;sans-serif" w:hAnsi="Ashland;sans-serif"/>
                <w:color w:val="000000"/>
                <w:sz w:val="12"/>
              </w:rPr>
              <w:t>(a)</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Utilization</w:t>
              <w:br/>
              <w:t>(cash paid)</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2025 Restructuring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2023 Restructuring Program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8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8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8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7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2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Ashland;sans-serif" w:hAnsi="Ashland;sans-serif"/>
          <w:color w:val="000000"/>
          <w:sz w:val="14"/>
        </w:rPr>
      </w:pPr>
      <w:r>
        <w:rPr>
          <w:rFonts w:ascii="Ashland;sans-serif" w:hAnsi="Ashland;sans-serif"/>
          <w:color w:val="000000"/>
          <w:sz w:val="14"/>
        </w:rPr>
        <w:t>(a)</w:t>
      </w:r>
    </w:p>
    <w:p>
      <w:pPr>
        <w:pStyle w:val="TextBody"/>
        <w:bidi w:val="0"/>
        <w:spacing w:before="120" w:after="283"/>
        <w:jc w:val="both"/>
        <w:rPr>
          <w:rFonts w:ascii="Ashland;sans-serif" w:hAnsi="Ashland;sans-serif"/>
          <w:color w:val="000000"/>
          <w:sz w:val="14"/>
        </w:rPr>
      </w:pPr>
      <w:r>
        <w:rPr>
          <w:rFonts w:ascii="Ashland;sans-serif" w:hAnsi="Ashland;sans-serif"/>
          <w:color w:val="000000"/>
          <w:sz w:val="14"/>
        </w:rPr>
        <w:t>Severance expense is recorded within the selling, general and administrative expense caption of the Statements of Condensed Consolidated Comprehensive Income (Loss) for the three months ended June 30, 2026 and 2025.</w:t>
      </w:r>
    </w:p>
    <w:p>
      <w:pPr>
        <w:pStyle w:val="TextBody"/>
        <w:bidi w:val="0"/>
        <w:jc w:val="both"/>
        <w:rPr/>
      </w:pPr>
      <w:r>
        <w:rPr/>
        <w:t> </w:t>
      </w:r>
    </w:p>
    <w:p>
      <w:pPr>
        <w:pStyle w:val="TextBody"/>
        <w:bidi w:val="0"/>
        <w:spacing w:before="120" w:after="283"/>
        <w:jc w:val="center"/>
        <w:rPr>
          <w:rFonts w:ascii="Ashland;sans-serif" w:hAnsi="Ashland;sans-serif"/>
          <w:color w:val="000000"/>
          <w:sz w:val="20"/>
        </w:rPr>
      </w:pPr>
      <w:r>
        <w:rPr>
          <w:rFonts w:ascii="Ashland;sans-serif" w:hAnsi="Ashland;sans-serif"/>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935" w:type="dxa"/>
        <w:jc w:val="left"/>
        <w:tblInd w:w="0" w:type="dxa"/>
        <w:tblLayout w:type="fixed"/>
        <w:tblCellMar>
          <w:top w:w="28" w:type="dxa"/>
          <w:left w:w="28" w:type="dxa"/>
          <w:bottom w:w="28" w:type="dxa"/>
          <w:right w:w="28" w:type="dxa"/>
        </w:tblCellMar>
      </w:tblPr>
      <w:tblGrid>
        <w:gridCol w:w="2731"/>
        <w:gridCol w:w="146"/>
        <w:gridCol w:w="578"/>
        <w:gridCol w:w="578"/>
        <w:gridCol w:w="374"/>
        <w:gridCol w:w="374"/>
        <w:gridCol w:w="578"/>
        <w:gridCol w:w="771"/>
        <w:gridCol w:w="181"/>
        <w:gridCol w:w="146"/>
        <w:gridCol w:w="475"/>
        <w:gridCol w:w="728"/>
        <w:gridCol w:w="381"/>
        <w:gridCol w:w="307"/>
        <w:gridCol w:w="475"/>
        <w:gridCol w:w="886"/>
        <w:gridCol w:w="226"/>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273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253"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Nine months ended June 30, 2026</w:t>
            </w:r>
          </w:p>
        </w:tc>
        <w:tc>
          <w:tcPr>
            <w:tcW w:w="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3252"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Nine months ended June 30, 2025</w:t>
            </w:r>
          </w:p>
        </w:tc>
        <w:tc>
          <w:tcPr>
            <w:tcW w:w="2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2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Ashland;sans-serif" w:hAnsi="Ashland;sans-serif"/>
                <w:color w:val="000000"/>
                <w:sz w:val="18"/>
              </w:rPr>
              <w:t>Severance</w:t>
              <w:br/>
              <w:t>expense</w:t>
            </w:r>
            <w:r>
              <w:rPr>
                <w:rFonts w:ascii="Ashland;sans-serif" w:hAnsi="Ashland;sans-serif"/>
                <w:color w:val="000000"/>
                <w:sz w:val="12"/>
              </w:rPr>
              <w:t>(a)</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Utilization</w:t>
              <w:br/>
              <w:t>(cash paid)</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Ashland;sans-serif" w:hAnsi="Ashland;sans-serif"/>
                <w:color w:val="000000"/>
                <w:sz w:val="18"/>
              </w:rPr>
              <w:t>Severance</w:t>
              <w:br/>
              <w:t>expense</w:t>
              <w:br/>
              <w:t>(income)</w:t>
            </w:r>
            <w:r>
              <w:rPr>
                <w:rFonts w:ascii="Ashland;sans-serif" w:hAnsi="Ashland;sans-serif"/>
                <w:color w:val="000000"/>
                <w:sz w:val="12"/>
              </w:rPr>
              <w:t>(a)</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Utilization</w:t>
              <w:br/>
              <w:t>(cash paid)</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2025 Restructuring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15</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2023 Restructuring Program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(11</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w:t>
            </w:r>
          </w:p>
        </w:tc>
        <w:tc>
          <w:tcPr>
            <w:tcW w:w="3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7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(8</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7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13</w:t>
            </w:r>
          </w:p>
        </w:tc>
        <w:tc>
          <w:tcPr>
            <w:tcW w:w="3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(18</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2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Ashland;sans-serif" w:hAnsi="Ashland;sans-serif"/>
          <w:color w:val="000000"/>
          <w:sz w:val="14"/>
        </w:rPr>
      </w:pPr>
      <w:r>
        <w:rPr>
          <w:rFonts w:ascii="Ashland;sans-serif" w:hAnsi="Ashland;sans-serif"/>
          <w:color w:val="000000"/>
          <w:sz w:val="14"/>
        </w:rPr>
        <w:t>(a)</w:t>
      </w:r>
    </w:p>
    <w:p>
      <w:pPr>
        <w:pStyle w:val="TextBody"/>
        <w:bidi w:val="0"/>
        <w:spacing w:before="120" w:after="283"/>
        <w:jc w:val="both"/>
        <w:rPr>
          <w:rFonts w:ascii="Ashland;sans-serif" w:hAnsi="Ashland;sans-serif"/>
          <w:color w:val="000000"/>
          <w:sz w:val="14"/>
        </w:rPr>
      </w:pPr>
      <w:r>
        <w:rPr>
          <w:rFonts w:ascii="Ashland;sans-serif" w:hAnsi="Ashland;sans-serif"/>
          <w:color w:val="000000"/>
          <w:sz w:val="14"/>
        </w:rPr>
        <w:t>Severance expense (income) is recorded within the selling, general and administrative expense caption of the Statements of Condensed Consolidated Comprehensive Income (Loss) for the nine months ended June 30, 2026 and 2025.</w:t>
      </w:r>
    </w:p>
    <w:p>
      <w:pPr>
        <w:pStyle w:val="TextBody"/>
        <w:bidi w:val="0"/>
        <w:spacing w:before="120" w:after="120"/>
        <w:jc w:val="both"/>
        <w:rPr>
          <w:rFonts w:ascii="Ashland;sans-serif" w:hAnsi="Ashland;sans-serif"/>
          <w:color w:val="000000"/>
          <w:sz w:val="20"/>
        </w:rPr>
      </w:pPr>
      <w:r>
        <w:rPr>
          <w:rFonts w:ascii="Ashland;sans-serif" w:hAnsi="Ashland;sans-serif"/>
          <w:color w:val="000000"/>
          <w:sz w:val="20"/>
        </w:rPr>
        <w:t>The following table details at June 30, 2026, the amount of restructuring severance liabilities related to these programs.</w:t>
      </w:r>
    </w:p>
    <w:tbl>
      <w:tblPr>
        <w:tblW w:w="6897" w:type="dxa"/>
        <w:jc w:val="left"/>
        <w:tblInd w:w="0" w:type="dxa"/>
        <w:tblLayout w:type="fixed"/>
        <w:tblCellMar>
          <w:top w:w="28" w:type="dxa"/>
          <w:left w:w="28" w:type="dxa"/>
          <w:bottom w:w="28" w:type="dxa"/>
          <w:right w:w="28" w:type="dxa"/>
        </w:tblCellMar>
      </w:tblPr>
      <w:tblGrid>
        <w:gridCol w:w="3496"/>
        <w:gridCol w:w="146"/>
        <w:gridCol w:w="579"/>
        <w:gridCol w:w="772"/>
        <w:gridCol w:w="181"/>
        <w:gridCol w:w="146"/>
        <w:gridCol w:w="533"/>
        <w:gridCol w:w="818"/>
        <w:gridCol w:w="22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4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35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2025</w:t>
              <w:br/>
              <w:t>Restructuring</w:t>
              <w:br/>
              <w:t>Program</w:t>
            </w:r>
          </w:p>
        </w:tc>
        <w:tc>
          <w:tcPr>
            <w:tcW w:w="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35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2023</w:t>
              <w:br/>
              <w:t>Restructuring</w:t>
              <w:br/>
              <w:t>Program</w:t>
            </w:r>
          </w:p>
        </w:tc>
        <w:tc>
          <w:tcPr>
            <w:tcW w:w="2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shland;sans-serif" w:hAnsi="Ashland;sans-serif"/>
                <w:b/>
                <w:color w:val="000000"/>
                <w:sz w:val="18"/>
              </w:rPr>
              <w:t>Balance at September 30, 2025</w:t>
            </w:r>
            <w:r>
              <w:rPr>
                <w:rFonts w:ascii="Ashland;sans-serif" w:hAnsi="Ashland;sans-serif"/>
                <w:b/>
                <w:color w:val="000000"/>
                <w:sz w:val="12"/>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Restructuring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Utilization (cash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shland;sans-serif" w:hAnsi="Ashland;sans-serif"/>
                <w:b/>
                <w:color w:val="000000"/>
                <w:sz w:val="18"/>
              </w:rPr>
              <w:t>Balance at June 30, 2026</w:t>
            </w:r>
            <w:r>
              <w:rPr>
                <w:rFonts w:ascii="Ashland;sans-serif" w:hAnsi="Ashland;sans-serif"/>
                <w:b/>
                <w:color w:val="000000"/>
                <w:sz w:val="12"/>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7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8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Ashland;sans-serif" w:hAnsi="Ashland;sans-serif"/>
          <w:color w:val="000000"/>
          <w:sz w:val="14"/>
        </w:rPr>
      </w:pPr>
      <w:r>
        <w:rPr>
          <w:rFonts w:ascii="Ashland;sans-serif" w:hAnsi="Ashland;sans-serif"/>
          <w:color w:val="000000"/>
          <w:sz w:val="14"/>
        </w:rPr>
        <w:t>(a)</w:t>
      </w:r>
    </w:p>
    <w:p>
      <w:pPr>
        <w:pStyle w:val="TextBody"/>
        <w:bidi w:val="0"/>
        <w:spacing w:before="120" w:after="283"/>
        <w:jc w:val="both"/>
        <w:rPr>
          <w:rFonts w:ascii="Ashland;sans-serif" w:hAnsi="Ashland;sans-serif"/>
          <w:color w:val="000000"/>
          <w:sz w:val="14"/>
        </w:rPr>
      </w:pPr>
      <w:r>
        <w:rPr>
          <w:rFonts w:ascii="Ashland;sans-serif" w:hAnsi="Ashland;sans-serif"/>
          <w:color w:val="000000"/>
          <w:sz w:val="14"/>
        </w:rPr>
        <w:t>The restructuring severance liabilities associated with these programs is recorded within accrued expenses and other liabilities in the Condensed Consolidated Balance Sheets at June 30, 2026 and September 30, 2025.</w:t>
      </w:r>
    </w:p>
    <w:p>
      <w:pPr>
        <w:pStyle w:val="TextBody"/>
        <w:bidi w:val="0"/>
        <w:spacing w:before="120" w:after="283"/>
        <w:jc w:val="both"/>
        <w:rPr>
          <w:rFonts w:ascii="Ashland;sans-serif" w:hAnsi="Ashland;sans-serif"/>
          <w:i/>
          <w:color w:val="000000"/>
          <w:sz w:val="20"/>
        </w:rPr>
      </w:pPr>
      <w:r>
        <w:rPr>
          <w:rFonts w:ascii="Ashland;sans-serif" w:hAnsi="Ashland;sans-serif"/>
          <w:i/>
          <w:color w:val="000000"/>
          <w:sz w:val="20"/>
        </w:rPr>
        <w:t>Plant optimization actions</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Ashland's portfolio optimization actions have included manufacturing network optimization projects associated with carboxymethylcellulose ("CMC"), industrial methylcellulose ("MC"), vinyl pyrrolidone and derivatives ("VP&amp;D") and hydroxyethylcellulose ("HEC").</w:t>
      </w:r>
    </w:p>
    <w:p>
      <w:pPr>
        <w:pStyle w:val="TextBody"/>
        <w:bidi w:val="0"/>
        <w:spacing w:before="120" w:after="283"/>
        <w:jc w:val="both"/>
        <w:rPr>
          <w:rFonts w:ascii="Times New Roman" w:hAnsi="Times New Roman"/>
          <w:sz w:val="20"/>
        </w:rPr>
      </w:pPr>
      <w:r>
        <w:rPr>
          <w:rFonts w:ascii="Ashland;sans-serif" w:hAnsi="Ashland;sans-serif"/>
          <w:color w:val="000000"/>
          <w:sz w:val="20"/>
        </w:rPr>
        <w:t>During the three and nine months ended June 30, 2026, Ashland incurred zero</w:t>
      </w:r>
      <w:r>
        <w:rPr>
          <w:rFonts w:ascii="Times New Roman" w:hAnsi="Times New Roman"/>
          <w:color w:val="000000"/>
          <w:sz w:val="20"/>
        </w:rPr>
        <w:t xml:space="preserve"> </w:t>
      </w:r>
      <w:r>
        <w:rPr>
          <w:rFonts w:ascii="Ashland;sans-serif" w:hAnsi="Ashland;sans-serif"/>
          <w:color w:val="000000"/>
          <w:sz w:val="20"/>
        </w:rPr>
        <w:t>and $4</w:t>
      </w:r>
      <w:r>
        <w:rPr>
          <w:rFonts w:ascii="Times New Roman" w:hAnsi="Times New Roman"/>
          <w:color w:val="000000"/>
          <w:sz w:val="20"/>
        </w:rPr>
        <w:t xml:space="preserve"> </w:t>
      </w:r>
      <w:r>
        <w:rPr>
          <w:rFonts w:ascii="Ashland;sans-serif" w:hAnsi="Ashland;sans-serif"/>
          <w:color w:val="000000"/>
          <w:sz w:val="20"/>
        </w:rPr>
        <w:t>million of accelerated depreciation for product line optimization activities associated with a Specialty Additives manufacturing facility, which was recorded within the cost of sales caption of the Statements of Condensed Consolidated Comprehensive Income (Loss).</w:t>
      </w:r>
    </w:p>
    <w:p>
      <w:pPr>
        <w:pStyle w:val="TextBody"/>
        <w:bidi w:val="0"/>
        <w:spacing w:before="120" w:after="283"/>
        <w:jc w:val="both"/>
        <w:rPr>
          <w:rFonts w:ascii="Times New Roman" w:hAnsi="Times New Roman"/>
          <w:sz w:val="20"/>
        </w:rPr>
      </w:pPr>
      <w:r>
        <w:rPr>
          <w:rFonts w:ascii="Ashland;sans-serif" w:hAnsi="Ashland;sans-serif"/>
          <w:color w:val="000000"/>
          <w:sz w:val="20"/>
        </w:rPr>
        <w:t>During the three and nine months ended June 30, 2025, Ashland incurred $27</w:t>
      </w:r>
      <w:r>
        <w:rPr>
          <w:rFonts w:ascii="Times New Roman" w:hAnsi="Times New Roman"/>
          <w:color w:val="000000"/>
          <w:sz w:val="20"/>
        </w:rPr>
        <w:t xml:space="preserve"> </w:t>
      </w:r>
      <w:r>
        <w:rPr>
          <w:rFonts w:ascii="Ashland;sans-serif" w:hAnsi="Ashland;sans-serif"/>
          <w:color w:val="000000"/>
          <w:sz w:val="20"/>
        </w:rPr>
        <w:t>million and $40</w:t>
      </w:r>
      <w:r>
        <w:rPr>
          <w:rFonts w:ascii="Times New Roman" w:hAnsi="Times New Roman"/>
          <w:color w:val="000000"/>
          <w:sz w:val="20"/>
        </w:rPr>
        <w:t xml:space="preserve"> </w:t>
      </w:r>
      <w:r>
        <w:rPr>
          <w:rFonts w:ascii="Ashland;sans-serif" w:hAnsi="Ashland;sans-serif"/>
          <w:color w:val="000000"/>
          <w:sz w:val="20"/>
        </w:rPr>
        <w:t>million, respectively, of accelerated depreciation for product line optimization activities associated with Life Sciences, Personal Care and Specialty Additives manufacturing facilities, which was recorded within the cost of sales caption of the Statements of Condensed Consolidated Comprehensive Income (Loss).</w:t>
      </w:r>
    </w:p>
    <w:p>
      <w:pPr>
        <w:pStyle w:val="TextBody"/>
        <w:bidi w:val="0"/>
        <w:spacing w:before="120" w:after="283"/>
        <w:jc w:val="both"/>
        <w:rPr>
          <w:rFonts w:ascii="Ashland;sans-serif" w:hAnsi="Ashland;sans-serif"/>
          <w:b/>
          <w:color w:val="000000"/>
          <w:sz w:val="20"/>
        </w:rPr>
      </w:pPr>
      <w:r>
        <w:rPr>
          <w:rFonts w:ascii="Ashland;sans-serif" w:hAnsi="Ashland;sans-serif"/>
          <w:b/>
          <w:color w:val="000000"/>
          <w:sz w:val="20"/>
        </w:rPr>
        <w:t>NOTE E – FAIR VALUE MEASUREMENTS</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As required by U.S. GAAP, Ashland uses applicable guidance for defining fair value, the initial recording and periodic remeasurement of certain assets and liabilities measured at fair value and related disclosures for instruments measured at fair value. Fair value accounting guidance establishes a fair value hierarchy, which prioritizes the inputs to valuation techniques used to measure fair value into three broad levels. The fair value hierarchy gives the highest priority to quoted prices in active markets for identical assets or liabilities (Level 1) and the lowest priority to unobservable inputs (Level 3). An instrument’s categorization within the fair value hierarchy is based upon the lowest level of input that is significant to the instrument’s fair value measurement. The three levels within the fair value hierarchy are described as follows.</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Level 1 – Observable inputs such as unadjusted quoted prices in active markets for identical assets or liabilities.</w:t>
      </w:r>
    </w:p>
    <w:p>
      <w:pPr>
        <w:pStyle w:val="TextBody"/>
        <w:bidi w:val="0"/>
        <w:spacing w:before="120" w:after="283"/>
        <w:jc w:val="center"/>
        <w:rPr>
          <w:rFonts w:ascii="Ashland;sans-serif" w:hAnsi="Ashland;sans-serif"/>
          <w:color w:val="000000"/>
          <w:sz w:val="20"/>
        </w:rPr>
      </w:pPr>
      <w:r>
        <w:rPr>
          <w:rFonts w:ascii="Ashland;sans-serif" w:hAnsi="Ashland;sans-serif"/>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Level 2 – Inputs other than quoted prices included within Level 1 that are observable for the asset or liability, either directly or indirectly. These include quoted prices for similar assets or liabilities in active markets and quoted prices for identical or similar assets or liabilities in markets that are not active.</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Level 3 – Unobservable inputs for the asset or liability for which there is little, if any, market activity at the measurement date. Unobservable inputs reflect Ashland’s own assumptions about what market participants would use to price the asset or liability. The inputs are developed based on the best information available in the circumstances, which might include Ashland’s own financial data such as internally developed pricing models, discounted cash flow methodologies, as well as instruments for which the fair value determination requires significant management judgment.</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For assets that are measured using quoted prices in active markets (Level 1), the total fair value is the published market price per unit multiplied by the number of units held without consideration of transaction costs. Assets and liabilities that are measured using significant other observable inputs (Level 2) are primarily valued by reference to quoted prices of similar assets or liabilities in active markets, adjusted for any terms specific to that asset or liability. For all other assets and liabilities for which unobservable inputs are used (Level 3), fair value is derived through the use of fair value models, such as a discounted cash flow model or other standard pricing models that Ashland deems reasonable.</w:t>
      </w:r>
    </w:p>
    <w:p>
      <w:pPr>
        <w:pStyle w:val="TextBody"/>
        <w:bidi w:val="0"/>
        <w:spacing w:before="120" w:after="120"/>
        <w:jc w:val="both"/>
        <w:rPr>
          <w:rFonts w:ascii="Ashland;sans-serif" w:hAnsi="Ashland;sans-serif"/>
          <w:color w:val="000000"/>
          <w:sz w:val="20"/>
        </w:rPr>
      </w:pPr>
      <w:r>
        <w:rPr>
          <w:rFonts w:ascii="Ashland;sans-serif" w:hAnsi="Ashland;sans-serif"/>
          <w:color w:val="000000"/>
          <w:sz w:val="20"/>
        </w:rPr>
        <w:t>The following table summarizes financial instruments subject to recurring fair value measurements as of June 30, 2026:</w:t>
      </w:r>
    </w:p>
    <w:tbl>
      <w:tblPr>
        <w:tblW w:w="9652" w:type="dxa"/>
        <w:jc w:val="left"/>
        <w:tblInd w:w="0" w:type="dxa"/>
        <w:tblLayout w:type="fixed"/>
        <w:tblCellMar>
          <w:top w:w="28" w:type="dxa"/>
          <w:left w:w="28" w:type="dxa"/>
          <w:bottom w:w="28" w:type="dxa"/>
          <w:right w:w="28" w:type="dxa"/>
        </w:tblCellMar>
      </w:tblPr>
      <w:tblGrid>
        <w:gridCol w:w="4096"/>
        <w:gridCol w:w="146"/>
        <w:gridCol w:w="284"/>
        <w:gridCol w:w="587"/>
        <w:gridCol w:w="146"/>
        <w:gridCol w:w="146"/>
        <w:gridCol w:w="304"/>
        <w:gridCol w:w="626"/>
        <w:gridCol w:w="146"/>
        <w:gridCol w:w="146"/>
        <w:gridCol w:w="245"/>
        <w:gridCol w:w="505"/>
        <w:gridCol w:w="146"/>
        <w:gridCol w:w="146"/>
        <w:gridCol w:w="296"/>
        <w:gridCol w:w="454"/>
        <w:gridCol w:w="146"/>
        <w:gridCol w:w="146"/>
        <w:gridCol w:w="296"/>
        <w:gridCol w:w="454"/>
        <w:gridCol w:w="191"/>
      </w:tblGrid>
      <w:tr>
        <w:trPr/>
        <w:tc>
          <w:tcPr>
            <w:tcW w:w="4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7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Carrying</w:t>
              <w:br/>
              <w:t>value</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93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Total</w:t>
              <w:br/>
              <w:t>fair value</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75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Level 1</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75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Level 2</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75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Level 3</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shland;sans-serif" w:hAnsi="Ashland;sans-serif"/>
                <w:color w:val="000000"/>
                <w:sz w:val="18"/>
              </w:rPr>
              <w:t>Restricted investments</w:t>
            </w:r>
            <w:r>
              <w:rPr>
                <w:rFonts w:ascii="Ashland;sans-serif" w:hAnsi="Ashland;sans-serif"/>
                <w:color w:val="000000"/>
                <w:sz w:val="12"/>
              </w:rPr>
              <w:t>(a)(b)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shland;sans-serif" w:hAnsi="Ashland;sans-serif"/>
                <w:color w:val="000000"/>
                <w:sz w:val="18"/>
              </w:rPr>
              <w:t>Investment of captive insurance company</w:t>
            </w:r>
            <w:r>
              <w:rPr>
                <w:rFonts w:ascii="Ashland;sans-serif" w:hAnsi="Ashland;sans-serif"/>
                <w:color w:val="000000"/>
                <w:sz w:val="12"/>
              </w:rPr>
              <w: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Total assets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shland;sans-serif" w:hAnsi="Ashland;sans-serif"/>
                <w:color w:val="000000"/>
                <w:sz w:val="18"/>
              </w:rPr>
              <w:t>Foreign currency derivatives</w:t>
            </w:r>
            <w:r>
              <w:rPr>
                <w:rFonts w:ascii="Ashland;sans-serif" w:hAnsi="Ashland;sans-serif"/>
                <w:color w:val="000000"/>
                <w:sz w:val="12"/>
              </w:rPr>
              <w: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shland;sans-serif" w:hAnsi="Ashland;sans-serif"/>
                <w:color w:val="000000"/>
                <w:sz w:val="18"/>
              </w:rPr>
              <w:t>Commodity derivatives</w:t>
            </w:r>
            <w:r>
              <w:rPr>
                <w:rFonts w:ascii="Ashland;sans-serif" w:hAnsi="Ashland;sans-serif"/>
                <w:color w:val="000000"/>
                <w:sz w:val="12"/>
              </w:rPr>
              <w: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Total liabilities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Ashland;sans-serif" w:hAnsi="Ashland;sans-serif"/>
          <w:color w:val="000000"/>
          <w:sz w:val="14"/>
        </w:rPr>
      </w:pPr>
      <w:r>
        <w:rPr>
          <w:rFonts w:ascii="Ashland;sans-serif" w:hAnsi="Ashland;sans-serif"/>
          <w:color w:val="000000"/>
          <w:sz w:val="14"/>
        </w:rPr>
        <w:t>(a)</w:t>
      </w:r>
    </w:p>
    <w:p>
      <w:pPr>
        <w:pStyle w:val="TextBody"/>
        <w:bidi w:val="0"/>
        <w:spacing w:before="120" w:after="283"/>
        <w:jc w:val="both"/>
        <w:rPr/>
      </w:pPr>
      <w:r>
        <w:rPr>
          <w:rFonts w:ascii="Ashland;sans-serif" w:hAnsi="Ashland;sans-serif"/>
          <w:color w:val="000000"/>
          <w:sz w:val="14"/>
        </w:rPr>
        <w:t>Includes $285</w:t>
      </w:r>
      <w:r>
        <w:rPr>
          <w:color w:val="000000"/>
        </w:rPr>
        <w:t xml:space="preserve"> </w:t>
      </w:r>
      <w:r>
        <w:rPr>
          <w:rFonts w:ascii="Ashland;sans-serif" w:hAnsi="Ashland;sans-serif"/>
          <w:color w:val="000000"/>
          <w:sz w:val="14"/>
        </w:rPr>
        <w:t>million within restricted investments and $47</w:t>
      </w:r>
      <w:r>
        <w:rPr>
          <w:color w:val="000000"/>
        </w:rPr>
        <w:t xml:space="preserve"> </w:t>
      </w:r>
      <w:r>
        <w:rPr>
          <w:rFonts w:ascii="Ashland;sans-serif" w:hAnsi="Ashland;sans-serif"/>
          <w:color w:val="000000"/>
          <w:sz w:val="14"/>
        </w:rPr>
        <w:t>million within other current assets in the Condensed Consolidated Balance Sheet.</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(b)</w:t>
      </w:r>
    </w:p>
    <w:p>
      <w:pPr>
        <w:pStyle w:val="TextBody"/>
        <w:bidi w:val="0"/>
        <w:spacing w:before="40" w:after="283"/>
        <w:jc w:val="both"/>
        <w:rPr/>
      </w:pPr>
      <w:r>
        <w:rPr>
          <w:rFonts w:ascii="Ashland;sans-serif" w:hAnsi="Ashland;sans-serif"/>
          <w:color w:val="000000"/>
          <w:sz w:val="14"/>
        </w:rPr>
        <w:t>Includes $220</w:t>
      </w:r>
      <w:r>
        <w:rPr>
          <w:color w:val="000000"/>
        </w:rPr>
        <w:t xml:space="preserve"> </w:t>
      </w:r>
      <w:r>
        <w:rPr>
          <w:rFonts w:ascii="Ashland;sans-serif" w:hAnsi="Ashland;sans-serif"/>
          <w:color w:val="000000"/>
          <w:sz w:val="14"/>
        </w:rPr>
        <w:t>million related to the Asbestos trust and $112</w:t>
      </w:r>
      <w:r>
        <w:rPr>
          <w:color w:val="000000"/>
        </w:rPr>
        <w:t xml:space="preserve"> </w:t>
      </w:r>
      <w:r>
        <w:rPr>
          <w:rFonts w:ascii="Ashland;sans-serif" w:hAnsi="Ashland;sans-serif"/>
          <w:color w:val="000000"/>
          <w:sz w:val="14"/>
        </w:rPr>
        <w:t>million related to the Environmental trust.</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(c)</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Included in other noncurrent assets in the Condensed Consolidated Balance Sheet.</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(d)</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Included in accrued expenses and other liabilities in the Condensed Consolidated Balance Sheet.</w:t>
      </w:r>
    </w:p>
    <w:p>
      <w:pPr>
        <w:pStyle w:val="TextBody"/>
        <w:bidi w:val="0"/>
        <w:spacing w:before="120" w:after="283"/>
        <w:jc w:val="center"/>
        <w:rPr>
          <w:rFonts w:ascii="Ashland;sans-serif" w:hAnsi="Ashland;sans-serif"/>
          <w:color w:val="000000"/>
          <w:sz w:val="20"/>
        </w:rPr>
      </w:pPr>
      <w:r>
        <w:rPr>
          <w:rFonts w:ascii="Ashland;sans-serif" w:hAnsi="Ashland;sans-serif"/>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Ashland;sans-serif" w:hAnsi="Ashland;sans-serif"/>
          <w:color w:val="000000"/>
          <w:sz w:val="20"/>
        </w:rPr>
      </w:pPr>
      <w:r>
        <w:rPr>
          <w:rFonts w:ascii="Ashland;sans-serif" w:hAnsi="Ashland;sans-serif"/>
          <w:color w:val="000000"/>
          <w:sz w:val="20"/>
        </w:rPr>
        <w:t>The following table summarizes financial instruments subject to recurring fair value measurements as of September 30, 2025:</w:t>
      </w:r>
    </w:p>
    <w:tbl>
      <w:tblPr>
        <w:tblW w:w="10191" w:type="dxa"/>
        <w:jc w:val="left"/>
        <w:tblInd w:w="0" w:type="dxa"/>
        <w:tblLayout w:type="fixed"/>
        <w:tblCellMar>
          <w:top w:w="28" w:type="dxa"/>
          <w:left w:w="28" w:type="dxa"/>
          <w:bottom w:w="28" w:type="dxa"/>
          <w:right w:w="28" w:type="dxa"/>
        </w:tblCellMar>
      </w:tblPr>
      <w:tblGrid>
        <w:gridCol w:w="4096"/>
        <w:gridCol w:w="146"/>
        <w:gridCol w:w="460"/>
        <w:gridCol w:w="950"/>
        <w:gridCol w:w="146"/>
        <w:gridCol w:w="146"/>
        <w:gridCol w:w="304"/>
        <w:gridCol w:w="626"/>
        <w:gridCol w:w="146"/>
        <w:gridCol w:w="146"/>
        <w:gridCol w:w="245"/>
        <w:gridCol w:w="505"/>
        <w:gridCol w:w="146"/>
        <w:gridCol w:w="146"/>
        <w:gridCol w:w="296"/>
        <w:gridCol w:w="454"/>
        <w:gridCol w:w="146"/>
        <w:gridCol w:w="146"/>
        <w:gridCol w:w="296"/>
        <w:gridCol w:w="454"/>
        <w:gridCol w:w="191"/>
      </w:tblGrid>
      <w:tr>
        <w:trPr/>
        <w:tc>
          <w:tcPr>
            <w:tcW w:w="4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1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Carrying value</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93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Total</w:t>
              <w:br/>
              <w:t>fair value</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75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Level 1</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75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Level 2</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75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Level 3</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shland;sans-serif" w:hAnsi="Ashland;sans-serif"/>
                <w:color w:val="000000"/>
                <w:sz w:val="18"/>
              </w:rPr>
              <w:t>Restricted investments</w:t>
            </w:r>
            <w:r>
              <w:rPr>
                <w:rFonts w:ascii="Ashland;sans-serif" w:hAnsi="Ashland;sans-serif"/>
                <w:color w:val="000000"/>
                <w:sz w:val="12"/>
              </w:rPr>
              <w:t>(a)(b)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shland;sans-serif" w:hAnsi="Ashland;sans-serif"/>
                <w:color w:val="000000"/>
                <w:sz w:val="18"/>
              </w:rPr>
              <w:t>Investment of captive insurance company</w:t>
            </w:r>
            <w:r>
              <w:rPr>
                <w:rFonts w:ascii="Ashland;sans-serif" w:hAnsi="Ashland;sans-serif"/>
                <w:color w:val="000000"/>
                <w:sz w:val="12"/>
              </w:rPr>
              <w: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shland;sans-serif" w:hAnsi="Ashland;sans-serif"/>
                <w:color w:val="000000"/>
                <w:sz w:val="18"/>
              </w:rPr>
              <w:t>Commodity derivatives</w:t>
            </w:r>
            <w:r>
              <w:rPr>
                <w:rFonts w:ascii="Ashland;sans-serif" w:hAnsi="Ashland;sans-serif"/>
                <w:color w:val="000000"/>
                <w:sz w:val="12"/>
              </w:rPr>
              <w: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Total assets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9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shland;sans-serif" w:hAnsi="Ashland;sans-serif"/>
                <w:color w:val="000000"/>
                <w:sz w:val="18"/>
              </w:rPr>
              <w:t>Foreign currency derivatives</w:t>
            </w:r>
            <w:r>
              <w:rPr>
                <w:rFonts w:ascii="Ashland;sans-serif" w:hAnsi="Ashland;sans-serif"/>
                <w:color w:val="000000"/>
                <w:sz w:val="12"/>
              </w:rPr>
              <w: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shland;sans-serif" w:hAnsi="Ashland;sans-serif"/>
                <w:color w:val="000000"/>
                <w:sz w:val="18"/>
              </w:rPr>
              <w:t>Commodity derivatives</w:t>
            </w:r>
            <w:r>
              <w:rPr>
                <w:rFonts w:ascii="Ashland;sans-serif" w:hAnsi="Ashland;sans-serif"/>
                <w:color w:val="000000"/>
                <w:sz w:val="12"/>
              </w:rPr>
              <w: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Total liabilities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9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Ashland;sans-serif" w:hAnsi="Ashland;sans-serif"/>
          <w:color w:val="000000"/>
          <w:sz w:val="14"/>
        </w:rPr>
      </w:pPr>
      <w:r>
        <w:rPr>
          <w:rFonts w:ascii="Ashland;sans-serif" w:hAnsi="Ashland;sans-serif"/>
          <w:color w:val="000000"/>
          <w:sz w:val="14"/>
        </w:rPr>
        <w:t>(a)</w:t>
      </w:r>
    </w:p>
    <w:p>
      <w:pPr>
        <w:pStyle w:val="TextBody"/>
        <w:bidi w:val="0"/>
        <w:spacing w:before="120" w:after="283"/>
        <w:jc w:val="both"/>
        <w:rPr>
          <w:rFonts w:ascii="Ashland;sans-serif" w:hAnsi="Ashland;sans-serif"/>
          <w:sz w:val="20"/>
        </w:rPr>
      </w:pPr>
      <w:r>
        <w:rPr>
          <w:rFonts w:ascii="Ashland;sans-serif" w:hAnsi="Ashland;sans-serif"/>
          <w:color w:val="000000"/>
          <w:sz w:val="14"/>
        </w:rPr>
        <w:t>Includes $297</w:t>
      </w:r>
      <w:r>
        <w:rPr>
          <w:rFonts w:ascii="Ashland;sans-serif" w:hAnsi="Ashland;sans-serif"/>
          <w:color w:val="000000"/>
          <w:sz w:val="20"/>
        </w:rPr>
        <w:t xml:space="preserve"> </w:t>
      </w:r>
      <w:r>
        <w:rPr>
          <w:rFonts w:ascii="Ashland;sans-serif" w:hAnsi="Ashland;sans-serif"/>
          <w:color w:val="000000"/>
          <w:sz w:val="14"/>
        </w:rPr>
        <w:t>million within restricted investments and $50</w:t>
      </w:r>
      <w:r>
        <w:rPr>
          <w:rFonts w:ascii="Ashland;sans-serif" w:hAnsi="Ashland;sans-serif"/>
          <w:color w:val="000000"/>
          <w:sz w:val="20"/>
        </w:rPr>
        <w:t xml:space="preserve"> </w:t>
      </w:r>
      <w:r>
        <w:rPr>
          <w:rFonts w:ascii="Ashland;sans-serif" w:hAnsi="Ashland;sans-serif"/>
          <w:color w:val="000000"/>
          <w:sz w:val="14"/>
        </w:rPr>
        <w:t>million within other current assets in the Condensed Consolidated Balance Sheet.</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(b)</w:t>
      </w:r>
    </w:p>
    <w:p>
      <w:pPr>
        <w:pStyle w:val="TextBody"/>
        <w:bidi w:val="0"/>
        <w:spacing w:before="40" w:after="283"/>
        <w:jc w:val="both"/>
        <w:rPr>
          <w:rFonts w:ascii="Ashland;sans-serif" w:hAnsi="Ashland;sans-serif"/>
          <w:sz w:val="20"/>
        </w:rPr>
      </w:pPr>
      <w:r>
        <w:rPr>
          <w:rFonts w:ascii="Ashland;sans-serif" w:hAnsi="Ashland;sans-serif"/>
          <w:color w:val="000000"/>
          <w:sz w:val="14"/>
        </w:rPr>
        <w:t>Includes $231</w:t>
      </w:r>
      <w:r>
        <w:rPr>
          <w:rFonts w:ascii="Ashland;sans-serif" w:hAnsi="Ashland;sans-serif"/>
          <w:color w:val="000000"/>
          <w:sz w:val="20"/>
        </w:rPr>
        <w:t xml:space="preserve"> </w:t>
      </w:r>
      <w:r>
        <w:rPr>
          <w:rFonts w:ascii="Ashland;sans-serif" w:hAnsi="Ashland;sans-serif"/>
          <w:color w:val="000000"/>
          <w:sz w:val="14"/>
        </w:rPr>
        <w:t>million related to the Asbestos trust and $116</w:t>
      </w:r>
      <w:r>
        <w:rPr>
          <w:rFonts w:ascii="Ashland;sans-serif" w:hAnsi="Ashland;sans-serif"/>
          <w:color w:val="000000"/>
          <w:sz w:val="20"/>
        </w:rPr>
        <w:t xml:space="preserve"> </w:t>
      </w:r>
      <w:r>
        <w:rPr>
          <w:rFonts w:ascii="Ashland;sans-serif" w:hAnsi="Ashland;sans-serif"/>
          <w:color w:val="000000"/>
          <w:sz w:val="14"/>
        </w:rPr>
        <w:t>million related to the Environmental trust.</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(c)</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Included in other noncurrent assets in the Condensed Consolidated Balance Sheet.</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(d)</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Included in accounts receivable, net in the Condensed Consolidated Balance Sheet.</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(e)</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Included in accrued expenses and other liabilities in the Condensed Consolidated Balance Sheet.</w:t>
      </w:r>
    </w:p>
    <w:p>
      <w:pPr>
        <w:pStyle w:val="TextBody"/>
        <w:bidi w:val="0"/>
        <w:spacing w:before="120" w:after="283"/>
        <w:jc w:val="both"/>
        <w:rPr>
          <w:rFonts w:ascii="Ashland;sans-serif" w:hAnsi="Ashland;sans-serif"/>
          <w:b/>
          <w:color w:val="000000"/>
          <w:sz w:val="20"/>
        </w:rPr>
      </w:pPr>
      <w:r>
        <w:rPr>
          <w:rFonts w:ascii="Ashland;sans-serif" w:hAnsi="Ashland;sans-serif"/>
          <w:b/>
          <w:color w:val="000000"/>
          <w:sz w:val="20"/>
        </w:rPr>
        <w:t>Restricted investments</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Ashland maintains certain investments in Company restricted renewable annual trusts for the purpose of paying future asbestos indemnity and defense costs and future environmental remediation and related litigation costs. The financial instruments are designated as investment securities, classified as Level 1 measurements within the fair value hierarchy.</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The following table presents gross unrealized gains and losses for the restricted investments as of:</w:t>
      </w:r>
    </w:p>
    <w:p>
      <w:pPr>
        <w:pStyle w:val="TextBody"/>
        <w:bidi w:val="0"/>
        <w:jc w:val="both"/>
        <w:rPr/>
      </w:pPr>
      <w:r>
        <w:rPr/>
        <w:t> </w:t>
      </w:r>
    </w:p>
    <w:tbl>
      <w:tblPr>
        <w:tblW w:w="7702" w:type="dxa"/>
        <w:jc w:val="left"/>
        <w:tblInd w:w="0" w:type="dxa"/>
        <w:tblLayout w:type="fixed"/>
        <w:tblCellMar>
          <w:top w:w="28" w:type="dxa"/>
          <w:left w:w="28" w:type="dxa"/>
          <w:bottom w:w="28" w:type="dxa"/>
          <w:right w:w="28" w:type="dxa"/>
        </w:tblCellMar>
      </w:tblPr>
      <w:tblGrid>
        <w:gridCol w:w="2506"/>
        <w:gridCol w:w="146"/>
        <w:gridCol w:w="294"/>
        <w:gridCol w:w="607"/>
        <w:gridCol w:w="146"/>
        <w:gridCol w:w="146"/>
        <w:gridCol w:w="408"/>
        <w:gridCol w:w="628"/>
        <w:gridCol w:w="146"/>
        <w:gridCol w:w="146"/>
        <w:gridCol w:w="361"/>
        <w:gridCol w:w="675"/>
        <w:gridCol w:w="181"/>
        <w:gridCol w:w="146"/>
        <w:gridCol w:w="318"/>
        <w:gridCol w:w="657"/>
        <w:gridCol w:w="191"/>
      </w:tblGrid>
      <w:tr>
        <w:trPr/>
        <w:tc>
          <w:tcPr>
            <w:tcW w:w="2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0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01"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036"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Gross</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036"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Gross</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975"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Adjusted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unrealized</w:t>
              <w:br/>
              <w:t>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unrealized</w:t>
              <w:br/>
              <w:t>loss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Demand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Equity mutual fund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162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Fixed income mutual fund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168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(33</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332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Demand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Equity mutual fund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Fixed income mutual fund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174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(31</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347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Ashland;sans-serif" w:hAnsi="Ashland;sans-serif"/>
          <w:color w:val="000000"/>
          <w:sz w:val="20"/>
        </w:rPr>
      </w:pPr>
      <w:r>
        <w:rPr>
          <w:rFonts w:ascii="Ashland;sans-serif" w:hAnsi="Ashland;sans-serif"/>
          <w:color w:val="000000"/>
          <w:sz w:val="20"/>
        </w:rPr>
        <w:t>The following table presents the investment income, net gains realized, funds restricted for specific transactions, and disbursements related to restricted investments:</w:t>
      </w:r>
    </w:p>
    <w:p>
      <w:pPr>
        <w:pStyle w:val="TextBody"/>
        <w:bidi w:val="0"/>
        <w:spacing w:before="120" w:after="283"/>
        <w:jc w:val="center"/>
        <w:rPr>
          <w:rFonts w:ascii="Ashland;sans-serif" w:hAnsi="Ashland;sans-serif"/>
          <w:color w:val="000000"/>
          <w:sz w:val="20"/>
        </w:rPr>
      </w:pPr>
      <w:r>
        <w:rPr>
          <w:rFonts w:ascii="Ashland;sans-serif" w:hAnsi="Ashland;sans-serif"/>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407" w:type="dxa"/>
        <w:jc w:val="left"/>
        <w:tblInd w:w="0" w:type="dxa"/>
        <w:tblLayout w:type="fixed"/>
        <w:tblCellMar>
          <w:top w:w="28" w:type="dxa"/>
          <w:left w:w="28" w:type="dxa"/>
          <w:bottom w:w="28" w:type="dxa"/>
          <w:right w:w="28" w:type="dxa"/>
        </w:tblCellMar>
      </w:tblPr>
      <w:tblGrid>
        <w:gridCol w:w="3826"/>
        <w:gridCol w:w="146"/>
        <w:gridCol w:w="278"/>
        <w:gridCol w:w="518"/>
        <w:gridCol w:w="222"/>
        <w:gridCol w:w="179"/>
        <w:gridCol w:w="278"/>
        <w:gridCol w:w="518"/>
        <w:gridCol w:w="181"/>
        <w:gridCol w:w="146"/>
        <w:gridCol w:w="263"/>
        <w:gridCol w:w="491"/>
        <w:gridCol w:w="211"/>
        <w:gridCol w:w="170"/>
        <w:gridCol w:w="263"/>
        <w:gridCol w:w="491"/>
        <w:gridCol w:w="226"/>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82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93"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Three months ended</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889"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Nine months ended</w:t>
            </w:r>
          </w:p>
        </w:tc>
        <w:tc>
          <w:tcPr>
            <w:tcW w:w="22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2026</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2025</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shland;sans-serif" w:hAnsi="Ashland;sans-serif"/>
                <w:color w:val="000000"/>
                <w:sz w:val="18"/>
              </w:rPr>
              <w:t>Investment income</w:t>
            </w:r>
            <w:r>
              <w:rPr>
                <w:rFonts w:ascii="Ashland;sans-serif" w:hAnsi="Ashland;sans-serif"/>
                <w:color w:val="000000"/>
                <w:sz w:val="12"/>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shland;sans-serif" w:hAnsi="Ashland;sans-serif"/>
                <w:color w:val="000000"/>
                <w:sz w:val="18"/>
              </w:rPr>
              <w:t>Net gains</w:t>
            </w:r>
            <w:r>
              <w:rPr>
                <w:rFonts w:ascii="Ashland;sans-serif" w:hAnsi="Ashland;sans-serif"/>
                <w:color w:val="000000"/>
                <w:sz w:val="12"/>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Funds restricted for specific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Disbursements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(19</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3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Ashland;sans-serif" w:hAnsi="Ashland;sans-serif"/>
          <w:color w:val="000000"/>
          <w:sz w:val="14"/>
        </w:rPr>
      </w:pPr>
      <w:r>
        <w:rPr>
          <w:rFonts w:ascii="Ashland;sans-serif" w:hAnsi="Ashland;sans-serif"/>
          <w:color w:val="000000"/>
          <w:sz w:val="14"/>
        </w:rPr>
        <w:t>(a)</w:t>
      </w:r>
    </w:p>
    <w:p>
      <w:pPr>
        <w:pStyle w:val="TextBody"/>
        <w:bidi w:val="0"/>
        <w:spacing w:before="120" w:after="283"/>
        <w:jc w:val="both"/>
        <w:rPr>
          <w:rFonts w:ascii="Ashland;sans-serif" w:hAnsi="Ashland;sans-serif"/>
          <w:color w:val="000000"/>
          <w:sz w:val="14"/>
        </w:rPr>
      </w:pPr>
      <w:r>
        <w:rPr>
          <w:rFonts w:ascii="Ashland;sans-serif" w:hAnsi="Ashland;sans-serif"/>
          <w:color w:val="000000"/>
          <w:sz w:val="14"/>
        </w:rPr>
        <w:t>Included in the net interest and other (income) expense caption within the Statements of Condensed Consolidated Comprehensive Income (Loss).</w:t>
      </w:r>
    </w:p>
    <w:p>
      <w:pPr>
        <w:pStyle w:val="TextBody"/>
        <w:bidi w:val="0"/>
        <w:spacing w:before="120" w:after="283"/>
        <w:jc w:val="both"/>
        <w:rPr>
          <w:rFonts w:ascii="Ashland;sans-serif" w:hAnsi="Ashland;sans-serif"/>
          <w:b/>
          <w:color w:val="000000"/>
          <w:sz w:val="20"/>
        </w:rPr>
      </w:pPr>
      <w:r>
        <w:rPr>
          <w:rFonts w:ascii="Ashland;sans-serif" w:hAnsi="Ashland;sans-serif"/>
          <w:b/>
          <w:color w:val="000000"/>
          <w:sz w:val="20"/>
        </w:rPr>
        <w:t>Foreign currency derivatives</w:t>
      </w:r>
    </w:p>
    <w:p>
      <w:pPr>
        <w:pStyle w:val="TextBody"/>
        <w:bidi w:val="0"/>
        <w:spacing w:before="120" w:after="120"/>
        <w:jc w:val="both"/>
        <w:rPr>
          <w:rFonts w:ascii="Ashland;sans-serif" w:hAnsi="Ashland;sans-serif"/>
          <w:color w:val="000000"/>
          <w:sz w:val="20"/>
        </w:rPr>
      </w:pPr>
      <w:r>
        <w:rPr>
          <w:rFonts w:ascii="Ashland;sans-serif" w:hAnsi="Ashland;sans-serif"/>
          <w:color w:val="000000"/>
          <w:sz w:val="20"/>
        </w:rPr>
        <w:t>Ashland conducts business in a variety of foreign currencies. Accordingly, Ashland regularly uses foreign currency derivative instruments to manage exposure on certain transactions denominated in foreign currencies to curtail potential earnings volatility effects of certain assets and liabilities, including short-term intercompany loans, denominated in currencies other than Ashland’s functional currency of an entity. These derivative contracts generally require exchange of one foreign currency for another at a fixed rate at a future date and generally have maturities of less than twelve months. All contracts are valued at fair value with net changes in fair value recorded within the selling, general and administrative expense caption within the Statements of Condensed Consolidated Comprehensive Income (Loss). The impacts of these contracts were largely offset by gains and losses resulting from the impact of changes in exchange rates on transactions denominated in non-functional currencies. The following table summarizes the gains (losses) recognized within the Statements of Condensed Consolidated Comprehensive Income (Loss):</w:t>
      </w:r>
    </w:p>
    <w:tbl>
      <w:tblPr>
        <w:tblW w:w="8397" w:type="dxa"/>
        <w:jc w:val="left"/>
        <w:tblInd w:w="0" w:type="dxa"/>
        <w:tblLayout w:type="fixed"/>
        <w:tblCellMar>
          <w:top w:w="28" w:type="dxa"/>
          <w:left w:w="28" w:type="dxa"/>
          <w:bottom w:w="28" w:type="dxa"/>
          <w:right w:w="28" w:type="dxa"/>
        </w:tblCellMar>
      </w:tblPr>
      <w:tblGrid>
        <w:gridCol w:w="3886"/>
        <w:gridCol w:w="146"/>
        <w:gridCol w:w="316"/>
        <w:gridCol w:w="421"/>
        <w:gridCol w:w="253"/>
        <w:gridCol w:w="204"/>
        <w:gridCol w:w="316"/>
        <w:gridCol w:w="484"/>
        <w:gridCol w:w="146"/>
        <w:gridCol w:w="146"/>
        <w:gridCol w:w="299"/>
        <w:gridCol w:w="399"/>
        <w:gridCol w:w="240"/>
        <w:gridCol w:w="193"/>
        <w:gridCol w:w="299"/>
        <w:gridCol w:w="458"/>
        <w:gridCol w:w="19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8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94"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Three months ended</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888"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Nine months ended</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2026</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2026</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Foreign currency derivative (losses) gains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Ashland;sans-serif" w:hAnsi="Ashland;sans-serif"/>
          <w:color w:val="000000"/>
          <w:sz w:val="20"/>
        </w:rPr>
      </w:pPr>
      <w:r>
        <w:rPr>
          <w:rFonts w:ascii="Ashland;sans-serif" w:hAnsi="Ashland;sans-serif"/>
          <w:color w:val="000000"/>
          <w:sz w:val="20"/>
        </w:rPr>
        <w:t>The following table summarizes the fair values of the outstanding foreign currency derivatives included in accounts receivable, net and accrued expenses and other liabilities of the Condensed Consolidated Balance Sheets as of:</w:t>
      </w:r>
    </w:p>
    <w:tbl>
      <w:tblPr>
        <w:tblW w:w="6285" w:type="dxa"/>
        <w:jc w:val="left"/>
        <w:tblInd w:w="0" w:type="dxa"/>
        <w:tblLayout w:type="fixed"/>
        <w:tblCellMar>
          <w:top w:w="28" w:type="dxa"/>
          <w:left w:w="28" w:type="dxa"/>
          <w:bottom w:w="28" w:type="dxa"/>
          <w:right w:w="28" w:type="dxa"/>
        </w:tblCellMar>
      </w:tblPr>
      <w:tblGrid>
        <w:gridCol w:w="3436"/>
        <w:gridCol w:w="146"/>
        <w:gridCol w:w="264"/>
        <w:gridCol w:w="546"/>
        <w:gridCol w:w="146"/>
        <w:gridCol w:w="146"/>
        <w:gridCol w:w="459"/>
        <w:gridCol w:w="951"/>
        <w:gridCol w:w="19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3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10"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10"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September 30</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shland;sans-serif" w:hAnsi="Ashland;sans-serif"/>
                <w:color w:val="000000"/>
                <w:sz w:val="18"/>
              </w:rPr>
              <w:t>Foreign currency derivative assets</w:t>
            </w:r>
            <w:r>
              <w:rPr>
                <w:rFonts w:ascii="Ashland;sans-serif" w:hAnsi="Ashland;sans-serif"/>
                <w:color w:val="000000"/>
                <w:sz w:val="12"/>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Notional contract values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Foreign currency derivative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Notional contract values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Ashland;sans-serif" w:hAnsi="Ashland;sans-serif"/>
          <w:color w:val="000000"/>
          <w:sz w:val="14"/>
        </w:rPr>
      </w:pPr>
      <w:r>
        <w:rPr>
          <w:rFonts w:ascii="Ashland;sans-serif" w:hAnsi="Ashland;sans-serif"/>
          <w:color w:val="000000"/>
          <w:sz w:val="14"/>
        </w:rPr>
        <w:t>(a)</w:t>
      </w:r>
    </w:p>
    <w:p>
      <w:pPr>
        <w:pStyle w:val="TextBody"/>
        <w:bidi w:val="0"/>
        <w:spacing w:before="120" w:after="283"/>
        <w:jc w:val="both"/>
        <w:rPr>
          <w:rFonts w:ascii="Ashland;sans-serif" w:hAnsi="Ashland;sans-serif"/>
          <w:sz w:val="20"/>
        </w:rPr>
      </w:pPr>
      <w:r>
        <w:rPr>
          <w:rFonts w:ascii="Ashland;sans-serif" w:hAnsi="Ashland;sans-serif"/>
          <w:color w:val="000000"/>
          <w:sz w:val="14"/>
        </w:rPr>
        <w:t>Zero denotes less than $1</w:t>
      </w:r>
      <w:r>
        <w:rPr>
          <w:rFonts w:ascii="Ashland;sans-serif" w:hAnsi="Ashland;sans-serif"/>
          <w:color w:val="000000"/>
          <w:sz w:val="20"/>
        </w:rPr>
        <w:t xml:space="preserve"> </w:t>
      </w:r>
      <w:r>
        <w:rPr>
          <w:rFonts w:ascii="Ashland;sans-serif" w:hAnsi="Ashland;sans-serif"/>
          <w:color w:val="000000"/>
          <w:sz w:val="14"/>
        </w:rPr>
        <w:t>million of activity.</w:t>
      </w:r>
    </w:p>
    <w:p>
      <w:pPr>
        <w:pStyle w:val="TextBody"/>
        <w:bidi w:val="0"/>
        <w:spacing w:before="120" w:after="283"/>
        <w:jc w:val="both"/>
        <w:rPr>
          <w:rFonts w:ascii="Ashland;sans-serif" w:hAnsi="Ashland;sans-serif"/>
          <w:b/>
          <w:color w:val="000000"/>
          <w:sz w:val="20"/>
        </w:rPr>
      </w:pPr>
      <w:r>
        <w:rPr>
          <w:rFonts w:ascii="Ashland;sans-serif" w:hAnsi="Ashland;sans-serif"/>
          <w:b/>
          <w:color w:val="000000"/>
          <w:sz w:val="20"/>
        </w:rPr>
        <w:t>Commodity derivatives</w:t>
      </w:r>
    </w:p>
    <w:p>
      <w:pPr>
        <w:pStyle w:val="TextBody"/>
        <w:bidi w:val="0"/>
        <w:spacing w:before="120" w:after="283"/>
        <w:jc w:val="both"/>
        <w:rPr>
          <w:rFonts w:ascii="Ashland;sans-serif" w:hAnsi="Ashland;sans-serif"/>
          <w:i/>
          <w:color w:val="000000"/>
          <w:sz w:val="20"/>
        </w:rPr>
      </w:pPr>
      <w:r>
        <w:rPr>
          <w:rFonts w:ascii="Ashland;sans-serif" w:hAnsi="Ashland;sans-serif"/>
          <w:i/>
          <w:color w:val="000000"/>
          <w:sz w:val="20"/>
        </w:rPr>
        <w:t>Natural gas derivatives</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To manage its exposure to the market price volatility of natural gas consumed by its U.S. plants during the manufacturing process, Ashland regularly enters into forward contracts that are designated as cash flow hedges.</w:t>
      </w:r>
    </w:p>
    <w:p>
      <w:pPr>
        <w:pStyle w:val="TextBody"/>
        <w:bidi w:val="0"/>
        <w:spacing w:before="120" w:after="283"/>
        <w:jc w:val="both"/>
        <w:rPr>
          <w:rFonts w:ascii="Ashland;sans-serif" w:hAnsi="Ashland;sans-serif"/>
          <w:i/>
          <w:color w:val="000000"/>
          <w:sz w:val="20"/>
        </w:rPr>
      </w:pPr>
      <w:r>
        <w:rPr>
          <w:rFonts w:ascii="Ashland;sans-serif" w:hAnsi="Ashland;sans-serif"/>
          <w:i/>
          <w:color w:val="000000"/>
          <w:sz w:val="20"/>
        </w:rPr>
        <w:t>Other commodity derivatives</w:t>
      </w:r>
    </w:p>
    <w:p>
      <w:pPr>
        <w:pStyle w:val="TextBody"/>
        <w:bidi w:val="0"/>
        <w:spacing w:before="120" w:after="283"/>
        <w:jc w:val="both"/>
        <w:rPr>
          <w:rFonts w:ascii="Times New Roman" w:hAnsi="Times New Roman"/>
          <w:sz w:val="20"/>
        </w:rPr>
      </w:pPr>
      <w:r>
        <w:rPr>
          <w:rFonts w:ascii="Ashland;sans-serif" w:hAnsi="Ashland;sans-serif"/>
          <w:color w:val="000000"/>
          <w:sz w:val="20"/>
        </w:rPr>
        <w:t>Ashland utilizes forward contracts to manage its exposure to the market volatility of butane consumed by its U.S. plants during the manufacturing process. These derivative instruments qualify as a hedge of future cash flows, are recognized as either assets or liabilities within the Condensed Consolidated Balance Sheets and are measured at fair value. Gains and losses related to an instrument that qualifies for hedge accounting are either recognized in</w:t>
      </w:r>
      <w:r>
        <w:rPr>
          <w:rFonts w:ascii="Times New Roman" w:hAnsi="Times New Roman"/>
          <w:color w:val="000000"/>
          <w:sz w:val="20"/>
        </w:rPr>
        <w:t xml:space="preserve"> </w:t>
      </w:r>
    </w:p>
    <w:p>
      <w:pPr>
        <w:pStyle w:val="TextBody"/>
        <w:bidi w:val="0"/>
        <w:spacing w:before="120" w:after="283"/>
        <w:jc w:val="center"/>
        <w:rPr>
          <w:rFonts w:ascii="Ashland;sans-serif" w:hAnsi="Ashland;sans-serif"/>
          <w:color w:val="000000"/>
          <w:sz w:val="20"/>
        </w:rPr>
      </w:pPr>
      <w:r>
        <w:rPr>
          <w:rFonts w:ascii="Ashland;sans-serif" w:hAnsi="Ashland;sans-serif"/>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the Statements of Condensed Consolidated Comprehensive Income (Loss) immediately to offset the gain or loss on the hedged item, or deferred and recorded in the equity section of the Condensed Consolidated Balance Sheets as a component of accumulated other comprehensive loss and subsequently recognized in the Statements of Condensed Consolidated Comprehensive Income (Loss) when the hedged item affects net income (loss). Cash flows from derivative financial instruments designated as cash flow hedges are classified as cash flows from operating activities in the Condensed Consolidated Statements of Cash Flows for the relevant period.</w:t>
      </w:r>
    </w:p>
    <w:p>
      <w:pPr>
        <w:pStyle w:val="TextBody"/>
        <w:bidi w:val="0"/>
        <w:spacing w:before="120" w:after="120"/>
        <w:jc w:val="both"/>
        <w:rPr>
          <w:rFonts w:ascii="Ashland;sans-serif" w:hAnsi="Ashland;sans-serif"/>
          <w:color w:val="000000"/>
          <w:sz w:val="20"/>
        </w:rPr>
      </w:pPr>
      <w:r>
        <w:rPr>
          <w:rFonts w:ascii="Ashland;sans-serif" w:hAnsi="Ashland;sans-serif"/>
          <w:color w:val="000000"/>
          <w:sz w:val="20"/>
        </w:rPr>
        <w:t>The following table summarizes the net losses recognized within the cost of sales caption of the Statements of Condensed Consolidated Comprehensive Income (Loss):</w:t>
      </w:r>
    </w:p>
    <w:tbl>
      <w:tblPr>
        <w:tblW w:w="7268" w:type="dxa"/>
        <w:jc w:val="left"/>
        <w:tblInd w:w="0" w:type="dxa"/>
        <w:tblLayout w:type="fixed"/>
        <w:tblCellMar>
          <w:top w:w="28" w:type="dxa"/>
          <w:left w:w="28" w:type="dxa"/>
          <w:bottom w:w="28" w:type="dxa"/>
          <w:right w:w="28" w:type="dxa"/>
        </w:tblCellMar>
      </w:tblPr>
      <w:tblGrid>
        <w:gridCol w:w="2686"/>
        <w:gridCol w:w="146"/>
        <w:gridCol w:w="326"/>
        <w:gridCol w:w="435"/>
        <w:gridCol w:w="261"/>
        <w:gridCol w:w="211"/>
        <w:gridCol w:w="326"/>
        <w:gridCol w:w="435"/>
        <w:gridCol w:w="181"/>
        <w:gridCol w:w="146"/>
        <w:gridCol w:w="307"/>
        <w:gridCol w:w="470"/>
        <w:gridCol w:w="198"/>
        <w:gridCol w:w="198"/>
        <w:gridCol w:w="307"/>
        <w:gridCol w:w="409"/>
        <w:gridCol w:w="226"/>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268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94"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Three months ended</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889"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Nine months ended</w:t>
            </w:r>
          </w:p>
        </w:tc>
        <w:tc>
          <w:tcPr>
            <w:tcW w:w="22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2026</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2026</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2025</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Commodity derivative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2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Ashland;sans-serif" w:hAnsi="Ashland;sans-serif"/>
          <w:color w:val="000000"/>
          <w:sz w:val="20"/>
        </w:rPr>
      </w:pPr>
      <w:r>
        <w:rPr>
          <w:rFonts w:ascii="Ashland;sans-serif" w:hAnsi="Ashland;sans-serif"/>
          <w:color w:val="000000"/>
          <w:sz w:val="20"/>
        </w:rPr>
        <w:t>The following table summarizes the fair values of the outstanding commodity derivatives included in accounts receivable, net and accrued expenses and other liabilities of the Condensed Consolidated Balance Sheets as of:</w:t>
      </w:r>
    </w:p>
    <w:tbl>
      <w:tblPr>
        <w:tblW w:w="5775" w:type="dxa"/>
        <w:jc w:val="left"/>
        <w:tblInd w:w="0" w:type="dxa"/>
        <w:tblLayout w:type="fixed"/>
        <w:tblCellMar>
          <w:top w:w="28" w:type="dxa"/>
          <w:left w:w="28" w:type="dxa"/>
          <w:bottom w:w="28" w:type="dxa"/>
          <w:right w:w="28" w:type="dxa"/>
        </w:tblCellMar>
      </w:tblPr>
      <w:tblGrid>
        <w:gridCol w:w="2926"/>
        <w:gridCol w:w="146"/>
        <w:gridCol w:w="320"/>
        <w:gridCol w:w="490"/>
        <w:gridCol w:w="146"/>
        <w:gridCol w:w="146"/>
        <w:gridCol w:w="704"/>
        <w:gridCol w:w="706"/>
        <w:gridCol w:w="1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2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10"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10"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September 30</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shland;sans-serif" w:hAnsi="Ashland;sans-serif"/>
                <w:color w:val="000000"/>
                <w:sz w:val="18"/>
              </w:rPr>
              <w:t>Commodity derivative assets</w:t>
            </w:r>
            <w:r>
              <w:rPr>
                <w:rFonts w:ascii="Ashland;sans-serif" w:hAnsi="Ashland;sans-serif"/>
                <w:color w:val="000000"/>
                <w:sz w:val="12"/>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Notional contract values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Commodity derivative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Notional contract values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Ashland;sans-serif" w:hAnsi="Ashland;sans-serif"/>
          <w:color w:val="000000"/>
          <w:sz w:val="14"/>
        </w:rPr>
      </w:pPr>
      <w:r>
        <w:rPr>
          <w:rFonts w:ascii="Ashland;sans-serif" w:hAnsi="Ashland;sans-serif"/>
          <w:color w:val="000000"/>
          <w:sz w:val="14"/>
        </w:rPr>
        <w:t>(a)</w:t>
      </w:r>
    </w:p>
    <w:p>
      <w:pPr>
        <w:pStyle w:val="TextBody"/>
        <w:bidi w:val="0"/>
        <w:spacing w:before="120" w:after="283"/>
        <w:jc w:val="both"/>
        <w:rPr>
          <w:rFonts w:ascii="Ashland;sans-serif" w:hAnsi="Ashland;sans-serif"/>
          <w:sz w:val="20"/>
        </w:rPr>
      </w:pPr>
      <w:r>
        <w:rPr>
          <w:rFonts w:ascii="Ashland;sans-serif" w:hAnsi="Ashland;sans-serif"/>
          <w:color w:val="000000"/>
          <w:sz w:val="14"/>
        </w:rPr>
        <w:t>Zero denotes less than $1</w:t>
      </w:r>
      <w:r>
        <w:rPr>
          <w:rFonts w:ascii="Ashland;sans-serif" w:hAnsi="Ashland;sans-serif"/>
          <w:color w:val="000000"/>
          <w:sz w:val="20"/>
        </w:rPr>
        <w:t xml:space="preserve"> </w:t>
      </w:r>
      <w:r>
        <w:rPr>
          <w:rFonts w:ascii="Ashland;sans-serif" w:hAnsi="Ashland;sans-serif"/>
          <w:color w:val="000000"/>
          <w:sz w:val="14"/>
        </w:rPr>
        <w:t>million of activity.</w:t>
      </w:r>
    </w:p>
    <w:p>
      <w:pPr>
        <w:pStyle w:val="TextBody"/>
        <w:bidi w:val="0"/>
        <w:spacing w:before="120" w:after="283"/>
        <w:jc w:val="both"/>
        <w:rPr>
          <w:rFonts w:ascii="Ashland;sans-serif" w:hAnsi="Ashland;sans-serif"/>
          <w:b/>
          <w:color w:val="000000"/>
          <w:sz w:val="20"/>
        </w:rPr>
      </w:pPr>
      <w:r>
        <w:rPr>
          <w:rFonts w:ascii="Ashland;sans-serif" w:hAnsi="Ashland;sans-serif"/>
          <w:b/>
          <w:color w:val="000000"/>
          <w:sz w:val="20"/>
        </w:rPr>
        <w:t>Other financial instruments</w:t>
      </w:r>
    </w:p>
    <w:p>
      <w:pPr>
        <w:pStyle w:val="TextBody"/>
        <w:bidi w:val="0"/>
        <w:spacing w:before="120" w:after="283"/>
        <w:jc w:val="both"/>
        <w:rPr>
          <w:rFonts w:ascii="Times New Roman" w:hAnsi="Times New Roman"/>
          <w:sz w:val="20"/>
        </w:rPr>
      </w:pPr>
      <w:r>
        <w:rPr>
          <w:rFonts w:ascii="Ashland;sans-serif" w:hAnsi="Ashland;sans-serif"/>
          <w:color w:val="000000"/>
          <w:sz w:val="20"/>
        </w:rPr>
        <w:t>At June 30, 2026 and September 30, 2025, Ashland's long-term debt (including the current portion and excluding debt issuance cost discounts) had a carrying value of $1,383</w:t>
      </w:r>
      <w:r>
        <w:rPr>
          <w:rFonts w:ascii="Times New Roman" w:hAnsi="Times New Roman"/>
          <w:color w:val="000000"/>
          <w:sz w:val="20"/>
        </w:rPr>
        <w:t xml:space="preserve"> </w:t>
      </w:r>
      <w:r>
        <w:rPr>
          <w:rFonts w:ascii="Ashland;sans-serif" w:hAnsi="Ashland;sans-serif"/>
          <w:color w:val="000000"/>
          <w:sz w:val="20"/>
        </w:rPr>
        <w:t>million and $1,394</w:t>
      </w:r>
      <w:r>
        <w:rPr>
          <w:rFonts w:ascii="Times New Roman" w:hAnsi="Times New Roman"/>
          <w:color w:val="000000"/>
          <w:sz w:val="20"/>
        </w:rPr>
        <w:t xml:space="preserve"> </w:t>
      </w:r>
      <w:r>
        <w:rPr>
          <w:rFonts w:ascii="Ashland;sans-serif" w:hAnsi="Ashland;sans-serif"/>
          <w:color w:val="000000"/>
          <w:sz w:val="20"/>
        </w:rPr>
        <w:t>million, respectively, compared to a fair value of $1,369</w:t>
      </w:r>
      <w:r>
        <w:rPr>
          <w:rFonts w:ascii="Times New Roman" w:hAnsi="Times New Roman"/>
          <w:color w:val="000000"/>
          <w:sz w:val="20"/>
        </w:rPr>
        <w:t xml:space="preserve"> </w:t>
      </w:r>
      <w:r>
        <w:rPr>
          <w:rFonts w:ascii="Ashland;sans-serif" w:hAnsi="Ashland;sans-serif"/>
          <w:color w:val="000000"/>
          <w:sz w:val="20"/>
        </w:rPr>
        <w:t>million and $1,366</w:t>
      </w:r>
      <w:r>
        <w:rPr>
          <w:rFonts w:ascii="Times New Roman" w:hAnsi="Times New Roman"/>
          <w:color w:val="000000"/>
          <w:sz w:val="20"/>
        </w:rPr>
        <w:t xml:space="preserve"> </w:t>
      </w:r>
      <w:r>
        <w:rPr>
          <w:rFonts w:ascii="Ashland;sans-serif" w:hAnsi="Ashland;sans-serif"/>
          <w:color w:val="000000"/>
          <w:sz w:val="20"/>
        </w:rPr>
        <w:t>million, respectively. The fair values of long-term debt are based on quoted market prices (level 1 of the fair value hierarchy).</w:t>
      </w:r>
    </w:p>
    <w:p>
      <w:pPr>
        <w:pStyle w:val="TextBody"/>
        <w:bidi w:val="0"/>
        <w:spacing w:before="120" w:after="283"/>
        <w:jc w:val="both"/>
        <w:rPr>
          <w:rFonts w:ascii="Ashland;sans-serif" w:hAnsi="Ashland;sans-serif"/>
          <w:b/>
          <w:color w:val="000000"/>
          <w:sz w:val="20"/>
        </w:rPr>
      </w:pPr>
      <w:r>
        <w:rPr>
          <w:rFonts w:ascii="Ashland;sans-serif" w:hAnsi="Ashland;sans-serif"/>
          <w:b/>
          <w:color w:val="000000"/>
          <w:sz w:val="20"/>
        </w:rPr>
        <w:t>NOTE F – INVENTORIES</w:t>
      </w:r>
    </w:p>
    <w:p>
      <w:pPr>
        <w:pStyle w:val="TextBody"/>
        <w:bidi w:val="0"/>
        <w:spacing w:before="120" w:after="283"/>
        <w:jc w:val="both"/>
        <w:rPr>
          <w:rFonts w:ascii="Times New Roman" w:hAnsi="Times New Roman"/>
          <w:sz w:val="20"/>
        </w:rPr>
      </w:pPr>
      <w:r>
        <w:rPr>
          <w:rFonts w:ascii="Ashland;sans-serif" w:hAnsi="Ashland;sans-serif"/>
          <w:color w:val="000000"/>
          <w:sz w:val="20"/>
        </w:rPr>
        <w:t>Inventories are carried at the lower of cost or net realizable value. Inventories are stated at cost using the weighted-average cost method. This method values inventories using average costs for raw materials and most recent production costs for labor and overhead.</w:t>
      </w:r>
      <w:r>
        <w:rPr>
          <w:rFonts w:ascii="Times New Roman" w:hAnsi="Times New Roman"/>
          <w:color w:val="000000"/>
          <w:sz w:val="20"/>
        </w:rPr>
        <w:t xml:space="preserve"> </w:t>
      </w:r>
    </w:p>
    <w:p>
      <w:pPr>
        <w:pStyle w:val="TextBody"/>
        <w:bidi w:val="0"/>
        <w:spacing w:before="120" w:after="120"/>
        <w:jc w:val="both"/>
        <w:rPr>
          <w:rFonts w:ascii="Ashland;sans-serif" w:hAnsi="Ashland;sans-serif"/>
          <w:color w:val="000000"/>
          <w:sz w:val="20"/>
        </w:rPr>
      </w:pPr>
      <w:r>
        <w:rPr>
          <w:rFonts w:ascii="Ashland;sans-serif" w:hAnsi="Ashland;sans-serif"/>
          <w:color w:val="000000"/>
          <w:sz w:val="20"/>
        </w:rPr>
        <w:t>The following table summarizes Ashland’s inventories as of:</w:t>
      </w:r>
    </w:p>
    <w:tbl>
      <w:tblPr>
        <w:tblW w:w="6960" w:type="dxa"/>
        <w:jc w:val="left"/>
        <w:tblInd w:w="0" w:type="dxa"/>
        <w:tblLayout w:type="fixed"/>
        <w:tblCellMar>
          <w:top w:w="28" w:type="dxa"/>
          <w:left w:w="28" w:type="dxa"/>
          <w:bottom w:w="28" w:type="dxa"/>
          <w:right w:w="28" w:type="dxa"/>
        </w:tblCellMar>
      </w:tblPr>
      <w:tblGrid>
        <w:gridCol w:w="4111"/>
        <w:gridCol w:w="146"/>
        <w:gridCol w:w="264"/>
        <w:gridCol w:w="546"/>
        <w:gridCol w:w="146"/>
        <w:gridCol w:w="146"/>
        <w:gridCol w:w="459"/>
        <w:gridCol w:w="951"/>
        <w:gridCol w:w="19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10"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10"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September 30</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Finished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Raw materials, supplies and work in 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147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9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568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Ashland;sans-serif" w:hAnsi="Ashland;sans-serif"/>
          <w:b/>
          <w:color w:val="000000"/>
          <w:sz w:val="20"/>
        </w:rPr>
      </w:pPr>
      <w:r>
        <w:rPr>
          <w:rFonts w:ascii="Ashland;sans-serif" w:hAnsi="Ashland;sans-serif"/>
          <w:b/>
          <w:color w:val="000000"/>
          <w:sz w:val="20"/>
        </w:rPr>
        <w:t>NOTE G – GOODWILL AND OTHER INTANGIBLE ASSETS</w:t>
      </w:r>
    </w:p>
    <w:p>
      <w:pPr>
        <w:pStyle w:val="TextBody"/>
        <w:bidi w:val="0"/>
        <w:spacing w:before="120" w:after="283"/>
        <w:jc w:val="both"/>
        <w:rPr>
          <w:rFonts w:ascii="Ashland;sans-serif" w:hAnsi="Ashland;sans-serif"/>
          <w:b/>
          <w:color w:val="000000"/>
          <w:sz w:val="20"/>
        </w:rPr>
      </w:pPr>
      <w:r>
        <w:rPr>
          <w:rFonts w:ascii="Ashland;sans-serif" w:hAnsi="Ashland;sans-serif"/>
          <w:b/>
          <w:color w:val="000000"/>
          <w:sz w:val="20"/>
        </w:rPr>
        <w:t>Goodwill</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Ashland tests goodwill and other indefinite-lived intangible assets for impairment annually as of July 1 or whenever events and circumstances indicate an impairment may have occurred.</w:t>
      </w:r>
    </w:p>
    <w:p>
      <w:pPr>
        <w:pStyle w:val="TextBody"/>
        <w:bidi w:val="0"/>
        <w:spacing w:before="120" w:after="283"/>
        <w:jc w:val="center"/>
        <w:rPr>
          <w:rFonts w:ascii="Ashland;sans-serif" w:hAnsi="Ashland;sans-serif"/>
          <w:color w:val="000000"/>
          <w:sz w:val="20"/>
        </w:rPr>
      </w:pPr>
      <w:r>
        <w:rPr>
          <w:rFonts w:ascii="Ashland;sans-serif" w:hAnsi="Ashland;sans-serif"/>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No indicators of impairment were identified during the three and nine months ended June 30, 2026.</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During the three months ended June 30, 2025, Ashland performed an interim quantitative goodwill impairment assessment following a sustained decline in the market price of its Common Stock and weakened operating performance resulting from a challenging macroeconomic environment. The assessment indicated that the carrying values of the Life Sciences and Specialty Additives reporting units exceeded their estimated fair values.</w:t>
      </w:r>
    </w:p>
    <w:p>
      <w:pPr>
        <w:pStyle w:val="TextBody"/>
        <w:bidi w:val="0"/>
        <w:spacing w:before="120" w:after="283"/>
        <w:jc w:val="both"/>
        <w:rPr>
          <w:rFonts w:ascii="Times New Roman" w:hAnsi="Times New Roman"/>
          <w:sz w:val="20"/>
        </w:rPr>
      </w:pPr>
      <w:r>
        <w:rPr>
          <w:rFonts w:ascii="Ashland;sans-serif" w:hAnsi="Ashland;sans-serif"/>
          <w:color w:val="000000"/>
          <w:sz w:val="20"/>
        </w:rPr>
        <w:t>As a result, Ashland recorded non-cash goodwill impairment charges of $375</w:t>
      </w:r>
      <w:r>
        <w:rPr>
          <w:rFonts w:ascii="Times New Roman" w:hAnsi="Times New Roman"/>
          <w:color w:val="000000"/>
          <w:sz w:val="20"/>
        </w:rPr>
        <w:t xml:space="preserve"> </w:t>
      </w:r>
      <w:r>
        <w:rPr>
          <w:rFonts w:ascii="Ashland;sans-serif" w:hAnsi="Ashland;sans-serif"/>
          <w:color w:val="000000"/>
          <w:sz w:val="20"/>
        </w:rPr>
        <w:t>million and $331</w:t>
      </w:r>
      <w:r>
        <w:rPr>
          <w:rFonts w:ascii="Times New Roman" w:hAnsi="Times New Roman"/>
          <w:color w:val="000000"/>
          <w:sz w:val="20"/>
        </w:rPr>
        <w:t xml:space="preserve"> </w:t>
      </w:r>
      <w:r>
        <w:rPr>
          <w:rFonts w:ascii="Ashland;sans-serif" w:hAnsi="Ashland;sans-serif"/>
          <w:color w:val="000000"/>
          <w:sz w:val="20"/>
        </w:rPr>
        <w:t>million for the Life Sciences and Specialty Additives reporting units, respectively, for a total goodwill impairment charge of $706</w:t>
      </w:r>
      <w:r>
        <w:rPr>
          <w:rFonts w:ascii="Times New Roman" w:hAnsi="Times New Roman"/>
          <w:color w:val="000000"/>
          <w:sz w:val="20"/>
        </w:rPr>
        <w:t xml:space="preserve"> </w:t>
      </w:r>
      <w:r>
        <w:rPr>
          <w:rFonts w:ascii="Ashland;sans-serif" w:hAnsi="Ashland;sans-serif"/>
          <w:color w:val="000000"/>
          <w:sz w:val="20"/>
        </w:rPr>
        <w:t>million. The impairment charge was recorded within goodwill impairment in the Statements of Condensed Consolidated Comprehensive Income (Loss) during the three and nine months ended June 30, 2025.</w:t>
      </w:r>
    </w:p>
    <w:p>
      <w:pPr>
        <w:pStyle w:val="TextBody"/>
        <w:bidi w:val="0"/>
        <w:spacing w:before="120" w:after="283"/>
        <w:jc w:val="both"/>
        <w:rPr>
          <w:rFonts w:ascii="Times New Roman" w:hAnsi="Times New Roman"/>
          <w:sz w:val="20"/>
        </w:rPr>
      </w:pPr>
      <w:r>
        <w:rPr>
          <w:rFonts w:ascii="Ashland;sans-serif" w:hAnsi="Ashland;sans-serif"/>
          <w:color w:val="000000"/>
          <w:sz w:val="20"/>
        </w:rPr>
        <w:t>Prior to the impairment, goodwill balances associated with the Life Sciences and Specialty Additives reporting units were $841</w:t>
      </w:r>
      <w:r>
        <w:rPr>
          <w:rFonts w:ascii="Times New Roman" w:hAnsi="Times New Roman"/>
          <w:color w:val="000000"/>
          <w:sz w:val="20"/>
        </w:rPr>
        <w:t xml:space="preserve"> </w:t>
      </w:r>
      <w:r>
        <w:rPr>
          <w:rFonts w:ascii="Ashland;sans-serif" w:hAnsi="Ashland;sans-serif"/>
          <w:color w:val="000000"/>
          <w:sz w:val="20"/>
        </w:rPr>
        <w:t>million and $443</w:t>
      </w:r>
      <w:r>
        <w:rPr>
          <w:rFonts w:ascii="Times New Roman" w:hAnsi="Times New Roman"/>
          <w:color w:val="000000"/>
          <w:sz w:val="20"/>
        </w:rPr>
        <w:t xml:space="preserve"> </w:t>
      </w:r>
      <w:r>
        <w:rPr>
          <w:rFonts w:ascii="Ashland;sans-serif" w:hAnsi="Ashland;sans-serif"/>
          <w:color w:val="000000"/>
          <w:sz w:val="20"/>
        </w:rPr>
        <w:t>million, respectively. The goodwill impairment charges were not deductible for income tax purposes.</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The fair value estimates used in the interim quantitative impairment assessment were based on an income approach utilizing Level 3 inputs, including significant assumptions regarding future cash flows, sales growth rates, operating income (loss) before income taxes, depreciation and amortization ("EBITDA") growth rates, terminal growth rates, and discount rates.</w:t>
      </w:r>
    </w:p>
    <w:p>
      <w:pPr>
        <w:pStyle w:val="TextBody"/>
        <w:bidi w:val="0"/>
        <w:spacing w:before="120" w:after="120"/>
        <w:jc w:val="both"/>
        <w:rPr>
          <w:rFonts w:ascii="Ashland;sans-serif" w:hAnsi="Ashland;sans-serif"/>
          <w:color w:val="000000"/>
          <w:sz w:val="20"/>
        </w:rPr>
      </w:pPr>
      <w:r>
        <w:rPr>
          <w:rFonts w:ascii="Ashland;sans-serif" w:hAnsi="Ashland;sans-serif"/>
          <w:color w:val="000000"/>
          <w:sz w:val="20"/>
        </w:rPr>
        <w:t>The following is a progression of goodwill by reportable segment for the nine months ended June 30, 2026:</w:t>
      </w:r>
    </w:p>
    <w:tbl>
      <w:tblPr>
        <w:tblW w:w="9406" w:type="dxa"/>
        <w:jc w:val="left"/>
        <w:tblInd w:w="0" w:type="dxa"/>
        <w:tblLayout w:type="fixed"/>
        <w:tblCellMar>
          <w:top w:w="28" w:type="dxa"/>
          <w:left w:w="28" w:type="dxa"/>
          <w:bottom w:w="28" w:type="dxa"/>
          <w:right w:w="28" w:type="dxa"/>
        </w:tblCellMar>
      </w:tblPr>
      <w:tblGrid>
        <w:gridCol w:w="3196"/>
        <w:gridCol w:w="294"/>
        <w:gridCol w:w="607"/>
        <w:gridCol w:w="181"/>
        <w:gridCol w:w="146"/>
        <w:gridCol w:w="279"/>
        <w:gridCol w:w="577"/>
        <w:gridCol w:w="181"/>
        <w:gridCol w:w="146"/>
        <w:gridCol w:w="304"/>
        <w:gridCol w:w="627"/>
        <w:gridCol w:w="146"/>
        <w:gridCol w:w="146"/>
        <w:gridCol w:w="539"/>
        <w:gridCol w:w="827"/>
        <w:gridCol w:w="146"/>
        <w:gridCol w:w="146"/>
        <w:gridCol w:w="226"/>
        <w:gridCol w:w="466"/>
        <w:gridCol w:w="226"/>
      </w:tblGrid>
      <w:tr>
        <w:trPr/>
        <w:tc>
          <w:tcPr>
            <w:tcW w:w="319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1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01"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Life</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56"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Personal</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31"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Specialty</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366"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69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2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Sciences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Care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Additives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Intermediates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Total</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shland;sans-serif" w:hAnsi="Ashland;sans-serif"/>
                <w:color w:val="000000"/>
                <w:sz w:val="18"/>
              </w:rPr>
              <w:t>Balance at September 30, 2025</w:t>
            </w:r>
            <w:r>
              <w:rPr>
                <w:rFonts w:ascii="Ashland;sans-serif" w:hAnsi="Ashland;sans-serif"/>
                <w:color w:val="000000"/>
                <w:sz w:val="12"/>
              </w:rPr>
              <w:t>(a)</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466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127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705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Currency translation</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shland;sans-serif" w:hAnsi="Ashland;sans-serif"/>
                <w:color w:val="000000"/>
                <w:sz w:val="18"/>
              </w:rPr>
              <w:t>Balance at June 30, 2026</w:t>
            </w:r>
            <w:r>
              <w:rPr>
                <w:rFonts w:ascii="Ashland;sans-serif" w:hAnsi="Ashland;sans-serif"/>
                <w:color w:val="000000"/>
                <w:sz w:val="12"/>
              </w:rPr>
              <w:t>(a)</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462</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126</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700</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Ashland;sans-serif" w:hAnsi="Ashland;sans-serif"/>
          <w:color w:val="000000"/>
          <w:sz w:val="14"/>
        </w:rPr>
      </w:pPr>
      <w:r>
        <w:rPr>
          <w:rFonts w:ascii="Ashland;sans-serif" w:hAnsi="Ashland;sans-serif"/>
          <w:color w:val="000000"/>
          <w:sz w:val="14"/>
        </w:rPr>
        <w:t>(a)</w:t>
      </w:r>
    </w:p>
    <w:p>
      <w:pPr>
        <w:pStyle w:val="TextBody"/>
        <w:bidi w:val="0"/>
        <w:spacing w:before="120" w:after="283"/>
        <w:jc w:val="both"/>
        <w:rPr>
          <w:rFonts w:ascii="Ashland;sans-serif" w:hAnsi="Ashland;sans-serif"/>
          <w:sz w:val="20"/>
        </w:rPr>
      </w:pPr>
      <w:r>
        <w:rPr>
          <w:rFonts w:ascii="Ashland;sans-serif" w:hAnsi="Ashland;sans-serif"/>
          <w:color w:val="000000"/>
          <w:sz w:val="14"/>
        </w:rPr>
        <w:t>As of both June 30, 2026 and September 30, 2025, there were accumulated impairments of $375</w:t>
      </w:r>
      <w:r>
        <w:rPr>
          <w:rFonts w:ascii="Ashland;sans-serif" w:hAnsi="Ashland;sans-serif"/>
          <w:color w:val="000000"/>
          <w:sz w:val="20"/>
        </w:rPr>
        <w:t xml:space="preserve"> </w:t>
      </w:r>
      <w:r>
        <w:rPr>
          <w:rFonts w:ascii="Ashland;sans-serif" w:hAnsi="Ashland;sans-serif"/>
          <w:color w:val="000000"/>
          <w:sz w:val="14"/>
        </w:rPr>
        <w:t>million, $356</w:t>
      </w:r>
      <w:r>
        <w:rPr>
          <w:rFonts w:ascii="Ashland;sans-serif" w:hAnsi="Ashland;sans-serif"/>
          <w:color w:val="000000"/>
          <w:sz w:val="20"/>
        </w:rPr>
        <w:t xml:space="preserve"> </w:t>
      </w:r>
      <w:r>
        <w:rPr>
          <w:rFonts w:ascii="Ashland;sans-serif" w:hAnsi="Ashland;sans-serif"/>
          <w:color w:val="000000"/>
          <w:sz w:val="14"/>
        </w:rPr>
        <w:t>million, $505</w:t>
      </w:r>
      <w:r>
        <w:rPr>
          <w:rFonts w:ascii="Ashland;sans-serif" w:hAnsi="Ashland;sans-serif"/>
          <w:color w:val="000000"/>
          <w:sz w:val="20"/>
        </w:rPr>
        <w:t xml:space="preserve"> </w:t>
      </w:r>
      <w:r>
        <w:rPr>
          <w:rFonts w:ascii="Ashland;sans-serif" w:hAnsi="Ashland;sans-serif"/>
          <w:color w:val="000000"/>
          <w:sz w:val="14"/>
        </w:rPr>
        <w:t>million and $90</w:t>
      </w:r>
      <w:r>
        <w:rPr>
          <w:rFonts w:ascii="Ashland;sans-serif" w:hAnsi="Ashland;sans-serif"/>
          <w:color w:val="000000"/>
          <w:sz w:val="20"/>
        </w:rPr>
        <w:t xml:space="preserve"> </w:t>
      </w:r>
      <w:r>
        <w:rPr>
          <w:rFonts w:ascii="Ashland;sans-serif" w:hAnsi="Ashland;sans-serif"/>
          <w:color w:val="000000"/>
          <w:sz w:val="14"/>
        </w:rPr>
        <w:t>million related to the Life Sciences, Personal Care, Specialty Additives and Intermediates reportable segments, respectively.</w:t>
      </w:r>
    </w:p>
    <w:p>
      <w:pPr>
        <w:pStyle w:val="TextBody"/>
        <w:bidi w:val="0"/>
        <w:spacing w:before="120" w:after="283"/>
        <w:jc w:val="both"/>
        <w:rPr>
          <w:rFonts w:ascii="Ashland;sans-serif" w:hAnsi="Ashland;sans-serif"/>
          <w:b/>
          <w:color w:val="000000"/>
          <w:sz w:val="20"/>
        </w:rPr>
      </w:pPr>
      <w:r>
        <w:rPr>
          <w:rFonts w:ascii="Ashland;sans-serif" w:hAnsi="Ashland;sans-serif"/>
          <w:b/>
          <w:color w:val="000000"/>
          <w:sz w:val="20"/>
        </w:rPr>
        <w:t>Other intangible assets</w:t>
      </w:r>
    </w:p>
    <w:p>
      <w:pPr>
        <w:pStyle w:val="TextBody"/>
        <w:bidi w:val="0"/>
        <w:spacing w:before="120" w:after="283"/>
        <w:jc w:val="both"/>
        <w:rPr>
          <w:rFonts w:ascii="Times New Roman" w:hAnsi="Times New Roman"/>
          <w:sz w:val="20"/>
        </w:rPr>
      </w:pPr>
      <w:r>
        <w:rPr>
          <w:rFonts w:ascii="Ashland;sans-serif" w:hAnsi="Ashland;sans-serif"/>
          <w:color w:val="000000"/>
          <w:sz w:val="20"/>
        </w:rPr>
        <w:t>Other intangible assets principally consist of trademarks and trade names, intellectual property and customer lists. Intangible assets classified as finite are amortized on a straight-line basis over their estimated useful lives. The cost of trademarks and trade names is amortized principally over 3 to 20 years, intellectual property over 3 to 20 years, and customer lists over 10 to 24 years.</w:t>
      </w:r>
      <w:r>
        <w:rPr>
          <w:rFonts w:ascii="Times New Roman" w:hAnsi="Times New Roman"/>
          <w:color w:val="000000"/>
          <w:sz w:val="20"/>
        </w:rPr>
        <w:t xml:space="preserve"> </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Ashland annually reviews, as of July 1, indefinite-lived intangible assets for impairment or whenever events or changes in circumstances indicate that carrying amounts may not be recoverable.</w:t>
      </w:r>
    </w:p>
    <w:p>
      <w:pPr>
        <w:pStyle w:val="TextBody"/>
        <w:bidi w:val="0"/>
        <w:spacing w:before="120" w:after="283"/>
        <w:jc w:val="both"/>
        <w:rPr>
          <w:rFonts w:ascii="Times New Roman" w:hAnsi="Times New Roman"/>
          <w:sz w:val="20"/>
        </w:rPr>
      </w:pPr>
      <w:r>
        <w:rPr>
          <w:rFonts w:ascii="Ashland;sans-serif" w:hAnsi="Ashland;sans-serif"/>
          <w:color w:val="000000"/>
          <w:sz w:val="20"/>
        </w:rPr>
        <w:t>No</w:t>
      </w:r>
      <w:r>
        <w:rPr>
          <w:rFonts w:ascii="Times New Roman" w:hAnsi="Times New Roman"/>
          <w:color w:val="000000"/>
          <w:sz w:val="20"/>
        </w:rPr>
        <w:t xml:space="preserve"> </w:t>
      </w:r>
      <w:r>
        <w:rPr>
          <w:rFonts w:ascii="Ashland;sans-serif" w:hAnsi="Ashland;sans-serif"/>
          <w:color w:val="000000"/>
          <w:sz w:val="20"/>
        </w:rPr>
        <w:t>indicators of impairment were identified for indefinite-lived trademarks and trade names during the three and nine months ended June 30, 2026.</w:t>
      </w:r>
      <w:r>
        <w:rPr>
          <w:rFonts w:ascii="Times New Roman" w:hAnsi="Times New Roman"/>
          <w:color w:val="000000"/>
          <w:sz w:val="20"/>
        </w:rPr>
        <w:t xml:space="preserve"> </w:t>
      </w:r>
    </w:p>
    <w:p>
      <w:pPr>
        <w:pStyle w:val="TextBody"/>
        <w:bidi w:val="0"/>
        <w:spacing w:before="120" w:after="283"/>
        <w:jc w:val="center"/>
        <w:rPr>
          <w:rFonts w:ascii="Ashland;sans-serif" w:hAnsi="Ashland;sans-serif"/>
          <w:color w:val="000000"/>
          <w:sz w:val="20"/>
        </w:rPr>
      </w:pPr>
      <w:r>
        <w:rPr>
          <w:rFonts w:ascii="Ashland;sans-serif" w:hAnsi="Ashland;sans-serif"/>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Ashland;sans-serif" w:hAnsi="Ashland;sans-serif"/>
          <w:color w:val="000000"/>
          <w:sz w:val="20"/>
        </w:rPr>
      </w:pPr>
      <w:r>
        <w:rPr>
          <w:rFonts w:ascii="Ashland;sans-serif" w:hAnsi="Ashland;sans-serif"/>
          <w:color w:val="000000"/>
          <w:sz w:val="20"/>
        </w:rPr>
        <w:t>Other intangible assets were comprised of the following as of:</w:t>
      </w:r>
    </w:p>
    <w:tbl>
      <w:tblPr>
        <w:tblW w:w="10205" w:type="dxa"/>
        <w:jc w:val="left"/>
        <w:tblInd w:w="0" w:type="dxa"/>
        <w:tblLayout w:type="fixed"/>
        <w:tblCellMar>
          <w:top w:w="28" w:type="dxa"/>
          <w:left w:w="28" w:type="dxa"/>
          <w:bottom w:w="28" w:type="dxa"/>
          <w:right w:w="28" w:type="dxa"/>
        </w:tblCellMar>
      </w:tblPr>
      <w:tblGrid>
        <w:gridCol w:w="2316"/>
        <w:gridCol w:w="226"/>
        <w:gridCol w:w="646"/>
        <w:gridCol w:w="146"/>
        <w:gridCol w:w="146"/>
        <w:gridCol w:w="311"/>
        <w:gridCol w:w="995"/>
        <w:gridCol w:w="181"/>
        <w:gridCol w:w="146"/>
        <w:gridCol w:w="279"/>
        <w:gridCol w:w="577"/>
        <w:gridCol w:w="146"/>
        <w:gridCol w:w="146"/>
        <w:gridCol w:w="226"/>
        <w:gridCol w:w="646"/>
        <w:gridCol w:w="146"/>
        <w:gridCol w:w="146"/>
        <w:gridCol w:w="311"/>
        <w:gridCol w:w="995"/>
        <w:gridCol w:w="181"/>
        <w:gridCol w:w="146"/>
        <w:gridCol w:w="279"/>
        <w:gridCol w:w="577"/>
        <w:gridCol w:w="291"/>
      </w:tblGrid>
      <w:tr>
        <w:trPr/>
        <w:tc>
          <w:tcPr>
            <w:tcW w:w="23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3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653"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 2026</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3653"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September 30, 2025</w:t>
            </w:r>
          </w:p>
        </w:tc>
        <w:tc>
          <w:tcPr>
            <w:tcW w:w="2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2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Net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Accumulated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Accumulated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carrying</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amortization</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amortization</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amount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Definite-lived intangible assets</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shland;sans-serif" w:hAnsi="Ashland;sans-serif"/>
                <w:color w:val="000000"/>
                <w:sz w:val="18"/>
              </w:rPr>
            </w:pPr>
            <w:r>
              <w:rPr>
                <w:rFonts w:ascii="Ashland;sans-serif" w:hAnsi="Ashland;sans-serif"/>
                <w:color w:val="000000"/>
                <w:sz w:val="18"/>
              </w:rPr>
              <w:t>Trademarks and trade names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shland;sans-serif" w:hAnsi="Ashland;sans-serif"/>
                <w:color w:val="000000"/>
                <w:sz w:val="18"/>
              </w:rPr>
            </w:pPr>
            <w:r>
              <w:rPr>
                <w:rFonts w:ascii="Ashland;sans-serif" w:hAnsi="Ashland;sans-serif"/>
                <w:color w:val="000000"/>
                <w:sz w:val="18"/>
              </w:rPr>
              <w:t>Intellectual property</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(657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(638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45</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shland;sans-serif" w:hAnsi="Ashland;sans-serif"/>
                <w:color w:val="000000"/>
                <w:sz w:val="18"/>
              </w:rPr>
            </w:pPr>
            <w:r>
              <w:rPr>
                <w:rFonts w:ascii="Ashland;sans-serif" w:hAnsi="Ashland;sans-serif"/>
                <w:color w:val="000000"/>
                <w:sz w:val="18"/>
              </w:rPr>
              <w:t>Customer lists</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(410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Total definite-lived intangible assets</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1,359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(1,124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1,372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(1,087</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285</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Indefinite-lived intangible assets</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shland;sans-serif" w:hAnsi="Ashland;sans-serif"/>
                <w:color w:val="000000"/>
                <w:sz w:val="18"/>
              </w:rPr>
            </w:pPr>
            <w:r>
              <w:rPr>
                <w:rFonts w:ascii="Ashland;sans-serif" w:hAnsi="Ashland;sans-serif"/>
                <w:color w:val="000000"/>
                <w:sz w:val="18"/>
              </w:rPr>
              <w:t>Trademarks and trade names</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278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Total indefinite-lived intangible assets</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1,637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9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(1,124</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1,650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9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(1,087</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563</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sz w:val="20"/>
        </w:rPr>
      </w:pPr>
      <w:r>
        <w:rPr>
          <w:rFonts w:ascii="Ashland;sans-serif" w:hAnsi="Ashland;sans-serif"/>
          <w:color w:val="000000"/>
          <w:sz w:val="20"/>
        </w:rPr>
        <w:t>Amortization expense recognized on other intangible assets was $15</w:t>
      </w:r>
      <w:r>
        <w:rPr>
          <w:rFonts w:ascii="Times New Roman" w:hAnsi="Times New Roman"/>
          <w:color w:val="000000"/>
          <w:sz w:val="20"/>
        </w:rPr>
        <w:t xml:space="preserve"> </w:t>
      </w:r>
      <w:r>
        <w:rPr>
          <w:rFonts w:ascii="Ashland;sans-serif" w:hAnsi="Ashland;sans-serif"/>
          <w:color w:val="000000"/>
          <w:sz w:val="20"/>
        </w:rPr>
        <w:t>million for both the three months ended June 30, 2026 and 2025, and $46</w:t>
      </w:r>
      <w:r>
        <w:rPr>
          <w:rFonts w:ascii="Times New Roman" w:hAnsi="Times New Roman"/>
          <w:color w:val="000000"/>
          <w:sz w:val="20"/>
        </w:rPr>
        <w:t xml:space="preserve"> </w:t>
      </w:r>
      <w:r>
        <w:rPr>
          <w:rFonts w:ascii="Ashland;sans-serif" w:hAnsi="Ashland;sans-serif"/>
          <w:color w:val="000000"/>
          <w:sz w:val="20"/>
        </w:rPr>
        <w:t>million and $47</w:t>
      </w:r>
      <w:r>
        <w:rPr>
          <w:rFonts w:ascii="Times New Roman" w:hAnsi="Times New Roman"/>
          <w:color w:val="000000"/>
          <w:sz w:val="20"/>
        </w:rPr>
        <w:t xml:space="preserve"> </w:t>
      </w:r>
      <w:r>
        <w:rPr>
          <w:rFonts w:ascii="Ashland;sans-serif" w:hAnsi="Ashland;sans-serif"/>
          <w:color w:val="000000"/>
          <w:sz w:val="20"/>
        </w:rPr>
        <w:t>million for the nine months ended June 30, 2026 and 2025, respectively, and is included within the intangibles amortization expense caption of the Statements of Condensed Consolidated Comprehensive Income (Loss). Estimated amortization expense for future periods is $60</w:t>
      </w:r>
      <w:r>
        <w:rPr>
          <w:rFonts w:ascii="Times New Roman" w:hAnsi="Times New Roman"/>
          <w:color w:val="000000"/>
          <w:sz w:val="20"/>
        </w:rPr>
        <w:t xml:space="preserve"> </w:t>
      </w:r>
      <w:r>
        <w:rPr>
          <w:rFonts w:ascii="Ashland;sans-serif" w:hAnsi="Ashland;sans-serif"/>
          <w:color w:val="000000"/>
          <w:sz w:val="20"/>
        </w:rPr>
        <w:t>million in 2026 (includes nine</w:t>
      </w:r>
      <w:r>
        <w:rPr>
          <w:rFonts w:ascii="Times New Roman" w:hAnsi="Times New Roman"/>
          <w:color w:val="000000"/>
          <w:sz w:val="20"/>
        </w:rPr>
        <w:t xml:space="preserve"> </w:t>
      </w:r>
      <w:r>
        <w:rPr>
          <w:rFonts w:ascii="Ashland;sans-serif" w:hAnsi="Ashland;sans-serif"/>
          <w:color w:val="000000"/>
          <w:sz w:val="20"/>
        </w:rPr>
        <w:t>months actual and three months estimated), $37</w:t>
      </w:r>
      <w:r>
        <w:rPr>
          <w:rFonts w:ascii="Times New Roman" w:hAnsi="Times New Roman"/>
          <w:color w:val="000000"/>
          <w:sz w:val="20"/>
        </w:rPr>
        <w:t xml:space="preserve"> </w:t>
      </w:r>
      <w:r>
        <w:rPr>
          <w:rFonts w:ascii="Ashland;sans-serif" w:hAnsi="Ashland;sans-serif"/>
          <w:color w:val="000000"/>
          <w:sz w:val="20"/>
        </w:rPr>
        <w:t>million in 2027, $34</w:t>
      </w:r>
      <w:r>
        <w:rPr>
          <w:rFonts w:ascii="Times New Roman" w:hAnsi="Times New Roman"/>
          <w:color w:val="000000"/>
          <w:sz w:val="20"/>
        </w:rPr>
        <w:t xml:space="preserve"> </w:t>
      </w:r>
      <w:r>
        <w:rPr>
          <w:rFonts w:ascii="Ashland;sans-serif" w:hAnsi="Ashland;sans-serif"/>
          <w:color w:val="000000"/>
          <w:sz w:val="20"/>
        </w:rPr>
        <w:t>million in 2028, $27</w:t>
      </w:r>
      <w:r>
        <w:rPr>
          <w:rFonts w:ascii="Times New Roman" w:hAnsi="Times New Roman"/>
          <w:color w:val="000000"/>
          <w:sz w:val="20"/>
        </w:rPr>
        <w:t xml:space="preserve"> </w:t>
      </w:r>
      <w:r>
        <w:rPr>
          <w:rFonts w:ascii="Ashland;sans-serif" w:hAnsi="Ashland;sans-serif"/>
          <w:color w:val="000000"/>
          <w:sz w:val="20"/>
        </w:rPr>
        <w:t>million in 2029 and $19</w:t>
      </w:r>
      <w:r>
        <w:rPr>
          <w:rFonts w:ascii="Times New Roman" w:hAnsi="Times New Roman"/>
          <w:color w:val="000000"/>
          <w:sz w:val="20"/>
        </w:rPr>
        <w:t xml:space="preserve"> </w:t>
      </w:r>
      <w:r>
        <w:rPr>
          <w:rFonts w:ascii="Ashland;sans-serif" w:hAnsi="Ashland;sans-serif"/>
          <w:color w:val="000000"/>
          <w:sz w:val="20"/>
        </w:rPr>
        <w:t>million in 2030. Actual amounts may change from such estimated amounts due to fluctuations in foreign currency exchange rates, additional intangible asset acquisitions and divestitures, potential impairment, accelerated amortization, or other events.</w:t>
      </w:r>
    </w:p>
    <w:p>
      <w:pPr>
        <w:pStyle w:val="TextBody"/>
        <w:bidi w:val="0"/>
        <w:spacing w:before="120" w:after="283"/>
        <w:jc w:val="both"/>
        <w:rPr>
          <w:rFonts w:ascii="Ashland;sans-serif" w:hAnsi="Ashland;sans-serif"/>
          <w:b/>
          <w:color w:val="000000"/>
          <w:sz w:val="20"/>
        </w:rPr>
      </w:pPr>
      <w:r>
        <w:rPr>
          <w:rFonts w:ascii="Ashland;sans-serif" w:hAnsi="Ashland;sans-serif"/>
          <w:b/>
          <w:color w:val="000000"/>
          <w:sz w:val="20"/>
        </w:rPr>
        <w:t>NOTE H – DEBT AND OTHER FINANCING ACTIVITIES</w:t>
      </w:r>
    </w:p>
    <w:p>
      <w:pPr>
        <w:pStyle w:val="TextBody"/>
        <w:bidi w:val="0"/>
        <w:spacing w:before="120" w:after="120"/>
        <w:jc w:val="both"/>
        <w:rPr>
          <w:rFonts w:ascii="Ashland;sans-serif" w:hAnsi="Ashland;sans-serif"/>
          <w:color w:val="000000"/>
          <w:sz w:val="20"/>
        </w:rPr>
      </w:pPr>
      <w:r>
        <w:rPr>
          <w:rFonts w:ascii="Ashland;sans-serif" w:hAnsi="Ashland;sans-serif"/>
          <w:color w:val="000000"/>
          <w:sz w:val="20"/>
        </w:rPr>
        <w:t>The following table summarizes Ashland’s long-term debt as of:</w:t>
      </w:r>
    </w:p>
    <w:tbl>
      <w:tblPr>
        <w:tblW w:w="9535" w:type="dxa"/>
        <w:jc w:val="left"/>
        <w:tblInd w:w="0" w:type="dxa"/>
        <w:tblLayout w:type="fixed"/>
        <w:tblCellMar>
          <w:top w:w="28" w:type="dxa"/>
          <w:left w:w="28" w:type="dxa"/>
          <w:bottom w:w="28" w:type="dxa"/>
          <w:right w:w="28" w:type="dxa"/>
        </w:tblCellMar>
      </w:tblPr>
      <w:tblGrid>
        <w:gridCol w:w="5416"/>
        <w:gridCol w:w="146"/>
        <w:gridCol w:w="365"/>
        <w:gridCol w:w="1045"/>
        <w:gridCol w:w="181"/>
        <w:gridCol w:w="146"/>
        <w:gridCol w:w="519"/>
        <w:gridCol w:w="1491"/>
        <w:gridCol w:w="226"/>
      </w:tblGrid>
      <w:tr>
        <w:trPr/>
        <w:tc>
          <w:tcPr>
            <w:tcW w:w="5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54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1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 2026</w:t>
            </w:r>
          </w:p>
        </w:tc>
        <w:tc>
          <w:tcPr>
            <w:tcW w:w="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201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September 30, 2025</w:t>
            </w:r>
          </w:p>
        </w:tc>
        <w:tc>
          <w:tcPr>
            <w:tcW w:w="2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3.375% Senior Notes, due 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450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9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shland;sans-serif" w:hAnsi="Ashland;sans-serif"/>
                <w:color w:val="000000"/>
                <w:sz w:val="18"/>
              </w:rPr>
              <w:t>2.00% Senior Notes, due 2028</w:t>
            </w:r>
            <w:r>
              <w:rPr>
                <w:rFonts w:ascii="Times New Roman" w:hAnsi="Times New Roman"/>
                <w:color w:val="000000"/>
                <w:sz w:val="20"/>
              </w:rPr>
              <w:t> </w:t>
            </w:r>
            <w:r>
              <w:rPr>
                <w:rFonts w:ascii="Ashland;sans-serif" w:hAnsi="Ashland;sans-serif"/>
                <w:color w:val="000000"/>
                <w:sz w:val="18"/>
              </w:rPr>
              <w:t>(Euro 500</w:t>
            </w:r>
            <w:r>
              <w:rPr>
                <w:rFonts w:ascii="Times New Roman" w:hAnsi="Times New Roman"/>
                <w:color w:val="000000"/>
                <w:sz w:val="20"/>
              </w:rPr>
              <w:t> </w:t>
            </w:r>
            <w:r>
              <w:rPr>
                <w:rFonts w:ascii="Ashland;sans-serif" w:hAnsi="Ashland;sans-serif"/>
                <w:color w:val="000000"/>
                <w:sz w:val="18"/>
              </w:rPr>
              <w:t>million principal)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571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586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6.875% Notes, due 2043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282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282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6.50% Junior Subordinated Notes, due 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shland;sans-serif" w:hAnsi="Ashland;sans-serif"/>
                <w:color w:val="000000"/>
                <w:sz w:val="18"/>
              </w:rPr>
              <w:t>Other</w:t>
            </w:r>
            <w:r>
              <w:rPr>
                <w:rFonts w:ascii="Ashland;sans-serif" w:hAnsi="Ashland;sans-serif"/>
                <w:color w:val="000000"/>
                <w:sz w:val="12"/>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shland;sans-serif" w:hAnsi="Ashland;sans-serif"/>
                <w:color w:val="000000"/>
                <w:sz w:val="18"/>
              </w:rPr>
              <w:t>Long-term debt (less debt issuance costs)</w:t>
            </w:r>
            <w:r>
              <w:rPr>
                <w:rFonts w:ascii="Ashland;sans-serif" w:hAnsi="Ashland;sans-serif"/>
                <w:color w:val="000000"/>
                <w:sz w:val="12"/>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0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1,374</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1,384</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(a)</w:t>
      </w:r>
    </w:p>
    <w:p>
      <w:pPr>
        <w:pStyle w:val="TextBody"/>
        <w:bidi w:val="0"/>
        <w:spacing w:before="40" w:after="283"/>
        <w:jc w:val="both"/>
        <w:rPr>
          <w:rFonts w:ascii="Ashland;sans-serif" w:hAnsi="Ashland;sans-serif"/>
          <w:sz w:val="20"/>
        </w:rPr>
      </w:pPr>
      <w:r>
        <w:rPr>
          <w:rFonts w:ascii="Ashland;sans-serif" w:hAnsi="Ashland;sans-serif"/>
          <w:color w:val="000000"/>
          <w:sz w:val="14"/>
        </w:rPr>
        <w:t>Other includes $9</w:t>
      </w:r>
      <w:r>
        <w:rPr>
          <w:rFonts w:ascii="Ashland;sans-serif" w:hAnsi="Ashland;sans-serif"/>
          <w:color w:val="000000"/>
          <w:sz w:val="20"/>
        </w:rPr>
        <w:t xml:space="preserve"> </w:t>
      </w:r>
      <w:r>
        <w:rPr>
          <w:rFonts w:ascii="Ashland;sans-serif" w:hAnsi="Ashland;sans-serif"/>
          <w:color w:val="000000"/>
          <w:sz w:val="14"/>
        </w:rPr>
        <w:t>million and $10</w:t>
      </w:r>
      <w:r>
        <w:rPr>
          <w:rFonts w:ascii="Ashland;sans-serif" w:hAnsi="Ashland;sans-serif"/>
          <w:color w:val="000000"/>
          <w:sz w:val="20"/>
        </w:rPr>
        <w:t xml:space="preserve"> </w:t>
      </w:r>
      <w:r>
        <w:rPr>
          <w:rFonts w:ascii="Ashland;sans-serif" w:hAnsi="Ashland;sans-serif"/>
          <w:color w:val="000000"/>
          <w:sz w:val="14"/>
        </w:rPr>
        <w:t>million of debt issuance costs as of June 30, 2026 and September 30, 2025, respectively.</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(b)</w:t>
      </w:r>
    </w:p>
    <w:p>
      <w:pPr>
        <w:pStyle w:val="TextBody"/>
        <w:bidi w:val="0"/>
        <w:spacing w:before="40" w:after="283"/>
        <w:jc w:val="both"/>
        <w:rPr>
          <w:rFonts w:ascii="Ashland;sans-serif" w:hAnsi="Ashland;sans-serif"/>
          <w:sz w:val="20"/>
        </w:rPr>
      </w:pPr>
      <w:r>
        <w:rPr>
          <w:rFonts w:ascii="Ashland;sans-serif" w:hAnsi="Ashland;sans-serif"/>
          <w:color w:val="000000"/>
          <w:sz w:val="14"/>
        </w:rPr>
        <w:t>The current portion of the long-term debt was zero</w:t>
      </w:r>
      <w:r>
        <w:rPr>
          <w:rFonts w:ascii="Ashland;sans-serif" w:hAnsi="Ashland;sans-serif"/>
          <w:color w:val="000000"/>
          <w:sz w:val="20"/>
        </w:rPr>
        <w:t xml:space="preserve"> </w:t>
      </w:r>
      <w:r>
        <w:rPr>
          <w:rFonts w:ascii="Ashland;sans-serif" w:hAnsi="Ashland;sans-serif"/>
          <w:color w:val="000000"/>
          <w:sz w:val="14"/>
        </w:rPr>
        <w:t>for both June 30, 2026 and September 30, 2025.</w:t>
      </w:r>
    </w:p>
    <w:p>
      <w:pPr>
        <w:pStyle w:val="TextBody"/>
        <w:bidi w:val="0"/>
        <w:spacing w:before="120" w:after="283"/>
        <w:jc w:val="both"/>
        <w:rPr>
          <w:rFonts w:ascii="Times New Roman" w:hAnsi="Times New Roman"/>
          <w:sz w:val="20"/>
        </w:rPr>
      </w:pPr>
      <w:r>
        <w:rPr>
          <w:rFonts w:ascii="Ashland;sans-serif" w:hAnsi="Ashland;sans-serif"/>
          <w:color w:val="000000"/>
          <w:sz w:val="20"/>
        </w:rPr>
        <w:t>The scheduled aggregate maturities for long-term debt by year (excluding debt issuance costs) are as follows as of June 30, 2026: zero</w:t>
      </w:r>
      <w:r>
        <w:rPr>
          <w:rFonts w:ascii="Times New Roman" w:hAnsi="Times New Roman"/>
          <w:color w:val="000000"/>
          <w:sz w:val="20"/>
        </w:rPr>
        <w:t xml:space="preserve"> </w:t>
      </w:r>
      <w:r>
        <w:rPr>
          <w:rFonts w:ascii="Ashland;sans-serif" w:hAnsi="Ashland;sans-serif"/>
          <w:color w:val="000000"/>
          <w:sz w:val="20"/>
        </w:rPr>
        <w:t>2026, $4</w:t>
      </w:r>
      <w:r>
        <w:rPr>
          <w:rFonts w:ascii="Times New Roman" w:hAnsi="Times New Roman"/>
          <w:color w:val="000000"/>
          <w:sz w:val="20"/>
        </w:rPr>
        <w:t xml:space="preserve"> </w:t>
      </w:r>
      <w:r>
        <w:rPr>
          <w:rFonts w:ascii="Ashland;sans-serif" w:hAnsi="Ashland;sans-serif"/>
          <w:color w:val="000000"/>
          <w:sz w:val="20"/>
        </w:rPr>
        <w:t>million in 2027, $571</w:t>
      </w:r>
      <w:r>
        <w:rPr>
          <w:rFonts w:ascii="Times New Roman" w:hAnsi="Times New Roman"/>
          <w:color w:val="000000"/>
          <w:sz w:val="20"/>
        </w:rPr>
        <w:t xml:space="preserve"> </w:t>
      </w:r>
      <w:r>
        <w:rPr>
          <w:rFonts w:ascii="Ashland;sans-serif" w:hAnsi="Ashland;sans-serif"/>
          <w:color w:val="000000"/>
          <w:sz w:val="20"/>
        </w:rPr>
        <w:t>million in 2028, $97</w:t>
      </w:r>
      <w:r>
        <w:rPr>
          <w:rFonts w:ascii="Times New Roman" w:hAnsi="Times New Roman"/>
          <w:color w:val="000000"/>
          <w:sz w:val="20"/>
        </w:rPr>
        <w:t xml:space="preserve"> </w:t>
      </w:r>
      <w:r>
        <w:rPr>
          <w:rFonts w:ascii="Ashland;sans-serif" w:hAnsi="Ashland;sans-serif"/>
          <w:color w:val="000000"/>
          <w:sz w:val="20"/>
        </w:rPr>
        <w:t>million in 2029, zero</w:t>
      </w:r>
      <w:r>
        <w:rPr>
          <w:rFonts w:ascii="Times New Roman" w:hAnsi="Times New Roman"/>
          <w:color w:val="000000"/>
          <w:sz w:val="20"/>
        </w:rPr>
        <w:t xml:space="preserve"> </w:t>
      </w:r>
      <w:r>
        <w:rPr>
          <w:rFonts w:ascii="Ashland;sans-serif" w:hAnsi="Ashland;sans-serif"/>
          <w:color w:val="000000"/>
          <w:sz w:val="20"/>
        </w:rPr>
        <w:t>in 2030 and $450</w:t>
      </w:r>
      <w:r>
        <w:rPr>
          <w:rFonts w:ascii="Times New Roman" w:hAnsi="Times New Roman"/>
          <w:color w:val="000000"/>
          <w:sz w:val="20"/>
        </w:rPr>
        <w:t xml:space="preserve"> </w:t>
      </w:r>
      <w:r>
        <w:rPr>
          <w:rFonts w:ascii="Ashland;sans-serif" w:hAnsi="Ashland;sans-serif"/>
          <w:color w:val="000000"/>
          <w:sz w:val="20"/>
        </w:rPr>
        <w:t>million in 2031.</w:t>
      </w:r>
    </w:p>
    <w:p>
      <w:pPr>
        <w:pStyle w:val="TextBody"/>
        <w:bidi w:val="0"/>
        <w:spacing w:before="120" w:after="283"/>
        <w:jc w:val="both"/>
        <w:rPr>
          <w:rFonts w:ascii="Ashland;sans-serif" w:hAnsi="Ashland;sans-serif"/>
          <w:b/>
          <w:color w:val="000000"/>
          <w:sz w:val="20"/>
        </w:rPr>
      </w:pPr>
      <w:r>
        <w:rPr>
          <w:rFonts w:ascii="Ashland;sans-serif" w:hAnsi="Ashland;sans-serif"/>
          <w:b/>
          <w:color w:val="000000"/>
          <w:sz w:val="20"/>
        </w:rPr>
        <w:t>Credit agreements and refinancing</w:t>
      </w:r>
    </w:p>
    <w:p>
      <w:pPr>
        <w:pStyle w:val="TextBody"/>
        <w:bidi w:val="0"/>
        <w:spacing w:before="120" w:after="283"/>
        <w:jc w:val="both"/>
        <w:rPr>
          <w:rFonts w:ascii="Times New Roman" w:hAnsi="Times New Roman"/>
          <w:sz w:val="20"/>
        </w:rPr>
      </w:pPr>
      <w:r>
        <w:rPr>
          <w:rFonts w:ascii="Ashland;sans-serif" w:hAnsi="Ashland;sans-serif"/>
          <w:color w:val="000000"/>
          <w:sz w:val="20"/>
        </w:rPr>
        <w:t>On May 28, 2026 (the “Closing Date”), Ashland Inc. and its Swiss subsidiary, Ashland Industries Europe GmbH ("the Swiss Borrower"), entered into a Second Amended and Restated Credit Agreement (the “2026 Credit Agreement”). The 2026 Credit Agreement provides for a $500</w:t>
      </w:r>
      <w:r>
        <w:rPr>
          <w:rFonts w:ascii="Times New Roman" w:hAnsi="Times New Roman"/>
          <w:color w:val="000000"/>
          <w:sz w:val="20"/>
        </w:rPr>
        <w:t xml:space="preserve"> </w:t>
      </w:r>
      <w:r>
        <w:rPr>
          <w:rFonts w:ascii="Ashland;sans-serif" w:hAnsi="Ashland;sans-serif"/>
          <w:color w:val="000000"/>
          <w:sz w:val="20"/>
        </w:rPr>
        <w:t>million five-year</w:t>
      </w:r>
      <w:r>
        <w:rPr>
          <w:rFonts w:ascii="Times New Roman" w:hAnsi="Times New Roman"/>
          <w:color w:val="000000"/>
          <w:sz w:val="20"/>
        </w:rPr>
        <w:t xml:space="preserve"> </w:t>
      </w:r>
      <w:r>
        <w:rPr>
          <w:rFonts w:ascii="Ashland;sans-serif" w:hAnsi="Ashland;sans-serif"/>
          <w:color w:val="000000"/>
          <w:sz w:val="20"/>
        </w:rPr>
        <w:t>revolving credit facility (including a $125</w:t>
      </w:r>
      <w:r>
        <w:rPr>
          <w:rFonts w:ascii="Times New Roman" w:hAnsi="Times New Roman"/>
          <w:color w:val="000000"/>
          <w:sz w:val="20"/>
        </w:rPr>
        <w:t xml:space="preserve"> </w:t>
      </w:r>
      <w:r>
        <w:rPr>
          <w:rFonts w:ascii="Ashland;sans-serif" w:hAnsi="Ashland;sans-serif"/>
          <w:color w:val="000000"/>
          <w:sz w:val="20"/>
        </w:rPr>
        <w:t>million letter of credit sublimit) ("The Revolving Facility"), which may be drawn by Ashland or the Swiss Borrower.</w:t>
      </w:r>
      <w:r>
        <w:rPr>
          <w:rFonts w:ascii="Times New Roman" w:hAnsi="Times New Roman"/>
          <w:color w:val="000000"/>
          <w:sz w:val="20"/>
        </w:rPr>
        <w:t xml:space="preserve"> </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The 2026 Credit Agreement amends and restates the Amended and Restated Credit Agreement dated as of July 22, 2022.</w:t>
      </w:r>
    </w:p>
    <w:p>
      <w:pPr>
        <w:pStyle w:val="TextBody"/>
        <w:bidi w:val="0"/>
        <w:spacing w:before="120" w:after="283"/>
        <w:jc w:val="center"/>
        <w:rPr>
          <w:rFonts w:ascii="Ashland;sans-serif" w:hAnsi="Ashland;sans-serif"/>
          <w:color w:val="000000"/>
          <w:sz w:val="20"/>
        </w:rPr>
      </w:pPr>
      <w:r>
        <w:rPr>
          <w:rFonts w:ascii="Ashland;sans-serif" w:hAnsi="Ashland;sans-serif"/>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The obligations of the Swiss Borrower under the 2026 Revolving Facility are guaranteed by Ashland. The Revolving Facility is unsecured.</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At Ashland’s option, loans issued under the 2026 Credit Agreement will bear interest at (a) in the case of loans denominated in U.S. dollars, either Term Secured Overnight Financing Rate ("SOFR") or an alternate base rate and (b) in the case of loans denominated in Euros, Euro Interbank Offered Rate ("EURIBOR"), in each case plus the applicable interest rate margin. Loans will initially bear interest at Term SOFR or EURIBOR plus 1.375% per annum, in the case of Term SOFR borrowings or EURIBOR borrowings, respectively, or at the alternate base rate plus 0.375%, in the case of alternate base rate borrowings, through and including the date of delivery of a quarterly compliance certificate and thereafter the interest rate will fluctuate between Term SOFR or EURIBOR plus 1.250% per annum and Term SOFR or EURIBOR plus 1.750% per annum (or between the alternate base rate plus 0.250% per annum and the alternate base rate plus 0.750% annum), based upon the Consolidated Net Leverage Ratio (as defined in the 2026 Credit Agreement) at such time. In addition, Ashland will initially be required to pay fees of 0.175% per annum on the daily unused amount of the Revolving Facility through and including the date of delivery of a compliance certificate, and thereafter the fee rate will fluctuate between 0.125% and 0.275% per annum, based upon the Consolidated Net Leverage Ratio.</w:t>
      </w:r>
    </w:p>
    <w:p>
      <w:pPr>
        <w:pStyle w:val="TextBody"/>
        <w:bidi w:val="0"/>
        <w:spacing w:before="120" w:after="283"/>
        <w:jc w:val="both"/>
        <w:rPr>
          <w:rFonts w:ascii="Times New Roman" w:hAnsi="Times New Roman"/>
          <w:sz w:val="20"/>
        </w:rPr>
      </w:pPr>
      <w:r>
        <w:rPr>
          <w:rFonts w:ascii="Ashland;sans-serif" w:hAnsi="Ashland;sans-serif"/>
          <w:color w:val="000000"/>
          <w:sz w:val="20"/>
        </w:rPr>
        <w:t>The Revolving Facility may be prepaid at any time without premium.</w:t>
      </w:r>
      <w:r>
        <w:rPr>
          <w:rFonts w:ascii="Times New Roman" w:hAnsi="Times New Roman"/>
          <w:color w:val="000000"/>
          <w:sz w:val="20"/>
        </w:rPr>
        <w:t xml:space="preserve"> </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The 2026 Credit Agreement contains usual and customary representations and warranties, and usual and customary affirmative and negative covenants, including limitations on liens, additional subsidiary indebtedness, investments, mergers, dispositions, restricted payments, changes in the nature of business, affiliate transactions, restrictions on distributions by subsidiaries, use of proceeds, accounting changes and other customary limitations, as well as financial covenants (including maintenance of a maximum Consolidated Net Leverage Ratio and a minimum Consolidated Interest Coverage Ratio (as defined in the 2026 Credit Agreement)). The 2026 Credit Agreement also contains usual and customary events of default, including non-payment of principal, interest, fees and other amounts, material breach of a representation or warranty, non-performance of covenants and obligations, default on other material debt, bankruptcy or insolvency, material judgments, incurrence of certain material ERISA liabilities, impairment of loan documentation and change of control.</w:t>
      </w:r>
    </w:p>
    <w:p>
      <w:pPr>
        <w:pStyle w:val="TextBody"/>
        <w:bidi w:val="0"/>
        <w:spacing w:before="120" w:after="283"/>
        <w:jc w:val="both"/>
        <w:rPr>
          <w:rFonts w:ascii="Times New Roman" w:hAnsi="Times New Roman"/>
          <w:sz w:val="20"/>
        </w:rPr>
      </w:pPr>
      <w:r>
        <w:rPr>
          <w:rFonts w:ascii="Ashland;sans-serif" w:hAnsi="Ashland;sans-serif"/>
          <w:color w:val="000000"/>
          <w:sz w:val="20"/>
        </w:rPr>
        <w:t>Ashland incurred and paid $2</w:t>
      </w:r>
      <w:r>
        <w:rPr>
          <w:rFonts w:ascii="Times New Roman" w:hAnsi="Times New Roman"/>
          <w:color w:val="000000"/>
          <w:sz w:val="20"/>
        </w:rPr>
        <w:t xml:space="preserve"> </w:t>
      </w:r>
      <w:r>
        <w:rPr>
          <w:rFonts w:ascii="Ashland;sans-serif" w:hAnsi="Ashland;sans-serif"/>
          <w:color w:val="000000"/>
          <w:sz w:val="20"/>
        </w:rPr>
        <w:t>million of debt issuance costs in connection with the 2026 Credit Agreement during the three and nine months ended June 30, 2026. These costs are being amortized over the term of the 2026 Credit Agreement using the straight-line method and are included within net interest and other (income) expense in the Statements of Consolidated Comprehensive Income (Loss). This amount was also recorded within debt issuance costs paid in the cash flows used by financing activities from continuing operations section of the Statement of Condensed Consolidated Cash Flows for the nine months ended June 30, 2026.</w:t>
      </w:r>
      <w:r>
        <w:rPr>
          <w:rFonts w:ascii="Times New Roman" w:hAnsi="Times New Roman"/>
          <w:color w:val="000000"/>
          <w:sz w:val="20"/>
        </w:rPr>
        <w:t xml:space="preserve"> </w:t>
      </w:r>
    </w:p>
    <w:p>
      <w:pPr>
        <w:pStyle w:val="TextBody"/>
        <w:bidi w:val="0"/>
        <w:spacing w:before="120" w:after="283"/>
        <w:jc w:val="both"/>
        <w:rPr>
          <w:rFonts w:ascii="Ashland;sans-serif" w:hAnsi="Ashland;sans-serif"/>
          <w:b/>
          <w:color w:val="000000"/>
          <w:sz w:val="20"/>
        </w:rPr>
      </w:pPr>
      <w:r>
        <w:rPr>
          <w:rFonts w:ascii="Ashland;sans-serif" w:hAnsi="Ashland;sans-serif"/>
          <w:b/>
          <w:color w:val="000000"/>
          <w:sz w:val="20"/>
        </w:rPr>
        <w:t>Accounts receivable facilities and supply chain finance program</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Ashland continues to maintain its U.S. Accounts Receivable Sales Program, which was entered into during fiscal 2021, and its Foreign Accounts Receivable Sales Program, which was entered into during fiscal 2024. Under these programs, Ashland accounts for the accounts receivable transferred to buyers as sales. Ashland recognizes any gains or losses based on the excess of proceeds received net of buyer’s discounts and fees compared to the carrying value of the accounts receivable. Proceeds received, net of buyer’s discounts and fees, are recorded within the operating activities of the Statements of Condensed Consolidated Cash Flows. Losses on sale of accounts receivable, including related transaction expenses are recorded within the net interest and other (income) expense caption of the Statements of Condensed Consolidated Comprehensive Income (Loss). Ashland regularly assesses its servicing obligations and records them as assets or liabilities when appropriate. Ashland also monitors its obligation with regards to the limited guarantee and records the resulting guarantee liability when warranted. When applicable, Ashland discloses the amount of the accounts receivable that serves as over-collateralization as a restricted asset.</w:t>
      </w:r>
    </w:p>
    <w:p>
      <w:pPr>
        <w:pStyle w:val="TextBody"/>
        <w:bidi w:val="0"/>
        <w:spacing w:before="120" w:after="283"/>
        <w:jc w:val="center"/>
        <w:rPr>
          <w:rFonts w:ascii="Ashland;sans-serif" w:hAnsi="Ashland;sans-serif"/>
          <w:color w:val="000000"/>
          <w:sz w:val="20"/>
        </w:rPr>
      </w:pPr>
      <w:r>
        <w:rPr>
          <w:rFonts w:ascii="Ashland;sans-serif" w:hAnsi="Ashland;sans-serif"/>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shland;sans-serif" w:hAnsi="Ashland;sans-serif"/>
          <w:i/>
          <w:color w:val="000000"/>
          <w:sz w:val="20"/>
        </w:rPr>
      </w:pPr>
      <w:r>
        <w:rPr>
          <w:rFonts w:ascii="Ashland;sans-serif" w:hAnsi="Ashland;sans-serif"/>
          <w:i/>
          <w:color w:val="000000"/>
          <w:sz w:val="20"/>
        </w:rPr>
        <w:t>Accounts Receivable Sales Programs</w:t>
      </w:r>
    </w:p>
    <w:p>
      <w:pPr>
        <w:pStyle w:val="TextBody"/>
        <w:bidi w:val="0"/>
        <w:spacing w:before="120" w:after="120"/>
        <w:jc w:val="both"/>
        <w:rPr>
          <w:rFonts w:ascii="Ashland;sans-serif" w:hAnsi="Ashland;sans-serif"/>
          <w:color w:val="000000"/>
          <w:sz w:val="20"/>
        </w:rPr>
      </w:pPr>
      <w:r>
        <w:rPr>
          <w:rFonts w:ascii="Ashland;sans-serif" w:hAnsi="Ashland;sans-serif"/>
          <w:color w:val="000000"/>
          <w:sz w:val="20"/>
        </w:rPr>
        <w:t>The following table provides information related to the U.S. and Foreign Accounts Receivable Sales Programs as of:</w:t>
      </w:r>
    </w:p>
    <w:tbl>
      <w:tblPr>
        <w:tblW w:w="9365" w:type="dxa"/>
        <w:jc w:val="left"/>
        <w:tblInd w:w="0" w:type="dxa"/>
        <w:tblLayout w:type="fixed"/>
        <w:tblCellMar>
          <w:top w:w="28" w:type="dxa"/>
          <w:left w:w="28" w:type="dxa"/>
          <w:bottom w:w="28" w:type="dxa"/>
          <w:right w:w="28" w:type="dxa"/>
        </w:tblCellMar>
      </w:tblPr>
      <w:tblGrid>
        <w:gridCol w:w="5216"/>
        <w:gridCol w:w="146"/>
        <w:gridCol w:w="460"/>
        <w:gridCol w:w="950"/>
        <w:gridCol w:w="146"/>
        <w:gridCol w:w="146"/>
        <w:gridCol w:w="655"/>
        <w:gridCol w:w="1355"/>
        <w:gridCol w:w="291"/>
      </w:tblGrid>
      <w:tr>
        <w:trPr/>
        <w:tc>
          <w:tcPr>
            <w:tcW w:w="5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2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1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June 30, 2026</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201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September 30, 2025</w:t>
            </w:r>
          </w:p>
        </w:tc>
        <w:tc>
          <w:tcPr>
            <w:tcW w:w="2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521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U.S. Accounts Receivable Sales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shland;sans-serif" w:hAnsi="Ashland;sans-serif"/>
                <w:color w:val="000000"/>
                <w:sz w:val="18"/>
              </w:rPr>
            </w:pPr>
            <w:r>
              <w:rPr>
                <w:rFonts w:ascii="Ashland;sans-serif" w:hAnsi="Ashland;sans-serif"/>
                <w:color w:val="000000"/>
                <w:sz w:val="18"/>
              </w:rPr>
              <w:t>Buyer limit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355"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shland;sans-serif" w:hAnsi="Ashland;sans-serif"/>
                <w:color w:val="000000"/>
                <w:sz w:val="18"/>
              </w:rPr>
            </w:pPr>
            <w:r>
              <w:rPr>
                <w:rFonts w:ascii="Ashland;sans-serif" w:hAnsi="Ashland;sans-serif"/>
                <w:color w:val="000000"/>
                <w:sz w:val="18"/>
              </w:rPr>
              <w:t>Sales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5"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59</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shland;sans-serif" w:hAnsi="Ashland;sans-serif"/>
                <w:color w:val="000000"/>
                <w:sz w:val="18"/>
              </w:rPr>
            </w:pPr>
            <w:r>
              <w:rPr>
                <w:rFonts w:ascii="Ashland;sans-serif" w:hAnsi="Ashland;sans-serif"/>
                <w:color w:val="000000"/>
                <w:sz w:val="18"/>
              </w:rPr>
              <w:t>Receivables transferred to SPE (Special purpose entity)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5"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Ashland;sans-serif" w:hAnsi="Ashland;sans-serif"/>
                <w:color w:val="000000"/>
                <w:sz w:val="18"/>
              </w:rPr>
              <w:t>Servicing and guarantee liability</w:t>
            </w:r>
            <w:r>
              <w:rPr>
                <w:rFonts w:ascii="Ashland;sans-serif" w:hAnsi="Ashland;sans-serif"/>
                <w:color w:val="000000"/>
                <w:sz w:val="12"/>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1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Foreign Accounts Receivable Sales Program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shland;sans-serif" w:hAnsi="Ashland;sans-serif"/>
                <w:color w:val="000000"/>
                <w:sz w:val="18"/>
              </w:rPr>
            </w:pPr>
            <w:r>
              <w:rPr>
                <w:rFonts w:ascii="Ashland;sans-serif" w:hAnsi="Ashland;sans-serif"/>
                <w:color w:val="000000"/>
                <w:sz w:val="18"/>
              </w:rPr>
              <w:t>Buyer limit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355"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103</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shland;sans-serif" w:hAnsi="Ashland;sans-serif"/>
                <w:color w:val="000000"/>
                <w:sz w:val="18"/>
              </w:rPr>
            </w:pPr>
            <w:r>
              <w:rPr>
                <w:rFonts w:ascii="Ashland;sans-serif" w:hAnsi="Ashland;sans-serif"/>
                <w:color w:val="000000"/>
                <w:sz w:val="18"/>
              </w:rPr>
              <w:t>Sales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5"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103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shland;sans-serif" w:hAnsi="Ashland;sans-serif"/>
                <w:color w:val="000000"/>
                <w:sz w:val="18"/>
              </w:rPr>
            </w:pPr>
            <w:r>
              <w:rPr>
                <w:rFonts w:ascii="Ashland;sans-serif" w:hAnsi="Ashland;sans-serif"/>
                <w:color w:val="000000"/>
                <w:sz w:val="18"/>
              </w:rPr>
              <w:t>Receivables transferred to SPE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5"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142</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Ashland;sans-serif" w:hAnsi="Ashland;sans-serif"/>
                <w:color w:val="000000"/>
                <w:sz w:val="18"/>
              </w:rPr>
              <w:t>Servicing and guarantee liability</w:t>
            </w:r>
            <w:r>
              <w:rPr>
                <w:rFonts w:ascii="Ashland;sans-serif" w:hAnsi="Ashland;sans-serif"/>
                <w:color w:val="000000"/>
                <w:sz w:val="12"/>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(a)</w:t>
      </w:r>
    </w:p>
    <w:p>
      <w:pPr>
        <w:pStyle w:val="TextBody"/>
        <w:bidi w:val="0"/>
        <w:spacing w:before="40" w:after="283"/>
        <w:jc w:val="both"/>
        <w:rPr>
          <w:rFonts w:ascii="Ashland;sans-serif" w:hAnsi="Ashland;sans-serif"/>
          <w:sz w:val="20"/>
        </w:rPr>
      </w:pPr>
      <w:r>
        <w:rPr>
          <w:rFonts w:ascii="Ashland;sans-serif" w:hAnsi="Ashland;sans-serif"/>
          <w:color w:val="000000"/>
          <w:sz w:val="14"/>
        </w:rPr>
        <w:t>Zero denotes less than $1</w:t>
      </w:r>
      <w:r>
        <w:rPr>
          <w:rFonts w:ascii="Ashland;sans-serif" w:hAnsi="Ashland;sans-serif"/>
          <w:color w:val="000000"/>
          <w:sz w:val="20"/>
        </w:rPr>
        <w:t xml:space="preserve"> </w:t>
      </w:r>
      <w:r>
        <w:rPr>
          <w:rFonts w:ascii="Ashland;sans-serif" w:hAnsi="Ashland;sans-serif"/>
          <w:color w:val="000000"/>
          <w:sz w:val="14"/>
        </w:rPr>
        <w:t>million of activity.</w:t>
      </w:r>
    </w:p>
    <w:p>
      <w:pPr>
        <w:pStyle w:val="TextBody"/>
        <w:bidi w:val="0"/>
        <w:spacing w:before="120" w:after="120"/>
        <w:jc w:val="both"/>
        <w:rPr>
          <w:rFonts w:ascii="Ashland;sans-serif" w:hAnsi="Ashland;sans-serif"/>
          <w:color w:val="000000"/>
          <w:sz w:val="20"/>
        </w:rPr>
      </w:pPr>
      <w:r>
        <w:rPr>
          <w:rFonts w:ascii="Ashland;sans-serif" w:hAnsi="Ashland;sans-serif"/>
          <w:color w:val="000000"/>
          <w:sz w:val="20"/>
        </w:rPr>
        <w:t>The following table provides the impact of the U.S. and Foreign Accounts Receivable Sales Programs on the Statements of Condensed Consolidated Comprehensive Income (Loss).</w:t>
      </w:r>
    </w:p>
    <w:tbl>
      <w:tblPr>
        <w:tblW w:w="9200" w:type="dxa"/>
        <w:jc w:val="left"/>
        <w:tblInd w:w="0" w:type="dxa"/>
        <w:tblLayout w:type="fixed"/>
        <w:tblCellMar>
          <w:top w:w="28" w:type="dxa"/>
          <w:left w:w="28" w:type="dxa"/>
          <w:bottom w:w="28" w:type="dxa"/>
          <w:right w:w="28" w:type="dxa"/>
        </w:tblCellMar>
      </w:tblPr>
      <w:tblGrid>
        <w:gridCol w:w="4591"/>
        <w:gridCol w:w="146"/>
        <w:gridCol w:w="314"/>
        <w:gridCol w:w="480"/>
        <w:gridCol w:w="202"/>
        <w:gridCol w:w="202"/>
        <w:gridCol w:w="314"/>
        <w:gridCol w:w="480"/>
        <w:gridCol w:w="146"/>
        <w:gridCol w:w="146"/>
        <w:gridCol w:w="357"/>
        <w:gridCol w:w="357"/>
        <w:gridCol w:w="230"/>
        <w:gridCol w:w="230"/>
        <w:gridCol w:w="357"/>
        <w:gridCol w:w="357"/>
        <w:gridCol w:w="291"/>
      </w:tblGrid>
      <w:tr>
        <w:trPr/>
        <w:tc>
          <w:tcPr>
            <w:tcW w:w="4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92"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Three months ended</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888"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Nine months ended</w:t>
            </w:r>
          </w:p>
        </w:tc>
        <w:tc>
          <w:tcPr>
            <w:tcW w:w="2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2026</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2026</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U.S. Accounts Receivable Sales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Ashland;sans-serif" w:hAnsi="Ashland;sans-serif"/>
                <w:color w:val="000000"/>
                <w:sz w:val="18"/>
              </w:rPr>
              <w:t>Loss on sale</w:t>
            </w:r>
            <w:r>
              <w:rPr>
                <w:rFonts w:ascii="Ashland;sans-serif" w:hAnsi="Ashland;sans-serif"/>
                <w:color w:val="000000"/>
                <w:sz w:val="12"/>
              </w:rPr>
              <w:t>(a)(b)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Foreign Accounts Receivable Sales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Ashland;sans-serif" w:hAnsi="Ashland;sans-serif"/>
                <w:color w:val="000000"/>
                <w:sz w:val="18"/>
              </w:rPr>
              <w:t>Loss on sale</w:t>
            </w:r>
            <w:r>
              <w:rPr>
                <w:rFonts w:ascii="Ashland;sans-serif" w:hAnsi="Ashland;sans-serif"/>
                <w:color w:val="000000"/>
                <w:sz w:val="12"/>
              </w:rPr>
              <w:t>(a)(b)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(a)</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Recorded within the net interest and other (income) expense caption within the Statements of Condensed Consolidated Comprehensive Income (Loss).</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(b)</w:t>
      </w:r>
    </w:p>
    <w:p>
      <w:pPr>
        <w:pStyle w:val="TextBody"/>
        <w:bidi w:val="0"/>
        <w:spacing w:before="40" w:after="283"/>
        <w:jc w:val="both"/>
        <w:rPr>
          <w:rFonts w:ascii="Ashland;sans-serif" w:hAnsi="Ashland;sans-serif"/>
          <w:sz w:val="20"/>
        </w:rPr>
      </w:pPr>
      <w:r>
        <w:rPr>
          <w:rFonts w:ascii="Ashland;sans-serif" w:hAnsi="Ashland;sans-serif"/>
          <w:color w:val="000000"/>
          <w:sz w:val="14"/>
        </w:rPr>
        <w:t>Zero denotes less than $1</w:t>
      </w:r>
      <w:r>
        <w:rPr>
          <w:rFonts w:ascii="Ashland;sans-serif" w:hAnsi="Ashland;sans-serif"/>
          <w:color w:val="000000"/>
          <w:sz w:val="20"/>
        </w:rPr>
        <w:t xml:space="preserve"> </w:t>
      </w:r>
      <w:r>
        <w:rPr>
          <w:rFonts w:ascii="Ashland;sans-serif" w:hAnsi="Ashland;sans-serif"/>
          <w:color w:val="000000"/>
          <w:sz w:val="14"/>
        </w:rPr>
        <w:t>million of activity.</w:t>
      </w:r>
    </w:p>
    <w:p>
      <w:pPr>
        <w:pStyle w:val="TextBody"/>
        <w:bidi w:val="0"/>
        <w:spacing w:before="120" w:after="120"/>
        <w:jc w:val="both"/>
        <w:rPr>
          <w:rFonts w:ascii="Ashland;sans-serif" w:hAnsi="Ashland;sans-serif"/>
          <w:color w:val="000000"/>
          <w:sz w:val="20"/>
        </w:rPr>
      </w:pPr>
      <w:r>
        <w:rPr>
          <w:rFonts w:ascii="Ashland;sans-serif" w:hAnsi="Ashland;sans-serif"/>
          <w:color w:val="000000"/>
          <w:sz w:val="20"/>
        </w:rPr>
        <w:t>The following table provides cash flow activity related to the U.S. and Foreign Accounts Receivable Sales Programs.</w:t>
      </w:r>
    </w:p>
    <w:tbl>
      <w:tblPr>
        <w:tblW w:w="9100" w:type="dxa"/>
        <w:jc w:val="left"/>
        <w:tblInd w:w="0" w:type="dxa"/>
        <w:tblLayout w:type="fixed"/>
        <w:tblCellMar>
          <w:top w:w="28" w:type="dxa"/>
          <w:left w:w="28" w:type="dxa"/>
          <w:bottom w:w="28" w:type="dxa"/>
          <w:right w:w="28" w:type="dxa"/>
        </w:tblCellMar>
      </w:tblPr>
      <w:tblGrid>
        <w:gridCol w:w="4591"/>
        <w:gridCol w:w="146"/>
        <w:gridCol w:w="615"/>
        <w:gridCol w:w="1275"/>
        <w:gridCol w:w="146"/>
        <w:gridCol w:w="146"/>
        <w:gridCol w:w="615"/>
        <w:gridCol w:w="1275"/>
        <w:gridCol w:w="291"/>
      </w:tblGrid>
      <w:tr>
        <w:trPr/>
        <w:tc>
          <w:tcPr>
            <w:tcW w:w="4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90"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Nine months ended</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890"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Nine months ended</w:t>
            </w:r>
          </w:p>
        </w:tc>
        <w:tc>
          <w:tcPr>
            <w:tcW w:w="2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 2025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U.S. Accounts Receivable Sales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shland;sans-serif" w:hAnsi="Ashland;sans-serif"/>
                <w:color w:val="000000"/>
                <w:sz w:val="18"/>
              </w:rPr>
            </w:pPr>
            <w:r>
              <w:rPr>
                <w:rFonts w:ascii="Ashland;sans-serif" w:hAnsi="Ashland;sans-serif"/>
                <w:color w:val="000000"/>
                <w:sz w:val="18"/>
              </w:rPr>
              <w:t>Gross proceeds received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275"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275"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290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shland;sans-serif" w:hAnsi="Ashland;sans-serif"/>
                <w:color w:val="000000"/>
                <w:sz w:val="18"/>
              </w:rPr>
            </w:pPr>
            <w:r>
              <w:rPr>
                <w:rFonts w:ascii="Ashland;sans-serif" w:hAnsi="Ashland;sans-serif"/>
                <w:color w:val="000000"/>
                <w:sz w:val="18"/>
              </w:rPr>
              <w:t>Cash collections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301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shland;sans-serif" w:hAnsi="Ashland;sans-serif"/>
                <w:color w:val="000000"/>
                <w:sz w:val="18"/>
              </w:rPr>
            </w:pPr>
            <w:r>
              <w:rPr>
                <w:rFonts w:ascii="Ashland;sans-serif" w:hAnsi="Ashland;sans-serif"/>
                <w:color w:val="000000"/>
                <w:sz w:val="18"/>
              </w:rPr>
              <w:t>Net change in receivables sales volume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(11</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Foreign Accounts Receivable Sales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shland;sans-serif" w:hAnsi="Ashland;sans-serif"/>
                <w:color w:val="000000"/>
                <w:sz w:val="18"/>
              </w:rPr>
            </w:pPr>
            <w:r>
              <w:rPr>
                <w:rFonts w:ascii="Ashland;sans-serif" w:hAnsi="Ashland;sans-serif"/>
                <w:color w:val="000000"/>
                <w:sz w:val="18"/>
              </w:rPr>
              <w:t>Gross proceeds received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275"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275"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413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shland;sans-serif" w:hAnsi="Ashland;sans-serif"/>
                <w:color w:val="000000"/>
                <w:sz w:val="18"/>
              </w:rPr>
            </w:pPr>
            <w:r>
              <w:rPr>
                <w:rFonts w:ascii="Ashland;sans-serif" w:hAnsi="Ashland;sans-serif"/>
                <w:color w:val="000000"/>
                <w:sz w:val="18"/>
              </w:rPr>
              <w:t>Cash collections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400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shland;sans-serif" w:hAnsi="Ashland;sans-serif"/>
                <w:color w:val="000000"/>
                <w:sz w:val="18"/>
              </w:rPr>
            </w:pPr>
            <w:r>
              <w:rPr>
                <w:rFonts w:ascii="Ashland;sans-serif" w:hAnsi="Ashland;sans-serif"/>
                <w:color w:val="000000"/>
                <w:sz w:val="18"/>
              </w:rPr>
              <w:t>Net change in receivables sales volume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13</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Ashland;sans-serif" w:hAnsi="Ashland;sans-serif"/>
          <w:i/>
          <w:color w:val="000000"/>
          <w:sz w:val="20"/>
        </w:rPr>
      </w:pPr>
      <w:r>
        <w:rPr>
          <w:rFonts w:ascii="Ashland;sans-serif" w:hAnsi="Ashland;sans-serif"/>
          <w:i/>
          <w:color w:val="000000"/>
          <w:sz w:val="20"/>
        </w:rPr>
        <w:t>Supply Chain Finance Program</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During April 2024, Ashland authorized a financing program offered through JP Morgan and Taulia Alliance. Under this program, JP Morgan and its affiliates may purchase certain confirmed receivables directly from suppliers pursuant to the terms of a separate arrangement entered into between JPMorgan and Taulia Alliance and such suppliers. There were no changes to Ashland's standard payment terms with its suppliers in connection with this program. Ashland provides no guarantees to JP Morgan and Taulia Alliance under this program. A rollforward of obligations confirmed and paid is presented below:</w:t>
      </w:r>
    </w:p>
    <w:p>
      <w:pPr>
        <w:pStyle w:val="TextBody"/>
        <w:bidi w:val="0"/>
        <w:jc w:val="both"/>
        <w:rPr/>
      </w:pPr>
      <w:r>
        <w:rPr/>
        <w:t> </w:t>
      </w:r>
    </w:p>
    <w:p>
      <w:pPr>
        <w:pStyle w:val="TextBody"/>
        <w:bidi w:val="0"/>
        <w:spacing w:before="120" w:after="283"/>
        <w:jc w:val="center"/>
        <w:rPr>
          <w:rFonts w:ascii="Ashland;sans-serif" w:hAnsi="Ashland;sans-serif"/>
          <w:color w:val="000000"/>
          <w:sz w:val="20"/>
        </w:rPr>
      </w:pPr>
      <w:r>
        <w:rPr>
          <w:rFonts w:ascii="Ashland;sans-serif" w:hAnsi="Ashland;sans-serif"/>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230"/>
        <w:gridCol w:w="146"/>
        <w:gridCol w:w="1146"/>
        <w:gridCol w:w="1530"/>
        <w:gridCol w:w="181"/>
        <w:gridCol w:w="146"/>
        <w:gridCol w:w="907"/>
        <w:gridCol w:w="1691"/>
        <w:gridCol w:w="228"/>
      </w:tblGrid>
      <w:tr>
        <w:trPr/>
        <w:tc>
          <w:tcPr>
            <w:tcW w:w="42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423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67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Three months ended June 30, 2026</w:t>
            </w:r>
          </w:p>
        </w:tc>
        <w:tc>
          <w:tcPr>
            <w:tcW w:w="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2598"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Nine months ended June 30, 2026</w:t>
            </w:r>
          </w:p>
        </w:tc>
        <w:tc>
          <w:tcPr>
            <w:tcW w:w="22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4230"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Confirmed obligations outstanding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530"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0"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Invoices confirmed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16</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0"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Confirmed invoices paid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(11</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4230"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Confirmed obligations outstanding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5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Ashland;sans-serif" w:hAnsi="Ashland;sans-serif"/>
          <w:b/>
          <w:color w:val="000000"/>
          <w:sz w:val="20"/>
        </w:rPr>
      </w:pPr>
      <w:r>
        <w:rPr>
          <w:rFonts w:ascii="Ashland;sans-serif" w:hAnsi="Ashland;sans-serif"/>
          <w:b/>
          <w:color w:val="000000"/>
          <w:sz w:val="20"/>
        </w:rPr>
        <w:t>Available borrowing capacity and liquidity</w:t>
      </w:r>
    </w:p>
    <w:p>
      <w:pPr>
        <w:pStyle w:val="TextBody"/>
        <w:bidi w:val="0"/>
        <w:spacing w:before="120" w:after="283"/>
        <w:jc w:val="both"/>
        <w:rPr>
          <w:rFonts w:ascii="Times New Roman" w:hAnsi="Times New Roman"/>
          <w:sz w:val="20"/>
        </w:rPr>
      </w:pPr>
      <w:r>
        <w:rPr>
          <w:rFonts w:ascii="Ashland;sans-serif" w:hAnsi="Ashland;sans-serif"/>
          <w:color w:val="000000"/>
          <w:sz w:val="20"/>
        </w:rPr>
        <w:t>The borrowing capacity remaining under the 2026 Credit Agreement was $496</w:t>
      </w:r>
      <w:r>
        <w:rPr>
          <w:rFonts w:ascii="Times New Roman" w:hAnsi="Times New Roman"/>
          <w:color w:val="000000"/>
          <w:sz w:val="20"/>
        </w:rPr>
        <w:t xml:space="preserve"> </w:t>
      </w:r>
      <w:r>
        <w:rPr>
          <w:rFonts w:ascii="Ashland;sans-serif" w:hAnsi="Ashland;sans-serif"/>
          <w:color w:val="000000"/>
          <w:sz w:val="20"/>
        </w:rPr>
        <w:t>million, which reflects the full $500</w:t>
      </w:r>
      <w:r>
        <w:rPr>
          <w:rFonts w:ascii="Times New Roman" w:hAnsi="Times New Roman"/>
          <w:color w:val="000000"/>
          <w:sz w:val="20"/>
        </w:rPr>
        <w:t xml:space="preserve"> </w:t>
      </w:r>
      <w:r>
        <w:rPr>
          <w:rFonts w:ascii="Ashland;sans-serif" w:hAnsi="Ashland;sans-serif"/>
          <w:color w:val="000000"/>
          <w:sz w:val="20"/>
        </w:rPr>
        <w:t>million Revolving Credit Facility less a reduction of $4</w:t>
      </w:r>
      <w:r>
        <w:rPr>
          <w:rFonts w:ascii="Times New Roman" w:hAnsi="Times New Roman"/>
          <w:color w:val="000000"/>
          <w:sz w:val="20"/>
        </w:rPr>
        <w:t xml:space="preserve"> </w:t>
      </w:r>
      <w:r>
        <w:rPr>
          <w:rFonts w:ascii="Ashland;sans-serif" w:hAnsi="Ashland;sans-serif"/>
          <w:color w:val="000000"/>
          <w:sz w:val="20"/>
        </w:rPr>
        <w:t>million for letters of credit outstanding as of June 30, 2026.</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Ashland had no available liquidity under its current U.S. and Foreign Accounts Receivable Sales Programs as of June 30, 2026.</w:t>
      </w:r>
    </w:p>
    <w:p>
      <w:pPr>
        <w:pStyle w:val="TextBody"/>
        <w:bidi w:val="0"/>
        <w:spacing w:before="120" w:after="283"/>
        <w:jc w:val="both"/>
        <w:rPr>
          <w:rFonts w:ascii="Ashland;sans-serif" w:hAnsi="Ashland;sans-serif"/>
          <w:b/>
          <w:color w:val="000000"/>
          <w:sz w:val="20"/>
        </w:rPr>
      </w:pPr>
      <w:r>
        <w:rPr>
          <w:rFonts w:ascii="Ashland;sans-serif" w:hAnsi="Ashland;sans-serif"/>
          <w:b/>
          <w:color w:val="000000"/>
          <w:sz w:val="20"/>
        </w:rPr>
        <w:t>Covenants related to current Ashland debt agreements</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Ashland's debt contains usual and customary representations, warranties and affirmative and negative covenants, including financial covenants for leverage and interest coverage ratios, limitations on liens, additional subsidiary indebtedness, restrictions on subsidiary distributions, investments, mergers, sale of assets and restricted payments and other customary limitations. As of June 30, 2026, Ashland is in compliance with all debt agreement covenant restrictions.</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The maximum consolidated net leverage ratio permitted under the 2026 Credit Agreement is 4.0. At June 30, 2026, Ashland’s calculation of the consolidated net leverage ratio was 2.3.</w:t>
      </w:r>
    </w:p>
    <w:p>
      <w:pPr>
        <w:pStyle w:val="TextBody"/>
        <w:bidi w:val="0"/>
        <w:spacing w:before="120" w:after="283"/>
        <w:jc w:val="both"/>
        <w:rPr>
          <w:rFonts w:ascii="Times New Roman" w:hAnsi="Times New Roman"/>
          <w:sz w:val="20"/>
        </w:rPr>
      </w:pPr>
      <w:r>
        <w:rPr>
          <w:rFonts w:ascii="Ashland;sans-serif" w:hAnsi="Ashland;sans-serif"/>
          <w:color w:val="000000"/>
          <w:sz w:val="20"/>
        </w:rPr>
        <w:t>The minimum required consolidated interest coverage ratio under the 2026 Credit Agreement is 3.0. At</w:t>
      </w:r>
      <w:r>
        <w:rPr>
          <w:rFonts w:ascii="Times New Roman" w:hAnsi="Times New Roman"/>
          <w:color w:val="000000"/>
          <w:sz w:val="20"/>
        </w:rPr>
        <w:t xml:space="preserve"> </w:t>
      </w:r>
      <w:r>
        <w:rPr>
          <w:rFonts w:ascii="Ashland;sans-serif" w:hAnsi="Ashland;sans-serif"/>
          <w:color w:val="000000"/>
          <w:sz w:val="20"/>
        </w:rPr>
        <w:t>June 30, 2026, Ashland’s calculation of the consolidated interest coverage ratio was 6.9.</w:t>
      </w:r>
    </w:p>
    <w:p>
      <w:pPr>
        <w:pStyle w:val="TextBody"/>
        <w:bidi w:val="0"/>
        <w:spacing w:before="120" w:after="283"/>
        <w:jc w:val="both"/>
        <w:rPr>
          <w:rFonts w:ascii="Ashland;sans-serif" w:hAnsi="Ashland;sans-serif"/>
          <w:b/>
          <w:color w:val="000000"/>
          <w:sz w:val="20"/>
        </w:rPr>
      </w:pPr>
      <w:r>
        <w:rPr>
          <w:rFonts w:ascii="Ashland;sans-serif" w:hAnsi="Ashland;sans-serif"/>
          <w:b/>
          <w:color w:val="000000"/>
          <w:sz w:val="20"/>
        </w:rPr>
        <w:t>NOTE I – LEASING ARRANGEMENTS</w:t>
      </w:r>
    </w:p>
    <w:p>
      <w:pPr>
        <w:pStyle w:val="TextBody"/>
        <w:bidi w:val="0"/>
        <w:spacing w:before="120" w:after="120"/>
        <w:jc w:val="both"/>
        <w:rPr>
          <w:rFonts w:ascii="Ashland;sans-serif" w:hAnsi="Ashland;sans-serif"/>
          <w:color w:val="000000"/>
          <w:sz w:val="20"/>
        </w:rPr>
      </w:pPr>
      <w:r>
        <w:rPr>
          <w:rFonts w:ascii="Ashland;sans-serif" w:hAnsi="Ashland;sans-serif"/>
          <w:color w:val="000000"/>
          <w:sz w:val="20"/>
        </w:rPr>
        <w:t>The components of lease cost recognized within the Statements of Condensed Consolidated Comprehensive Income (Loss) are as follows:</w:t>
      </w:r>
    </w:p>
    <w:tbl>
      <w:tblPr>
        <w:tblW w:w="9877" w:type="dxa"/>
        <w:jc w:val="left"/>
        <w:tblInd w:w="0" w:type="dxa"/>
        <w:tblLayout w:type="fixed"/>
        <w:tblCellMar>
          <w:top w:w="28" w:type="dxa"/>
          <w:left w:w="28" w:type="dxa"/>
          <w:bottom w:w="28" w:type="dxa"/>
          <w:right w:w="28" w:type="dxa"/>
        </w:tblCellMar>
      </w:tblPr>
      <w:tblGrid>
        <w:gridCol w:w="1966"/>
        <w:gridCol w:w="146"/>
        <w:gridCol w:w="3256"/>
        <w:gridCol w:w="146"/>
        <w:gridCol w:w="314"/>
        <w:gridCol w:w="480"/>
        <w:gridCol w:w="202"/>
        <w:gridCol w:w="202"/>
        <w:gridCol w:w="314"/>
        <w:gridCol w:w="480"/>
        <w:gridCol w:w="146"/>
        <w:gridCol w:w="146"/>
        <w:gridCol w:w="297"/>
        <w:gridCol w:w="455"/>
        <w:gridCol w:w="192"/>
        <w:gridCol w:w="192"/>
        <w:gridCol w:w="297"/>
        <w:gridCol w:w="455"/>
        <w:gridCol w:w="191"/>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25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92"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Three months ended</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88"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Nine months ended</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2026</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2026</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Operating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9</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9</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Variable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Variable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shland;sans-serif" w:hAnsi="Ashland;sans-serif"/>
                <w:color w:val="000000"/>
                <w:sz w:val="18"/>
              </w:rPr>
              <w:t>Short-term leases</w:t>
            </w:r>
            <w:r>
              <w:rPr>
                <w:rFonts w:ascii="Ashland;sans-serif" w:hAnsi="Ashland;sans-serif"/>
                <w:color w:val="000000"/>
                <w:sz w:val="12"/>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Total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8</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26</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(a)</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Zero denotes less than $1 million of activity.</w:t>
      </w:r>
    </w:p>
    <w:p>
      <w:pPr>
        <w:pStyle w:val="TextBody"/>
        <w:bidi w:val="0"/>
        <w:spacing w:before="120" w:after="283"/>
        <w:jc w:val="both"/>
        <w:rPr>
          <w:rFonts w:ascii="Times New Roman" w:hAnsi="Times New Roman"/>
          <w:sz w:val="20"/>
        </w:rPr>
      </w:pPr>
      <w:r>
        <w:rPr>
          <w:rFonts w:ascii="Ashland;sans-serif" w:hAnsi="Ashland;sans-serif"/>
          <w:color w:val="000000"/>
          <w:sz w:val="20"/>
        </w:rPr>
        <w:t>Right-of-use assets exchanged for new operating lease obligations were $1</w:t>
      </w:r>
      <w:r>
        <w:rPr>
          <w:rFonts w:ascii="Times New Roman" w:hAnsi="Times New Roman"/>
          <w:color w:val="000000"/>
          <w:sz w:val="20"/>
        </w:rPr>
        <w:t xml:space="preserve"> </w:t>
      </w:r>
      <w:r>
        <w:rPr>
          <w:rFonts w:ascii="Ashland;sans-serif" w:hAnsi="Ashland;sans-serif"/>
          <w:color w:val="000000"/>
          <w:sz w:val="20"/>
        </w:rPr>
        <w:t>million and $3</w:t>
      </w:r>
      <w:r>
        <w:rPr>
          <w:rFonts w:ascii="Times New Roman" w:hAnsi="Times New Roman"/>
          <w:color w:val="000000"/>
          <w:sz w:val="20"/>
        </w:rPr>
        <w:t xml:space="preserve"> </w:t>
      </w:r>
      <w:r>
        <w:rPr>
          <w:rFonts w:ascii="Ashland;sans-serif" w:hAnsi="Ashland;sans-serif"/>
          <w:color w:val="000000"/>
          <w:sz w:val="20"/>
        </w:rPr>
        <w:t>million for the three months ended June 30, 2026 and 2025, respectively, and $5</w:t>
      </w:r>
      <w:r>
        <w:rPr>
          <w:rFonts w:ascii="Times New Roman" w:hAnsi="Times New Roman"/>
          <w:color w:val="000000"/>
          <w:sz w:val="20"/>
        </w:rPr>
        <w:t xml:space="preserve"> </w:t>
      </w:r>
      <w:r>
        <w:rPr>
          <w:rFonts w:ascii="Ashland;sans-serif" w:hAnsi="Ashland;sans-serif"/>
          <w:color w:val="000000"/>
          <w:sz w:val="20"/>
        </w:rPr>
        <w:t>million for both the nine months ended June 30, 2026 and 2025.</w:t>
      </w:r>
    </w:p>
    <w:p>
      <w:pPr>
        <w:pStyle w:val="TextBody"/>
        <w:bidi w:val="0"/>
        <w:spacing w:before="120" w:after="283"/>
        <w:jc w:val="center"/>
        <w:rPr>
          <w:rFonts w:ascii="Ashland;sans-serif" w:hAnsi="Ashland;sans-serif"/>
          <w:color w:val="000000"/>
          <w:sz w:val="20"/>
        </w:rPr>
      </w:pPr>
      <w:r>
        <w:rPr>
          <w:rFonts w:ascii="Ashland;sans-serif" w:hAnsi="Ashland;sans-serif"/>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Ashland;sans-serif" w:hAnsi="Ashland;sans-serif"/>
          <w:color w:val="000000"/>
          <w:sz w:val="20"/>
        </w:rPr>
      </w:pPr>
      <w:r>
        <w:rPr>
          <w:rFonts w:ascii="Ashland;sans-serif" w:hAnsi="Ashland;sans-serif"/>
          <w:color w:val="000000"/>
          <w:sz w:val="20"/>
        </w:rPr>
        <w:t>The following table provides cash paid for amounts included in the measurement of lease liabilities:</w:t>
      </w:r>
    </w:p>
    <w:tbl>
      <w:tblPr>
        <w:tblW w:w="8545" w:type="dxa"/>
        <w:jc w:val="left"/>
        <w:tblInd w:w="0" w:type="dxa"/>
        <w:tblLayout w:type="fixed"/>
        <w:tblCellMar>
          <w:top w:w="28" w:type="dxa"/>
          <w:left w:w="28" w:type="dxa"/>
          <w:bottom w:w="28" w:type="dxa"/>
          <w:right w:w="28" w:type="dxa"/>
        </w:tblCellMar>
      </w:tblPr>
      <w:tblGrid>
        <w:gridCol w:w="3238"/>
        <w:gridCol w:w="398"/>
        <w:gridCol w:w="398"/>
        <w:gridCol w:w="146"/>
        <w:gridCol w:w="377"/>
        <w:gridCol w:w="377"/>
        <w:gridCol w:w="243"/>
        <w:gridCol w:w="243"/>
        <w:gridCol w:w="377"/>
        <w:gridCol w:w="377"/>
        <w:gridCol w:w="146"/>
        <w:gridCol w:w="146"/>
        <w:gridCol w:w="297"/>
        <w:gridCol w:w="455"/>
        <w:gridCol w:w="192"/>
        <w:gridCol w:w="192"/>
        <w:gridCol w:w="297"/>
        <w:gridCol w:w="455"/>
        <w:gridCol w:w="191"/>
      </w:tblGrid>
      <w:tr>
        <w:trPr/>
        <w:tc>
          <w:tcPr>
            <w:tcW w:w="323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3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9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9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994"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Three months ended</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88"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Nine months ended</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2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2026</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2026</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4"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Operating cash flows from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19</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Ashland;sans-serif" w:hAnsi="Ashland;sans-serif"/>
          <w:b/>
          <w:color w:val="000000"/>
          <w:sz w:val="20"/>
        </w:rPr>
      </w:pPr>
      <w:r>
        <w:rPr>
          <w:rFonts w:ascii="Ashland;sans-serif" w:hAnsi="Ashland;sans-serif"/>
          <w:b/>
          <w:color w:val="000000"/>
          <w:sz w:val="20"/>
        </w:rPr>
        <w:t>NOTE J – INCOME TAXES</w:t>
      </w:r>
    </w:p>
    <w:p>
      <w:pPr>
        <w:pStyle w:val="TextBody"/>
        <w:bidi w:val="0"/>
        <w:spacing w:before="120" w:after="283"/>
        <w:jc w:val="both"/>
        <w:rPr>
          <w:rFonts w:ascii="Ashland;sans-serif" w:hAnsi="Ashland;sans-serif"/>
          <w:b/>
          <w:color w:val="000000"/>
          <w:sz w:val="20"/>
        </w:rPr>
      </w:pPr>
      <w:r>
        <w:rPr>
          <w:rFonts w:ascii="Ashland;sans-serif" w:hAnsi="Ashland;sans-serif"/>
          <w:b/>
          <w:color w:val="000000"/>
          <w:sz w:val="20"/>
        </w:rPr>
        <w:t>Current fiscal year</w:t>
      </w:r>
    </w:p>
    <w:p>
      <w:pPr>
        <w:pStyle w:val="TextBody"/>
        <w:bidi w:val="0"/>
        <w:spacing w:before="120" w:after="283"/>
        <w:jc w:val="both"/>
        <w:rPr>
          <w:rFonts w:ascii="Times New Roman" w:hAnsi="Times New Roman"/>
          <w:sz w:val="20"/>
        </w:rPr>
      </w:pPr>
      <w:r>
        <w:rPr>
          <w:rFonts w:ascii="Ashland;sans-serif" w:hAnsi="Ashland;sans-serif"/>
          <w:color w:val="000000"/>
          <w:sz w:val="20"/>
        </w:rPr>
        <w:t>Ashland’s effective tax rate in any interim period is subject to adjustments related to discrete items and the mix of domestic and foreign operating results. The effective tax rate was 27% and 30% for the three and nine months ended June 30, 2026, respectively. The tax rate for the three months ended June 30, 2026, was primarily impacted by jurisdictional income mix and a net $3</w:t>
      </w:r>
      <w:r>
        <w:rPr>
          <w:rFonts w:ascii="Times New Roman" w:hAnsi="Times New Roman"/>
          <w:color w:val="000000"/>
          <w:sz w:val="20"/>
        </w:rPr>
        <w:t xml:space="preserve"> </w:t>
      </w:r>
      <w:r>
        <w:rPr>
          <w:rFonts w:ascii="Ashland;sans-serif" w:hAnsi="Ashland;sans-serif"/>
          <w:color w:val="000000"/>
          <w:sz w:val="20"/>
        </w:rPr>
        <w:t>million from unfavorable tax discrete items primarily related to cash repatriation and changes in uncertain tax positions. The tax rate for the nine months ended June 30, 2026, was primarily impacted by jurisdictional income mix, as well as a net $4</w:t>
      </w:r>
      <w:r>
        <w:rPr>
          <w:rFonts w:ascii="Times New Roman" w:hAnsi="Times New Roman"/>
          <w:color w:val="000000"/>
          <w:sz w:val="20"/>
        </w:rPr>
        <w:t xml:space="preserve"> </w:t>
      </w:r>
      <w:r>
        <w:rPr>
          <w:rFonts w:ascii="Ashland;sans-serif" w:hAnsi="Ashland;sans-serif"/>
          <w:color w:val="000000"/>
          <w:sz w:val="20"/>
        </w:rPr>
        <w:t>million from unfavorable tax discrete items primarily related to cash repatriation, equity compensation adjustments and changes in uncertain tax positions.</w:t>
      </w:r>
    </w:p>
    <w:p>
      <w:pPr>
        <w:pStyle w:val="TextBody"/>
        <w:bidi w:val="0"/>
        <w:spacing w:before="120" w:after="283"/>
        <w:jc w:val="both"/>
        <w:rPr>
          <w:rFonts w:ascii="Ashland;sans-serif" w:hAnsi="Ashland;sans-serif"/>
          <w:b/>
          <w:color w:val="000000"/>
          <w:sz w:val="20"/>
        </w:rPr>
      </w:pPr>
      <w:r>
        <w:rPr>
          <w:rFonts w:ascii="Ashland;sans-serif" w:hAnsi="Ashland;sans-serif"/>
          <w:b/>
          <w:color w:val="000000"/>
          <w:sz w:val="20"/>
        </w:rPr>
        <w:t>Prior fiscal year</w:t>
      </w:r>
    </w:p>
    <w:p>
      <w:pPr>
        <w:pStyle w:val="TextBody"/>
        <w:bidi w:val="0"/>
        <w:spacing w:before="120" w:after="283"/>
        <w:jc w:val="both"/>
        <w:rPr>
          <w:rFonts w:ascii="Times New Roman" w:hAnsi="Times New Roman"/>
          <w:sz w:val="20"/>
        </w:rPr>
      </w:pPr>
      <w:r>
        <w:rPr>
          <w:rFonts w:ascii="Ashland;sans-serif" w:hAnsi="Ashland;sans-serif"/>
          <w:color w:val="000000"/>
          <w:sz w:val="20"/>
        </w:rPr>
        <w:t>The effective tax rate was negative 2% and 2% for the three and nine months ended June 30, 2025, respectively. The tax rate for the three months ended June 30, 2025, was primarily impacted by jurisdictional income mix, nondeductible goodwill impairment of $706</w:t>
      </w:r>
      <w:r>
        <w:rPr>
          <w:rFonts w:ascii="Times New Roman" w:hAnsi="Times New Roman"/>
          <w:color w:val="000000"/>
          <w:sz w:val="20"/>
        </w:rPr>
        <w:t xml:space="preserve"> </w:t>
      </w:r>
      <w:r>
        <w:rPr>
          <w:rFonts w:ascii="Ashland;sans-serif" w:hAnsi="Ashland;sans-serif"/>
          <w:color w:val="000000"/>
          <w:sz w:val="20"/>
        </w:rPr>
        <w:t>million and a net $16</w:t>
      </w:r>
      <w:r>
        <w:rPr>
          <w:rFonts w:ascii="Times New Roman" w:hAnsi="Times New Roman"/>
          <w:color w:val="000000"/>
          <w:sz w:val="20"/>
        </w:rPr>
        <w:t xml:space="preserve"> </w:t>
      </w:r>
      <w:r>
        <w:rPr>
          <w:rFonts w:ascii="Ashland;sans-serif" w:hAnsi="Ashland;sans-serif"/>
          <w:color w:val="000000"/>
          <w:sz w:val="20"/>
        </w:rPr>
        <w:t>million from unfavorable tax discrete items primarily related to return to provision adjustments and changes in uncertain tax positions. The tax rate for the nine months ended June 30, 2025, was impacted by jurisdictional income mix, nondeductible goodwill impairment of $706</w:t>
      </w:r>
      <w:r>
        <w:rPr>
          <w:rFonts w:ascii="Times New Roman" w:hAnsi="Times New Roman"/>
          <w:color w:val="000000"/>
          <w:sz w:val="20"/>
        </w:rPr>
        <w:t xml:space="preserve"> </w:t>
      </w:r>
      <w:r>
        <w:rPr>
          <w:rFonts w:ascii="Ashland;sans-serif" w:hAnsi="Ashland;sans-serif"/>
          <w:color w:val="000000"/>
          <w:sz w:val="20"/>
        </w:rPr>
        <w:t>million, and a net $23</w:t>
      </w:r>
      <w:r>
        <w:rPr>
          <w:rFonts w:ascii="Times New Roman" w:hAnsi="Times New Roman"/>
          <w:color w:val="000000"/>
          <w:sz w:val="20"/>
        </w:rPr>
        <w:t xml:space="preserve"> </w:t>
      </w:r>
      <w:r>
        <w:rPr>
          <w:rFonts w:ascii="Ashland;sans-serif" w:hAnsi="Ashland;sans-serif"/>
          <w:color w:val="000000"/>
          <w:sz w:val="20"/>
        </w:rPr>
        <w:t>million from unfavorable tax discrete items primarily related to return to provision adjustments and changes in uncertain tax positions.</w:t>
      </w:r>
    </w:p>
    <w:p>
      <w:pPr>
        <w:pStyle w:val="TextBody"/>
        <w:bidi w:val="0"/>
        <w:spacing w:before="120" w:after="283"/>
        <w:jc w:val="both"/>
        <w:rPr>
          <w:rFonts w:ascii="Ashland;sans-serif" w:hAnsi="Ashland;sans-serif"/>
          <w:b/>
          <w:color w:val="000000"/>
          <w:sz w:val="20"/>
        </w:rPr>
      </w:pPr>
      <w:r>
        <w:rPr>
          <w:rFonts w:ascii="Ashland;sans-serif" w:hAnsi="Ashland;sans-serif"/>
          <w:b/>
          <w:color w:val="000000"/>
          <w:sz w:val="20"/>
        </w:rPr>
        <w:t>Unrecognized tax benefits</w:t>
      </w:r>
    </w:p>
    <w:p>
      <w:pPr>
        <w:pStyle w:val="TextBody"/>
        <w:bidi w:val="0"/>
        <w:spacing w:before="120" w:after="120"/>
        <w:jc w:val="both"/>
        <w:rPr>
          <w:rFonts w:ascii="Times New Roman" w:hAnsi="Times New Roman"/>
          <w:sz w:val="20"/>
        </w:rPr>
      </w:pPr>
      <w:r>
        <w:rPr>
          <w:rFonts w:ascii="Ashland;sans-serif" w:hAnsi="Ashland;sans-serif"/>
          <w:color w:val="000000"/>
          <w:sz w:val="20"/>
        </w:rPr>
        <w:t>Changes in unrecognized tax benefits are summarized as follows for the nine months ended June 30, 2026:</w:t>
      </w:r>
      <w:r>
        <w:rPr>
          <w:rFonts w:ascii="Times New Roman" w:hAnsi="Times New Roman"/>
          <w:color w:val="000000"/>
          <w:sz w:val="20"/>
        </w:rPr>
        <w:t xml:space="preserve"> </w:t>
      </w:r>
    </w:p>
    <w:tbl>
      <w:tblPr>
        <w:tblW w:w="6675" w:type="dxa"/>
        <w:jc w:val="left"/>
        <w:tblInd w:w="0" w:type="dxa"/>
        <w:tblLayout w:type="fixed"/>
        <w:tblCellMar>
          <w:top w:w="28" w:type="dxa"/>
          <w:left w:w="28" w:type="dxa"/>
          <w:bottom w:w="28" w:type="dxa"/>
          <w:right w:w="28" w:type="dxa"/>
        </w:tblCellMar>
      </w:tblPr>
      <w:tblGrid>
        <w:gridCol w:w="5731"/>
        <w:gridCol w:w="146"/>
        <w:gridCol w:w="226"/>
        <w:gridCol w:w="346"/>
        <w:gridCol w:w="226"/>
      </w:tblGrid>
      <w:tr>
        <w:trPr/>
        <w:tc>
          <w:tcPr>
            <w:tcW w:w="5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57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7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2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573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Balance at October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3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Decreases related to positions taken on items from prior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573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Increases related to positions taken in the current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3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Increases related to positions taken in the prior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3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Lapse of statute of limitations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573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66</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sz w:val="20"/>
        </w:rPr>
      </w:pPr>
      <w:r>
        <w:rPr>
          <w:rFonts w:ascii="Ashland;sans-serif" w:hAnsi="Ashland;sans-serif"/>
          <w:color w:val="000000"/>
          <w:sz w:val="20"/>
        </w:rPr>
        <w:t>From a combination of statute expirations and audit settlements in the next twelve months, Ashland expects a decrease in the amount of accrual for uncertain tax positions between zero</w:t>
      </w:r>
      <w:r>
        <w:rPr>
          <w:rFonts w:ascii="Times New Roman" w:hAnsi="Times New Roman"/>
          <w:color w:val="000000"/>
          <w:sz w:val="20"/>
        </w:rPr>
        <w:t xml:space="preserve"> </w:t>
      </w:r>
      <w:r>
        <w:rPr>
          <w:rFonts w:ascii="Ashland;sans-serif" w:hAnsi="Ashland;sans-serif"/>
          <w:color w:val="000000"/>
          <w:sz w:val="20"/>
        </w:rPr>
        <w:t>and $1</w:t>
      </w:r>
      <w:r>
        <w:rPr>
          <w:rFonts w:ascii="Times New Roman" w:hAnsi="Times New Roman"/>
          <w:color w:val="000000"/>
          <w:sz w:val="20"/>
        </w:rPr>
        <w:t xml:space="preserve"> </w:t>
      </w:r>
      <w:r>
        <w:rPr>
          <w:rFonts w:ascii="Ashland;sans-serif" w:hAnsi="Ashland;sans-serif"/>
          <w:color w:val="000000"/>
          <w:sz w:val="20"/>
        </w:rPr>
        <w:t>million for continuing operations. For the remaining balance as of June 30, 2026, it is reasonably possible that there could be material changes to the amount of uncertain tax positions due to activities of the taxing authorities, settlement of audit issues, reassessment of existing uncertain tax positions or the expiration of applicable statute of limitations; however, Ashland is not able to estimate the impact of these items at this time.</w:t>
      </w:r>
    </w:p>
    <w:p>
      <w:pPr>
        <w:pStyle w:val="TextBody"/>
        <w:bidi w:val="0"/>
        <w:spacing w:before="120" w:after="283"/>
        <w:jc w:val="both"/>
        <w:rPr>
          <w:rFonts w:ascii="Ashland;sans-serif" w:hAnsi="Ashland;sans-serif"/>
          <w:b/>
          <w:color w:val="000000"/>
          <w:sz w:val="20"/>
        </w:rPr>
      </w:pPr>
      <w:r>
        <w:rPr>
          <w:rFonts w:ascii="Ashland;sans-serif" w:hAnsi="Ashland;sans-serif"/>
          <w:b/>
          <w:color w:val="000000"/>
          <w:sz w:val="20"/>
        </w:rPr>
        <w:t>NOTE K - EMPLOYEE BENEFIT PLANS</w:t>
      </w:r>
    </w:p>
    <w:p>
      <w:pPr>
        <w:pStyle w:val="TextBody"/>
        <w:bidi w:val="0"/>
        <w:spacing w:before="120" w:after="283"/>
        <w:jc w:val="both"/>
        <w:rPr>
          <w:rFonts w:ascii="Ashland;sans-serif" w:hAnsi="Ashland;sans-serif"/>
          <w:b/>
          <w:color w:val="000000"/>
          <w:sz w:val="20"/>
        </w:rPr>
      </w:pPr>
      <w:r>
        <w:rPr>
          <w:rFonts w:ascii="Ashland;sans-serif" w:hAnsi="Ashland;sans-serif"/>
          <w:b/>
          <w:color w:val="000000"/>
          <w:sz w:val="20"/>
        </w:rPr>
        <w:t>Restructuring and plan remeasurement</w:t>
      </w:r>
    </w:p>
    <w:p>
      <w:pPr>
        <w:pStyle w:val="TextBody"/>
        <w:bidi w:val="0"/>
        <w:spacing w:before="120" w:after="283"/>
        <w:jc w:val="both"/>
        <w:rPr>
          <w:rFonts w:ascii="Times New Roman" w:hAnsi="Times New Roman"/>
          <w:sz w:val="20"/>
        </w:rPr>
      </w:pPr>
      <w:r>
        <w:rPr>
          <w:rFonts w:ascii="Ashland;sans-serif" w:hAnsi="Ashland;sans-serif"/>
          <w:color w:val="000000"/>
          <w:sz w:val="20"/>
        </w:rPr>
        <w:t>In June 2026, Ashland completed a buy-out transaction for certain retirees participating in two of its U.S. defined benefit pension plans. Under the buy-out transaction, the pension plans purchased group annuity contracts from an insurance company, which assumed responsibility for future benefit payments to the</w:t>
      </w:r>
      <w:r>
        <w:rPr>
          <w:rFonts w:ascii="Times New Roman" w:hAnsi="Times New Roman"/>
          <w:color w:val="000000"/>
          <w:sz w:val="20"/>
        </w:rPr>
        <w:t xml:space="preserve"> </w:t>
      </w:r>
    </w:p>
    <w:p>
      <w:pPr>
        <w:pStyle w:val="TextBody"/>
        <w:bidi w:val="0"/>
        <w:spacing w:before="120" w:after="283"/>
        <w:jc w:val="center"/>
        <w:rPr>
          <w:rFonts w:ascii="Ashland;sans-serif" w:hAnsi="Ashland;sans-serif"/>
          <w:color w:val="000000"/>
          <w:sz w:val="20"/>
        </w:rPr>
      </w:pPr>
      <w:r>
        <w:rPr>
          <w:rFonts w:ascii="Ashland;sans-serif" w:hAnsi="Ashland;sans-serif"/>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Ashland;sans-serif" w:hAnsi="Ashland;sans-serif"/>
          <w:color w:val="000000"/>
          <w:sz w:val="20"/>
        </w:rPr>
        <w:t>affected retirees. As a result, Ashland was relieved of the related pension obligations and derecognized the associated projected benefit obligations and related plan assets from its Condensed Consolidated Balance Sheet. The affected pension plans continue to operate following the transaction, with remaining active, deferred vested and retiree participants. The buy-in transaction triggered a remeasurement of the affected pension plans immediately prior to settlement. Based on the remeasurement and settlement accounting, Ashland recognized a settlement gain of $2</w:t>
      </w:r>
      <w:r>
        <w:rPr>
          <w:rFonts w:ascii="Times New Roman" w:hAnsi="Times New Roman"/>
          <w:color w:val="000000"/>
          <w:sz w:val="20"/>
        </w:rPr>
        <w:t xml:space="preserve"> </w:t>
      </w:r>
      <w:r>
        <w:rPr>
          <w:rFonts w:ascii="Ashland;sans-serif" w:hAnsi="Ashland;sans-serif"/>
          <w:color w:val="000000"/>
          <w:sz w:val="20"/>
        </w:rPr>
        <w:t>million within the other net periodic benefit (income) loss caption of the Statements of Condensed Consolidated Comprehensive Income (Loss) for the three and nine months ended June 30, 2026. As of June 30, 2026, Ashland transferred approximately $30</w:t>
      </w:r>
      <w:r>
        <w:rPr>
          <w:rFonts w:ascii="Times New Roman" w:hAnsi="Times New Roman"/>
          <w:color w:val="000000"/>
          <w:sz w:val="20"/>
        </w:rPr>
        <w:t xml:space="preserve"> </w:t>
      </w:r>
      <w:r>
        <w:rPr>
          <w:rFonts w:ascii="Ashland;sans-serif" w:hAnsi="Ashland;sans-serif"/>
          <w:color w:val="000000"/>
          <w:sz w:val="20"/>
        </w:rPr>
        <w:t>million of projected benefit obligations and $28</w:t>
      </w:r>
      <w:r>
        <w:rPr>
          <w:rFonts w:ascii="Times New Roman" w:hAnsi="Times New Roman"/>
          <w:color w:val="000000"/>
          <w:sz w:val="20"/>
        </w:rPr>
        <w:t xml:space="preserve"> </w:t>
      </w:r>
      <w:r>
        <w:rPr>
          <w:rFonts w:ascii="Ashland;sans-serif" w:hAnsi="Ashland;sans-serif"/>
          <w:color w:val="000000"/>
          <w:sz w:val="20"/>
        </w:rPr>
        <w:t>million of related plan assets associated with the affected retirees to the insurance company. The remaining projected benefit obligations and related plan assets of the two pension plans continue to be reflected in Ashland's Condensed Consolidated Balance Sheet.</w:t>
      </w:r>
    </w:p>
    <w:p>
      <w:pPr>
        <w:pStyle w:val="TextBody"/>
        <w:bidi w:val="0"/>
        <w:spacing w:before="120" w:after="283"/>
        <w:jc w:val="both"/>
        <w:rPr>
          <w:rFonts w:ascii="Times New Roman" w:hAnsi="Times New Roman"/>
          <w:sz w:val="20"/>
        </w:rPr>
      </w:pPr>
      <w:r>
        <w:rPr>
          <w:rFonts w:ascii="Ashland;sans-serif" w:hAnsi="Ashland;sans-serif"/>
          <w:color w:val="000000"/>
          <w:sz w:val="20"/>
        </w:rPr>
        <w:t>During the first quarter of fiscal 2025, as part of its fiscal 2024 restructuring activities, Ashland terminated approximately 40</w:t>
      </w:r>
      <w:r>
        <w:rPr>
          <w:rFonts w:ascii="Times New Roman" w:hAnsi="Times New Roman"/>
          <w:color w:val="000000"/>
          <w:sz w:val="20"/>
        </w:rPr>
        <w:t xml:space="preserve"> </w:t>
      </w:r>
      <w:r>
        <w:rPr>
          <w:rFonts w:ascii="Ashland;sans-serif" w:hAnsi="Ashland;sans-serif"/>
          <w:color w:val="000000"/>
          <w:sz w:val="20"/>
        </w:rPr>
        <w:t>employees in its Doel, Belgium facility. The postretirement benefits for these employees, all of whom participated in a non-contributory defined benefit plan in Belgium, were frozen. This resulted in a decrease in total expected future years of service within the plan and required Ashland to remeasure the plan during the nine months ended June 30, 2025. As a result, Ashland recorded a $1</w:t>
      </w:r>
      <w:r>
        <w:rPr>
          <w:rFonts w:ascii="Times New Roman" w:hAnsi="Times New Roman"/>
          <w:color w:val="000000"/>
          <w:sz w:val="20"/>
        </w:rPr>
        <w:t xml:space="preserve"> </w:t>
      </w:r>
      <w:r>
        <w:rPr>
          <w:rFonts w:ascii="Ashland;sans-serif" w:hAnsi="Ashland;sans-serif"/>
          <w:color w:val="000000"/>
          <w:sz w:val="20"/>
        </w:rPr>
        <w:t>million curtailment loss within the other net periodic benefit (income) loss caption of the Statement of Condensed Consolidated Comprehensive Income (Loss) for the nine months ended June 30, 2025.</w:t>
      </w:r>
    </w:p>
    <w:p>
      <w:pPr>
        <w:pStyle w:val="TextBody"/>
        <w:bidi w:val="0"/>
        <w:spacing w:before="120" w:after="283"/>
        <w:jc w:val="both"/>
        <w:rPr>
          <w:rFonts w:ascii="Ashland;sans-serif" w:hAnsi="Ashland;sans-serif"/>
          <w:b/>
          <w:color w:val="000000"/>
          <w:sz w:val="20"/>
        </w:rPr>
      </w:pPr>
      <w:r>
        <w:rPr>
          <w:rFonts w:ascii="Ashland;sans-serif" w:hAnsi="Ashland;sans-serif"/>
          <w:b/>
          <w:color w:val="000000"/>
          <w:sz w:val="20"/>
        </w:rPr>
        <w:t>Plan contributions</w:t>
      </w:r>
    </w:p>
    <w:p>
      <w:pPr>
        <w:pStyle w:val="TextBody"/>
        <w:bidi w:val="0"/>
        <w:spacing w:before="120" w:after="283"/>
        <w:jc w:val="both"/>
        <w:rPr>
          <w:rFonts w:ascii="Times New Roman" w:hAnsi="Times New Roman"/>
          <w:sz w:val="20"/>
        </w:rPr>
      </w:pPr>
      <w:r>
        <w:rPr>
          <w:rFonts w:ascii="Ashland;sans-serif" w:hAnsi="Ashland;sans-serif"/>
          <w:color w:val="000000"/>
          <w:sz w:val="20"/>
        </w:rPr>
        <w:t>For the nine months ended June 30, 2026, Ashland contributed $5</w:t>
      </w:r>
      <w:r>
        <w:rPr>
          <w:rFonts w:ascii="Times New Roman" w:hAnsi="Times New Roman"/>
          <w:color w:val="000000"/>
          <w:sz w:val="20"/>
        </w:rPr>
        <w:t xml:space="preserve"> </w:t>
      </w:r>
      <w:r>
        <w:rPr>
          <w:rFonts w:ascii="Ashland;sans-serif" w:hAnsi="Ashland;sans-serif"/>
          <w:color w:val="000000"/>
          <w:sz w:val="20"/>
        </w:rPr>
        <w:t>million to its U.S. pension plans and $5</w:t>
      </w:r>
      <w:r>
        <w:rPr>
          <w:rFonts w:ascii="Times New Roman" w:hAnsi="Times New Roman"/>
          <w:color w:val="000000"/>
          <w:sz w:val="20"/>
        </w:rPr>
        <w:t xml:space="preserve"> </w:t>
      </w:r>
      <w:r>
        <w:rPr>
          <w:rFonts w:ascii="Ashland;sans-serif" w:hAnsi="Ashland;sans-serif"/>
          <w:color w:val="000000"/>
          <w:sz w:val="20"/>
        </w:rPr>
        <w:t>million to its non-U.S. pension plans. Ashland expects to make additional contributions of $1</w:t>
      </w:r>
      <w:r>
        <w:rPr>
          <w:rFonts w:ascii="Times New Roman" w:hAnsi="Times New Roman"/>
          <w:color w:val="000000"/>
          <w:sz w:val="20"/>
        </w:rPr>
        <w:t xml:space="preserve"> </w:t>
      </w:r>
      <w:r>
        <w:rPr>
          <w:rFonts w:ascii="Ashland;sans-serif" w:hAnsi="Ashland;sans-serif"/>
          <w:color w:val="000000"/>
          <w:sz w:val="20"/>
        </w:rPr>
        <w:t>million to its U.S. pension plans and $1</w:t>
      </w:r>
      <w:r>
        <w:rPr>
          <w:rFonts w:ascii="Times New Roman" w:hAnsi="Times New Roman"/>
          <w:color w:val="000000"/>
          <w:sz w:val="20"/>
        </w:rPr>
        <w:t xml:space="preserve"> </w:t>
      </w:r>
      <w:r>
        <w:rPr>
          <w:rFonts w:ascii="Ashland;sans-serif" w:hAnsi="Ashland;sans-serif"/>
          <w:color w:val="000000"/>
          <w:sz w:val="20"/>
        </w:rPr>
        <w:t>million to its non-U.S. pension plans during the remainder of fiscal 2026.</w:t>
      </w:r>
    </w:p>
    <w:p>
      <w:pPr>
        <w:pStyle w:val="TextBody"/>
        <w:bidi w:val="0"/>
        <w:spacing w:before="120" w:after="283"/>
        <w:jc w:val="both"/>
        <w:rPr>
          <w:rFonts w:ascii="Ashland;sans-serif" w:hAnsi="Ashland;sans-serif"/>
          <w:b/>
          <w:color w:val="000000"/>
          <w:sz w:val="20"/>
        </w:rPr>
      </w:pPr>
      <w:r>
        <w:rPr>
          <w:rFonts w:ascii="Ashland;sans-serif" w:hAnsi="Ashland;sans-serif"/>
          <w:b/>
          <w:color w:val="000000"/>
          <w:sz w:val="20"/>
        </w:rPr>
        <w:t>Components of net periodic benefit costs</w:t>
      </w:r>
    </w:p>
    <w:p>
      <w:pPr>
        <w:pStyle w:val="TextBody"/>
        <w:bidi w:val="0"/>
        <w:spacing w:before="120" w:after="120"/>
        <w:jc w:val="both"/>
        <w:rPr>
          <w:rFonts w:ascii="Ashland;sans-serif" w:hAnsi="Ashland;sans-serif"/>
          <w:color w:val="000000"/>
          <w:sz w:val="20"/>
        </w:rPr>
      </w:pPr>
      <w:r>
        <w:rPr>
          <w:rFonts w:ascii="Ashland;sans-serif" w:hAnsi="Ashland;sans-serif"/>
          <w:color w:val="000000"/>
          <w:sz w:val="20"/>
        </w:rPr>
        <w:t>The following table summarizes the components of pension and other postretirement benefit costs for continuing operations:</w:t>
      </w:r>
    </w:p>
    <w:tbl>
      <w:tblPr>
        <w:tblW w:w="7335" w:type="dxa"/>
        <w:jc w:val="left"/>
        <w:tblInd w:w="0" w:type="dxa"/>
        <w:tblLayout w:type="fixed"/>
        <w:tblCellMar>
          <w:top w:w="28" w:type="dxa"/>
          <w:left w:w="28" w:type="dxa"/>
          <w:bottom w:w="28" w:type="dxa"/>
          <w:right w:w="28" w:type="dxa"/>
        </w:tblCellMar>
      </w:tblPr>
      <w:tblGrid>
        <w:gridCol w:w="3061"/>
        <w:gridCol w:w="146"/>
        <w:gridCol w:w="244"/>
        <w:gridCol w:w="374"/>
        <w:gridCol w:w="195"/>
        <w:gridCol w:w="157"/>
        <w:gridCol w:w="244"/>
        <w:gridCol w:w="374"/>
        <w:gridCol w:w="181"/>
        <w:gridCol w:w="146"/>
        <w:gridCol w:w="318"/>
        <w:gridCol w:w="487"/>
        <w:gridCol w:w="205"/>
        <w:gridCol w:w="205"/>
        <w:gridCol w:w="318"/>
        <w:gridCol w:w="489"/>
        <w:gridCol w:w="191"/>
      </w:tblGrid>
      <w:tr>
        <w:trPr/>
        <w:tc>
          <w:tcPr>
            <w:tcW w:w="3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6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588"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Pension benefits</w:t>
            </w:r>
          </w:p>
        </w:tc>
        <w:tc>
          <w:tcPr>
            <w:tcW w:w="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2022"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Other postretirement</w:t>
              <w:br/>
              <w:t>benefits</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2026</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2026</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Three months ended June 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Service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Interest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Expected return on plan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Settlement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Actuarial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Total net periodic benefit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Nine months ended June 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Service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Interest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9</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Expected return on plan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Settlement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Actuarial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Curtailment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Total net periodic benefit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sz w:val="20"/>
        </w:rPr>
      </w:pPr>
      <w:r>
        <w:rPr>
          <w:rFonts w:ascii="Ashland;sans-serif" w:hAnsi="Ashland;sans-serif"/>
          <w:color w:val="000000"/>
          <w:sz w:val="20"/>
        </w:rPr>
        <w:t>For segment reporting purposes, service cost is proportionately allocated to each segment, excluding Unallocated and other, and is recorded within the selling, general and administrative expense and cost of</w:t>
      </w:r>
      <w:r>
        <w:rPr>
          <w:rFonts w:ascii="Times New Roman" w:hAnsi="Times New Roman"/>
          <w:color w:val="000000"/>
          <w:sz w:val="20"/>
        </w:rPr>
        <w:t xml:space="preserve"> </w:t>
      </w:r>
    </w:p>
    <w:p>
      <w:pPr>
        <w:pStyle w:val="TextBody"/>
        <w:bidi w:val="0"/>
        <w:spacing w:before="120" w:after="283"/>
        <w:jc w:val="center"/>
        <w:rPr>
          <w:rFonts w:ascii="Ashland;sans-serif" w:hAnsi="Ashland;sans-serif"/>
          <w:color w:val="000000"/>
          <w:sz w:val="20"/>
        </w:rPr>
      </w:pPr>
      <w:r>
        <w:rPr>
          <w:rFonts w:ascii="Ashland;sans-serif" w:hAnsi="Ashland;sans-serif"/>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Ashland;sans-serif" w:hAnsi="Ashland;sans-serif"/>
          <w:color w:val="000000"/>
          <w:sz w:val="20"/>
        </w:rPr>
        <w:t>sales captions on the Statements of Condensed Consolidated Comprehensive Income (Loss). All other components are recorded within the other net periodic benefit (income) loss caption on the Statements of Condensed Consolidated Comprehensive Income (Loss), which netted to income of $5</w:t>
      </w:r>
      <w:r>
        <w:rPr>
          <w:rFonts w:ascii="Times New Roman" w:hAnsi="Times New Roman"/>
          <w:color w:val="000000"/>
          <w:sz w:val="20"/>
        </w:rPr>
        <w:t xml:space="preserve"> </w:t>
      </w:r>
      <w:r>
        <w:rPr>
          <w:rFonts w:ascii="Ashland;sans-serif" w:hAnsi="Ashland;sans-serif"/>
          <w:color w:val="000000"/>
          <w:sz w:val="20"/>
        </w:rPr>
        <w:t>million and $3</w:t>
      </w:r>
      <w:r>
        <w:rPr>
          <w:rFonts w:ascii="Times New Roman" w:hAnsi="Times New Roman"/>
          <w:color w:val="000000"/>
          <w:sz w:val="20"/>
        </w:rPr>
        <w:t xml:space="preserve"> </w:t>
      </w:r>
      <w:r>
        <w:rPr>
          <w:rFonts w:ascii="Ashland;sans-serif" w:hAnsi="Ashland;sans-serif"/>
          <w:color w:val="000000"/>
          <w:sz w:val="20"/>
        </w:rPr>
        <w:t>million for the three and nine months ended June 30, 2026, respectively, and expense of $1</w:t>
      </w:r>
      <w:r>
        <w:rPr>
          <w:rFonts w:ascii="Times New Roman" w:hAnsi="Times New Roman"/>
          <w:color w:val="000000"/>
          <w:sz w:val="20"/>
        </w:rPr>
        <w:t xml:space="preserve"> </w:t>
      </w:r>
      <w:r>
        <w:rPr>
          <w:rFonts w:ascii="Ashland;sans-serif" w:hAnsi="Ashland;sans-serif"/>
          <w:color w:val="000000"/>
          <w:sz w:val="20"/>
        </w:rPr>
        <w:t>million and $4</w:t>
      </w:r>
      <w:r>
        <w:rPr>
          <w:rFonts w:ascii="Times New Roman" w:hAnsi="Times New Roman"/>
          <w:color w:val="000000"/>
          <w:sz w:val="20"/>
        </w:rPr>
        <w:t xml:space="preserve"> </w:t>
      </w:r>
      <w:r>
        <w:rPr>
          <w:rFonts w:ascii="Ashland;sans-serif" w:hAnsi="Ashland;sans-serif"/>
          <w:color w:val="000000"/>
          <w:sz w:val="20"/>
        </w:rPr>
        <w:t>million for the three and nine months ended June 30, 2025, respectively.</w:t>
      </w:r>
    </w:p>
    <w:p>
      <w:pPr>
        <w:pStyle w:val="TextBody"/>
        <w:bidi w:val="0"/>
        <w:spacing w:before="120" w:after="283"/>
        <w:jc w:val="both"/>
        <w:rPr>
          <w:rFonts w:ascii="Times New Roman" w:hAnsi="Times New Roman"/>
          <w:sz w:val="20"/>
        </w:rPr>
      </w:pPr>
      <w:r>
        <w:rPr>
          <w:rFonts w:ascii="Ashland;sans-serif" w:hAnsi="Ashland;sans-serif"/>
          <w:b/>
          <w:color w:val="000000"/>
          <w:sz w:val="20"/>
        </w:rPr>
        <w:t>NOTE L</w:t>
      </w:r>
      <w:r>
        <w:rPr>
          <w:rFonts w:ascii="Times New Roman" w:hAnsi="Times New Roman"/>
          <w:color w:val="000000"/>
          <w:sz w:val="20"/>
        </w:rPr>
        <w:t xml:space="preserve"> – </w:t>
      </w:r>
      <w:r>
        <w:rPr>
          <w:rFonts w:ascii="Ashland;sans-serif" w:hAnsi="Ashland;sans-serif"/>
          <w:b/>
          <w:color w:val="000000"/>
          <w:sz w:val="20"/>
        </w:rPr>
        <w:t>LITIGATION, CLAIMS AND CONTINGENCIES</w:t>
      </w:r>
    </w:p>
    <w:p>
      <w:pPr>
        <w:pStyle w:val="TextBody"/>
        <w:bidi w:val="0"/>
        <w:spacing w:before="120" w:after="283"/>
        <w:jc w:val="left"/>
        <w:rPr>
          <w:rFonts w:ascii="Ashland;sans-serif" w:hAnsi="Ashland;sans-serif"/>
          <w:b/>
          <w:color w:val="000000"/>
          <w:sz w:val="20"/>
        </w:rPr>
      </w:pPr>
      <w:r>
        <w:rPr>
          <w:rFonts w:ascii="Ashland;sans-serif" w:hAnsi="Ashland;sans-serif"/>
          <w:b/>
          <w:color w:val="000000"/>
          <w:sz w:val="20"/>
        </w:rPr>
        <w:t>Asbestos litigation</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Ashland is subject to liabilities from claims alleging personal injury caused by exposure to asbestos. Such claims result from indemnification obligations undertaken in 1990 in connection with the sale of Riley and the acquisition of Hercules in November 2008. Although Riley, a former subsidiary, was neither a producer nor a manufacturer of asbestos, its industrial boilers contained some asbestos-containing components provided by other companies. Hercules, an indirect wholly-owned subsidiary of Ashland, has liabilities from claims alleging personal injury caused by exposure to asbestos. Such claims typically arise from alleged exposure to asbestos fibers from resin encapsulated pipe and tank products sold by one of Hercules’ former subsidiaries to a limited industrial market.</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To assist in developing and annually updating independent reserve estimates for future asbestos claims and related costs given various assumptions for Ashland and Hercules asbestos claims, Ashland retained third party actuarial experts Gnarus. The methodology used by Gnarus to project future asbestos costs is based largely on recent experience, including claim-filing and settlement rates, disease mix, open claims and litigation defense. The claim experience of Ashland and Hercules are separately compared to the results of previously conducted third party epidemiological studies estimating the number of people likely to develop asbestos-related diseases. Those studies were undertaken in connection with national analyses of the population expected to have been exposed to asbestos. Using that information, Gnarus estimates a range of the number of future claims that may be filed, as well as the related costs that may be incurred in resolving those claims. Changes in asbestos litigation reserves and receivables are recorded on an after-tax basis within the loss from discontinued operations, net of income taxes caption in the Statements of Condensed Consolidated Comprehensive Income (Loss).</w:t>
      </w:r>
    </w:p>
    <w:p>
      <w:pPr>
        <w:pStyle w:val="TextBody"/>
        <w:bidi w:val="0"/>
        <w:spacing w:before="120" w:after="283"/>
        <w:jc w:val="both"/>
        <w:rPr>
          <w:rFonts w:ascii="Ashland;sans-serif" w:hAnsi="Ashland;sans-serif"/>
          <w:i/>
          <w:color w:val="000000"/>
          <w:sz w:val="20"/>
        </w:rPr>
      </w:pPr>
      <w:r>
        <w:rPr>
          <w:rFonts w:ascii="Ashland;sans-serif" w:hAnsi="Ashland;sans-serif"/>
          <w:i/>
          <w:color w:val="000000"/>
          <w:sz w:val="20"/>
        </w:rPr>
        <w:t>Ashland asbestos-related litigation</w:t>
      </w:r>
    </w:p>
    <w:p>
      <w:pPr>
        <w:pStyle w:val="TextBody"/>
        <w:bidi w:val="0"/>
        <w:spacing w:before="120" w:after="120"/>
        <w:jc w:val="both"/>
        <w:rPr>
          <w:rFonts w:ascii="Ashland;sans-serif" w:hAnsi="Ashland;sans-serif"/>
          <w:color w:val="000000"/>
          <w:sz w:val="20"/>
        </w:rPr>
      </w:pPr>
      <w:r>
        <w:rPr>
          <w:rFonts w:ascii="Ashland;sans-serif" w:hAnsi="Ashland;sans-serif"/>
          <w:color w:val="000000"/>
          <w:sz w:val="20"/>
        </w:rPr>
        <w:t>The claims alleging personal injury caused by exposure to asbestos asserted against Ashland result primarily from indemnification obligations undertaken in 1990 in connection with the sale of Riley. The amount and timing of settlements and number of open claims can fluctuate from period to period. A summary of Ashland asbestos claims activity, excluding Hercules claims, is as follows:</w:t>
      </w:r>
    </w:p>
    <w:tbl>
      <w:tblPr>
        <w:tblW w:w="8164" w:type="dxa"/>
        <w:jc w:val="left"/>
        <w:tblInd w:w="0" w:type="dxa"/>
        <w:tblLayout w:type="fixed"/>
        <w:tblCellMar>
          <w:top w:w="28" w:type="dxa"/>
          <w:left w:w="28" w:type="dxa"/>
          <w:bottom w:w="28" w:type="dxa"/>
          <w:right w:w="28" w:type="dxa"/>
        </w:tblCellMar>
      </w:tblPr>
      <w:tblGrid>
        <w:gridCol w:w="3001"/>
        <w:gridCol w:w="146"/>
        <w:gridCol w:w="210"/>
        <w:gridCol w:w="499"/>
        <w:gridCol w:w="261"/>
        <w:gridCol w:w="210"/>
        <w:gridCol w:w="210"/>
        <w:gridCol w:w="499"/>
        <w:gridCol w:w="181"/>
        <w:gridCol w:w="146"/>
        <w:gridCol w:w="176"/>
        <w:gridCol w:w="419"/>
        <w:gridCol w:w="219"/>
        <w:gridCol w:w="176"/>
        <w:gridCol w:w="176"/>
        <w:gridCol w:w="419"/>
        <w:gridCol w:w="219"/>
        <w:gridCol w:w="176"/>
        <w:gridCol w:w="176"/>
        <w:gridCol w:w="419"/>
        <w:gridCol w:w="226"/>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00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89"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Nine months ended</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595"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1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7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595"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1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7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595"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2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7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Years ended September 30</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2026</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2025</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2024</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2023</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Open claims - beginning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40</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41</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42</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New claims filed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Claims settled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Claims dismissed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Open claims -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40</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40</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40</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41</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42</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Ashland;sans-serif" w:hAnsi="Ashland;sans-serif"/>
          <w:i/>
          <w:color w:val="000000"/>
          <w:sz w:val="20"/>
        </w:rPr>
      </w:pPr>
      <w:r>
        <w:rPr>
          <w:rFonts w:ascii="Ashland;sans-serif" w:hAnsi="Ashland;sans-serif"/>
          <w:i/>
          <w:color w:val="000000"/>
          <w:sz w:val="20"/>
        </w:rPr>
        <w:t>Ashland asbestos-related liability</w:t>
      </w:r>
    </w:p>
    <w:p>
      <w:pPr>
        <w:pStyle w:val="TextBody"/>
        <w:bidi w:val="0"/>
        <w:spacing w:before="120" w:after="283"/>
        <w:jc w:val="both"/>
        <w:rPr>
          <w:rFonts w:ascii="Times New Roman" w:hAnsi="Times New Roman"/>
          <w:sz w:val="20"/>
        </w:rPr>
      </w:pPr>
      <w:r>
        <w:rPr>
          <w:rFonts w:ascii="Ashland;sans-serif" w:hAnsi="Ashland;sans-serif"/>
          <w:color w:val="000000"/>
          <w:sz w:val="20"/>
        </w:rPr>
        <w:t>From the range of estimates, Ashland records the amount it believes to be the best estimate of future payments for litigation defense and claim settlement costs. Ashland reviews this estimate and related assumptions quarterly and annually updates the results of a non-inflated, non-discounted approximate 35-year model developed with the assistance of Gnarus.</w:t>
      </w:r>
      <w:r>
        <w:rPr>
          <w:rFonts w:ascii="Times New Roman" w:hAnsi="Times New Roman"/>
          <w:color w:val="000000"/>
          <w:sz w:val="20"/>
        </w:rPr>
        <w:t xml:space="preserve"> </w:t>
      </w:r>
    </w:p>
    <w:p>
      <w:pPr>
        <w:pStyle w:val="TextBody"/>
        <w:bidi w:val="0"/>
        <w:spacing w:before="120" w:after="283"/>
        <w:jc w:val="center"/>
        <w:rPr>
          <w:rFonts w:ascii="Ashland;sans-serif" w:hAnsi="Ashland;sans-serif"/>
          <w:color w:val="000000"/>
          <w:sz w:val="20"/>
        </w:rPr>
      </w:pPr>
      <w:r>
        <w:rPr>
          <w:rFonts w:ascii="Ashland;sans-serif" w:hAnsi="Ashland;sans-serif"/>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Ashland;sans-serif" w:hAnsi="Ashland;sans-serif"/>
          <w:color w:val="000000"/>
          <w:sz w:val="20"/>
        </w:rPr>
        <w:t>During the most recent update completed in fiscal 2026, it was determined that the liability for Ashland asbestos-related claims should be increased by $31</w:t>
      </w:r>
      <w:r>
        <w:rPr>
          <w:rFonts w:ascii="Times New Roman" w:hAnsi="Times New Roman"/>
          <w:color w:val="000000"/>
          <w:sz w:val="20"/>
        </w:rPr>
        <w:t xml:space="preserve"> </w:t>
      </w:r>
      <w:r>
        <w:rPr>
          <w:rFonts w:ascii="Ashland;sans-serif" w:hAnsi="Ashland;sans-serif"/>
          <w:color w:val="000000"/>
          <w:sz w:val="20"/>
        </w:rPr>
        <w:t>million. Total reserves for asbestos claims were $262</w:t>
      </w:r>
      <w:r>
        <w:rPr>
          <w:rFonts w:ascii="Times New Roman" w:hAnsi="Times New Roman"/>
          <w:color w:val="000000"/>
          <w:sz w:val="20"/>
        </w:rPr>
        <w:t xml:space="preserve"> </w:t>
      </w:r>
      <w:r>
        <w:rPr>
          <w:rFonts w:ascii="Ashland;sans-serif" w:hAnsi="Ashland;sans-serif"/>
          <w:color w:val="000000"/>
          <w:sz w:val="20"/>
        </w:rPr>
        <w:t>million and $258</w:t>
      </w:r>
      <w:r>
        <w:rPr>
          <w:rFonts w:ascii="Times New Roman" w:hAnsi="Times New Roman"/>
          <w:color w:val="000000"/>
          <w:sz w:val="20"/>
        </w:rPr>
        <w:t xml:space="preserve"> </w:t>
      </w:r>
      <w:r>
        <w:rPr>
          <w:rFonts w:ascii="Ashland;sans-serif" w:hAnsi="Ashland;sans-serif"/>
          <w:color w:val="000000"/>
          <w:sz w:val="20"/>
        </w:rPr>
        <w:t>million at June 30, 2026 and September 30, 2025, respectively.</w:t>
      </w:r>
    </w:p>
    <w:p>
      <w:pPr>
        <w:pStyle w:val="TextBody"/>
        <w:bidi w:val="0"/>
        <w:spacing w:before="120" w:after="120"/>
        <w:jc w:val="both"/>
        <w:rPr>
          <w:rFonts w:ascii="Ashland;sans-serif" w:hAnsi="Ashland;sans-serif"/>
          <w:color w:val="000000"/>
          <w:sz w:val="20"/>
        </w:rPr>
      </w:pPr>
      <w:r>
        <w:rPr>
          <w:rFonts w:ascii="Ashland;sans-serif" w:hAnsi="Ashland;sans-serif"/>
          <w:color w:val="000000"/>
          <w:sz w:val="20"/>
        </w:rPr>
        <w:t>A progression of activity in the asbestos litigation reserves is presented in the following table.</w:t>
      </w:r>
    </w:p>
    <w:tbl>
      <w:tblPr>
        <w:tblW w:w="9654" w:type="dxa"/>
        <w:jc w:val="left"/>
        <w:tblInd w:w="0" w:type="dxa"/>
        <w:tblLayout w:type="fixed"/>
        <w:tblCellMar>
          <w:top w:w="28" w:type="dxa"/>
          <w:left w:w="28" w:type="dxa"/>
          <w:bottom w:w="28" w:type="dxa"/>
          <w:right w:w="28" w:type="dxa"/>
        </w:tblCellMar>
      </w:tblPr>
      <w:tblGrid>
        <w:gridCol w:w="4336"/>
        <w:gridCol w:w="146"/>
        <w:gridCol w:w="249"/>
        <w:gridCol w:w="515"/>
        <w:gridCol w:w="200"/>
        <w:gridCol w:w="161"/>
        <w:gridCol w:w="249"/>
        <w:gridCol w:w="515"/>
        <w:gridCol w:w="181"/>
        <w:gridCol w:w="146"/>
        <w:gridCol w:w="226"/>
        <w:gridCol w:w="466"/>
        <w:gridCol w:w="181"/>
        <w:gridCol w:w="146"/>
        <w:gridCol w:w="226"/>
        <w:gridCol w:w="466"/>
        <w:gridCol w:w="181"/>
        <w:gridCol w:w="146"/>
        <w:gridCol w:w="226"/>
        <w:gridCol w:w="466"/>
        <w:gridCol w:w="226"/>
      </w:tblGrid>
      <w:tr>
        <w:trPr/>
        <w:tc>
          <w:tcPr>
            <w:tcW w:w="4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433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89"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Nine months ended</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69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69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69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2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Years ended September 30</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2026</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2023</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Asbestos litigation reserves - beginning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258</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274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274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281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305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Reserve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31</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Amounts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(27</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(33</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shland;sans-serif" w:hAnsi="Ashland;sans-serif"/>
                <w:color w:val="000000"/>
                <w:sz w:val="18"/>
              </w:rPr>
              <w:t>Asbestos litigation reserves - end of period</w:t>
            </w:r>
            <w:r>
              <w:rPr>
                <w:rFonts w:ascii="Ashland;sans-serif" w:hAnsi="Ashland;sans-serif"/>
                <w:color w:val="000000"/>
                <w:sz w:val="12"/>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262</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265</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258</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274</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281</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(a)</w:t>
      </w:r>
    </w:p>
    <w:p>
      <w:pPr>
        <w:pStyle w:val="TextBody"/>
        <w:bidi w:val="0"/>
        <w:spacing w:before="40" w:after="283"/>
        <w:jc w:val="both"/>
        <w:rPr>
          <w:rFonts w:ascii="Ashland;sans-serif" w:hAnsi="Ashland;sans-serif"/>
          <w:sz w:val="20"/>
        </w:rPr>
      </w:pPr>
      <w:r>
        <w:rPr>
          <w:rFonts w:ascii="Ashland;sans-serif" w:hAnsi="Ashland;sans-serif"/>
          <w:color w:val="000000"/>
          <w:sz w:val="14"/>
        </w:rPr>
        <w:t>Includes $29</w:t>
      </w:r>
      <w:r>
        <w:rPr>
          <w:rFonts w:ascii="Ashland;sans-serif" w:hAnsi="Ashland;sans-serif"/>
          <w:color w:val="000000"/>
          <w:sz w:val="20"/>
        </w:rPr>
        <w:t xml:space="preserve"> </w:t>
      </w:r>
      <w:r>
        <w:rPr>
          <w:rFonts w:ascii="Ashland;sans-serif" w:hAnsi="Ashland;sans-serif"/>
          <w:color w:val="000000"/>
          <w:sz w:val="14"/>
        </w:rPr>
        <w:t>million classified in accrued expenses and other liabilities within the Condensed Consolidated Balance Sheets as of both June 30, 2026 and September 30, 2025.</w:t>
      </w:r>
    </w:p>
    <w:p>
      <w:pPr>
        <w:pStyle w:val="TextBody"/>
        <w:bidi w:val="0"/>
        <w:spacing w:before="120" w:after="283"/>
        <w:jc w:val="both"/>
        <w:rPr>
          <w:rFonts w:ascii="Ashland;sans-serif" w:hAnsi="Ashland;sans-serif"/>
          <w:i/>
          <w:color w:val="000000"/>
          <w:sz w:val="20"/>
        </w:rPr>
      </w:pPr>
      <w:r>
        <w:rPr>
          <w:rFonts w:ascii="Ashland;sans-serif" w:hAnsi="Ashland;sans-serif"/>
          <w:i/>
          <w:color w:val="000000"/>
          <w:sz w:val="20"/>
        </w:rPr>
        <w:t>Ashland asbestos-related receivables</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Ashland has insurance coverage for certain litigation defense and claim settlement costs incurred in connection with its asbestos claims, and coverage-in-place agreements exist with the insurance companies that provide substantially all of the coverage that will be accessed.</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For the Ashland asbestos-related obligations, Ashland has estimated the value of probable insurance recoveries associated with its asbestos litigation reserves based on management’s interpretations and estimates surrounding the available or applicable insurance coverage, including an assumption that all solvent insurance carriers remain solvent. Substantially all of the estimated receivables from insurance companies are expected to be due from domestic insurers, all of which are solvent.</w:t>
      </w:r>
    </w:p>
    <w:p>
      <w:pPr>
        <w:pStyle w:val="TextBody"/>
        <w:bidi w:val="0"/>
        <w:spacing w:before="120" w:after="283"/>
        <w:jc w:val="both"/>
        <w:rPr>
          <w:rFonts w:ascii="Times New Roman" w:hAnsi="Times New Roman"/>
          <w:sz w:val="20"/>
        </w:rPr>
      </w:pPr>
      <w:r>
        <w:rPr>
          <w:rFonts w:ascii="Ashland;sans-serif" w:hAnsi="Ashland;sans-serif"/>
          <w:color w:val="000000"/>
          <w:sz w:val="20"/>
        </w:rPr>
        <w:t>At June 30, 2026 and September 30, 2025, Ashland’s receivable for recoveries of litigation defense and claim settlement costs from insurers (excluding the Hercules receivable for asbestos claims discussed below) amounted to $103</w:t>
      </w:r>
      <w:r>
        <w:rPr>
          <w:rFonts w:ascii="Times New Roman" w:hAnsi="Times New Roman"/>
          <w:color w:val="000000"/>
          <w:sz w:val="20"/>
        </w:rPr>
        <w:t xml:space="preserve"> </w:t>
      </w:r>
      <w:r>
        <w:rPr>
          <w:rFonts w:ascii="Ashland;sans-serif" w:hAnsi="Ashland;sans-serif"/>
          <w:color w:val="000000"/>
          <w:sz w:val="20"/>
        </w:rPr>
        <w:t>million and $95</w:t>
      </w:r>
      <w:r>
        <w:rPr>
          <w:rFonts w:ascii="Times New Roman" w:hAnsi="Times New Roman"/>
          <w:color w:val="000000"/>
          <w:sz w:val="20"/>
        </w:rPr>
        <w:t xml:space="preserve"> </w:t>
      </w:r>
      <w:r>
        <w:rPr>
          <w:rFonts w:ascii="Ashland;sans-serif" w:hAnsi="Ashland;sans-serif"/>
          <w:color w:val="000000"/>
          <w:sz w:val="20"/>
        </w:rPr>
        <w:t>million, respectively. In fiscal 2026, the annual update of the model used for purposes of valuing the asbestos reserve and its impact on valuation of future recoveries from insurers was completed. This model update resulted in a $15</w:t>
      </w:r>
      <w:r>
        <w:rPr>
          <w:rFonts w:ascii="Times New Roman" w:hAnsi="Times New Roman"/>
          <w:color w:val="000000"/>
          <w:sz w:val="20"/>
        </w:rPr>
        <w:t xml:space="preserve"> </w:t>
      </w:r>
      <w:r>
        <w:rPr>
          <w:rFonts w:ascii="Ashland;sans-serif" w:hAnsi="Ashland;sans-serif"/>
          <w:color w:val="000000"/>
          <w:sz w:val="20"/>
        </w:rPr>
        <w:t>million increase in the receivable for probable insurance recoveries.</w:t>
      </w:r>
    </w:p>
    <w:p>
      <w:pPr>
        <w:pStyle w:val="TextBody"/>
        <w:bidi w:val="0"/>
        <w:spacing w:before="120" w:after="120"/>
        <w:jc w:val="both"/>
        <w:rPr>
          <w:rFonts w:ascii="Ashland;sans-serif" w:hAnsi="Ashland;sans-serif"/>
          <w:color w:val="000000"/>
          <w:sz w:val="20"/>
        </w:rPr>
      </w:pPr>
      <w:r>
        <w:rPr>
          <w:rFonts w:ascii="Ashland;sans-serif" w:hAnsi="Ashland;sans-serif"/>
          <w:color w:val="000000"/>
          <w:sz w:val="20"/>
        </w:rPr>
        <w:t>A progression of activity in the Ashland insurance receivable is presented in the following table.</w:t>
      </w:r>
    </w:p>
    <w:tbl>
      <w:tblPr>
        <w:tblW w:w="8930" w:type="dxa"/>
        <w:jc w:val="left"/>
        <w:tblInd w:w="0" w:type="dxa"/>
        <w:tblLayout w:type="fixed"/>
        <w:tblCellMar>
          <w:top w:w="28" w:type="dxa"/>
          <w:left w:w="28" w:type="dxa"/>
          <w:bottom w:w="28" w:type="dxa"/>
          <w:right w:w="28" w:type="dxa"/>
        </w:tblCellMar>
      </w:tblPr>
      <w:tblGrid>
        <w:gridCol w:w="3766"/>
        <w:gridCol w:w="146"/>
        <w:gridCol w:w="268"/>
        <w:gridCol w:w="553"/>
        <w:gridCol w:w="215"/>
        <w:gridCol w:w="173"/>
        <w:gridCol w:w="268"/>
        <w:gridCol w:w="411"/>
        <w:gridCol w:w="181"/>
        <w:gridCol w:w="146"/>
        <w:gridCol w:w="234"/>
        <w:gridCol w:w="358"/>
        <w:gridCol w:w="187"/>
        <w:gridCol w:w="151"/>
        <w:gridCol w:w="234"/>
        <w:gridCol w:w="358"/>
        <w:gridCol w:w="187"/>
        <w:gridCol w:w="151"/>
        <w:gridCol w:w="234"/>
        <w:gridCol w:w="483"/>
        <w:gridCol w:w="226"/>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7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88"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Nine months ended</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59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8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59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8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17"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2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7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Years ended September 30</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2026</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2025</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2024</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2023</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Insurance receivable - beginning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95</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97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97</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95</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101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Receivable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11</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Amounts collected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(9</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(9</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shland;sans-serif" w:hAnsi="Ashland;sans-serif"/>
                <w:color w:val="000000"/>
                <w:sz w:val="18"/>
              </w:rPr>
              <w:t>Insurance receivable - end of period</w:t>
            </w:r>
            <w:r>
              <w:rPr>
                <w:rFonts w:ascii="Ashland;sans-serif" w:hAnsi="Ashland;sans-serif"/>
                <w:color w:val="000000"/>
                <w:sz w:val="12"/>
              </w:rPr>
              <w:t>(a)(b)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103</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96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95</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97</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95</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(a)</w:t>
      </w:r>
    </w:p>
    <w:p>
      <w:pPr>
        <w:pStyle w:val="TextBody"/>
        <w:bidi w:val="0"/>
        <w:spacing w:before="40" w:after="283"/>
        <w:jc w:val="both"/>
        <w:rPr>
          <w:rFonts w:ascii="Ashland;sans-serif" w:hAnsi="Ashland;sans-serif"/>
          <w:sz w:val="20"/>
        </w:rPr>
      </w:pPr>
      <w:r>
        <w:rPr>
          <w:rFonts w:ascii="Ashland;sans-serif" w:hAnsi="Ashland;sans-serif"/>
          <w:color w:val="000000"/>
          <w:sz w:val="14"/>
        </w:rPr>
        <w:t>The allowance for credit losses was $1</w:t>
      </w:r>
      <w:r>
        <w:rPr>
          <w:rFonts w:ascii="Ashland;sans-serif" w:hAnsi="Ashland;sans-serif"/>
          <w:color w:val="000000"/>
          <w:sz w:val="20"/>
        </w:rPr>
        <w:t xml:space="preserve"> </w:t>
      </w:r>
      <w:r>
        <w:rPr>
          <w:rFonts w:ascii="Ashland;sans-serif" w:hAnsi="Ashland;sans-serif"/>
          <w:color w:val="000000"/>
          <w:sz w:val="14"/>
        </w:rPr>
        <w:t>million at both June 30, 2026 and September 30, 2025.</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(b)</w:t>
      </w:r>
    </w:p>
    <w:p>
      <w:pPr>
        <w:pStyle w:val="TextBody"/>
        <w:bidi w:val="0"/>
        <w:spacing w:before="40" w:after="283"/>
        <w:jc w:val="both"/>
        <w:rPr>
          <w:rFonts w:ascii="Ashland;sans-serif" w:hAnsi="Ashland;sans-serif"/>
          <w:sz w:val="20"/>
        </w:rPr>
      </w:pPr>
      <w:r>
        <w:rPr>
          <w:rFonts w:ascii="Ashland;sans-serif" w:hAnsi="Ashland;sans-serif"/>
          <w:color w:val="000000"/>
          <w:sz w:val="14"/>
        </w:rPr>
        <w:t>Includes $10</w:t>
      </w:r>
      <w:r>
        <w:rPr>
          <w:rFonts w:ascii="Ashland;sans-serif" w:hAnsi="Ashland;sans-serif"/>
          <w:color w:val="000000"/>
          <w:sz w:val="20"/>
        </w:rPr>
        <w:t xml:space="preserve"> </w:t>
      </w:r>
      <w:r>
        <w:rPr>
          <w:rFonts w:ascii="Ashland;sans-serif" w:hAnsi="Ashland;sans-serif"/>
          <w:color w:val="000000"/>
          <w:sz w:val="14"/>
        </w:rPr>
        <w:t>million classified in accounts receivable, net within the Condensed Consolidated Balance Sheets at both June 30, 2026 and September 30, 2025.</w:t>
      </w:r>
    </w:p>
    <w:p>
      <w:pPr>
        <w:pStyle w:val="TextBody"/>
        <w:bidi w:val="0"/>
        <w:spacing w:before="120" w:after="283"/>
        <w:jc w:val="center"/>
        <w:rPr>
          <w:rFonts w:ascii="Ashland;sans-serif" w:hAnsi="Ashland;sans-serif"/>
          <w:color w:val="000000"/>
          <w:sz w:val="20"/>
        </w:rPr>
      </w:pPr>
      <w:r>
        <w:rPr>
          <w:rFonts w:ascii="Ashland;sans-serif" w:hAnsi="Ashland;sans-serif"/>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shland;sans-serif" w:hAnsi="Ashland;sans-serif"/>
          <w:i/>
          <w:color w:val="000000"/>
          <w:sz w:val="20"/>
        </w:rPr>
      </w:pPr>
      <w:r>
        <w:rPr>
          <w:rFonts w:ascii="Ashland;sans-serif" w:hAnsi="Ashland;sans-serif"/>
          <w:i/>
          <w:color w:val="000000"/>
          <w:sz w:val="20"/>
        </w:rPr>
        <w:t>Hercules asbestos-related litigation</w:t>
      </w:r>
    </w:p>
    <w:p>
      <w:pPr>
        <w:pStyle w:val="TextBody"/>
        <w:bidi w:val="0"/>
        <w:spacing w:before="120" w:after="120"/>
        <w:jc w:val="both"/>
        <w:rPr>
          <w:rFonts w:ascii="Ashland;sans-serif" w:hAnsi="Ashland;sans-serif"/>
          <w:color w:val="000000"/>
          <w:sz w:val="20"/>
        </w:rPr>
      </w:pPr>
      <w:r>
        <w:rPr>
          <w:rFonts w:ascii="Ashland;sans-serif" w:hAnsi="Ashland;sans-serif"/>
          <w:color w:val="000000"/>
          <w:sz w:val="20"/>
        </w:rPr>
        <w:t>Hercules has liabilities from claims alleging personal injury caused by exposure to asbestos. Such claims typically arise from alleged exposure to asbestos fibers from resin encapsulated pipe and tank products which were sold by one of Hercules’ former subsidiaries to a limited industrial market. The amount and timing of settlements and number of open claims can fluctuate from period to period. A summary of Hercules’ asbestos claims activity follows:</w:t>
      </w:r>
    </w:p>
    <w:tbl>
      <w:tblPr>
        <w:tblW w:w="8163" w:type="dxa"/>
        <w:jc w:val="left"/>
        <w:tblInd w:w="0" w:type="dxa"/>
        <w:tblLayout w:type="fixed"/>
        <w:tblCellMar>
          <w:top w:w="28" w:type="dxa"/>
          <w:left w:w="28" w:type="dxa"/>
          <w:bottom w:w="28" w:type="dxa"/>
          <w:right w:w="28" w:type="dxa"/>
        </w:tblCellMar>
      </w:tblPr>
      <w:tblGrid>
        <w:gridCol w:w="3001"/>
        <w:gridCol w:w="146"/>
        <w:gridCol w:w="210"/>
        <w:gridCol w:w="499"/>
        <w:gridCol w:w="261"/>
        <w:gridCol w:w="210"/>
        <w:gridCol w:w="210"/>
        <w:gridCol w:w="499"/>
        <w:gridCol w:w="181"/>
        <w:gridCol w:w="146"/>
        <w:gridCol w:w="179"/>
        <w:gridCol w:w="426"/>
        <w:gridCol w:w="222"/>
        <w:gridCol w:w="179"/>
        <w:gridCol w:w="179"/>
        <w:gridCol w:w="426"/>
        <w:gridCol w:w="179"/>
        <w:gridCol w:w="179"/>
        <w:gridCol w:w="179"/>
        <w:gridCol w:w="426"/>
        <w:gridCol w:w="226"/>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00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89"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Nine months ended</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605"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2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7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605"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7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7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605"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2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7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Years ended September 30</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2026</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2025</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2024</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2023</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Open claims - beginning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11</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12</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11</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New claims filed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Claims dismissed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Open claims -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11</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12</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11</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12</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11</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Ashland;sans-serif" w:hAnsi="Ashland;sans-serif"/>
          <w:i/>
          <w:color w:val="000000"/>
          <w:sz w:val="20"/>
        </w:rPr>
      </w:pPr>
      <w:r>
        <w:rPr>
          <w:rFonts w:ascii="Ashland;sans-serif" w:hAnsi="Ashland;sans-serif"/>
          <w:i/>
          <w:color w:val="000000"/>
          <w:sz w:val="20"/>
        </w:rPr>
        <w:t>Hercules asbestos-related liability</w:t>
      </w:r>
    </w:p>
    <w:p>
      <w:pPr>
        <w:pStyle w:val="TextBody"/>
        <w:bidi w:val="0"/>
        <w:spacing w:before="120" w:after="283"/>
        <w:jc w:val="both"/>
        <w:rPr>
          <w:rFonts w:ascii="Times New Roman" w:hAnsi="Times New Roman"/>
          <w:sz w:val="20"/>
        </w:rPr>
      </w:pPr>
      <w:r>
        <w:rPr>
          <w:rFonts w:ascii="Ashland;sans-serif" w:hAnsi="Ashland;sans-serif"/>
          <w:color w:val="000000"/>
          <w:sz w:val="20"/>
        </w:rPr>
        <w:t>From the range of estimates, Ashland records the amount it believes to be the best estimate of future payments for litigation defense and claim settlement costs. Ashland reviews this estimate, and related assumptions quarterly and annually updates the results of a non-inflated, non-discounted approximate 35-year model developed with the assistance of Gnarus. During the most recent update completed in fiscal 2026, it was determined that the liability for Hercules asbestos-related claims should be increased by $17</w:t>
      </w:r>
      <w:r>
        <w:rPr>
          <w:rFonts w:ascii="Times New Roman" w:hAnsi="Times New Roman"/>
          <w:color w:val="000000"/>
          <w:sz w:val="20"/>
        </w:rPr>
        <w:t xml:space="preserve"> </w:t>
      </w:r>
      <w:r>
        <w:rPr>
          <w:rFonts w:ascii="Ashland;sans-serif" w:hAnsi="Ashland;sans-serif"/>
          <w:color w:val="000000"/>
          <w:sz w:val="20"/>
        </w:rPr>
        <w:t>million. Total reserves for asbestos claims were $183</w:t>
      </w:r>
      <w:r>
        <w:rPr>
          <w:rFonts w:ascii="Times New Roman" w:hAnsi="Times New Roman"/>
          <w:color w:val="000000"/>
          <w:sz w:val="20"/>
        </w:rPr>
        <w:t xml:space="preserve"> </w:t>
      </w:r>
      <w:r>
        <w:rPr>
          <w:rFonts w:ascii="Ashland;sans-serif" w:hAnsi="Ashland;sans-serif"/>
          <w:color w:val="000000"/>
          <w:sz w:val="20"/>
        </w:rPr>
        <w:t>million and $177</w:t>
      </w:r>
      <w:r>
        <w:rPr>
          <w:rFonts w:ascii="Times New Roman" w:hAnsi="Times New Roman"/>
          <w:color w:val="000000"/>
          <w:sz w:val="20"/>
        </w:rPr>
        <w:t xml:space="preserve"> </w:t>
      </w:r>
      <w:r>
        <w:rPr>
          <w:rFonts w:ascii="Ashland;sans-serif" w:hAnsi="Ashland;sans-serif"/>
          <w:color w:val="000000"/>
          <w:sz w:val="20"/>
        </w:rPr>
        <w:t>million at June 30, 2026 and September 30, 2025, respectively.</w:t>
      </w:r>
    </w:p>
    <w:p>
      <w:pPr>
        <w:pStyle w:val="TextBody"/>
        <w:bidi w:val="0"/>
        <w:spacing w:before="120" w:after="120"/>
        <w:jc w:val="both"/>
        <w:rPr>
          <w:rFonts w:ascii="Ashland;sans-serif" w:hAnsi="Ashland;sans-serif"/>
          <w:color w:val="000000"/>
          <w:sz w:val="20"/>
        </w:rPr>
      </w:pPr>
      <w:r>
        <w:rPr>
          <w:rFonts w:ascii="Ashland;sans-serif" w:hAnsi="Ashland;sans-serif"/>
          <w:color w:val="000000"/>
          <w:sz w:val="20"/>
        </w:rPr>
        <w:t>A progression of activity in the asbestos litigation reserves is presented in the following table.</w:t>
      </w:r>
    </w:p>
    <w:tbl>
      <w:tblPr>
        <w:tblW w:w="9654" w:type="dxa"/>
        <w:jc w:val="left"/>
        <w:tblInd w:w="0" w:type="dxa"/>
        <w:tblLayout w:type="fixed"/>
        <w:tblCellMar>
          <w:top w:w="28" w:type="dxa"/>
          <w:left w:w="28" w:type="dxa"/>
          <w:bottom w:w="28" w:type="dxa"/>
          <w:right w:w="28" w:type="dxa"/>
        </w:tblCellMar>
      </w:tblPr>
      <w:tblGrid>
        <w:gridCol w:w="4336"/>
        <w:gridCol w:w="146"/>
        <w:gridCol w:w="249"/>
        <w:gridCol w:w="515"/>
        <w:gridCol w:w="200"/>
        <w:gridCol w:w="161"/>
        <w:gridCol w:w="249"/>
        <w:gridCol w:w="515"/>
        <w:gridCol w:w="181"/>
        <w:gridCol w:w="146"/>
        <w:gridCol w:w="226"/>
        <w:gridCol w:w="466"/>
        <w:gridCol w:w="181"/>
        <w:gridCol w:w="146"/>
        <w:gridCol w:w="226"/>
        <w:gridCol w:w="466"/>
        <w:gridCol w:w="181"/>
        <w:gridCol w:w="146"/>
        <w:gridCol w:w="226"/>
        <w:gridCol w:w="466"/>
        <w:gridCol w:w="226"/>
      </w:tblGrid>
      <w:tr>
        <w:trPr/>
        <w:tc>
          <w:tcPr>
            <w:tcW w:w="4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433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89"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Nine months ended</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69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69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69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2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Years ended September 30</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2026</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2023</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Asbestos litigation reserves - beginning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177</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185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185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191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213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Reserve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17</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Amounts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(11</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shland;sans-serif" w:hAnsi="Ashland;sans-serif"/>
                <w:color w:val="000000"/>
                <w:sz w:val="18"/>
              </w:rPr>
              <w:t>Asbestos litigation reserves - end of period</w:t>
            </w:r>
            <w:r>
              <w:rPr>
                <w:rFonts w:ascii="Ashland;sans-serif" w:hAnsi="Ashland;sans-serif"/>
                <w:color w:val="000000"/>
                <w:sz w:val="12"/>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183</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185</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177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185</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191</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(a)</w:t>
      </w:r>
    </w:p>
    <w:p>
      <w:pPr>
        <w:pStyle w:val="TextBody"/>
        <w:bidi w:val="0"/>
        <w:spacing w:before="40" w:after="283"/>
        <w:jc w:val="both"/>
        <w:rPr>
          <w:rFonts w:ascii="Ashland;sans-serif" w:hAnsi="Ashland;sans-serif"/>
          <w:sz w:val="20"/>
        </w:rPr>
      </w:pPr>
      <w:r>
        <w:rPr>
          <w:rFonts w:ascii="Ashland;sans-serif" w:hAnsi="Ashland;sans-serif"/>
          <w:color w:val="000000"/>
          <w:sz w:val="14"/>
        </w:rPr>
        <w:t>Includes $17</w:t>
      </w:r>
      <w:r>
        <w:rPr>
          <w:rFonts w:ascii="Ashland;sans-serif" w:hAnsi="Ashland;sans-serif"/>
          <w:color w:val="000000"/>
          <w:sz w:val="20"/>
        </w:rPr>
        <w:t xml:space="preserve"> </w:t>
      </w:r>
      <w:r>
        <w:rPr>
          <w:rFonts w:ascii="Ashland;sans-serif" w:hAnsi="Ashland;sans-serif"/>
          <w:color w:val="000000"/>
          <w:sz w:val="14"/>
        </w:rPr>
        <w:t>million classified in accrued expenses and other liabilities within the Condensed Consolidated Balance Sheets at both June 30, 2026 and September 30, 2025.</w:t>
      </w:r>
    </w:p>
    <w:p>
      <w:pPr>
        <w:pStyle w:val="TextBody"/>
        <w:bidi w:val="0"/>
        <w:spacing w:before="120" w:after="283"/>
        <w:jc w:val="both"/>
        <w:rPr>
          <w:rFonts w:ascii="Ashland;sans-serif" w:hAnsi="Ashland;sans-serif"/>
          <w:i/>
          <w:color w:val="000000"/>
          <w:sz w:val="20"/>
        </w:rPr>
      </w:pPr>
      <w:r>
        <w:rPr>
          <w:rFonts w:ascii="Ashland;sans-serif" w:hAnsi="Ashland;sans-serif"/>
          <w:i/>
          <w:color w:val="000000"/>
          <w:sz w:val="20"/>
        </w:rPr>
        <w:t>Hercules asbestos-related receivables</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For the Hercules asbestos-related obligations, certain reimbursement obligations pursuant to coverage-in-place agreements with insurance carriers exist. As a result, any increases in the asbestos reserve have been partially offset by probable insurance recoveries. Ashland has estimated the value of probable insurance recoveries associated with its asbestos reserve based on management’s interpretations and estimates surrounding the available or applicable insurance coverage, including an assumption that all solvent insurance carriers remain solvent. The estimated receivable consists exclusively of solvent domestic insurers.</w:t>
      </w:r>
    </w:p>
    <w:p>
      <w:pPr>
        <w:pStyle w:val="TextBody"/>
        <w:bidi w:val="0"/>
        <w:spacing w:before="120" w:after="283"/>
        <w:jc w:val="both"/>
        <w:rPr>
          <w:rFonts w:ascii="Times New Roman" w:hAnsi="Times New Roman"/>
          <w:sz w:val="20"/>
        </w:rPr>
      </w:pPr>
      <w:r>
        <w:rPr>
          <w:rFonts w:ascii="Ashland;sans-serif" w:hAnsi="Ashland;sans-serif"/>
          <w:color w:val="000000"/>
          <w:sz w:val="20"/>
        </w:rPr>
        <w:t>As of June 30, 2026 and September 30, 2025, Ashland’s receivable for recoveries of litigation defense and claims costs from insurers with respect to Hercules amounted to $53</w:t>
      </w:r>
      <w:r>
        <w:rPr>
          <w:rFonts w:ascii="Times New Roman" w:hAnsi="Times New Roman"/>
          <w:color w:val="000000"/>
          <w:sz w:val="20"/>
        </w:rPr>
        <w:t xml:space="preserve"> </w:t>
      </w:r>
      <w:r>
        <w:rPr>
          <w:rFonts w:ascii="Ashland;sans-serif" w:hAnsi="Ashland;sans-serif"/>
          <w:color w:val="000000"/>
          <w:sz w:val="20"/>
        </w:rPr>
        <w:t>million and $48</w:t>
      </w:r>
      <w:r>
        <w:rPr>
          <w:rFonts w:ascii="Times New Roman" w:hAnsi="Times New Roman"/>
          <w:color w:val="000000"/>
          <w:sz w:val="20"/>
        </w:rPr>
        <w:t xml:space="preserve"> </w:t>
      </w:r>
      <w:r>
        <w:rPr>
          <w:rFonts w:ascii="Ashland;sans-serif" w:hAnsi="Ashland;sans-serif"/>
          <w:color w:val="000000"/>
          <w:sz w:val="20"/>
        </w:rPr>
        <w:t>million, respectively. In fiscal 2026, the annual update of the model used for purposes of valuing the asbestos reserve and its impact on valuation of future recoveries from insurers was completed. This model update resulted in an increase of $7</w:t>
      </w:r>
      <w:r>
        <w:rPr>
          <w:rFonts w:ascii="Times New Roman" w:hAnsi="Times New Roman"/>
          <w:color w:val="000000"/>
          <w:sz w:val="20"/>
        </w:rPr>
        <w:t xml:space="preserve"> </w:t>
      </w:r>
      <w:r>
        <w:rPr>
          <w:rFonts w:ascii="Ashland;sans-serif" w:hAnsi="Ashland;sans-serif"/>
          <w:color w:val="000000"/>
          <w:sz w:val="20"/>
        </w:rPr>
        <w:t>million in the receivable for probable insurance recoveries.</w:t>
      </w:r>
    </w:p>
    <w:p>
      <w:pPr>
        <w:pStyle w:val="TextBody"/>
        <w:bidi w:val="0"/>
        <w:spacing w:before="120" w:after="283"/>
        <w:jc w:val="center"/>
        <w:rPr>
          <w:rFonts w:ascii="Ashland;sans-serif" w:hAnsi="Ashland;sans-serif"/>
          <w:color w:val="000000"/>
          <w:sz w:val="20"/>
        </w:rPr>
      </w:pPr>
      <w:r>
        <w:rPr>
          <w:rFonts w:ascii="Ashland;sans-serif" w:hAnsi="Ashland;sans-serif"/>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Ashland;sans-serif" w:hAnsi="Ashland;sans-serif"/>
          <w:color w:val="000000"/>
          <w:sz w:val="20"/>
        </w:rPr>
      </w:pPr>
      <w:r>
        <w:rPr>
          <w:rFonts w:ascii="Ashland;sans-serif" w:hAnsi="Ashland;sans-serif"/>
          <w:color w:val="000000"/>
          <w:sz w:val="20"/>
        </w:rPr>
        <w:t>A progression of activity in the Hercules insurance receivable is presented in the following table.</w:t>
      </w:r>
    </w:p>
    <w:tbl>
      <w:tblPr>
        <w:tblW w:w="8928" w:type="dxa"/>
        <w:jc w:val="left"/>
        <w:tblInd w:w="0" w:type="dxa"/>
        <w:tblLayout w:type="fixed"/>
        <w:tblCellMar>
          <w:top w:w="28" w:type="dxa"/>
          <w:left w:w="28" w:type="dxa"/>
          <w:bottom w:w="28" w:type="dxa"/>
          <w:right w:w="28" w:type="dxa"/>
        </w:tblCellMar>
      </w:tblPr>
      <w:tblGrid>
        <w:gridCol w:w="3766"/>
        <w:gridCol w:w="146"/>
        <w:gridCol w:w="290"/>
        <w:gridCol w:w="444"/>
        <w:gridCol w:w="232"/>
        <w:gridCol w:w="187"/>
        <w:gridCol w:w="290"/>
        <w:gridCol w:w="444"/>
        <w:gridCol w:w="181"/>
        <w:gridCol w:w="146"/>
        <w:gridCol w:w="246"/>
        <w:gridCol w:w="376"/>
        <w:gridCol w:w="197"/>
        <w:gridCol w:w="158"/>
        <w:gridCol w:w="246"/>
        <w:gridCol w:w="376"/>
        <w:gridCol w:w="197"/>
        <w:gridCol w:w="158"/>
        <w:gridCol w:w="246"/>
        <w:gridCol w:w="376"/>
        <w:gridCol w:w="226"/>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7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87"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Nine months ended</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62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9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5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62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9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5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62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2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7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Years ended September 30</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2026</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2025</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2024</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2023</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Insurance receivable - beginning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48</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50</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47</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Receivable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Amounts collected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shland;sans-serif" w:hAnsi="Ashland;sans-serif"/>
                <w:color w:val="000000"/>
                <w:sz w:val="18"/>
              </w:rPr>
              <w:t>Insurance receivable - end of period</w:t>
            </w:r>
            <w:r>
              <w:rPr>
                <w:rFonts w:ascii="Ashland;sans-serif" w:hAnsi="Ashland;sans-serif"/>
                <w:color w:val="000000"/>
                <w:sz w:val="12"/>
              </w:rPr>
              <w:t>(a)(b)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53</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48</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50</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47</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(a)</w:t>
      </w:r>
    </w:p>
    <w:p>
      <w:pPr>
        <w:pStyle w:val="TextBody"/>
        <w:bidi w:val="0"/>
        <w:spacing w:before="40" w:after="283"/>
        <w:jc w:val="both"/>
        <w:rPr>
          <w:rFonts w:ascii="Ashland;sans-serif" w:hAnsi="Ashland;sans-serif"/>
          <w:sz w:val="20"/>
        </w:rPr>
      </w:pPr>
      <w:r>
        <w:rPr>
          <w:rFonts w:ascii="Ashland;sans-serif" w:hAnsi="Ashland;sans-serif"/>
          <w:color w:val="000000"/>
          <w:sz w:val="14"/>
        </w:rPr>
        <w:t>The allowance for credit losses was $1</w:t>
      </w:r>
      <w:r>
        <w:rPr>
          <w:rFonts w:ascii="Ashland;sans-serif" w:hAnsi="Ashland;sans-serif"/>
          <w:color w:val="000000"/>
          <w:sz w:val="20"/>
        </w:rPr>
        <w:t xml:space="preserve"> </w:t>
      </w:r>
      <w:r>
        <w:rPr>
          <w:rFonts w:ascii="Ashland;sans-serif" w:hAnsi="Ashland;sans-serif"/>
          <w:color w:val="000000"/>
          <w:sz w:val="14"/>
        </w:rPr>
        <w:t>million at both June 30, 2026 and September 30, 2025.</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(b)</w:t>
      </w:r>
    </w:p>
    <w:p>
      <w:pPr>
        <w:pStyle w:val="TextBody"/>
        <w:bidi w:val="0"/>
        <w:spacing w:before="40" w:after="283"/>
        <w:jc w:val="both"/>
        <w:rPr>
          <w:rFonts w:ascii="Ashland;sans-serif" w:hAnsi="Ashland;sans-serif"/>
          <w:sz w:val="20"/>
        </w:rPr>
      </w:pPr>
      <w:r>
        <w:rPr>
          <w:rFonts w:ascii="Ashland;sans-serif" w:hAnsi="Ashland;sans-serif"/>
          <w:color w:val="000000"/>
          <w:sz w:val="14"/>
        </w:rPr>
        <w:t>Includes $7</w:t>
      </w:r>
      <w:r>
        <w:rPr>
          <w:rFonts w:ascii="Ashland;sans-serif" w:hAnsi="Ashland;sans-serif"/>
          <w:color w:val="000000"/>
          <w:sz w:val="20"/>
        </w:rPr>
        <w:t xml:space="preserve"> </w:t>
      </w:r>
      <w:r>
        <w:rPr>
          <w:rFonts w:ascii="Ashland;sans-serif" w:hAnsi="Ashland;sans-serif"/>
          <w:color w:val="000000"/>
          <w:sz w:val="14"/>
        </w:rPr>
        <w:t>million and $6</w:t>
      </w:r>
      <w:r>
        <w:rPr>
          <w:rFonts w:ascii="Ashland;sans-serif" w:hAnsi="Ashland;sans-serif"/>
          <w:color w:val="000000"/>
          <w:sz w:val="20"/>
        </w:rPr>
        <w:t xml:space="preserve"> </w:t>
      </w:r>
      <w:r>
        <w:rPr>
          <w:rFonts w:ascii="Ashland;sans-serif" w:hAnsi="Ashland;sans-serif"/>
          <w:color w:val="000000"/>
          <w:sz w:val="14"/>
        </w:rPr>
        <w:t>million classified in accounts receivable, net on the Condensed Consolidated Balance Sheets at June 30, 2026 and September 30, 2025, respectively.</w:t>
      </w:r>
    </w:p>
    <w:p>
      <w:pPr>
        <w:pStyle w:val="TextBody"/>
        <w:bidi w:val="0"/>
        <w:spacing w:before="120" w:after="283"/>
        <w:jc w:val="both"/>
        <w:rPr>
          <w:rFonts w:ascii="Ashland;sans-serif" w:hAnsi="Ashland;sans-serif"/>
          <w:i/>
          <w:color w:val="000000"/>
          <w:sz w:val="20"/>
        </w:rPr>
      </w:pPr>
      <w:r>
        <w:rPr>
          <w:rFonts w:ascii="Ashland;sans-serif" w:hAnsi="Ashland;sans-serif"/>
          <w:i/>
          <w:color w:val="000000"/>
          <w:sz w:val="20"/>
        </w:rPr>
        <w:t>Asbestos litigation cost projection</w:t>
      </w:r>
    </w:p>
    <w:p>
      <w:pPr>
        <w:pStyle w:val="TextBody"/>
        <w:bidi w:val="0"/>
        <w:spacing w:before="120" w:after="283"/>
        <w:jc w:val="both"/>
        <w:rPr>
          <w:rFonts w:ascii="Times New Roman" w:hAnsi="Times New Roman"/>
          <w:sz w:val="20"/>
        </w:rPr>
      </w:pPr>
      <w:r>
        <w:rPr>
          <w:rFonts w:ascii="Ashland;sans-serif" w:hAnsi="Ashland;sans-serif"/>
          <w:color w:val="000000"/>
          <w:sz w:val="20"/>
        </w:rPr>
        <w:t>Projecting future asbestos costs is subject to numerous variables that are difficult to predict. In addition to the uncertainties surrounding the number of claims that might be received, other variables include the type and severity of the disease alleged by each claimant and the related costs incurred in resolving those claims, mortality rates, dismissal rates, and uncertainties surrounding the litigation process from jurisdiction to jurisdiction and from case to case. Furthermore, any predictions with respect to these variables are subject to even greater uncertainty as the projection period lengthens. In light of these inherent uncertainties, Ashland believes that the asbestos reserves for Ashland and Hercules represent the best estimate within a range of possible outcomes. As a part of the process to develop these estimates of future asbestos costs, a range of long-term cost models was developed. These models are based on national studies that predict the number of people likely to develop asbestos-related diseases and are heavily influenced by assumptions regarding long-term inflation rates for indemnity payments and legal defense costs, as well as other variables mentioned previously. Ashland has currently estimated in various models ranging from approximately 35-year periods that it is reasonably possible that total future litigation defense and claim settlement costs on an inflated and undiscounted basis could range as high as approximately $375</w:t>
      </w:r>
      <w:r>
        <w:rPr>
          <w:rFonts w:ascii="Times New Roman" w:hAnsi="Times New Roman"/>
          <w:color w:val="000000"/>
          <w:sz w:val="20"/>
        </w:rPr>
        <w:t xml:space="preserve"> </w:t>
      </w:r>
      <w:r>
        <w:rPr>
          <w:rFonts w:ascii="Ashland;sans-serif" w:hAnsi="Ashland;sans-serif"/>
          <w:color w:val="000000"/>
          <w:sz w:val="20"/>
        </w:rPr>
        <w:t>million for the Ashland asbestos-related litigation (current reserve of $262</w:t>
      </w:r>
      <w:r>
        <w:rPr>
          <w:rFonts w:ascii="Times New Roman" w:hAnsi="Times New Roman"/>
          <w:color w:val="000000"/>
          <w:sz w:val="20"/>
        </w:rPr>
        <w:t xml:space="preserve"> </w:t>
      </w:r>
      <w:r>
        <w:rPr>
          <w:rFonts w:ascii="Ashland;sans-serif" w:hAnsi="Ashland;sans-serif"/>
          <w:color w:val="000000"/>
          <w:sz w:val="20"/>
        </w:rPr>
        <w:t>million) and approximately $256</w:t>
      </w:r>
      <w:r>
        <w:rPr>
          <w:rFonts w:ascii="Times New Roman" w:hAnsi="Times New Roman"/>
          <w:color w:val="000000"/>
          <w:sz w:val="20"/>
        </w:rPr>
        <w:t xml:space="preserve"> </w:t>
      </w:r>
      <w:r>
        <w:rPr>
          <w:rFonts w:ascii="Ashland;sans-serif" w:hAnsi="Ashland;sans-serif"/>
          <w:color w:val="000000"/>
          <w:sz w:val="20"/>
        </w:rPr>
        <w:t>million for the Hercules asbestos-related litigation (current reserve of $183</w:t>
      </w:r>
      <w:r>
        <w:rPr>
          <w:rFonts w:ascii="Times New Roman" w:hAnsi="Times New Roman"/>
          <w:color w:val="000000"/>
          <w:sz w:val="20"/>
        </w:rPr>
        <w:t xml:space="preserve"> </w:t>
      </w:r>
      <w:r>
        <w:rPr>
          <w:rFonts w:ascii="Ashland;sans-serif" w:hAnsi="Ashland;sans-serif"/>
          <w:color w:val="000000"/>
          <w:sz w:val="20"/>
        </w:rPr>
        <w:t>million), depending on the combination of assumptions selected in the various models. While the timeframe used in Ashland’s models for projecting asbestos litigation reserves generally decreases over time based on the expected lifetime of the reserves, these models have been consistently applied between all periods presented. If actual experience is worse than projected, relative to the number of claims filed, the severity of alleged disease associated with those claims or costs incurred to resolve those claims, or actuarial refinement or improvements to the assumptions used within these models are initiated, Ashland may need to further increase the estimates of the costs associated with asbestos claims and these increases could be material over time.</w:t>
      </w:r>
    </w:p>
    <w:p>
      <w:pPr>
        <w:pStyle w:val="TextBody"/>
        <w:bidi w:val="0"/>
        <w:spacing w:before="120" w:after="283"/>
        <w:jc w:val="both"/>
        <w:rPr>
          <w:rFonts w:ascii="Ashland;sans-serif" w:hAnsi="Ashland;sans-serif"/>
          <w:b/>
          <w:color w:val="000000"/>
          <w:sz w:val="20"/>
        </w:rPr>
      </w:pPr>
      <w:r>
        <w:rPr>
          <w:rFonts w:ascii="Ashland;sans-serif" w:hAnsi="Ashland;sans-serif"/>
          <w:b/>
          <w:color w:val="000000"/>
          <w:sz w:val="20"/>
        </w:rPr>
        <w:t>Environmental remediation</w:t>
      </w:r>
    </w:p>
    <w:p>
      <w:pPr>
        <w:pStyle w:val="TextBody"/>
        <w:bidi w:val="0"/>
        <w:spacing w:before="120" w:after="283"/>
        <w:jc w:val="both"/>
        <w:rPr>
          <w:rFonts w:ascii="Times New Roman" w:hAnsi="Times New Roman"/>
          <w:sz w:val="20"/>
        </w:rPr>
      </w:pPr>
      <w:r>
        <w:rPr>
          <w:rFonts w:ascii="Ashland;sans-serif" w:hAnsi="Ashland;sans-serif"/>
          <w:color w:val="000000"/>
          <w:sz w:val="20"/>
        </w:rPr>
        <w:t>Ashland is subject to various federal, state and local environmental laws and regulations that require environmental assessment or remediation efforts (collectively environmental remediation) at multiple locations. At June 30, 2026, such locations included 52</w:t>
      </w:r>
      <w:r>
        <w:rPr>
          <w:rFonts w:ascii="Times New Roman" w:hAnsi="Times New Roman"/>
          <w:color w:val="000000"/>
          <w:sz w:val="20"/>
        </w:rPr>
        <w:t xml:space="preserve"> </w:t>
      </w:r>
      <w:r>
        <w:rPr>
          <w:rFonts w:ascii="Ashland;sans-serif" w:hAnsi="Ashland;sans-serif"/>
          <w:color w:val="000000"/>
          <w:sz w:val="20"/>
        </w:rPr>
        <w:t>sites where Ashland has been identified as a potentially responsible party under Superfund or similar state laws, 106</w:t>
      </w:r>
      <w:r>
        <w:rPr>
          <w:rFonts w:ascii="Times New Roman" w:hAnsi="Times New Roman"/>
          <w:color w:val="000000"/>
          <w:sz w:val="20"/>
        </w:rPr>
        <w:t xml:space="preserve"> </w:t>
      </w:r>
      <w:r>
        <w:rPr>
          <w:rFonts w:ascii="Ashland;sans-serif" w:hAnsi="Ashland;sans-serif"/>
          <w:color w:val="000000"/>
          <w:sz w:val="20"/>
        </w:rPr>
        <w:t>current and former operating facilities and about 1,225</w:t>
      </w:r>
      <w:r>
        <w:rPr>
          <w:rFonts w:ascii="Times New Roman" w:hAnsi="Times New Roman"/>
          <w:color w:val="000000"/>
          <w:sz w:val="20"/>
        </w:rPr>
        <w:t xml:space="preserve"> </w:t>
      </w:r>
      <w:r>
        <w:rPr>
          <w:rFonts w:ascii="Ashland;sans-serif" w:hAnsi="Ashland;sans-serif"/>
          <w:color w:val="000000"/>
          <w:sz w:val="20"/>
        </w:rPr>
        <w:t>service station properties, of which 15</w:t>
      </w:r>
      <w:r>
        <w:rPr>
          <w:rFonts w:ascii="Times New Roman" w:hAnsi="Times New Roman"/>
          <w:color w:val="000000"/>
          <w:sz w:val="20"/>
        </w:rPr>
        <w:t xml:space="preserve"> </w:t>
      </w:r>
      <w:r>
        <w:rPr>
          <w:rFonts w:ascii="Ashland;sans-serif" w:hAnsi="Ashland;sans-serif"/>
          <w:color w:val="000000"/>
          <w:sz w:val="20"/>
        </w:rPr>
        <w:t>are being actively remediated.</w:t>
      </w:r>
    </w:p>
    <w:p>
      <w:pPr>
        <w:pStyle w:val="TextBody"/>
        <w:bidi w:val="0"/>
        <w:spacing w:before="120" w:after="283"/>
        <w:jc w:val="center"/>
        <w:rPr>
          <w:rFonts w:ascii="Ashland;sans-serif" w:hAnsi="Ashland;sans-serif"/>
          <w:color w:val="000000"/>
          <w:sz w:val="20"/>
        </w:rPr>
      </w:pPr>
      <w:r>
        <w:rPr>
          <w:rFonts w:ascii="Ashland;sans-serif" w:hAnsi="Ashland;sans-serif"/>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The following table provides a reconciliation of the changes in the environmental remediation reserves:</w:t>
      </w:r>
    </w:p>
    <w:p>
      <w:pPr>
        <w:pStyle w:val="TextBody"/>
        <w:bidi w:val="0"/>
        <w:jc w:val="both"/>
        <w:rPr/>
      </w:pPr>
      <w:r>
        <w:rPr/>
        <w:t> </w:t>
      </w:r>
    </w:p>
    <w:tbl>
      <w:tblPr>
        <w:tblW w:w="7787" w:type="dxa"/>
        <w:jc w:val="left"/>
        <w:tblInd w:w="0" w:type="dxa"/>
        <w:tblLayout w:type="fixed"/>
        <w:tblCellMar>
          <w:top w:w="28" w:type="dxa"/>
          <w:left w:w="28" w:type="dxa"/>
          <w:bottom w:w="28" w:type="dxa"/>
          <w:right w:w="28" w:type="dxa"/>
        </w:tblCellMar>
      </w:tblPr>
      <w:tblGrid>
        <w:gridCol w:w="5326"/>
        <w:gridCol w:w="146"/>
        <w:gridCol w:w="249"/>
        <w:gridCol w:w="515"/>
        <w:gridCol w:w="200"/>
        <w:gridCol w:w="161"/>
        <w:gridCol w:w="249"/>
        <w:gridCol w:w="515"/>
        <w:gridCol w:w="426"/>
      </w:tblGrid>
      <w:tr>
        <w:trPr/>
        <w:tc>
          <w:tcPr>
            <w:tcW w:w="5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532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89"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Nine months ended</w:t>
            </w:r>
          </w:p>
        </w:tc>
        <w:tc>
          <w:tcPr>
            <w:tcW w:w="42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5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2026</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2025</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shland;sans-serif" w:hAnsi="Ashland;sans-serif"/>
                <w:color w:val="000000"/>
                <w:sz w:val="18"/>
              </w:rPr>
              <w:t>Environmental remediation reserves - beginning of year</w:t>
            </w:r>
            <w:r>
              <w:rPr>
                <w:rFonts w:ascii="Ashland;sans-serif" w:hAnsi="Ashland;sans-serif"/>
                <w:color w:val="000000"/>
                <w:sz w:val="12"/>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226</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221</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Disbursements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(28</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(29</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w:t>
            </w:r>
          </w:p>
        </w:tc>
      </w:tr>
      <w:tr>
        <w:trPr/>
        <w:tc>
          <w:tcPr>
            <w:tcW w:w="53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Revised obligation estimates and accretion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33</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50</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shland;sans-serif" w:hAnsi="Ashland;sans-serif"/>
                <w:color w:val="000000"/>
                <w:sz w:val="18"/>
              </w:rPr>
              <w:t>Environmental remediation reserves - end of period</w:t>
            </w:r>
            <w:r>
              <w:rPr>
                <w:rFonts w:ascii="Ashland;sans-serif" w:hAnsi="Ashland;sans-serif"/>
                <w:color w:val="000000"/>
                <w:sz w:val="12"/>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231</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242</w:t>
            </w:r>
          </w:p>
        </w:tc>
        <w:tc>
          <w:tcPr>
            <w:tcW w:w="4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Ashland;sans-serif" w:hAnsi="Ashland;sans-serif"/>
          <w:color w:val="000000"/>
          <w:sz w:val="14"/>
        </w:rPr>
      </w:pPr>
      <w:r>
        <w:rPr>
          <w:rFonts w:ascii="Ashland;sans-serif" w:hAnsi="Ashland;sans-serif"/>
          <w:color w:val="000000"/>
          <w:sz w:val="14"/>
        </w:rPr>
        <w:t>(a)</w:t>
      </w:r>
    </w:p>
    <w:p>
      <w:pPr>
        <w:pStyle w:val="TextBody"/>
        <w:bidi w:val="0"/>
        <w:spacing w:before="120" w:after="283"/>
        <w:jc w:val="both"/>
        <w:rPr>
          <w:rFonts w:ascii="Ashland;sans-serif" w:hAnsi="Ashland;sans-serif"/>
          <w:sz w:val="20"/>
        </w:rPr>
      </w:pPr>
      <w:r>
        <w:rPr>
          <w:rFonts w:ascii="Ashland;sans-serif" w:hAnsi="Ashland;sans-serif"/>
          <w:color w:val="000000"/>
          <w:sz w:val="14"/>
        </w:rPr>
        <w:t>Includes $184</w:t>
      </w:r>
      <w:r>
        <w:rPr>
          <w:rFonts w:ascii="Ashland;sans-serif" w:hAnsi="Ashland;sans-serif"/>
          <w:color w:val="000000"/>
          <w:sz w:val="20"/>
        </w:rPr>
        <w:t xml:space="preserve"> </w:t>
      </w:r>
      <w:r>
        <w:rPr>
          <w:rFonts w:ascii="Ashland;sans-serif" w:hAnsi="Ashland;sans-serif"/>
          <w:color w:val="000000"/>
          <w:sz w:val="14"/>
        </w:rPr>
        <w:t>million and $179</w:t>
      </w:r>
      <w:r>
        <w:rPr>
          <w:rFonts w:ascii="Ashland;sans-serif" w:hAnsi="Ashland;sans-serif"/>
          <w:color w:val="000000"/>
          <w:sz w:val="20"/>
        </w:rPr>
        <w:t xml:space="preserve"> </w:t>
      </w:r>
      <w:r>
        <w:rPr>
          <w:rFonts w:ascii="Ashland;sans-serif" w:hAnsi="Ashland;sans-serif"/>
          <w:color w:val="000000"/>
          <w:sz w:val="14"/>
        </w:rPr>
        <w:t>million within other noncurrent liabilities within the Condensed Consolidated Balance Sheets at June 30, 2026 and September 30, 2025, respectively. The remaining reserves were classified in accrued expenses and other liabilities within the Condensed Consolidated Balance Sheets.</w:t>
      </w:r>
    </w:p>
    <w:p>
      <w:pPr>
        <w:pStyle w:val="TextBody"/>
        <w:bidi w:val="0"/>
        <w:spacing w:before="120" w:after="283"/>
        <w:jc w:val="both"/>
        <w:rPr>
          <w:rFonts w:ascii="Times New Roman" w:hAnsi="Times New Roman"/>
          <w:sz w:val="20"/>
        </w:rPr>
      </w:pPr>
      <w:r>
        <w:rPr>
          <w:rFonts w:ascii="Ashland;sans-serif" w:hAnsi="Ashland;sans-serif"/>
          <w:color w:val="000000"/>
          <w:sz w:val="20"/>
        </w:rPr>
        <w:t>The total reserves for environmental remediation reflect Ashland’s estimates of the most likely costs that will be incurred over an extended period to remediate identified conditions for which the costs are reasonably estimable, without regard to any third-party recoveries. Engineering studies, historical experience and other factors are used to identify and evaluate remediation alternatives and their related costs in determining the estimated reserves for environmental remediation. Ashland regularly adjusts its reserves as environmental remediation continues. Ashland has estimated the value of its probable insurance recoveries associated with its environmental reserve based on management’s interpretations and estimates surrounding the available or applicable insurance coverage. At June 30, 2026 and September 30, 2025, Ashland’s recorded receivables for these probable insurance recoveries were $13</w:t>
      </w:r>
      <w:r>
        <w:rPr>
          <w:rFonts w:ascii="Times New Roman" w:hAnsi="Times New Roman"/>
          <w:color w:val="000000"/>
          <w:sz w:val="20"/>
        </w:rPr>
        <w:t xml:space="preserve"> </w:t>
      </w:r>
      <w:r>
        <w:rPr>
          <w:rFonts w:ascii="Ashland;sans-serif" w:hAnsi="Ashland;sans-serif"/>
          <w:color w:val="000000"/>
          <w:sz w:val="20"/>
        </w:rPr>
        <w:t>million and $14</w:t>
      </w:r>
      <w:r>
        <w:rPr>
          <w:rFonts w:ascii="Times New Roman" w:hAnsi="Times New Roman"/>
          <w:color w:val="000000"/>
          <w:sz w:val="20"/>
        </w:rPr>
        <w:t xml:space="preserve"> </w:t>
      </w:r>
      <w:r>
        <w:rPr>
          <w:rFonts w:ascii="Ashland;sans-serif" w:hAnsi="Ashland;sans-serif"/>
          <w:color w:val="000000"/>
          <w:sz w:val="20"/>
        </w:rPr>
        <w:t>million, respectively, of which $12</w:t>
      </w:r>
      <w:r>
        <w:rPr>
          <w:rFonts w:ascii="Times New Roman" w:hAnsi="Times New Roman"/>
          <w:color w:val="000000"/>
          <w:sz w:val="20"/>
        </w:rPr>
        <w:t xml:space="preserve"> </w:t>
      </w:r>
      <w:r>
        <w:rPr>
          <w:rFonts w:ascii="Ashland;sans-serif" w:hAnsi="Ashland;sans-serif"/>
          <w:color w:val="000000"/>
          <w:sz w:val="20"/>
        </w:rPr>
        <w:t>million at both June 30, 2026 and September 30, 2025, were classified in other noncurrent assets within the Condensed Consolidated Balance Sheets.</w:t>
      </w:r>
    </w:p>
    <w:p>
      <w:pPr>
        <w:pStyle w:val="TextBody"/>
        <w:bidi w:val="0"/>
        <w:spacing w:before="120" w:after="120"/>
        <w:jc w:val="both"/>
        <w:rPr>
          <w:rFonts w:ascii="Ashland;sans-serif" w:hAnsi="Ashland;sans-serif"/>
          <w:color w:val="000000"/>
          <w:sz w:val="20"/>
        </w:rPr>
      </w:pPr>
      <w:r>
        <w:rPr>
          <w:rFonts w:ascii="Ashland;sans-serif" w:hAnsi="Ashland;sans-serif"/>
          <w:color w:val="000000"/>
          <w:sz w:val="20"/>
        </w:rPr>
        <w:t>Components of environmental remediation expense included within the selling, general and administrative expense caption of the Statements of Condensed Consolidated Comprehensive Income (Loss) are presented in the following table:</w:t>
      </w:r>
    </w:p>
    <w:tbl>
      <w:tblPr>
        <w:tblW w:w="8685" w:type="dxa"/>
        <w:jc w:val="left"/>
        <w:tblInd w:w="0" w:type="dxa"/>
        <w:tblLayout w:type="fixed"/>
        <w:tblCellMar>
          <w:top w:w="28" w:type="dxa"/>
          <w:left w:w="28" w:type="dxa"/>
          <w:bottom w:w="28" w:type="dxa"/>
          <w:right w:w="28" w:type="dxa"/>
        </w:tblCellMar>
      </w:tblPr>
      <w:tblGrid>
        <w:gridCol w:w="3906"/>
        <w:gridCol w:w="146"/>
        <w:gridCol w:w="306"/>
        <w:gridCol w:w="469"/>
        <w:gridCol w:w="245"/>
        <w:gridCol w:w="198"/>
        <w:gridCol w:w="306"/>
        <w:gridCol w:w="469"/>
        <w:gridCol w:w="181"/>
        <w:gridCol w:w="146"/>
        <w:gridCol w:w="290"/>
        <w:gridCol w:w="444"/>
        <w:gridCol w:w="232"/>
        <w:gridCol w:w="187"/>
        <w:gridCol w:w="290"/>
        <w:gridCol w:w="444"/>
        <w:gridCol w:w="426"/>
      </w:tblGrid>
      <w:tr>
        <w:trPr/>
        <w:tc>
          <w:tcPr>
            <w:tcW w:w="3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390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93"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Three months ended</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887"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Nine months ended</w:t>
            </w:r>
          </w:p>
        </w:tc>
        <w:tc>
          <w:tcPr>
            <w:tcW w:w="42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2026</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2026</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2025</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Environmental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21</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32</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49</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Accretion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Legal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Total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23</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35</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51</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Insurance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w:t>
            </w:r>
          </w:p>
        </w:tc>
      </w:tr>
      <w:tr>
        <w:trPr/>
        <w:tc>
          <w:tcPr>
            <w:tcW w:w="39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Total expense, net of receivable activity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21</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44</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32</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47</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Ashland;sans-serif" w:hAnsi="Ashland;sans-serif"/>
          <w:color w:val="000000"/>
          <w:sz w:val="14"/>
        </w:rPr>
      </w:pPr>
      <w:r>
        <w:rPr>
          <w:rFonts w:ascii="Ashland;sans-serif" w:hAnsi="Ashland;sans-serif"/>
          <w:color w:val="000000"/>
          <w:sz w:val="14"/>
        </w:rPr>
        <w:t>(a)</w:t>
      </w:r>
    </w:p>
    <w:p>
      <w:pPr>
        <w:pStyle w:val="TextBody"/>
        <w:bidi w:val="0"/>
        <w:spacing w:before="120" w:after="283"/>
        <w:jc w:val="both"/>
        <w:rPr>
          <w:rFonts w:ascii="Ashland;sans-serif" w:hAnsi="Ashland;sans-serif"/>
          <w:sz w:val="20"/>
        </w:rPr>
      </w:pPr>
      <w:r>
        <w:rPr>
          <w:rFonts w:ascii="Ashland;sans-serif" w:hAnsi="Ashland;sans-serif"/>
          <w:color w:val="000000"/>
          <w:sz w:val="14"/>
        </w:rPr>
        <w:t>Net expense of $4</w:t>
      </w:r>
      <w:r>
        <w:rPr>
          <w:rFonts w:ascii="Ashland;sans-serif" w:hAnsi="Ashland;sans-serif"/>
          <w:color w:val="000000"/>
          <w:sz w:val="20"/>
        </w:rPr>
        <w:t xml:space="preserve"> </w:t>
      </w:r>
      <w:r>
        <w:rPr>
          <w:rFonts w:ascii="Ashland;sans-serif" w:hAnsi="Ashland;sans-serif"/>
          <w:color w:val="000000"/>
          <w:sz w:val="14"/>
        </w:rPr>
        <w:t>million for both the three and nine months ended June 30, 2026</w:t>
      </w:r>
      <w:r>
        <w:rPr>
          <w:rFonts w:ascii="Ashland;sans-serif" w:hAnsi="Ashland;sans-serif"/>
          <w:color w:val="000000"/>
          <w:sz w:val="20"/>
        </w:rPr>
        <w:t xml:space="preserve"> </w:t>
      </w:r>
      <w:r>
        <w:rPr>
          <w:rFonts w:ascii="Ashland;sans-serif" w:hAnsi="Ashland;sans-serif"/>
          <w:color w:val="000000"/>
          <w:sz w:val="14"/>
        </w:rPr>
        <w:t>and $14</w:t>
      </w:r>
      <w:r>
        <w:rPr>
          <w:rFonts w:ascii="Ashland;sans-serif" w:hAnsi="Ashland;sans-serif"/>
          <w:color w:val="000000"/>
          <w:sz w:val="20"/>
        </w:rPr>
        <w:t xml:space="preserve"> </w:t>
      </w:r>
      <w:r>
        <w:rPr>
          <w:rFonts w:ascii="Ashland;sans-serif" w:hAnsi="Ashland;sans-serif"/>
          <w:color w:val="000000"/>
          <w:sz w:val="14"/>
        </w:rPr>
        <w:t>million for both the three and nine months ended June 30, 2025, respectively, relates to divested businesses which qualified for treatment as discontinued operations for which certain environmental liabilities were retained by Ashland. These amounts are classified within the loss from discontinued operations, net of income taxes caption of the Statements of Condensed Consolidated Comprehensive Income (Loss).</w:t>
      </w:r>
    </w:p>
    <w:p>
      <w:pPr>
        <w:pStyle w:val="TextBody"/>
        <w:bidi w:val="0"/>
        <w:spacing w:before="120" w:after="283"/>
        <w:jc w:val="both"/>
        <w:rPr>
          <w:rFonts w:ascii="Times New Roman" w:hAnsi="Times New Roman"/>
          <w:sz w:val="20"/>
        </w:rPr>
      </w:pPr>
      <w:r>
        <w:rPr>
          <w:rFonts w:ascii="Ashland;sans-serif" w:hAnsi="Ashland;sans-serif"/>
          <w:color w:val="000000"/>
          <w:sz w:val="20"/>
        </w:rPr>
        <w:t>Environmental remediation reserves are subject to uncertainties that affect Ashland’s ability to estimate its share of the costs. Such uncertainties involve the nature and extent of contamination at each site and the extent of required cleanup efforts under existing environmental regulations. Although it is not possible to predict with certainty the ultimate costs of environmental remediation, Ashland currently estimates that the upper end of the reasonably possible range of future costs for identified sites could be as high as approximately $480</w:t>
      </w:r>
      <w:r>
        <w:rPr>
          <w:rFonts w:ascii="Times New Roman" w:hAnsi="Times New Roman"/>
          <w:color w:val="000000"/>
          <w:sz w:val="20"/>
        </w:rPr>
        <w:t xml:space="preserve"> </w:t>
      </w:r>
      <w:r>
        <w:rPr>
          <w:rFonts w:ascii="Ashland;sans-serif" w:hAnsi="Ashland;sans-serif"/>
          <w:color w:val="000000"/>
          <w:sz w:val="20"/>
        </w:rPr>
        <w:t>million. The largest reserve for any site is 21% of the environmental remediation reserves as of June 30, 2026.</w:t>
      </w:r>
    </w:p>
    <w:p>
      <w:pPr>
        <w:pStyle w:val="TextBody"/>
        <w:bidi w:val="0"/>
        <w:spacing w:before="120" w:after="283"/>
        <w:jc w:val="center"/>
        <w:rPr>
          <w:rFonts w:ascii="Ashland;sans-serif" w:hAnsi="Ashland;sans-serif"/>
          <w:color w:val="000000"/>
          <w:sz w:val="20"/>
        </w:rPr>
      </w:pPr>
      <w:r>
        <w:rPr>
          <w:rFonts w:ascii="Ashland;sans-serif" w:hAnsi="Ashland;sans-serif"/>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shland;sans-serif" w:hAnsi="Ashland;sans-serif"/>
          <w:b/>
          <w:color w:val="000000"/>
          <w:sz w:val="20"/>
        </w:rPr>
      </w:pPr>
      <w:r>
        <w:rPr>
          <w:rFonts w:ascii="Ashland;sans-serif" w:hAnsi="Ashland;sans-serif"/>
          <w:b/>
          <w:color w:val="000000"/>
          <w:sz w:val="20"/>
        </w:rPr>
        <w:t>Other legal proceedings and claims</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In addition to the matters described above, there are other various claims, lawsuits and administrative proceedings pending or threatened against Ashland and its current and former subsidiaries. Such actions are with respect to commercial matters, product liability, toxic tort liability, and other environmental matters, which seek remedies or damages, some of which are for substantial amounts. While Ashland cannot predict with certainty the outcome of such actions, it believes that adequate reserves have been recorded and losses already recognized with respect to such actions were immaterial as of June 30, 2026. There is a reasonable possibility that a loss exceeding amounts already recognized may be incurred related to these actions; however, Ashland believes that such potential losses were not material as of June 30, 2026.</w:t>
      </w:r>
    </w:p>
    <w:p>
      <w:pPr>
        <w:pStyle w:val="TextBody"/>
        <w:bidi w:val="0"/>
        <w:spacing w:before="120" w:after="283"/>
        <w:jc w:val="both"/>
        <w:rPr>
          <w:rFonts w:ascii="Times New Roman" w:hAnsi="Times New Roman"/>
          <w:sz w:val="20"/>
        </w:rPr>
      </w:pPr>
      <w:r>
        <w:rPr>
          <w:rFonts w:ascii="Ashland;sans-serif" w:hAnsi="Ashland;sans-serif"/>
          <w:b/>
          <w:color w:val="000000"/>
          <w:sz w:val="20"/>
        </w:rPr>
        <w:t>NOTE M</w:t>
      </w:r>
      <w:r>
        <w:rPr>
          <w:rFonts w:ascii="Times New Roman" w:hAnsi="Times New Roman"/>
          <w:color w:val="000000"/>
          <w:sz w:val="20"/>
        </w:rPr>
        <w:t xml:space="preserve"> – </w:t>
      </w:r>
      <w:r>
        <w:rPr>
          <w:rFonts w:ascii="Ashland;sans-serif" w:hAnsi="Ashland;sans-serif"/>
          <w:b/>
          <w:color w:val="000000"/>
          <w:sz w:val="20"/>
        </w:rPr>
        <w:t>EARNINGS (LOSS) PER SHARE</w:t>
      </w:r>
    </w:p>
    <w:p>
      <w:pPr>
        <w:pStyle w:val="TextBody"/>
        <w:bidi w:val="0"/>
        <w:spacing w:before="120" w:after="120"/>
        <w:jc w:val="both"/>
        <w:rPr>
          <w:rFonts w:ascii="Ashland;sans-serif" w:hAnsi="Ashland;sans-serif"/>
          <w:color w:val="000000"/>
          <w:sz w:val="20"/>
        </w:rPr>
      </w:pPr>
      <w:r>
        <w:rPr>
          <w:rFonts w:ascii="Ashland;sans-serif" w:hAnsi="Ashland;sans-serif"/>
          <w:color w:val="000000"/>
          <w:sz w:val="20"/>
        </w:rPr>
        <w:t>The following is the computation of basic and diluted earnings (loss) per share ("EPS") from continuing operations attributable to Ashland. Stock appreciation rights and warrants available to purchase shares outstanding for each reporting period whose exercise price was greater than the average market price of Ashland common stock for each applicable period were not included in the computation of income (loss) from continuing operations per diluted share because the effect of these instruments would be antidilutive. The total number of these shares outstanding was approximately 2 million at both June 30, 2026 and 2025. The majority of these shares are for warrants with a strike price of $128.66.</w:t>
      </w:r>
    </w:p>
    <w:tbl>
      <w:tblPr>
        <w:tblW w:w="10205" w:type="dxa"/>
        <w:jc w:val="left"/>
        <w:tblInd w:w="0" w:type="dxa"/>
        <w:tblLayout w:type="fixed"/>
        <w:tblCellMar>
          <w:top w:w="28" w:type="dxa"/>
          <w:left w:w="28" w:type="dxa"/>
          <w:bottom w:w="28" w:type="dxa"/>
          <w:right w:w="28" w:type="dxa"/>
        </w:tblCellMar>
      </w:tblPr>
      <w:tblGrid>
        <w:gridCol w:w="5123"/>
        <w:gridCol w:w="346"/>
        <w:gridCol w:w="226"/>
        <w:gridCol w:w="526"/>
        <w:gridCol w:w="146"/>
        <w:gridCol w:w="146"/>
        <w:gridCol w:w="226"/>
        <w:gridCol w:w="721"/>
        <w:gridCol w:w="181"/>
        <w:gridCol w:w="146"/>
        <w:gridCol w:w="226"/>
        <w:gridCol w:w="526"/>
        <w:gridCol w:w="146"/>
        <w:gridCol w:w="146"/>
        <w:gridCol w:w="226"/>
        <w:gridCol w:w="721"/>
        <w:gridCol w:w="427"/>
      </w:tblGrid>
      <w:tr>
        <w:trPr/>
        <w:tc>
          <w:tcPr>
            <w:tcW w:w="512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r>
      <w:tr>
        <w:trPr/>
        <w:tc>
          <w:tcPr>
            <w:tcW w:w="512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91"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Three months ended</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91"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Nine months ended</w:t>
            </w:r>
          </w:p>
        </w:tc>
        <w:tc>
          <w:tcPr>
            <w:tcW w:w="42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51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 except per share data)</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2025</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23"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Numerator</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23"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Numerator for basic and diluted EPS - Income (loss) from continuing operations, net of tax</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(719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(855</w:t>
            </w:r>
          </w:p>
        </w:tc>
        <w:tc>
          <w:tcPr>
            <w:tcW w:w="4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5123"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Denominator</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23"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Denominator for basic EPS - Weighted-average common shares outstanding</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47</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shland;sans-serif" w:hAnsi="Ashland;sans-serif"/>
                <w:color w:val="000000"/>
                <w:sz w:val="18"/>
              </w:rPr>
              <w:t>Share based awards convertible to common shares</w:t>
            </w:r>
            <w:r>
              <w:rPr>
                <w:rFonts w:ascii="Ashland;sans-serif" w:hAnsi="Ashland;sans-serif"/>
                <w:color w:val="000000"/>
                <w:sz w:val="12"/>
              </w:rPr>
              <w:t>(a)</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23"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Denominator for diluted EPS - Adjusted weighted-average shares and assumed conversions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47</w:t>
            </w:r>
          </w:p>
        </w:tc>
        <w:tc>
          <w:tcPr>
            <w:tcW w:w="4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23"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EPS from continuing operations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Basic</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(15.70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(18.39</w:t>
            </w:r>
          </w:p>
        </w:tc>
        <w:tc>
          <w:tcPr>
            <w:tcW w:w="4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w:t>
            </w:r>
          </w:p>
        </w:tc>
      </w:tr>
      <w:tr>
        <w:trPr/>
        <w:tc>
          <w:tcPr>
            <w:tcW w:w="512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Ashland;sans-serif" w:hAnsi="Ashland;sans-serif"/>
                <w:color w:val="000000"/>
                <w:sz w:val="18"/>
              </w:rPr>
              <w:t>Diluted</w:t>
            </w:r>
            <w:r>
              <w:rPr>
                <w:rFonts w:ascii="Ashland;sans-serif" w:hAnsi="Ashland;sans-serif"/>
                <w:color w:val="000000"/>
                <w:sz w:val="12"/>
              </w:rPr>
              <w:t>(a)</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(15.70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(18.39</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51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Ashland;sans-serif" w:hAnsi="Ashland;sans-serif"/>
          <w:color w:val="000000"/>
          <w:sz w:val="14"/>
        </w:rPr>
      </w:pPr>
      <w:r>
        <w:rPr>
          <w:rFonts w:ascii="Ashland;sans-serif" w:hAnsi="Ashland;sans-serif"/>
          <w:color w:val="000000"/>
          <w:sz w:val="14"/>
        </w:rPr>
        <w:t>(a)</w:t>
      </w:r>
    </w:p>
    <w:p>
      <w:pPr>
        <w:pStyle w:val="TextBody"/>
        <w:bidi w:val="0"/>
        <w:spacing w:before="120" w:after="283"/>
        <w:jc w:val="both"/>
        <w:rPr>
          <w:rFonts w:ascii="Ashland;sans-serif" w:hAnsi="Ashland;sans-serif"/>
          <w:sz w:val="18"/>
        </w:rPr>
      </w:pPr>
      <w:r>
        <w:rPr>
          <w:rFonts w:ascii="Ashland;sans-serif" w:hAnsi="Ashland;sans-serif"/>
          <w:color w:val="000000"/>
          <w:sz w:val="14"/>
        </w:rPr>
        <w:t>As a result of the loss from continuing operations attributable to Ashland during the three and nine</w:t>
      </w:r>
      <w:r>
        <w:rPr>
          <w:rFonts w:ascii="Ashland;sans-serif" w:hAnsi="Ashland;sans-serif"/>
          <w:color w:val="000000"/>
          <w:sz w:val="18"/>
        </w:rPr>
        <w:t xml:space="preserve"> </w:t>
      </w:r>
      <w:r>
        <w:rPr>
          <w:rFonts w:ascii="Ashland;sans-serif" w:hAnsi="Ashland;sans-serif"/>
          <w:color w:val="000000"/>
          <w:sz w:val="14"/>
        </w:rPr>
        <w:t>months ended June 30, 2025, the effect of the share-based awards convertible to common stock would be antidilutive and have been excluded from the diluted EPS calculation. Convertible shares for each of the applicable periods was less than $1</w:t>
      </w:r>
      <w:r>
        <w:rPr>
          <w:rFonts w:ascii="Ashland;sans-serif" w:hAnsi="Ashland;sans-serif"/>
          <w:color w:val="000000"/>
          <w:sz w:val="18"/>
        </w:rPr>
        <w:t xml:space="preserve"> </w:t>
      </w:r>
      <w:r>
        <w:rPr>
          <w:rFonts w:ascii="Ashland;sans-serif" w:hAnsi="Ashland;sans-serif"/>
          <w:color w:val="000000"/>
          <w:sz w:val="14"/>
        </w:rPr>
        <w:t>million.</w:t>
      </w:r>
    </w:p>
    <w:p>
      <w:pPr>
        <w:pStyle w:val="TextBody"/>
        <w:bidi w:val="0"/>
        <w:spacing w:before="120" w:after="283"/>
        <w:jc w:val="both"/>
        <w:rPr>
          <w:rFonts w:ascii="Times New Roman" w:hAnsi="Times New Roman"/>
          <w:sz w:val="20"/>
        </w:rPr>
      </w:pPr>
      <w:r>
        <w:rPr>
          <w:rFonts w:ascii="Ashland;sans-serif" w:hAnsi="Ashland;sans-serif"/>
          <w:b/>
          <w:color w:val="000000"/>
          <w:sz w:val="20"/>
        </w:rPr>
        <w:t>NOTE N</w:t>
      </w:r>
      <w:r>
        <w:rPr>
          <w:rFonts w:ascii="Times New Roman" w:hAnsi="Times New Roman"/>
          <w:color w:val="000000"/>
          <w:sz w:val="20"/>
        </w:rPr>
        <w:t xml:space="preserve"> – </w:t>
      </w:r>
      <w:r>
        <w:rPr>
          <w:rFonts w:ascii="Ashland;sans-serif" w:hAnsi="Ashland;sans-serif"/>
          <w:b/>
          <w:color w:val="000000"/>
          <w:sz w:val="20"/>
        </w:rPr>
        <w:t>EQUITY ITEMS</w:t>
      </w:r>
    </w:p>
    <w:p>
      <w:pPr>
        <w:pStyle w:val="TextBody"/>
        <w:bidi w:val="0"/>
        <w:spacing w:before="120" w:after="283"/>
        <w:jc w:val="both"/>
        <w:rPr>
          <w:rFonts w:ascii="Times New Roman" w:hAnsi="Times New Roman"/>
          <w:sz w:val="20"/>
        </w:rPr>
      </w:pPr>
      <w:r>
        <w:rPr>
          <w:rFonts w:ascii="Ashland;sans-serif" w:hAnsi="Ashland;sans-serif"/>
          <w:b/>
          <w:color w:val="000000"/>
          <w:sz w:val="20"/>
        </w:rPr>
        <w:t>2023 Stock repurchase program</w:t>
      </w:r>
      <w:r>
        <w:rPr>
          <w:rFonts w:ascii="Times New Roman" w:hAnsi="Times New Roman"/>
          <w:color w:val="000000"/>
          <w:sz w:val="20"/>
        </w:rPr>
        <w:t xml:space="preserve"> </w:t>
      </w:r>
    </w:p>
    <w:p>
      <w:pPr>
        <w:pStyle w:val="TextBody"/>
        <w:bidi w:val="0"/>
        <w:spacing w:before="120" w:after="120"/>
        <w:jc w:val="both"/>
        <w:rPr>
          <w:rFonts w:ascii="Times New Roman" w:hAnsi="Times New Roman"/>
          <w:sz w:val="20"/>
        </w:rPr>
      </w:pPr>
      <w:r>
        <w:rPr>
          <w:rFonts w:ascii="Ashland;sans-serif" w:hAnsi="Ashland;sans-serif"/>
          <w:color w:val="000000"/>
          <w:sz w:val="20"/>
        </w:rPr>
        <w:t>On June 28, 2023, Ashland's board of directors authorized a new evergreen $1</w:t>
      </w:r>
      <w:r>
        <w:rPr>
          <w:rFonts w:ascii="Times New Roman" w:hAnsi="Times New Roman"/>
          <w:color w:val="000000"/>
          <w:sz w:val="20"/>
        </w:rPr>
        <w:t xml:space="preserve"> </w:t>
      </w:r>
      <w:r>
        <w:rPr>
          <w:rFonts w:ascii="Ashland;sans-serif" w:hAnsi="Ashland;sans-serif"/>
          <w:color w:val="000000"/>
          <w:sz w:val="20"/>
        </w:rPr>
        <w:t>billion common share repurchase program ("2023 Stock Repurchase Program"). As of June 30, 2026, $520</w:t>
      </w:r>
      <w:r>
        <w:rPr>
          <w:rFonts w:ascii="Times New Roman" w:hAnsi="Times New Roman"/>
          <w:color w:val="000000"/>
          <w:sz w:val="20"/>
        </w:rPr>
        <w:t xml:space="preserve"> </w:t>
      </w:r>
      <w:r>
        <w:rPr>
          <w:rFonts w:ascii="Ashland;sans-serif" w:hAnsi="Ashland;sans-serif"/>
          <w:color w:val="000000"/>
          <w:sz w:val="20"/>
        </w:rPr>
        <w:t>million remained available for repurchase under the 2023 Stock Repurchase Program.</w:t>
      </w:r>
    </w:p>
    <w:p>
      <w:pPr>
        <w:pStyle w:val="TextBody"/>
        <w:bidi w:val="0"/>
        <w:spacing w:before="120" w:after="283"/>
        <w:jc w:val="center"/>
        <w:rPr>
          <w:rFonts w:ascii="Ashland;sans-serif" w:hAnsi="Ashland;sans-serif"/>
          <w:color w:val="000000"/>
          <w:sz w:val="20"/>
        </w:rPr>
      </w:pPr>
      <w:r>
        <w:rPr>
          <w:rFonts w:ascii="Ashland;sans-serif" w:hAnsi="Ashland;sans-serif"/>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Ashland;sans-serif" w:hAnsi="Ashland;sans-serif"/>
          <w:color w:val="000000"/>
          <w:sz w:val="20"/>
        </w:rPr>
      </w:pPr>
      <w:r>
        <w:rPr>
          <w:rFonts w:ascii="Ashland;sans-serif" w:hAnsi="Ashland;sans-serif"/>
          <w:color w:val="000000"/>
          <w:sz w:val="20"/>
        </w:rPr>
        <w:t>The following table provides the common stock repurchase activity:</w:t>
      </w:r>
    </w:p>
    <w:tbl>
      <w:tblPr>
        <w:tblW w:w="7871" w:type="dxa"/>
        <w:jc w:val="left"/>
        <w:tblInd w:w="0" w:type="dxa"/>
        <w:tblLayout w:type="fixed"/>
        <w:tblCellMar>
          <w:top w:w="28" w:type="dxa"/>
          <w:left w:w="28" w:type="dxa"/>
          <w:bottom w:w="28" w:type="dxa"/>
          <w:right w:w="28" w:type="dxa"/>
        </w:tblCellMar>
      </w:tblPr>
      <w:tblGrid>
        <w:gridCol w:w="3361"/>
        <w:gridCol w:w="146"/>
        <w:gridCol w:w="314"/>
        <w:gridCol w:w="480"/>
        <w:gridCol w:w="202"/>
        <w:gridCol w:w="202"/>
        <w:gridCol w:w="314"/>
        <w:gridCol w:w="480"/>
        <w:gridCol w:w="146"/>
        <w:gridCol w:w="146"/>
        <w:gridCol w:w="246"/>
        <w:gridCol w:w="376"/>
        <w:gridCol w:w="159"/>
        <w:gridCol w:w="159"/>
        <w:gridCol w:w="246"/>
        <w:gridCol w:w="703"/>
        <w:gridCol w:w="191"/>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6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92"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Three months ended</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89"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Nine months ended</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 except per share data)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2026</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2026</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Number of shares repurchased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shland;sans-serif" w:hAnsi="Ashland;sans-serif"/>
                <w:color w:val="000000"/>
                <w:sz w:val="18"/>
              </w:rPr>
              <w:t>Weighted-average price per share</w:t>
            </w:r>
            <w:r>
              <w:rPr>
                <w:rFonts w:ascii="Ashland;sans-serif" w:hAnsi="Ashland;sans-serif"/>
                <w:color w:val="000000"/>
                <w:sz w:val="12"/>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64.90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shland;sans-serif" w:hAnsi="Ashland;sans-serif"/>
                <w:color w:val="000000"/>
                <w:sz w:val="18"/>
              </w:rPr>
              <w:t>Aggregate purchase price</w:t>
            </w:r>
            <w:r>
              <w:rPr>
                <w:rFonts w:ascii="Ashland;sans-serif" w:hAnsi="Ashland;sans-serif"/>
                <w:color w:val="000000"/>
                <w:sz w:val="12"/>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Ashland;sans-serif" w:hAnsi="Ashland;sans-serif"/>
          <w:color w:val="000000"/>
          <w:sz w:val="14"/>
        </w:rPr>
      </w:pPr>
      <w:r>
        <w:rPr>
          <w:rFonts w:ascii="Ashland;sans-serif" w:hAnsi="Ashland;sans-serif"/>
          <w:color w:val="000000"/>
          <w:sz w:val="14"/>
        </w:rPr>
        <w:t>(a)</w:t>
      </w:r>
    </w:p>
    <w:p>
      <w:pPr>
        <w:pStyle w:val="TextBody"/>
        <w:bidi w:val="0"/>
        <w:spacing w:before="120" w:after="283"/>
        <w:jc w:val="both"/>
        <w:rPr>
          <w:rFonts w:ascii="Ashland;sans-serif" w:hAnsi="Ashland;sans-serif"/>
          <w:color w:val="000000"/>
          <w:sz w:val="14"/>
        </w:rPr>
      </w:pPr>
      <w:r>
        <w:rPr>
          <w:rFonts w:ascii="Ashland;sans-serif" w:hAnsi="Ashland;sans-serif"/>
          <w:color w:val="000000"/>
          <w:sz w:val="14"/>
        </w:rPr>
        <w:t>Includes transaction costs.</w:t>
      </w:r>
    </w:p>
    <w:p>
      <w:pPr>
        <w:pStyle w:val="TextBody"/>
        <w:bidi w:val="0"/>
        <w:spacing w:before="120" w:after="283"/>
        <w:jc w:val="both"/>
        <w:rPr>
          <w:rFonts w:ascii="Ashland;sans-serif" w:hAnsi="Ashland;sans-serif"/>
          <w:b/>
          <w:color w:val="000000"/>
          <w:sz w:val="20"/>
        </w:rPr>
      </w:pPr>
      <w:r>
        <w:rPr>
          <w:rFonts w:ascii="Ashland;sans-serif" w:hAnsi="Ashland;sans-serif"/>
          <w:b/>
          <w:color w:val="000000"/>
          <w:sz w:val="20"/>
        </w:rPr>
        <w:t>Stockholder dividends</w:t>
      </w:r>
    </w:p>
    <w:p>
      <w:pPr>
        <w:pStyle w:val="TextBody"/>
        <w:bidi w:val="0"/>
        <w:spacing w:before="120" w:after="283"/>
        <w:jc w:val="both"/>
        <w:rPr>
          <w:rFonts w:ascii="Times New Roman" w:hAnsi="Times New Roman"/>
          <w:sz w:val="20"/>
        </w:rPr>
      </w:pPr>
      <w:r>
        <w:rPr>
          <w:rFonts w:ascii="Ashland;sans-serif" w:hAnsi="Ashland;sans-serif"/>
          <w:color w:val="000000"/>
          <w:sz w:val="20"/>
        </w:rPr>
        <w:t>On May 5, 2026, Ashland's Board declared a quarterly cash dividend of 42.0</w:t>
      </w:r>
      <w:r>
        <w:rPr>
          <w:rFonts w:ascii="Times New Roman" w:hAnsi="Times New Roman"/>
          <w:color w:val="000000"/>
          <w:sz w:val="20"/>
        </w:rPr>
        <w:t xml:space="preserve"> </w:t>
      </w:r>
      <w:r>
        <w:rPr>
          <w:rFonts w:ascii="Ashland;sans-serif" w:hAnsi="Ashland;sans-serif"/>
          <w:color w:val="000000"/>
          <w:sz w:val="20"/>
        </w:rPr>
        <w:t>cents per share on the Company's common stock representing a 1% increase from the previous quarter. The dividend was paid in the third quarter of fiscal 2026. Dividends of 41.5</w:t>
      </w:r>
      <w:r>
        <w:rPr>
          <w:rFonts w:ascii="Times New Roman" w:hAnsi="Times New Roman"/>
          <w:color w:val="000000"/>
          <w:sz w:val="20"/>
        </w:rPr>
        <w:t xml:space="preserve"> </w:t>
      </w:r>
      <w:r>
        <w:rPr>
          <w:rFonts w:ascii="Ashland;sans-serif" w:hAnsi="Ashland;sans-serif"/>
          <w:color w:val="000000"/>
          <w:sz w:val="20"/>
        </w:rPr>
        <w:t>cents per share were paid in the first and second quarters of fiscal 2026, and the third and fourth quarters of fiscal 2025. Dividends of 40.5</w:t>
      </w:r>
      <w:r>
        <w:rPr>
          <w:rFonts w:ascii="Times New Roman" w:hAnsi="Times New Roman"/>
          <w:color w:val="000000"/>
          <w:sz w:val="20"/>
        </w:rPr>
        <w:t xml:space="preserve"> </w:t>
      </w:r>
      <w:r>
        <w:rPr>
          <w:rFonts w:ascii="Ashland;sans-serif" w:hAnsi="Ashland;sans-serif"/>
          <w:color w:val="000000"/>
          <w:sz w:val="20"/>
        </w:rPr>
        <w:t>cents per share were paid in both the first and second quarters of fiscal 2025.</w:t>
      </w:r>
    </w:p>
    <w:p>
      <w:pPr>
        <w:pStyle w:val="TextBody"/>
        <w:bidi w:val="0"/>
        <w:spacing w:before="120" w:after="283"/>
        <w:jc w:val="both"/>
        <w:rPr>
          <w:rFonts w:ascii="Ashland;sans-serif" w:hAnsi="Ashland;sans-serif"/>
          <w:b/>
          <w:color w:val="000000"/>
          <w:sz w:val="20"/>
        </w:rPr>
      </w:pPr>
      <w:r>
        <w:rPr>
          <w:rFonts w:ascii="Ashland;sans-serif" w:hAnsi="Ashland;sans-serif"/>
          <w:b/>
          <w:color w:val="000000"/>
          <w:sz w:val="20"/>
        </w:rPr>
        <w:t>Accumulated other comprehensive loss</w:t>
      </w:r>
    </w:p>
    <w:p>
      <w:pPr>
        <w:pStyle w:val="TextBody"/>
        <w:bidi w:val="0"/>
        <w:spacing w:before="120" w:after="120"/>
        <w:jc w:val="both"/>
        <w:rPr>
          <w:rFonts w:ascii="Ashland;sans-serif" w:hAnsi="Ashland;sans-serif"/>
          <w:color w:val="000000"/>
          <w:sz w:val="20"/>
        </w:rPr>
      </w:pPr>
      <w:r>
        <w:rPr>
          <w:rFonts w:ascii="Ashland;sans-serif" w:hAnsi="Ashland;sans-serif"/>
          <w:color w:val="000000"/>
          <w:sz w:val="20"/>
        </w:rPr>
        <w:t>Components of other comprehensive income (loss) recorded in the Statements of Condensed Consolidated Comprehensive Income (Loss) are presented below, before tax and net of tax effects:</w:t>
      </w:r>
    </w:p>
    <w:tbl>
      <w:tblPr>
        <w:tblW w:w="10205" w:type="dxa"/>
        <w:jc w:val="left"/>
        <w:tblInd w:w="0" w:type="dxa"/>
        <w:tblLayout w:type="fixed"/>
        <w:tblCellMar>
          <w:top w:w="28" w:type="dxa"/>
          <w:left w:w="28" w:type="dxa"/>
          <w:bottom w:w="28" w:type="dxa"/>
          <w:right w:w="28" w:type="dxa"/>
        </w:tblCellMar>
      </w:tblPr>
      <w:tblGrid>
        <w:gridCol w:w="3382"/>
        <w:gridCol w:w="146"/>
        <w:gridCol w:w="305"/>
        <w:gridCol w:w="409"/>
        <w:gridCol w:w="181"/>
        <w:gridCol w:w="146"/>
        <w:gridCol w:w="338"/>
        <w:gridCol w:w="518"/>
        <w:gridCol w:w="181"/>
        <w:gridCol w:w="146"/>
        <w:gridCol w:w="276"/>
        <w:gridCol w:w="368"/>
        <w:gridCol w:w="181"/>
        <w:gridCol w:w="146"/>
        <w:gridCol w:w="282"/>
        <w:gridCol w:w="432"/>
        <w:gridCol w:w="181"/>
        <w:gridCol w:w="146"/>
        <w:gridCol w:w="417"/>
        <w:gridCol w:w="642"/>
        <w:gridCol w:w="181"/>
        <w:gridCol w:w="146"/>
        <w:gridCol w:w="260"/>
        <w:gridCol w:w="399"/>
        <w:gridCol w:w="396"/>
      </w:tblGrid>
      <w:tr>
        <w:trPr/>
        <w:tc>
          <w:tcPr>
            <w:tcW w:w="33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3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8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2025</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 xml:space="preserve">Before </w:t>
              <w:br/>
              <w:t>tax</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Tax</w:t>
              <w:br/>
              <w:t>expense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 xml:space="preserve">Net of </w:t>
              <w:br/>
              <w:t>tax</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 xml:space="preserve">Before </w:t>
              <w:br/>
              <w:t>tax</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Tax benefit</w:t>
              <w:br/>
              <w:t>(expense)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 xml:space="preserve">Net of </w:t>
              <w:br/>
              <w:t>tax</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82"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Three months ended June 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82"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Unrealized translation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92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91</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Unrealized loss on commodity hedges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3382"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Total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91</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90</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82"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Nine months ended June 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82"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Unrealized translation (loss)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46</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Unrealized (loss) gain on commodity hedges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82"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Total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(8</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49</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48</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Ashland;sans-serif" w:hAnsi="Ashland;sans-serif"/>
          <w:color w:val="000000"/>
          <w:sz w:val="20"/>
        </w:rPr>
      </w:pPr>
      <w:r>
        <w:rPr>
          <w:rFonts w:ascii="Ashland;sans-serif" w:hAnsi="Ashland;sans-serif"/>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Ashland;sans-serif" w:hAnsi="Ashland;sans-serif"/>
          <w:b/>
          <w:color w:val="000000"/>
          <w:sz w:val="20"/>
        </w:rPr>
      </w:pPr>
      <w:r>
        <w:rPr>
          <w:rFonts w:ascii="Ashland;sans-serif" w:hAnsi="Ashland;sans-serif"/>
          <w:b/>
          <w:color w:val="000000"/>
          <w:sz w:val="20"/>
        </w:rPr>
        <w:t>Summary of equity</w:t>
      </w:r>
    </w:p>
    <w:p>
      <w:pPr>
        <w:pStyle w:val="TextBody"/>
        <w:bidi w:val="0"/>
        <w:spacing w:before="0" w:after="120"/>
        <w:jc w:val="both"/>
        <w:rPr>
          <w:rFonts w:ascii="Ashland;sans-serif" w:hAnsi="Ashland;sans-serif"/>
          <w:color w:val="000000"/>
          <w:sz w:val="20"/>
        </w:rPr>
      </w:pPr>
      <w:r>
        <w:rPr>
          <w:rFonts w:ascii="Ashland;sans-serif" w:hAnsi="Ashland;sans-serif"/>
          <w:color w:val="000000"/>
          <w:sz w:val="20"/>
        </w:rPr>
        <w:t>A reconciliation of changes in equity are as follows:</w:t>
      </w:r>
    </w:p>
    <w:tbl>
      <w:tblPr>
        <w:tblW w:w="10205" w:type="dxa"/>
        <w:jc w:val="left"/>
        <w:tblInd w:w="0" w:type="dxa"/>
        <w:tblLayout w:type="fixed"/>
        <w:tblCellMar>
          <w:top w:w="28" w:type="dxa"/>
          <w:left w:w="28" w:type="dxa"/>
          <w:bottom w:w="28" w:type="dxa"/>
          <w:right w:w="28" w:type="dxa"/>
        </w:tblCellMar>
      </w:tblPr>
      <w:tblGrid>
        <w:gridCol w:w="5164"/>
        <w:gridCol w:w="146"/>
        <w:gridCol w:w="226"/>
        <w:gridCol w:w="646"/>
        <w:gridCol w:w="181"/>
        <w:gridCol w:w="146"/>
        <w:gridCol w:w="226"/>
        <w:gridCol w:w="646"/>
        <w:gridCol w:w="181"/>
        <w:gridCol w:w="146"/>
        <w:gridCol w:w="226"/>
        <w:gridCol w:w="646"/>
        <w:gridCol w:w="181"/>
        <w:gridCol w:w="146"/>
        <w:gridCol w:w="226"/>
        <w:gridCol w:w="646"/>
        <w:gridCol w:w="426"/>
      </w:tblGrid>
      <w:tr>
        <w:trPr/>
        <w:tc>
          <w:tcPr>
            <w:tcW w:w="51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516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071"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Three months ended</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071"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Nine months ended</w:t>
            </w:r>
          </w:p>
        </w:tc>
        <w:tc>
          <w:tcPr>
            <w:tcW w:w="42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5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 except per share data)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2025</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64"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Common stock and paid 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64"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Balance,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shland;sans-serif" w:hAnsi="Ashland;sans-serif"/>
                <w:color w:val="000000"/>
                <w:sz w:val="18"/>
              </w:rPr>
              <w:t>Common shares issued under stock incentive and other plans</w:t>
            </w:r>
            <w:r>
              <w:rPr>
                <w:rFonts w:ascii="Ashland;sans-serif" w:hAnsi="Ashland;sans-serif"/>
                <w:color w:val="000000"/>
                <w:sz w:val="12"/>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8</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shland;sans-serif" w:hAnsi="Ashland;sans-serif"/>
                <w:color w:val="000000"/>
                <w:sz w:val="18"/>
              </w:rPr>
              <w:t>Common shares purchased under repurchase program</w:t>
            </w:r>
            <w:r>
              <w:rPr>
                <w:rFonts w:ascii="Ashland;sans-serif" w:hAnsi="Ashland;sans-serif"/>
                <w:color w:val="000000"/>
                <w:sz w:val="12"/>
              </w:rPr>
              <w:t>(b)(c)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w:t>
            </w:r>
          </w:p>
        </w:tc>
      </w:tr>
      <w:tr>
        <w:trPr/>
        <w:tc>
          <w:tcPr>
            <w:tcW w:w="51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Balance,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64"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64"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Balance,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2,264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3,048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2,298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3,315</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64"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(742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(877</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5164"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Dividends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(57</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51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shland;sans-serif" w:hAnsi="Ashland;sans-serif"/>
                <w:color w:val="000000"/>
                <w:sz w:val="18"/>
              </w:rPr>
              <w:t>Common shares purchased under repurchase program</w:t>
            </w:r>
            <w:r>
              <w:rPr>
                <w:rFonts w:ascii="Ashland;sans-serif" w:hAnsi="Ashland;sans-serif"/>
                <w:color w:val="000000"/>
                <w:sz w:val="12"/>
              </w:rPr>
              <w:t>(b)(c)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(95</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5164"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1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Balance,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2,261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2,286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2,261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2,286</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64"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64"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Balance,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(411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(490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(401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(448</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5164"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Unrealized translation gain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91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46</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64"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Unrealized (loss) gain on commodity hedges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1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Balance,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(409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(400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(409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(400</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5164"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1,870</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1,889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1,870</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1,889</w:t>
            </w:r>
          </w:p>
        </w:tc>
        <w:tc>
          <w:tcPr>
            <w:tcW w:w="4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64"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Cash dividends declared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0.420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0.415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1.250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1.225</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Ashland;sans-serif" w:hAnsi="Ashland;sans-serif"/>
          <w:color w:val="000000"/>
          <w:sz w:val="14"/>
        </w:rPr>
      </w:pPr>
      <w:r>
        <w:rPr>
          <w:rFonts w:ascii="Ashland;sans-serif" w:hAnsi="Ashland;sans-serif"/>
          <w:color w:val="000000"/>
          <w:sz w:val="14"/>
        </w:rPr>
        <w:t>(a)</w:t>
      </w:r>
    </w:p>
    <w:p>
      <w:pPr>
        <w:pStyle w:val="TextBody"/>
        <w:bidi w:val="0"/>
        <w:spacing w:before="120" w:after="283"/>
        <w:jc w:val="both"/>
        <w:rPr>
          <w:rFonts w:ascii="Ashland;sans-serif" w:hAnsi="Ashland;sans-serif"/>
          <w:sz w:val="20"/>
        </w:rPr>
      </w:pPr>
      <w:r>
        <w:rPr>
          <w:rFonts w:ascii="Ashland;sans-serif" w:hAnsi="Ashland;sans-serif"/>
          <w:color w:val="000000"/>
          <w:sz w:val="14"/>
        </w:rPr>
        <w:t>Common stock issued were 5,593</w:t>
      </w:r>
      <w:r>
        <w:rPr>
          <w:rFonts w:ascii="Ashland;sans-serif" w:hAnsi="Ashland;sans-serif"/>
          <w:color w:val="000000"/>
          <w:sz w:val="20"/>
        </w:rPr>
        <w:t xml:space="preserve"> </w:t>
      </w:r>
      <w:r>
        <w:rPr>
          <w:rFonts w:ascii="Ashland;sans-serif" w:hAnsi="Ashland;sans-serif"/>
          <w:color w:val="000000"/>
          <w:sz w:val="14"/>
        </w:rPr>
        <w:t>and 11,423</w:t>
      </w:r>
      <w:r>
        <w:rPr>
          <w:rFonts w:ascii="Ashland;sans-serif" w:hAnsi="Ashland;sans-serif"/>
          <w:color w:val="000000"/>
          <w:sz w:val="20"/>
        </w:rPr>
        <w:t xml:space="preserve"> </w:t>
      </w:r>
      <w:r>
        <w:rPr>
          <w:rFonts w:ascii="Ashland;sans-serif" w:hAnsi="Ashland;sans-serif"/>
          <w:color w:val="000000"/>
          <w:sz w:val="14"/>
        </w:rPr>
        <w:t>for the three months ended June 30, 2026 and 2025, respectively, and 83,605</w:t>
      </w:r>
      <w:r>
        <w:rPr>
          <w:rFonts w:ascii="Ashland;sans-serif" w:hAnsi="Ashland;sans-serif"/>
          <w:color w:val="000000"/>
          <w:sz w:val="20"/>
        </w:rPr>
        <w:t xml:space="preserve"> </w:t>
      </w:r>
      <w:r>
        <w:rPr>
          <w:rFonts w:ascii="Ashland;sans-serif" w:hAnsi="Ashland;sans-serif"/>
          <w:color w:val="000000"/>
          <w:sz w:val="14"/>
        </w:rPr>
        <w:t>and 139,824</w:t>
      </w:r>
      <w:r>
        <w:rPr>
          <w:rFonts w:ascii="Ashland;sans-serif" w:hAnsi="Ashland;sans-serif"/>
          <w:color w:val="000000"/>
          <w:sz w:val="20"/>
        </w:rPr>
        <w:t xml:space="preserve"> </w:t>
      </w:r>
      <w:r>
        <w:rPr>
          <w:rFonts w:ascii="Ashland;sans-serif" w:hAnsi="Ashland;sans-serif"/>
          <w:color w:val="000000"/>
          <w:sz w:val="14"/>
        </w:rPr>
        <w:t>for the nine months ended June 30, 2026 and 2025, respectively. Includes zero</w:t>
      </w:r>
      <w:r>
        <w:rPr>
          <w:rFonts w:ascii="Ashland;sans-serif" w:hAnsi="Ashland;sans-serif"/>
          <w:color w:val="000000"/>
          <w:sz w:val="20"/>
        </w:rPr>
        <w:t xml:space="preserve"> </w:t>
      </w:r>
      <w:r>
        <w:rPr>
          <w:rFonts w:ascii="Ashland;sans-serif" w:hAnsi="Ashland;sans-serif"/>
          <w:color w:val="000000"/>
          <w:sz w:val="14"/>
        </w:rPr>
        <w:t>for both the three months ended June 30, 2026 and 2025, and $1</w:t>
      </w:r>
      <w:r>
        <w:rPr>
          <w:rFonts w:ascii="Ashland;sans-serif" w:hAnsi="Ashland;sans-serif"/>
          <w:color w:val="000000"/>
          <w:sz w:val="20"/>
        </w:rPr>
        <w:t xml:space="preserve"> </w:t>
      </w:r>
      <w:r>
        <w:rPr>
          <w:rFonts w:ascii="Ashland;sans-serif" w:hAnsi="Ashland;sans-serif"/>
          <w:color w:val="000000"/>
          <w:sz w:val="14"/>
        </w:rPr>
        <w:t>million and $4</w:t>
      </w:r>
      <w:r>
        <w:rPr>
          <w:rFonts w:ascii="Ashland;sans-serif" w:hAnsi="Ashland;sans-serif"/>
          <w:color w:val="000000"/>
          <w:sz w:val="20"/>
        </w:rPr>
        <w:t xml:space="preserve"> </w:t>
      </w:r>
      <w:r>
        <w:rPr>
          <w:rFonts w:ascii="Ashland;sans-serif" w:hAnsi="Ashland;sans-serif"/>
          <w:color w:val="000000"/>
          <w:sz w:val="14"/>
        </w:rPr>
        <w:t>million for the nine months ended June 30, 2026 and 2025, respectively, associated with stock-based compensation employee withholding taxes.</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(b)</w:t>
      </w:r>
    </w:p>
    <w:p>
      <w:pPr>
        <w:pStyle w:val="TextBody"/>
        <w:bidi w:val="0"/>
        <w:spacing w:before="40" w:after="283"/>
        <w:jc w:val="both"/>
        <w:rPr>
          <w:rFonts w:ascii="Ashland;sans-serif" w:hAnsi="Ashland;sans-serif"/>
          <w:sz w:val="20"/>
        </w:rPr>
      </w:pPr>
      <w:r>
        <w:rPr>
          <w:rFonts w:ascii="Ashland;sans-serif" w:hAnsi="Ashland;sans-serif"/>
          <w:color w:val="000000"/>
          <w:sz w:val="14"/>
        </w:rPr>
        <w:t>Common stock repurchased were zero</w:t>
      </w:r>
      <w:r>
        <w:rPr>
          <w:rFonts w:ascii="Ashland;sans-serif" w:hAnsi="Ashland;sans-serif"/>
          <w:color w:val="000000"/>
          <w:sz w:val="20"/>
        </w:rPr>
        <w:t xml:space="preserve"> </w:t>
      </w:r>
      <w:r>
        <w:rPr>
          <w:rFonts w:ascii="Ashland;sans-serif" w:hAnsi="Ashland;sans-serif"/>
          <w:color w:val="000000"/>
          <w:sz w:val="14"/>
        </w:rPr>
        <w:t>for each of the three and nine months ended June 30, 2026, and zero</w:t>
      </w:r>
      <w:r>
        <w:rPr>
          <w:rFonts w:ascii="Ashland;sans-serif" w:hAnsi="Ashland;sans-serif"/>
          <w:color w:val="000000"/>
          <w:sz w:val="20"/>
        </w:rPr>
        <w:t xml:space="preserve"> </w:t>
      </w:r>
      <w:r>
        <w:rPr>
          <w:rFonts w:ascii="Ashland;sans-serif" w:hAnsi="Ashland;sans-serif"/>
          <w:color w:val="000000"/>
          <w:sz w:val="14"/>
        </w:rPr>
        <w:t>and 1,541,320</w:t>
      </w:r>
      <w:r>
        <w:rPr>
          <w:rFonts w:ascii="Ashland;sans-serif" w:hAnsi="Ashland;sans-serif"/>
          <w:color w:val="000000"/>
          <w:sz w:val="20"/>
        </w:rPr>
        <w:t xml:space="preserve"> </w:t>
      </w:r>
      <w:r>
        <w:rPr>
          <w:rFonts w:ascii="Ashland;sans-serif" w:hAnsi="Ashland;sans-serif"/>
          <w:color w:val="000000"/>
          <w:sz w:val="14"/>
        </w:rPr>
        <w:t>for the three and nine months ended June 30, 2025.</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(c)</w:t>
      </w:r>
    </w:p>
    <w:p>
      <w:pPr>
        <w:pStyle w:val="TextBody"/>
        <w:bidi w:val="0"/>
        <w:spacing w:before="40" w:after="283"/>
        <w:jc w:val="both"/>
        <w:rPr>
          <w:rFonts w:ascii="Ashland;sans-serif" w:hAnsi="Ashland;sans-serif"/>
          <w:sz w:val="20"/>
        </w:rPr>
      </w:pPr>
      <w:r>
        <w:rPr>
          <w:rFonts w:ascii="Ashland;sans-serif" w:hAnsi="Ashland;sans-serif"/>
          <w:color w:val="000000"/>
          <w:sz w:val="14"/>
        </w:rPr>
        <w:t>Includes zero</w:t>
      </w:r>
      <w:r>
        <w:rPr>
          <w:rFonts w:ascii="Ashland;sans-serif" w:hAnsi="Ashland;sans-serif"/>
          <w:color w:val="000000"/>
          <w:sz w:val="20"/>
        </w:rPr>
        <w:t xml:space="preserve"> </w:t>
      </w:r>
      <w:r>
        <w:rPr>
          <w:rFonts w:ascii="Ashland;sans-serif" w:hAnsi="Ashland;sans-serif"/>
          <w:color w:val="000000"/>
          <w:sz w:val="14"/>
        </w:rPr>
        <w:t>in excise tax on common stock repurchases for both the three and nine months ended June 30, 2026, and zero</w:t>
      </w:r>
      <w:r>
        <w:rPr>
          <w:rFonts w:ascii="Ashland;sans-serif" w:hAnsi="Ashland;sans-serif"/>
          <w:color w:val="000000"/>
          <w:sz w:val="20"/>
        </w:rPr>
        <w:t xml:space="preserve"> </w:t>
      </w:r>
      <w:r>
        <w:rPr>
          <w:rFonts w:ascii="Ashland;sans-serif" w:hAnsi="Ashland;sans-serif"/>
          <w:color w:val="000000"/>
          <w:sz w:val="14"/>
        </w:rPr>
        <w:t>and $1</w:t>
      </w:r>
      <w:r>
        <w:rPr>
          <w:rFonts w:ascii="Ashland;sans-serif" w:hAnsi="Ashland;sans-serif"/>
          <w:color w:val="000000"/>
          <w:sz w:val="20"/>
        </w:rPr>
        <w:t xml:space="preserve"> </w:t>
      </w:r>
      <w:r>
        <w:rPr>
          <w:rFonts w:ascii="Ashland;sans-serif" w:hAnsi="Ashland;sans-serif"/>
          <w:color w:val="000000"/>
          <w:sz w:val="14"/>
        </w:rPr>
        <w:t>million for the three and nine months ended June 30, 2025. Ashland paid a total of $100</w:t>
      </w:r>
      <w:r>
        <w:rPr>
          <w:rFonts w:ascii="Ashland;sans-serif" w:hAnsi="Ashland;sans-serif"/>
          <w:color w:val="000000"/>
          <w:sz w:val="20"/>
        </w:rPr>
        <w:t xml:space="preserve"> </w:t>
      </w:r>
      <w:r>
        <w:rPr>
          <w:rFonts w:ascii="Ashland;sans-serif" w:hAnsi="Ashland;sans-serif"/>
          <w:color w:val="000000"/>
          <w:sz w:val="14"/>
        </w:rPr>
        <w:t>million for the nine months ended June 30, 2025</w:t>
      </w:r>
      <w:r>
        <w:rPr>
          <w:rFonts w:ascii="Ashland;sans-serif" w:hAnsi="Ashland;sans-serif"/>
          <w:color w:val="000000"/>
          <w:sz w:val="20"/>
        </w:rPr>
        <w:t xml:space="preserve"> </w:t>
      </w:r>
      <w:r>
        <w:rPr>
          <w:rFonts w:ascii="Ashland;sans-serif" w:hAnsi="Ashland;sans-serif"/>
          <w:color w:val="000000"/>
          <w:sz w:val="14"/>
        </w:rPr>
        <w:t>for common stock repurchases.</w:t>
      </w:r>
    </w:p>
    <w:p>
      <w:pPr>
        <w:pStyle w:val="TextBody"/>
        <w:bidi w:val="0"/>
        <w:spacing w:before="240" w:after="283"/>
        <w:jc w:val="both"/>
        <w:rPr>
          <w:rFonts w:ascii="Ashland;sans-serif" w:hAnsi="Ashland;sans-serif"/>
          <w:b/>
          <w:color w:val="000000"/>
          <w:sz w:val="20"/>
        </w:rPr>
      </w:pPr>
      <w:r>
        <w:rPr>
          <w:rFonts w:ascii="Ashland;sans-serif" w:hAnsi="Ashland;sans-serif"/>
          <w:b/>
          <w:color w:val="000000"/>
          <w:sz w:val="20"/>
        </w:rPr>
        <w:t>NOTE O – STOCK INCENTIVE PLANS</w:t>
      </w:r>
    </w:p>
    <w:p>
      <w:pPr>
        <w:pStyle w:val="TextBody"/>
        <w:bidi w:val="0"/>
        <w:spacing w:before="120" w:after="120"/>
        <w:jc w:val="both"/>
        <w:rPr>
          <w:rFonts w:ascii="Ashland;sans-serif" w:hAnsi="Ashland;sans-serif"/>
          <w:color w:val="000000"/>
          <w:sz w:val="20"/>
        </w:rPr>
      </w:pPr>
      <w:r>
        <w:rPr>
          <w:rFonts w:ascii="Ashland;sans-serif" w:hAnsi="Ashland;sans-serif"/>
          <w:color w:val="000000"/>
          <w:sz w:val="20"/>
        </w:rPr>
        <w:t>The components of Ashland’s pre-tax stock-based compensation expense included in continuing operations are as follows:</w:t>
      </w:r>
    </w:p>
    <w:tbl>
      <w:tblPr>
        <w:tblW w:w="6950" w:type="dxa"/>
        <w:jc w:val="left"/>
        <w:tblInd w:w="0" w:type="dxa"/>
        <w:tblLayout w:type="fixed"/>
        <w:tblCellMar>
          <w:top w:w="28" w:type="dxa"/>
          <w:left w:w="28" w:type="dxa"/>
          <w:bottom w:w="28" w:type="dxa"/>
          <w:right w:w="28" w:type="dxa"/>
        </w:tblCellMar>
      </w:tblPr>
      <w:tblGrid>
        <w:gridCol w:w="2521"/>
        <w:gridCol w:w="375"/>
        <w:gridCol w:w="375"/>
        <w:gridCol w:w="221"/>
        <w:gridCol w:w="221"/>
        <w:gridCol w:w="342"/>
        <w:gridCol w:w="524"/>
        <w:gridCol w:w="146"/>
        <w:gridCol w:w="146"/>
        <w:gridCol w:w="297"/>
        <w:gridCol w:w="455"/>
        <w:gridCol w:w="192"/>
        <w:gridCol w:w="192"/>
        <w:gridCol w:w="297"/>
        <w:gridCol w:w="455"/>
        <w:gridCol w:w="191"/>
      </w:tblGrid>
      <w:tr>
        <w:trPr/>
        <w:tc>
          <w:tcPr>
            <w:tcW w:w="252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2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058"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Three months ended</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888"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Nine months ended</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w:t>
            </w:r>
          </w:p>
        </w:tc>
        <w:tc>
          <w:tcPr>
            <w:tcW w:w="7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Ashland;sans-serif" w:hAnsi="Ashland;sans-serif"/>
                <w:color w:val="000000"/>
                <w:sz w:val="18"/>
              </w:rPr>
              <w:t>2026</w:t>
            </w:r>
            <w:r>
              <w:rPr>
                <w:rFonts w:ascii="Ashland;sans-serif" w:hAnsi="Ashland;sans-serif"/>
                <w:color w:val="000000"/>
                <w:sz w:val="12"/>
              </w:rPr>
              <w:t>(a)</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Ashland;sans-serif" w:hAnsi="Ashland;sans-serif"/>
                <w:color w:val="000000"/>
                <w:sz w:val="18"/>
              </w:rPr>
              <w:t>2025</w:t>
            </w:r>
            <w:r>
              <w:rPr>
                <w:rFonts w:ascii="Ashland;sans-serif" w:hAnsi="Ashland;sans-serif"/>
                <w:color w:val="000000"/>
                <w:sz w:val="12"/>
              </w:rPr>
              <w:t>(b)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Ashland;sans-serif" w:hAnsi="Ashland;sans-serif"/>
                <w:color w:val="000000"/>
                <w:sz w:val="18"/>
              </w:rPr>
              <w:t>2026</w:t>
            </w:r>
            <w:r>
              <w:rPr>
                <w:rFonts w:ascii="Ashland;sans-serif" w:hAnsi="Ashland;sans-serif"/>
                <w:color w:val="000000"/>
                <w:sz w:val="12"/>
              </w:rPr>
              <w:t>(a)</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Ashland;sans-serif" w:hAnsi="Ashland;sans-serif"/>
                <w:color w:val="000000"/>
                <w:sz w:val="18"/>
              </w:rPr>
              <w:t>2025</w:t>
            </w:r>
            <w:r>
              <w:rPr>
                <w:rFonts w:ascii="Ashland;sans-serif" w:hAnsi="Ashland;sans-serif"/>
                <w:color w:val="000000"/>
                <w:sz w:val="12"/>
              </w:rPr>
              <w:t>(b)</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Stock appreciation rights</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Nonvested stock awards</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9</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Performance share awards</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16</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Ashland;sans-serif" w:hAnsi="Ashland;sans-serif"/>
          <w:color w:val="000000"/>
          <w:sz w:val="14"/>
        </w:rPr>
      </w:pPr>
      <w:r>
        <w:rPr>
          <w:rFonts w:ascii="Ashland;sans-serif" w:hAnsi="Ashland;sans-serif"/>
          <w:color w:val="000000"/>
          <w:sz w:val="14"/>
        </w:rPr>
        <w:t>(a)</w:t>
      </w:r>
    </w:p>
    <w:p>
      <w:pPr>
        <w:pStyle w:val="TextBody"/>
        <w:bidi w:val="0"/>
        <w:spacing w:before="120" w:after="283"/>
        <w:jc w:val="both"/>
        <w:rPr>
          <w:rFonts w:ascii="Ashland;sans-serif" w:hAnsi="Ashland;sans-serif"/>
          <w:sz w:val="20"/>
        </w:rPr>
      </w:pPr>
      <w:r>
        <w:rPr>
          <w:rFonts w:ascii="Ashland;sans-serif" w:hAnsi="Ashland;sans-serif"/>
          <w:color w:val="000000"/>
          <w:sz w:val="14"/>
        </w:rPr>
        <w:t>Included $1</w:t>
      </w:r>
      <w:r>
        <w:rPr>
          <w:rFonts w:ascii="Ashland;sans-serif" w:hAnsi="Ashland;sans-serif"/>
          <w:color w:val="000000"/>
          <w:sz w:val="20"/>
        </w:rPr>
        <w:t xml:space="preserve"> </w:t>
      </w:r>
      <w:r>
        <w:rPr>
          <w:rFonts w:ascii="Ashland;sans-serif" w:hAnsi="Ashland;sans-serif"/>
          <w:color w:val="000000"/>
          <w:sz w:val="14"/>
        </w:rPr>
        <w:t>million and $2</w:t>
      </w:r>
      <w:r>
        <w:rPr>
          <w:rFonts w:ascii="Ashland;sans-serif" w:hAnsi="Ashland;sans-serif"/>
          <w:color w:val="000000"/>
          <w:sz w:val="20"/>
        </w:rPr>
        <w:t xml:space="preserve"> </w:t>
      </w:r>
      <w:r>
        <w:rPr>
          <w:rFonts w:ascii="Ashland;sans-serif" w:hAnsi="Ashland;sans-serif"/>
          <w:color w:val="000000"/>
          <w:sz w:val="14"/>
        </w:rPr>
        <w:t>million of expense related to cash-settled nonvested restricted stock awards during the three and nine months ended June 30, 2026, respectively, and zero</w:t>
      </w:r>
      <w:r>
        <w:rPr>
          <w:rFonts w:ascii="Ashland;sans-serif" w:hAnsi="Ashland;sans-serif"/>
          <w:color w:val="000000"/>
          <w:sz w:val="20"/>
        </w:rPr>
        <w:t xml:space="preserve"> </w:t>
      </w:r>
      <w:r>
        <w:rPr>
          <w:rFonts w:ascii="Ashland;sans-serif" w:hAnsi="Ashland;sans-serif"/>
          <w:color w:val="000000"/>
          <w:sz w:val="14"/>
        </w:rPr>
        <w:t>and $1</w:t>
      </w:r>
      <w:r>
        <w:rPr>
          <w:rFonts w:ascii="Ashland;sans-serif" w:hAnsi="Ashland;sans-serif"/>
          <w:color w:val="000000"/>
          <w:sz w:val="20"/>
        </w:rPr>
        <w:t xml:space="preserve"> </w:t>
      </w:r>
      <w:r>
        <w:rPr>
          <w:rFonts w:ascii="Ashland;sans-serif" w:hAnsi="Ashland;sans-serif"/>
          <w:color w:val="000000"/>
          <w:sz w:val="14"/>
        </w:rPr>
        <w:t>million of expense related to cash-settled performance units during the three and nine months ended June 30, 2026, respectively.</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(b)</w:t>
      </w:r>
    </w:p>
    <w:p>
      <w:pPr>
        <w:pStyle w:val="TextBody"/>
        <w:bidi w:val="0"/>
        <w:spacing w:before="40" w:after="283"/>
        <w:jc w:val="both"/>
        <w:rPr>
          <w:rFonts w:ascii="Ashland;sans-serif" w:hAnsi="Ashland;sans-serif"/>
          <w:sz w:val="20"/>
        </w:rPr>
      </w:pPr>
      <w:r>
        <w:rPr>
          <w:rFonts w:ascii="Ashland;sans-serif" w:hAnsi="Ashland;sans-serif"/>
          <w:color w:val="000000"/>
          <w:sz w:val="14"/>
        </w:rPr>
        <w:t>Included zero</w:t>
      </w:r>
      <w:r>
        <w:rPr>
          <w:rFonts w:ascii="Ashland;sans-serif" w:hAnsi="Ashland;sans-serif"/>
          <w:color w:val="000000"/>
          <w:sz w:val="20"/>
        </w:rPr>
        <w:t xml:space="preserve"> </w:t>
      </w:r>
      <w:r>
        <w:rPr>
          <w:rFonts w:ascii="Ashland;sans-serif" w:hAnsi="Ashland;sans-serif"/>
          <w:color w:val="000000"/>
          <w:sz w:val="14"/>
        </w:rPr>
        <w:t>and $1</w:t>
      </w:r>
      <w:r>
        <w:rPr>
          <w:rFonts w:ascii="Ashland;sans-serif" w:hAnsi="Ashland;sans-serif"/>
          <w:color w:val="000000"/>
          <w:sz w:val="20"/>
        </w:rPr>
        <w:t xml:space="preserve"> </w:t>
      </w:r>
      <w:r>
        <w:rPr>
          <w:rFonts w:ascii="Ashland;sans-serif" w:hAnsi="Ashland;sans-serif"/>
          <w:color w:val="000000"/>
          <w:sz w:val="14"/>
        </w:rPr>
        <w:t>million of expense related to cash-settled nonvested restricted stock awards during the three and nine months ended June 30, 2025, respectively, and zero</w:t>
      </w:r>
      <w:r>
        <w:rPr>
          <w:rFonts w:ascii="Ashland;sans-serif" w:hAnsi="Ashland;sans-serif"/>
          <w:color w:val="000000"/>
          <w:sz w:val="20"/>
        </w:rPr>
        <w:t xml:space="preserve"> </w:t>
      </w:r>
      <w:r>
        <w:rPr>
          <w:rFonts w:ascii="Ashland;sans-serif" w:hAnsi="Ashland;sans-serif"/>
          <w:color w:val="000000"/>
          <w:sz w:val="14"/>
        </w:rPr>
        <w:t>and income of $1</w:t>
      </w:r>
      <w:r>
        <w:rPr>
          <w:rFonts w:ascii="Ashland;sans-serif" w:hAnsi="Ashland;sans-serif"/>
          <w:color w:val="000000"/>
          <w:sz w:val="20"/>
        </w:rPr>
        <w:t xml:space="preserve"> </w:t>
      </w:r>
      <w:r>
        <w:rPr>
          <w:rFonts w:ascii="Ashland;sans-serif" w:hAnsi="Ashland;sans-serif"/>
          <w:color w:val="000000"/>
          <w:sz w:val="14"/>
        </w:rPr>
        <w:t>million related to cash-settled performance units during the three and nine months ended June 30, 2025, respectively.</w:t>
      </w:r>
    </w:p>
    <w:p>
      <w:pPr>
        <w:pStyle w:val="TextBody"/>
        <w:bidi w:val="0"/>
        <w:spacing w:before="120" w:after="283"/>
        <w:jc w:val="center"/>
        <w:rPr>
          <w:rFonts w:ascii="Ashland;sans-serif" w:hAnsi="Ashland;sans-serif"/>
          <w:color w:val="000000"/>
          <w:sz w:val="20"/>
        </w:rPr>
      </w:pPr>
      <w:r>
        <w:rPr>
          <w:rFonts w:ascii="Ashland;sans-serif" w:hAnsi="Ashland;sans-serif"/>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shland;sans-serif" w:hAnsi="Ashland;sans-serif"/>
          <w:b/>
          <w:color w:val="000000"/>
          <w:sz w:val="20"/>
        </w:rPr>
      </w:pPr>
      <w:r>
        <w:rPr>
          <w:rFonts w:ascii="Ashland;sans-serif" w:hAnsi="Ashland;sans-serif"/>
          <w:b/>
          <w:color w:val="000000"/>
          <w:sz w:val="20"/>
        </w:rPr>
        <w:t>NOTE P – REVENUE</w:t>
      </w:r>
    </w:p>
    <w:p>
      <w:pPr>
        <w:pStyle w:val="TextBody"/>
        <w:bidi w:val="0"/>
        <w:spacing w:before="120" w:after="283"/>
        <w:jc w:val="both"/>
        <w:rPr>
          <w:rFonts w:ascii="Ashland;sans-serif" w:hAnsi="Ashland;sans-serif"/>
          <w:b/>
          <w:color w:val="000000"/>
          <w:sz w:val="20"/>
        </w:rPr>
      </w:pPr>
      <w:r>
        <w:rPr>
          <w:rFonts w:ascii="Ashland;sans-serif" w:hAnsi="Ashland;sans-serif"/>
          <w:b/>
          <w:color w:val="000000"/>
          <w:sz w:val="20"/>
        </w:rPr>
        <w:t>Disaggregation of revenue</w:t>
      </w:r>
    </w:p>
    <w:p>
      <w:pPr>
        <w:pStyle w:val="TextBody"/>
        <w:bidi w:val="0"/>
        <w:spacing w:before="120" w:after="120"/>
        <w:jc w:val="both"/>
        <w:rPr>
          <w:rFonts w:ascii="Ashland;sans-serif" w:hAnsi="Ashland;sans-serif"/>
          <w:color w:val="000000"/>
          <w:sz w:val="20"/>
        </w:rPr>
      </w:pPr>
      <w:r>
        <w:rPr>
          <w:rFonts w:ascii="Ashland;sans-serif" w:hAnsi="Ashland;sans-serif"/>
          <w:color w:val="000000"/>
          <w:sz w:val="20"/>
        </w:rPr>
        <w:t>Ashland disaggregates its revenue by reportable segment and geographical region as Ashland believes these categories best depict how management reviews the financial performance of its operations. Ashland includes only U.S. and Canada in its North America designation and includes Europe, the Middle East and Africa in its Europe designation. See the following tables for details. See Note Q for additional information.</w:t>
      </w:r>
    </w:p>
    <w:tbl>
      <w:tblPr>
        <w:tblW w:w="6912" w:type="dxa"/>
        <w:jc w:val="left"/>
        <w:tblInd w:w="0" w:type="dxa"/>
        <w:tblLayout w:type="fixed"/>
        <w:tblCellMar>
          <w:top w:w="28" w:type="dxa"/>
          <w:left w:w="28" w:type="dxa"/>
          <w:bottom w:w="28" w:type="dxa"/>
          <w:right w:w="28" w:type="dxa"/>
        </w:tblCellMar>
      </w:tblPr>
      <w:tblGrid>
        <w:gridCol w:w="2201"/>
        <w:gridCol w:w="246"/>
        <w:gridCol w:w="269"/>
        <w:gridCol w:w="555"/>
        <w:gridCol w:w="173"/>
        <w:gridCol w:w="173"/>
        <w:gridCol w:w="269"/>
        <w:gridCol w:w="555"/>
        <w:gridCol w:w="146"/>
        <w:gridCol w:w="146"/>
        <w:gridCol w:w="254"/>
        <w:gridCol w:w="526"/>
        <w:gridCol w:w="164"/>
        <w:gridCol w:w="164"/>
        <w:gridCol w:w="254"/>
        <w:gridCol w:w="526"/>
        <w:gridCol w:w="291"/>
      </w:tblGrid>
      <w:tr>
        <w:trPr/>
        <w:tc>
          <w:tcPr>
            <w:tcW w:w="220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6621" w:type="dxa"/>
            <w:gridSpan w:val="1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Sales by geography</w:t>
            </w:r>
          </w:p>
        </w:tc>
        <w:tc>
          <w:tcPr>
            <w:tcW w:w="2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2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Nine months ended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2026</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21"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Life Sciences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2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shland;sans-serif" w:hAnsi="Ashland;sans-serif"/>
                <w:color w:val="000000"/>
                <w:sz w:val="18"/>
              </w:rPr>
            </w:pPr>
            <w:r>
              <w:rPr>
                <w:rFonts w:ascii="Ashland;sans-serif" w:hAnsi="Ashland;sans-serif"/>
                <w:color w:val="000000"/>
                <w:sz w:val="18"/>
              </w:rPr>
              <w:t>North America</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33</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92</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84</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shland;sans-serif" w:hAnsi="Ashland;sans-serif"/>
                <w:color w:val="000000"/>
                <w:sz w:val="18"/>
              </w:rPr>
            </w:pPr>
            <w:r>
              <w:rPr>
                <w:rFonts w:ascii="Ashland;sans-serif" w:hAnsi="Ashland;sans-serif"/>
                <w:color w:val="000000"/>
                <w:sz w:val="18"/>
              </w:rPr>
              <w:t>Europe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188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179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shland;sans-serif" w:hAnsi="Ashland;sans-serif"/>
                <w:color w:val="000000"/>
                <w:sz w:val="18"/>
              </w:rPr>
            </w:pPr>
            <w:r>
              <w:rPr>
                <w:rFonts w:ascii="Ashland;sans-serif" w:hAnsi="Ashland;sans-serif"/>
                <w:color w:val="000000"/>
                <w:sz w:val="18"/>
              </w:rPr>
              <w:t>Asia Pacific</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56</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155</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151</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shland;sans-serif" w:hAnsi="Ashland;sans-serif"/>
                <w:color w:val="000000"/>
                <w:sz w:val="18"/>
              </w:rPr>
            </w:pPr>
            <w:r>
              <w:rPr>
                <w:rFonts w:ascii="Ashland;sans-serif" w:hAnsi="Ashland;sans-serif"/>
                <w:color w:val="000000"/>
                <w:sz w:val="18"/>
              </w:rPr>
              <w:t>Latin America &amp; other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56</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2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180</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491</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468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Nine months ended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2026</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21"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Personal Care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2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shland;sans-serif" w:hAnsi="Ashland;sans-serif"/>
                <w:color w:val="000000"/>
                <w:sz w:val="18"/>
              </w:rPr>
            </w:pPr>
            <w:r>
              <w:rPr>
                <w:rFonts w:ascii="Ashland;sans-serif" w:hAnsi="Ashland;sans-serif"/>
                <w:color w:val="000000"/>
                <w:sz w:val="18"/>
              </w:rPr>
              <w:t>North America</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39</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107</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116</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shland;sans-serif" w:hAnsi="Ashland;sans-serif"/>
                <w:color w:val="000000"/>
                <w:sz w:val="18"/>
              </w:rPr>
            </w:pPr>
            <w:r>
              <w:rPr>
                <w:rFonts w:ascii="Ashland;sans-serif" w:hAnsi="Ashland;sans-serif"/>
                <w:color w:val="000000"/>
                <w:sz w:val="18"/>
              </w:rPr>
              <w:t>Europe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59</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165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163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shland;sans-serif" w:hAnsi="Ashland;sans-serif"/>
                <w:color w:val="000000"/>
                <w:sz w:val="18"/>
              </w:rPr>
            </w:pPr>
            <w:r>
              <w:rPr>
                <w:rFonts w:ascii="Ashland;sans-serif" w:hAnsi="Ashland;sans-serif"/>
                <w:color w:val="000000"/>
                <w:sz w:val="18"/>
              </w:rPr>
              <w:t>Asia Pacific</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38</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102</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94</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shland;sans-serif" w:hAnsi="Ashland;sans-serif"/>
                <w:color w:val="000000"/>
                <w:sz w:val="18"/>
              </w:rPr>
            </w:pPr>
            <w:r>
              <w:rPr>
                <w:rFonts w:ascii="Ashland;sans-serif" w:hAnsi="Ashland;sans-serif"/>
                <w:color w:val="000000"/>
                <w:sz w:val="18"/>
              </w:rPr>
              <w:t>Latin America &amp; other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19</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54</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2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155</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428</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426</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Nine months ended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2026</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21"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Specialty Additives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2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shland;sans-serif" w:hAnsi="Ashland;sans-serif"/>
                <w:color w:val="000000"/>
                <w:sz w:val="18"/>
              </w:rPr>
            </w:pPr>
            <w:r>
              <w:rPr>
                <w:rFonts w:ascii="Ashland;sans-serif" w:hAnsi="Ashland;sans-serif"/>
                <w:color w:val="000000"/>
                <w:sz w:val="18"/>
              </w:rPr>
              <w:t>North America</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48</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127</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133</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shland;sans-serif" w:hAnsi="Ashland;sans-serif"/>
                <w:color w:val="000000"/>
                <w:sz w:val="18"/>
              </w:rPr>
            </w:pPr>
            <w:r>
              <w:rPr>
                <w:rFonts w:ascii="Ashland;sans-serif" w:hAnsi="Ashland;sans-serif"/>
                <w:color w:val="000000"/>
                <w:sz w:val="18"/>
              </w:rPr>
              <w:t>Europe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127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130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shland;sans-serif" w:hAnsi="Ashland;sans-serif"/>
                <w:color w:val="000000"/>
                <w:sz w:val="18"/>
              </w:rPr>
            </w:pPr>
            <w:r>
              <w:rPr>
                <w:rFonts w:ascii="Ashland;sans-serif" w:hAnsi="Ashland;sans-serif"/>
                <w:color w:val="000000"/>
                <w:sz w:val="18"/>
              </w:rPr>
              <w:t>Asia Pacific</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34</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98</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97</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shland;sans-serif" w:hAnsi="Ashland;sans-serif"/>
                <w:color w:val="000000"/>
                <w:sz w:val="18"/>
              </w:rPr>
            </w:pPr>
            <w:r>
              <w:rPr>
                <w:rFonts w:ascii="Ashland;sans-serif" w:hAnsi="Ashland;sans-serif"/>
                <w:color w:val="000000"/>
                <w:sz w:val="18"/>
              </w:rPr>
              <w:t>Latin America &amp; other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2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136</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372</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380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Nine months ended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2026</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21"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Intermediates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2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shland;sans-serif" w:hAnsi="Ashland;sans-serif"/>
                <w:color w:val="000000"/>
                <w:sz w:val="18"/>
              </w:rPr>
            </w:pPr>
            <w:r>
              <w:rPr>
                <w:rFonts w:ascii="Ashland;sans-serif" w:hAnsi="Ashland;sans-serif"/>
                <w:color w:val="000000"/>
                <w:sz w:val="18"/>
              </w:rPr>
              <w:t>North America</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24</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68</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69</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shland;sans-serif" w:hAnsi="Ashland;sans-serif"/>
                <w:color w:val="000000"/>
                <w:sz w:val="18"/>
              </w:rPr>
            </w:pPr>
            <w:r>
              <w:rPr>
                <w:rFonts w:ascii="Ashland;sans-serif" w:hAnsi="Ashland;sans-serif"/>
                <w:color w:val="000000"/>
                <w:sz w:val="18"/>
              </w:rPr>
              <w:t>Europe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shland;sans-serif" w:hAnsi="Ashland;sans-serif"/>
                <w:color w:val="000000"/>
                <w:sz w:val="18"/>
              </w:rPr>
            </w:pPr>
            <w:r>
              <w:rPr>
                <w:rFonts w:ascii="Ashland;sans-serif" w:hAnsi="Ashland;sans-serif"/>
                <w:color w:val="000000"/>
                <w:sz w:val="18"/>
              </w:rPr>
              <w:t>Asia Pacific</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12</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shland;sans-serif" w:hAnsi="Ashland;sans-serif"/>
                <w:color w:val="000000"/>
                <w:sz w:val="18"/>
              </w:rPr>
            </w:pPr>
            <w:r>
              <w:rPr>
                <w:rFonts w:ascii="Ashland;sans-serif" w:hAnsi="Ashland;sans-serif"/>
                <w:color w:val="000000"/>
                <w:sz w:val="18"/>
              </w:rPr>
              <w:t>Latin America &amp; other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2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37</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103</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104</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Ashland;sans-serif" w:hAnsi="Ashland;sans-serif"/>
          <w:color w:val="000000"/>
          <w:sz w:val="20"/>
        </w:rPr>
      </w:pPr>
      <w:r>
        <w:rPr>
          <w:rFonts w:ascii="Ashland;sans-serif" w:hAnsi="Ashland;sans-serif"/>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Ashland;sans-serif" w:hAnsi="Ashland;sans-serif"/>
          <w:color w:val="000000"/>
          <w:sz w:val="20"/>
        </w:rPr>
      </w:pPr>
      <w:r>
        <w:rPr>
          <w:rFonts w:ascii="Ashland;sans-serif" w:hAnsi="Ashland;sans-serif"/>
          <w:color w:val="000000"/>
          <w:sz w:val="20"/>
        </w:rPr>
        <w:t>Ashland has two product categories that represent 10% or greater of Ashland's total consolidated sales, which were cellulosics and polyvinylpyrrolidones ("PVP"). The following table summarizes the percentage of Ashland's total consolidated sales for these products:</w:t>
      </w:r>
    </w:p>
    <w:tbl>
      <w:tblPr>
        <w:tblW w:w="6149" w:type="dxa"/>
        <w:jc w:val="left"/>
        <w:tblInd w:w="0" w:type="dxa"/>
        <w:tblLayout w:type="fixed"/>
        <w:tblCellMar>
          <w:top w:w="28" w:type="dxa"/>
          <w:left w:w="28" w:type="dxa"/>
          <w:bottom w:w="28" w:type="dxa"/>
          <w:right w:w="28" w:type="dxa"/>
        </w:tblCellMar>
      </w:tblPr>
      <w:tblGrid>
        <w:gridCol w:w="1186"/>
        <w:gridCol w:w="246"/>
        <w:gridCol w:w="208"/>
        <w:gridCol w:w="492"/>
        <w:gridCol w:w="386"/>
        <w:gridCol w:w="208"/>
        <w:gridCol w:w="208"/>
        <w:gridCol w:w="492"/>
        <w:gridCol w:w="271"/>
        <w:gridCol w:w="146"/>
        <w:gridCol w:w="197"/>
        <w:gridCol w:w="467"/>
        <w:gridCol w:w="365"/>
        <w:gridCol w:w="197"/>
        <w:gridCol w:w="197"/>
        <w:gridCol w:w="467"/>
        <w:gridCol w:w="416"/>
      </w:tblGrid>
      <w:tr>
        <w:trPr/>
        <w:tc>
          <w:tcPr>
            <w:tcW w:w="118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118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994"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Three months ended</w:t>
            </w:r>
          </w:p>
        </w:tc>
        <w:tc>
          <w:tcPr>
            <w:tcW w:w="2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890"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Nine months ended</w:t>
            </w:r>
          </w:p>
        </w:tc>
        <w:tc>
          <w:tcPr>
            <w:tcW w:w="4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2026</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2026</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2025</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shland;sans-serif" w:hAnsi="Ashland;sans-serif"/>
                <w:color w:val="000000"/>
                <w:sz w:val="18"/>
              </w:rPr>
            </w:pPr>
            <w:r>
              <w:rPr>
                <w:rFonts w:ascii="Ashland;sans-serif" w:hAnsi="Ashland;sans-serif"/>
                <w:color w:val="000000"/>
                <w:sz w:val="18"/>
              </w:rPr>
              <w:t>Cellulosics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40</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40</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39</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shland;sans-serif" w:hAnsi="Ashland;sans-serif"/>
                <w:color w:val="000000"/>
                <w:sz w:val="18"/>
              </w:rPr>
            </w:pPr>
            <w:r>
              <w:rPr>
                <w:rFonts w:ascii="Ashland;sans-serif" w:hAnsi="Ashland;sans-serif"/>
                <w:color w:val="000000"/>
                <w:sz w:val="18"/>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shland;sans-serif" w:hAnsi="Ashland;sans-serif"/>
                <w:color w:val="000000"/>
                <w:sz w:val="18"/>
              </w:rPr>
            </w:pPr>
            <w:r>
              <w:rPr>
                <w:rFonts w:ascii="Ashland;sans-serif" w:hAnsi="Ashland;sans-serif"/>
                <w:color w:val="000000"/>
                <w:sz w:val="18"/>
              </w:rPr>
              <w:t>PVP</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24</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24</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25</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shland;sans-serif" w:hAnsi="Ashland;sans-serif"/>
                <w:color w:val="000000"/>
                <w:sz w:val="18"/>
              </w:rPr>
            </w:pPr>
            <w:r>
              <w:rPr>
                <w:rFonts w:ascii="Ashland;sans-serif" w:hAnsi="Ashland;sans-serif"/>
                <w:color w:val="000000"/>
                <w:sz w:val="18"/>
              </w:rPr>
              <w:t>%</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64</w:t>
            </w:r>
          </w:p>
        </w:tc>
        <w:tc>
          <w:tcPr>
            <w:tcW w:w="3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64</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64</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Ashland;sans-serif" w:hAnsi="Ashland;sans-serif"/>
          <w:b/>
          <w:color w:val="000000"/>
          <w:sz w:val="20"/>
        </w:rPr>
      </w:pPr>
      <w:r>
        <w:rPr>
          <w:rFonts w:ascii="Ashland;sans-serif" w:hAnsi="Ashland;sans-serif"/>
          <w:b/>
          <w:color w:val="000000"/>
          <w:sz w:val="20"/>
        </w:rPr>
        <w:t>Trade receivables</w:t>
      </w:r>
    </w:p>
    <w:p>
      <w:pPr>
        <w:pStyle w:val="TextBody"/>
        <w:bidi w:val="0"/>
        <w:spacing w:before="120" w:after="283"/>
        <w:jc w:val="both"/>
        <w:rPr>
          <w:rFonts w:ascii="Times New Roman" w:hAnsi="Times New Roman"/>
          <w:sz w:val="20"/>
        </w:rPr>
      </w:pPr>
      <w:r>
        <w:rPr>
          <w:rFonts w:ascii="Ashland;sans-serif" w:hAnsi="Ashland;sans-serif"/>
          <w:color w:val="000000"/>
          <w:sz w:val="20"/>
        </w:rPr>
        <w:t>Trade receivables are defined as receivables arising from contracts with customers and are recorded within the accounts receivable, net caption within the Condensed Consolidated Balance Sheets. Ashland’s trade receivables were $203</w:t>
      </w:r>
      <w:r>
        <w:rPr>
          <w:rFonts w:ascii="Times New Roman" w:hAnsi="Times New Roman"/>
          <w:color w:val="000000"/>
          <w:sz w:val="20"/>
        </w:rPr>
        <w:t xml:space="preserve"> </w:t>
      </w:r>
      <w:r>
        <w:rPr>
          <w:rFonts w:ascii="Ashland;sans-serif" w:hAnsi="Ashland;sans-serif"/>
          <w:color w:val="000000"/>
          <w:sz w:val="20"/>
        </w:rPr>
        <w:t>million and $200</w:t>
      </w:r>
      <w:r>
        <w:rPr>
          <w:rFonts w:ascii="Times New Roman" w:hAnsi="Times New Roman"/>
          <w:color w:val="000000"/>
          <w:sz w:val="20"/>
        </w:rPr>
        <w:t xml:space="preserve"> </w:t>
      </w:r>
      <w:r>
        <w:rPr>
          <w:rFonts w:ascii="Ashland;sans-serif" w:hAnsi="Ashland;sans-serif"/>
          <w:color w:val="000000"/>
          <w:sz w:val="20"/>
        </w:rPr>
        <w:t>million as of June 30, 2026 and September 30, 2025, respectively. See Note H for additional information on Ashland’s programs to sell certain accounts receivables on a revolving basis to third-party banks up to an aggregate purchase limit (U.S and Foreign Accounts Receivable Sales Programs).</w:t>
      </w:r>
    </w:p>
    <w:p>
      <w:pPr>
        <w:pStyle w:val="TextBody"/>
        <w:bidi w:val="0"/>
        <w:jc w:val="left"/>
        <w:rPr/>
      </w:pPr>
      <w:r>
        <w:rPr/>
        <w:t> </w:t>
      </w:r>
    </w:p>
    <w:p>
      <w:pPr>
        <w:pStyle w:val="TextBody"/>
        <w:bidi w:val="0"/>
        <w:jc w:val="both"/>
        <w:rPr>
          <w:rFonts w:ascii="Ashland;sans-serif" w:hAnsi="Ashland;sans-serif"/>
          <w:b/>
          <w:color w:val="000000"/>
          <w:sz w:val="20"/>
        </w:rPr>
      </w:pPr>
      <w:r>
        <w:rPr>
          <w:rFonts w:ascii="Ashland;sans-serif" w:hAnsi="Ashland;sans-serif"/>
          <w:b/>
          <w:color w:val="000000"/>
          <w:sz w:val="20"/>
        </w:rPr>
        <w:t>NOTE Q – REPORTABLE SEGMENT INFORMATION</w:t>
      </w:r>
    </w:p>
    <w:p>
      <w:pPr>
        <w:pStyle w:val="TextBody"/>
        <w:bidi w:val="0"/>
        <w:spacing w:before="120" w:after="283"/>
        <w:jc w:val="both"/>
        <w:rPr>
          <w:rFonts w:ascii="Times New Roman" w:hAnsi="Times New Roman"/>
          <w:sz w:val="20"/>
        </w:rPr>
      </w:pPr>
      <w:r>
        <w:rPr>
          <w:rFonts w:ascii="Ashland;sans-serif" w:hAnsi="Ashland;sans-serif"/>
          <w:color w:val="000000"/>
          <w:sz w:val="20"/>
        </w:rPr>
        <w:t>Ashland determines its reportable segments based on how operations are managed internally for the products and services sold to customers, including how the results are reviewed by Guillermo Novo, Chair and Chief Executive Officer</w:t>
      </w:r>
      <w:r>
        <w:rPr>
          <w:rFonts w:ascii="Times New Roman" w:hAnsi="Times New Roman"/>
          <w:color w:val="000000"/>
          <w:sz w:val="20"/>
        </w:rPr>
        <w:t xml:space="preserve"> </w:t>
      </w:r>
      <w:r>
        <w:rPr>
          <w:rFonts w:ascii="Ashland;sans-serif" w:hAnsi="Ashland;sans-serif"/>
          <w:color w:val="000000"/>
          <w:sz w:val="20"/>
        </w:rPr>
        <w:t>of the Company, which includes determining resource allocation methodologies used for reportable segments. EBITDA is the primary measures of performance that are reviewed by the chief operating decision maker in assessing each reportable segment's financial performance. Ashland does not aggregate operating segments to arrive at these reportable segments.</w:t>
      </w:r>
    </w:p>
    <w:p>
      <w:pPr>
        <w:pStyle w:val="TextBody"/>
        <w:bidi w:val="0"/>
        <w:spacing w:before="120" w:after="283"/>
        <w:jc w:val="both"/>
        <w:rPr>
          <w:rFonts w:ascii="Ashland;sans-serif" w:hAnsi="Ashland;sans-serif"/>
          <w:b/>
          <w:color w:val="000000"/>
          <w:sz w:val="20"/>
        </w:rPr>
      </w:pPr>
      <w:r>
        <w:rPr>
          <w:rFonts w:ascii="Ashland;sans-serif" w:hAnsi="Ashland;sans-serif"/>
          <w:b/>
          <w:color w:val="000000"/>
          <w:sz w:val="20"/>
        </w:rPr>
        <w:t>Reportable segment business descriptions</w:t>
      </w:r>
    </w:p>
    <w:p>
      <w:pPr>
        <w:pStyle w:val="TextBody"/>
        <w:bidi w:val="0"/>
        <w:spacing w:before="120" w:after="283"/>
        <w:jc w:val="both"/>
        <w:rPr>
          <w:rFonts w:ascii="Times New Roman" w:hAnsi="Times New Roman"/>
          <w:sz w:val="20"/>
        </w:rPr>
      </w:pPr>
      <w:r>
        <w:rPr>
          <w:rFonts w:ascii="Ashland;sans-serif" w:hAnsi="Ashland;sans-serif"/>
          <w:color w:val="000000"/>
          <w:sz w:val="20"/>
        </w:rPr>
        <w:t>Life Sciences is comprised of pharmaceuticals, nutrition, agricultural chemicals, diagnostic films (formerly known as advanced materials) and fine chemicals. Pharmaceutical solutions include controlled release polymers, disintegrants, tablet coatings, thickeners, solubilizers and tablet binders. Nutrition solutions include thickeners, stabilizers, emulsifiers and additives for enhancing mouthfeel, controlling moisture migration, reducing oil uptake and binding structured foods. Customers include pharmaceutical, food, beverage, hospitals and radiologists manufacturers.</w:t>
      </w:r>
      <w:r>
        <w:rPr>
          <w:rFonts w:ascii="Times New Roman" w:hAnsi="Times New Roman"/>
          <w:color w:val="000000"/>
          <w:sz w:val="20"/>
        </w:rPr>
        <w:t xml:space="preserve"> </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Personal Care is comprised of biofunctionals, microbial protectants (preservatives), skin care, sun care, oral care, hair care and household. These businesses have a broad range of natural, nature-derived, biodegradable, and high-performance ingredients for customer-driven solutions to help protect, renew, moisturize and revitalize skin and hair, and provide solutions for toothpastes, mouth washes and rinses, denture cleaning and care for teeth. Personal Care supplies nature-derived rheology ingredients, biodegradable surface wetting agents, performance encapsulates, and specialty polymers for household, industrial and institutional cleaning products. Customers include formulators at large multinational branded consumer products companies and smaller, independent boutique companies. The Avoca business was sold in March 2025. See Note B for additional information.</w:t>
      </w:r>
    </w:p>
    <w:p>
      <w:pPr>
        <w:pStyle w:val="TextBody"/>
        <w:bidi w:val="0"/>
        <w:spacing w:before="120" w:after="283"/>
        <w:jc w:val="both"/>
        <w:rPr>
          <w:rFonts w:ascii="Times New Roman" w:hAnsi="Times New Roman"/>
          <w:sz w:val="20"/>
        </w:rPr>
      </w:pPr>
      <w:r>
        <w:rPr>
          <w:rFonts w:ascii="Ashland;sans-serif" w:hAnsi="Ashland;sans-serif"/>
          <w:color w:val="000000"/>
          <w:sz w:val="20"/>
        </w:rPr>
        <w:t>Specialty Additives is comprised of rheology and performance-enhancing additives serving the architectural coatings, construction, energy, automotive and various industrial markets. Solutions include coatings additives for architectural paints, finishes and lacquers, cement- and gypsum-based dry mortars, ready-mixed joint compounds, synthetic plasters for commercial and residential construction, and specialty materials for industrial applications. Products include rheology modifiers (cellulosic and associative thickeners), foam control agents, surfactants and wetting agents, pH neutralizers, advanced ceramics used in catalytic converters, and</w:t>
      </w:r>
      <w:r>
        <w:rPr>
          <w:rFonts w:ascii="Times New Roman" w:hAnsi="Times New Roman"/>
          <w:color w:val="000000"/>
          <w:sz w:val="20"/>
        </w:rPr>
        <w:t xml:space="preserve"> </w:t>
      </w:r>
    </w:p>
    <w:p>
      <w:pPr>
        <w:pStyle w:val="TextBody"/>
        <w:bidi w:val="0"/>
        <w:spacing w:before="120" w:after="283"/>
        <w:jc w:val="center"/>
        <w:rPr>
          <w:rFonts w:ascii="Ashland;sans-serif" w:hAnsi="Ashland;sans-serif"/>
          <w:color w:val="000000"/>
          <w:sz w:val="20"/>
        </w:rPr>
      </w:pPr>
      <w:r>
        <w:rPr>
          <w:rFonts w:ascii="Ashland;sans-serif" w:hAnsi="Ashland;sans-serif"/>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environmental filters, ingredients that aid the manufacturing process of ceramic capacitors, plasma display panels and solar cells, ingredients for textile printing, thermoplastic metals and alloys for welding. Products help improve desired functional outcomes through rheology modification and control, water retention, workability, adhesive strength, binding power, film formation, deposition and suspension and emulsification. Customers include, but are not limited to, global paint manufacturers, electronics and automotive manufacturers, textile mills, the construction industry and welders.</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Intermediates is comprised of the production of 1,4 butanediol ("BDO") and related derivatives, including n-methylpyrrolidone. These products are used as chemical intermediates in the production of engineering polymers and polyurethanes, and as specialty process solvents in a wide array of applications including electronics, agriculture, pharmaceuticals, water filtration membranes and more. BDO is also supplied to Life Sciences, Personal Care, and Specialty Additives for use as a raw material.</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Unallocated and other generally includes items such as certain significant company-wide restructuring activities, corporate governance costs and legacy costs or activities that relate to divested businesses that are no longer operated by Ashland.</w:t>
      </w:r>
    </w:p>
    <w:p>
      <w:pPr>
        <w:pStyle w:val="TextBody"/>
        <w:bidi w:val="0"/>
        <w:spacing w:before="120" w:after="283"/>
        <w:jc w:val="both"/>
        <w:rPr>
          <w:rFonts w:ascii="Ashland;sans-serif" w:hAnsi="Ashland;sans-serif"/>
          <w:b/>
          <w:color w:val="000000"/>
          <w:sz w:val="20"/>
        </w:rPr>
      </w:pPr>
      <w:r>
        <w:rPr>
          <w:rFonts w:ascii="Ashland;sans-serif" w:hAnsi="Ashland;sans-serif"/>
          <w:b/>
          <w:color w:val="000000"/>
          <w:sz w:val="20"/>
        </w:rPr>
        <w:t>Reportable segment results</w:t>
      </w:r>
    </w:p>
    <w:p>
      <w:pPr>
        <w:pStyle w:val="TextBody"/>
        <w:bidi w:val="0"/>
        <w:spacing w:before="120" w:after="283"/>
        <w:jc w:val="both"/>
        <w:rPr>
          <w:rFonts w:ascii="Times New Roman" w:hAnsi="Times New Roman"/>
          <w:sz w:val="20"/>
        </w:rPr>
      </w:pPr>
      <w:r>
        <w:rPr>
          <w:rFonts w:ascii="Ashland;sans-serif" w:hAnsi="Ashland;sans-serif"/>
          <w:color w:val="000000"/>
          <w:sz w:val="20"/>
        </w:rPr>
        <w:t>Results of Ashland’s reportable segments are presented based on its management and internal accounting structure. The structure is specific to Ashland; therefore, the financial results of Ashland’s reportable segments are not necessarily comparable with similar information for other comparable companies. Ashland allocates all costs to its reportable segments except for certain significant company-wide restructuring activities, certain corporate governance costs and other costs or activities that relate to former businesses that Ashland no longer operates. The service cost component of pension and other postretirement benefits costs is allocated to each reportable segment on a ratable basis; while the remaining components of pension and other postretirement benefits costs are recorded within the other net periodic benefit (income) loss caption of the Statements of Condensed Consolidated Comprehensive Income (Loss). Ashland refines its expense allocation methodologies to the reportable segments from time to time as more refined information becomes available and the industry or market changes. Significant revisions to Ashland’s methodologies are adjusted for all reportable segments on a retrospective basis. There were no</w:t>
      </w:r>
      <w:r>
        <w:rPr>
          <w:rFonts w:ascii="Times New Roman" w:hAnsi="Times New Roman"/>
          <w:color w:val="000000"/>
          <w:sz w:val="20"/>
        </w:rPr>
        <w:t xml:space="preserve"> </w:t>
      </w:r>
      <w:r>
        <w:rPr>
          <w:rFonts w:ascii="Ashland;sans-serif" w:hAnsi="Ashland;sans-serif"/>
          <w:color w:val="000000"/>
          <w:sz w:val="20"/>
        </w:rPr>
        <w:t>material changes in methodology for the three and nine months ended June 30, 2026 or 2025.</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Ashland determined that disclosing sales by specific product was impracticable due to the highly customized and extensive portfolio of products offered to customers and since no one product or a small group of products could be aggregated together to represent a majority of revenue within a reportable segment.</w:t>
      </w:r>
    </w:p>
    <w:p>
      <w:pPr>
        <w:pStyle w:val="TextBody"/>
        <w:bidi w:val="0"/>
        <w:spacing w:before="120" w:after="283"/>
        <w:jc w:val="center"/>
        <w:rPr>
          <w:rFonts w:ascii="Ashland;sans-serif" w:hAnsi="Ashland;sans-serif"/>
          <w:color w:val="000000"/>
          <w:sz w:val="20"/>
        </w:rPr>
      </w:pPr>
      <w:r>
        <w:rPr>
          <w:rFonts w:ascii="Ashland;sans-serif" w:hAnsi="Ashland;sans-serif"/>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The following table presents various financial information for each reportable segment:</w:t>
      </w:r>
    </w:p>
    <w:p>
      <w:pPr>
        <w:pStyle w:val="TextBody"/>
        <w:bidi w:val="0"/>
        <w:jc w:val="both"/>
        <w:rPr/>
      </w:pPr>
      <w:r>
        <w:rPr/>
        <w:t> </w:t>
      </w:r>
    </w:p>
    <w:tbl>
      <w:tblPr>
        <w:tblW w:w="9025" w:type="dxa"/>
        <w:jc w:val="left"/>
        <w:tblInd w:w="0" w:type="dxa"/>
        <w:tblLayout w:type="fixed"/>
        <w:tblCellMar>
          <w:top w:w="28" w:type="dxa"/>
          <w:left w:w="28" w:type="dxa"/>
          <w:bottom w:w="28" w:type="dxa"/>
          <w:right w:w="28" w:type="dxa"/>
        </w:tblCellMar>
      </w:tblPr>
      <w:tblGrid>
        <w:gridCol w:w="4201"/>
        <w:gridCol w:w="247"/>
        <w:gridCol w:w="493"/>
        <w:gridCol w:w="194"/>
        <w:gridCol w:w="171"/>
        <w:gridCol w:w="247"/>
        <w:gridCol w:w="493"/>
        <w:gridCol w:w="366"/>
        <w:gridCol w:w="346"/>
        <w:gridCol w:w="211"/>
        <w:gridCol w:w="571"/>
        <w:gridCol w:w="166"/>
        <w:gridCol w:w="146"/>
        <w:gridCol w:w="211"/>
        <w:gridCol w:w="571"/>
        <w:gridCol w:w="391"/>
      </w:tblGrid>
      <w:tr>
        <w:trPr/>
        <w:tc>
          <w:tcPr>
            <w:tcW w:w="420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0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45"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7"/>
              </w:rPr>
            </w:pPr>
            <w:r>
              <w:rPr>
                <w:rFonts w:ascii="Ashland;sans-serif" w:hAnsi="Ashland;sans-serif"/>
                <w:color w:val="000000"/>
                <w:sz w:val="17"/>
              </w:rPr>
              <w:t>Three months ended</w:t>
            </w:r>
          </w:p>
        </w:tc>
        <w:tc>
          <w:tcPr>
            <w:tcW w:w="3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76"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7"/>
              </w:rPr>
            </w:pPr>
            <w:r>
              <w:rPr>
                <w:rFonts w:ascii="Ashland;sans-serif" w:hAnsi="Ashland;sans-serif"/>
                <w:color w:val="000000"/>
                <w:sz w:val="17"/>
              </w:rPr>
              <w:t>Nine months ended</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7"/>
              </w:rPr>
            </w:pPr>
            <w:r>
              <w:rPr>
                <w:rFonts w:ascii="Ashland;sans-serif" w:hAnsi="Ashland;sans-serif"/>
                <w:color w:val="000000"/>
                <w:sz w:val="17"/>
              </w:rPr>
              <w:t>June 30</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7"/>
              </w:rPr>
            </w:pPr>
            <w:r>
              <w:rPr>
                <w:rFonts w:ascii="Ashland;sans-serif" w:hAnsi="Ashland;sans-serif"/>
                <w:color w:val="000000"/>
                <w:sz w:val="17"/>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(In millions - unaudited)</w:t>
            </w:r>
          </w:p>
        </w:tc>
        <w:tc>
          <w:tcPr>
            <w:tcW w:w="7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7"/>
              </w:rPr>
            </w:pPr>
            <w:r>
              <w:rPr>
                <w:rFonts w:ascii="Ashland;sans-serif" w:hAnsi="Ashland;sans-serif"/>
                <w:color w:val="000000"/>
                <w:sz w:val="17"/>
              </w:rPr>
              <w:t>2026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7"/>
              </w:rPr>
            </w:pPr>
            <w:r>
              <w:rPr>
                <w:rFonts w:ascii="Ashland;sans-serif" w:hAnsi="Ashland;sans-serif"/>
                <w:color w:val="000000"/>
                <w:sz w:val="17"/>
              </w:rPr>
              <w:t>2025</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7"/>
              </w:rPr>
            </w:pPr>
            <w:r>
              <w:rPr>
                <w:rFonts w:ascii="Ashland;sans-serif" w:hAnsi="Ashland;sans-serif"/>
                <w:color w:val="000000"/>
                <w:sz w:val="17"/>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7"/>
              </w:rPr>
            </w:pPr>
            <w:r>
              <w:rPr>
                <w:rFonts w:ascii="Ashland;sans-serif" w:hAnsi="Ashland;sans-serif"/>
                <w:color w:val="000000"/>
                <w:sz w:val="17"/>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7"/>
              </w:rPr>
            </w:pPr>
            <w:r>
              <w:rPr>
                <w:rFonts w:ascii="Ashland;sans-serif" w:hAnsi="Ashland;sans-serif"/>
                <w:b/>
                <w:color w:val="000000"/>
                <w:sz w:val="17"/>
              </w:rPr>
              <w:t>Sales</w:t>
            </w:r>
          </w:p>
        </w:tc>
        <w:tc>
          <w:tcPr>
            <w:tcW w:w="7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i/>
                <w:color w:val="000000"/>
                <w:sz w:val="17"/>
              </w:rPr>
            </w:pPr>
            <w:r>
              <w:rPr>
                <w:rFonts w:ascii="Ashland;sans-serif" w:hAnsi="Ashland;sans-serif"/>
                <w:i/>
                <w:color w:val="000000"/>
                <w:sz w:val="17"/>
              </w:rPr>
              <w:t>Life Sciences</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180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162</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491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468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i/>
                <w:color w:val="000000"/>
                <w:sz w:val="17"/>
              </w:rPr>
            </w:pPr>
            <w:r>
              <w:rPr>
                <w:rFonts w:ascii="Ashland;sans-serif" w:hAnsi="Ashland;sans-serif"/>
                <w:i/>
                <w:color w:val="000000"/>
                <w:sz w:val="17"/>
              </w:rPr>
              <w:t>Personal Care</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155</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147</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428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426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i/>
                <w:color w:val="000000"/>
                <w:sz w:val="17"/>
              </w:rPr>
            </w:pPr>
            <w:r>
              <w:rPr>
                <w:rFonts w:ascii="Ashland;sans-serif" w:hAnsi="Ashland;sans-serif"/>
                <w:i/>
                <w:color w:val="000000"/>
                <w:sz w:val="17"/>
              </w:rPr>
              <w:t>Specialty Additives</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136</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131</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372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380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i/>
                <w:color w:val="000000"/>
                <w:sz w:val="17"/>
              </w:rPr>
            </w:pPr>
            <w:r>
              <w:rPr>
                <w:rFonts w:ascii="Ashland;sans-serif" w:hAnsi="Ashland;sans-serif"/>
                <w:i/>
                <w:color w:val="000000"/>
                <w:sz w:val="17"/>
              </w:rPr>
              <w:t>Intermediates</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37</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33</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103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104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7"/>
              </w:rPr>
            </w:pPr>
            <w:r>
              <w:rPr>
                <w:rFonts w:ascii="Ashland;sans-serif" w:hAnsi="Ashland;sans-serif"/>
                <w:i/>
                <w:color w:val="000000"/>
                <w:sz w:val="17"/>
              </w:rPr>
              <w:t>Intersegment sales</w:t>
            </w:r>
            <w:r>
              <w:rPr>
                <w:rFonts w:ascii="Ashland;sans-serif" w:hAnsi="Ashland;sans-serif"/>
                <w:color w:val="000000"/>
                <w:sz w:val="11"/>
              </w:rPr>
              <w:t>(a)</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(11</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(10</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shland;sans-serif" w:hAnsi="Ashland;sans-serif"/>
                <w:color w:val="000000"/>
                <w:sz w:val="17"/>
              </w:rPr>
            </w:pPr>
            <w:r>
              <w:rPr>
                <w:rFonts w:ascii="Ashland;sans-serif" w:hAnsi="Ashland;sans-serif"/>
                <w:color w:val="000000"/>
                <w:sz w:val="17"/>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c>
          <w:tcPr>
            <w:tcW w:w="4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497</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c>
          <w:tcPr>
            <w:tcW w:w="4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463</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1,365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1,347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7"/>
              </w:rPr>
            </w:pPr>
            <w:r>
              <w:rPr>
                <w:rFonts w:ascii="Ashland;sans-serif" w:hAnsi="Ashland;sans-serif"/>
                <w:b/>
                <w:color w:val="000000"/>
                <w:sz w:val="17"/>
              </w:rPr>
              <w:t>Cost of sales</w:t>
            </w:r>
          </w:p>
        </w:tc>
        <w:tc>
          <w:tcPr>
            <w:tcW w:w="7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i/>
                <w:color w:val="000000"/>
                <w:sz w:val="17"/>
              </w:rPr>
            </w:pPr>
            <w:r>
              <w:rPr>
                <w:rFonts w:ascii="Ashland;sans-serif" w:hAnsi="Ashland;sans-serif"/>
                <w:i/>
                <w:color w:val="000000"/>
                <w:sz w:val="17"/>
              </w:rPr>
              <w:t>Life Sciences</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106</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103</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308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311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i/>
                <w:color w:val="000000"/>
                <w:sz w:val="17"/>
              </w:rPr>
            </w:pPr>
            <w:r>
              <w:rPr>
                <w:rFonts w:ascii="Ashland;sans-serif" w:hAnsi="Ashland;sans-serif"/>
                <w:i/>
                <w:color w:val="000000"/>
                <w:sz w:val="17"/>
              </w:rPr>
              <w:t>Personal Care</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90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87</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257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256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i/>
                <w:color w:val="000000"/>
                <w:sz w:val="17"/>
              </w:rPr>
            </w:pPr>
            <w:r>
              <w:rPr>
                <w:rFonts w:ascii="Ashland;sans-serif" w:hAnsi="Ashland;sans-serif"/>
                <w:i/>
                <w:color w:val="000000"/>
                <w:sz w:val="17"/>
              </w:rPr>
              <w:t>Specialty Additives</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110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123</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317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328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i/>
                <w:color w:val="000000"/>
                <w:sz w:val="17"/>
              </w:rPr>
            </w:pPr>
            <w:r>
              <w:rPr>
                <w:rFonts w:ascii="Ashland;sans-serif" w:hAnsi="Ashland;sans-serif"/>
                <w:i/>
                <w:color w:val="000000"/>
                <w:sz w:val="17"/>
              </w:rPr>
              <w:t>Intermediates</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32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28</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93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i/>
                <w:color w:val="000000"/>
                <w:sz w:val="17"/>
              </w:rPr>
            </w:pPr>
            <w:r>
              <w:rPr>
                <w:rFonts w:ascii="Ashland;sans-serif" w:hAnsi="Ashland;sans-serif"/>
                <w:i/>
                <w:color w:val="000000"/>
                <w:sz w:val="17"/>
              </w:rPr>
              <w:t>Intersegment sales</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(11</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(10</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(31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327</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331</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943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957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7"/>
              </w:rPr>
            </w:pPr>
            <w:r>
              <w:rPr>
                <w:rFonts w:ascii="Ashland;sans-serif" w:hAnsi="Ashland;sans-serif"/>
                <w:b/>
                <w:color w:val="000000"/>
                <w:sz w:val="17"/>
              </w:rPr>
              <w:t>Selling, general and administrative expense</w:t>
            </w:r>
          </w:p>
        </w:tc>
        <w:tc>
          <w:tcPr>
            <w:tcW w:w="7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i/>
                <w:color w:val="000000"/>
                <w:sz w:val="17"/>
              </w:rPr>
            </w:pPr>
            <w:r>
              <w:rPr>
                <w:rFonts w:ascii="Ashland;sans-serif" w:hAnsi="Ashland;sans-serif"/>
                <w:i/>
                <w:color w:val="000000"/>
                <w:sz w:val="17"/>
              </w:rPr>
              <w:t>Life Sciences</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20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18</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58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i/>
                <w:color w:val="000000"/>
                <w:sz w:val="17"/>
              </w:rPr>
            </w:pPr>
            <w:r>
              <w:rPr>
                <w:rFonts w:ascii="Ashland;sans-serif" w:hAnsi="Ashland;sans-serif"/>
                <w:i/>
                <w:color w:val="000000"/>
                <w:sz w:val="17"/>
              </w:rPr>
              <w:t>Personal Care</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22</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21</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62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i/>
                <w:color w:val="000000"/>
                <w:sz w:val="17"/>
              </w:rPr>
            </w:pPr>
            <w:r>
              <w:rPr>
                <w:rFonts w:ascii="Ashland;sans-serif" w:hAnsi="Ashland;sans-serif"/>
                <w:i/>
                <w:color w:val="000000"/>
                <w:sz w:val="17"/>
              </w:rPr>
              <w:t>Specialty Additives</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17</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17</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49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i/>
                <w:color w:val="000000"/>
                <w:sz w:val="17"/>
              </w:rPr>
            </w:pPr>
            <w:r>
              <w:rPr>
                <w:rFonts w:ascii="Ashland;sans-serif" w:hAnsi="Ashland;sans-serif"/>
                <w:i/>
                <w:color w:val="000000"/>
                <w:sz w:val="17"/>
              </w:rPr>
              <w:t>Intermediates</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2</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1</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shland;sans-serif" w:hAnsi="Ashland;sans-serif"/>
                <w:i/>
                <w:color w:val="000000"/>
                <w:sz w:val="17"/>
              </w:rPr>
              <w:t>Total operating segments</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61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57</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173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i/>
                <w:color w:val="000000"/>
                <w:sz w:val="17"/>
              </w:rPr>
            </w:pPr>
            <w:r>
              <w:rPr>
                <w:rFonts w:ascii="Ashland;sans-serif" w:hAnsi="Ashland;sans-serif"/>
                <w:i/>
                <w:color w:val="000000"/>
                <w:sz w:val="17"/>
              </w:rPr>
              <w:t>Unallocated and other</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38</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49</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95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99</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106</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264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268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7"/>
              </w:rPr>
            </w:pPr>
            <w:r>
              <w:rPr>
                <w:rFonts w:ascii="Ashland;sans-serif" w:hAnsi="Ashland;sans-serif"/>
                <w:b/>
                <w:color w:val="000000"/>
                <w:sz w:val="17"/>
              </w:rPr>
              <w:t>Research and development expense</w:t>
            </w:r>
          </w:p>
        </w:tc>
        <w:tc>
          <w:tcPr>
            <w:tcW w:w="7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i/>
                <w:color w:val="000000"/>
                <w:sz w:val="17"/>
              </w:rPr>
            </w:pPr>
            <w:r>
              <w:rPr>
                <w:rFonts w:ascii="Ashland;sans-serif" w:hAnsi="Ashland;sans-serif"/>
                <w:i/>
                <w:color w:val="000000"/>
                <w:sz w:val="17"/>
              </w:rPr>
              <w:t>Life Sciences</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4</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4</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12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i/>
                <w:color w:val="000000"/>
                <w:sz w:val="17"/>
              </w:rPr>
            </w:pPr>
            <w:r>
              <w:rPr>
                <w:rFonts w:ascii="Ashland;sans-serif" w:hAnsi="Ashland;sans-serif"/>
                <w:i/>
                <w:color w:val="000000"/>
                <w:sz w:val="17"/>
              </w:rPr>
              <w:t>Personal Care</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6</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6</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19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i/>
                <w:color w:val="000000"/>
                <w:sz w:val="17"/>
              </w:rPr>
            </w:pPr>
            <w:r>
              <w:rPr>
                <w:rFonts w:ascii="Ashland;sans-serif" w:hAnsi="Ashland;sans-serif"/>
                <w:i/>
                <w:color w:val="000000"/>
                <w:sz w:val="17"/>
              </w:rPr>
              <w:t>Specialty Additives</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4</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3</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i/>
                <w:color w:val="000000"/>
                <w:sz w:val="17"/>
              </w:rPr>
            </w:pPr>
            <w:r>
              <w:rPr>
                <w:rFonts w:ascii="Ashland;sans-serif" w:hAnsi="Ashland;sans-serif"/>
                <w:i/>
                <w:color w:val="000000"/>
                <w:sz w:val="17"/>
              </w:rPr>
              <w:t>Intermediates</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shland;sans-serif" w:hAnsi="Ashland;sans-serif"/>
                <w:i/>
                <w:color w:val="000000"/>
                <w:sz w:val="17"/>
              </w:rPr>
              <w:t>Total operating segments</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14</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13</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39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i/>
                <w:color w:val="000000"/>
                <w:sz w:val="17"/>
              </w:rPr>
            </w:pPr>
            <w:r>
              <w:rPr>
                <w:rFonts w:ascii="Ashland;sans-serif" w:hAnsi="Ashland;sans-serif"/>
                <w:i/>
                <w:color w:val="000000"/>
                <w:sz w:val="17"/>
              </w:rPr>
              <w:t>Unallocated and other</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1</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15</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13</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41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7"/>
              </w:rPr>
            </w:pPr>
            <w:r>
              <w:rPr>
                <w:rFonts w:ascii="Ashland;sans-serif" w:hAnsi="Ashland;sans-serif"/>
                <w:b/>
                <w:color w:val="000000"/>
                <w:sz w:val="17"/>
              </w:rPr>
              <w:t>Amortization expense</w:t>
            </w:r>
          </w:p>
        </w:tc>
        <w:tc>
          <w:tcPr>
            <w:tcW w:w="7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i/>
                <w:color w:val="000000"/>
                <w:sz w:val="17"/>
              </w:rPr>
            </w:pPr>
            <w:r>
              <w:rPr>
                <w:rFonts w:ascii="Ashland;sans-serif" w:hAnsi="Ashland;sans-serif"/>
                <w:i/>
                <w:color w:val="000000"/>
                <w:sz w:val="17"/>
              </w:rPr>
              <w:t>Life Sciences</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5</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5</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13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i/>
                <w:color w:val="000000"/>
                <w:sz w:val="17"/>
              </w:rPr>
            </w:pPr>
            <w:r>
              <w:rPr>
                <w:rFonts w:ascii="Ashland;sans-serif" w:hAnsi="Ashland;sans-serif"/>
                <w:i/>
                <w:color w:val="000000"/>
                <w:sz w:val="17"/>
              </w:rPr>
              <w:t>Personal Care</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8</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8</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26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i/>
                <w:color w:val="000000"/>
                <w:sz w:val="17"/>
              </w:rPr>
            </w:pPr>
            <w:r>
              <w:rPr>
                <w:rFonts w:ascii="Ashland;sans-serif" w:hAnsi="Ashland;sans-serif"/>
                <w:i/>
                <w:color w:val="000000"/>
                <w:sz w:val="17"/>
              </w:rPr>
              <w:t>Specialty Additives</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2</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i/>
                <w:color w:val="000000"/>
                <w:sz w:val="17"/>
              </w:rPr>
            </w:pPr>
            <w:r>
              <w:rPr>
                <w:rFonts w:ascii="Ashland;sans-serif" w:hAnsi="Ashland;sans-serif"/>
                <w:i/>
                <w:color w:val="000000"/>
                <w:sz w:val="17"/>
              </w:rPr>
              <w:t>Intermediates</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shland;sans-serif" w:hAnsi="Ashland;sans-serif"/>
                <w:i/>
                <w:color w:val="000000"/>
                <w:sz w:val="17"/>
              </w:rPr>
              <w:t>Total operating segments</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15</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15</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47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i/>
                <w:color w:val="000000"/>
                <w:sz w:val="17"/>
              </w:rPr>
            </w:pPr>
            <w:r>
              <w:rPr>
                <w:rFonts w:ascii="Ashland;sans-serif" w:hAnsi="Ashland;sans-serif"/>
                <w:i/>
                <w:color w:val="000000"/>
                <w:sz w:val="17"/>
              </w:rPr>
              <w:t>Unallocated and other</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15</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15</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47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7"/>
              </w:rPr>
            </w:pPr>
            <w:r>
              <w:rPr>
                <w:rFonts w:ascii="Ashland;sans-serif" w:hAnsi="Ashland;sans-serif"/>
                <w:b/>
                <w:color w:val="000000"/>
                <w:sz w:val="17"/>
              </w:rPr>
              <w:t>Equity and other income</w:t>
            </w:r>
          </w:p>
        </w:tc>
        <w:tc>
          <w:tcPr>
            <w:tcW w:w="7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i/>
                <w:color w:val="000000"/>
                <w:sz w:val="17"/>
              </w:rPr>
            </w:pPr>
            <w:r>
              <w:rPr>
                <w:rFonts w:ascii="Ashland;sans-serif" w:hAnsi="Ashland;sans-serif"/>
                <w:i/>
                <w:color w:val="000000"/>
                <w:sz w:val="17"/>
              </w:rPr>
              <w:t>Life Sciences</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i/>
                <w:color w:val="000000"/>
                <w:sz w:val="17"/>
              </w:rPr>
            </w:pPr>
            <w:r>
              <w:rPr>
                <w:rFonts w:ascii="Ashland;sans-serif" w:hAnsi="Ashland;sans-serif"/>
                <w:i/>
                <w:color w:val="000000"/>
                <w:sz w:val="17"/>
              </w:rPr>
              <w:t>Personal Care</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i/>
                <w:color w:val="000000"/>
                <w:sz w:val="17"/>
              </w:rPr>
            </w:pPr>
            <w:r>
              <w:rPr>
                <w:rFonts w:ascii="Ashland;sans-serif" w:hAnsi="Ashland;sans-serif"/>
                <w:i/>
                <w:color w:val="000000"/>
                <w:sz w:val="17"/>
              </w:rPr>
              <w:t>Specialty Additives</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i/>
                <w:color w:val="000000"/>
                <w:sz w:val="17"/>
              </w:rPr>
            </w:pPr>
            <w:r>
              <w:rPr>
                <w:rFonts w:ascii="Ashland;sans-serif" w:hAnsi="Ashland;sans-serif"/>
                <w:i/>
                <w:color w:val="000000"/>
                <w:sz w:val="17"/>
              </w:rPr>
              <w:t>Intermediates</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shland;sans-serif" w:hAnsi="Ashland;sans-serif"/>
                <w:i/>
                <w:color w:val="000000"/>
                <w:sz w:val="17"/>
              </w:rPr>
              <w:t>Total operating segments</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i/>
                <w:color w:val="000000"/>
                <w:sz w:val="17"/>
              </w:rPr>
            </w:pPr>
            <w:r>
              <w:rPr>
                <w:rFonts w:ascii="Ashland;sans-serif" w:hAnsi="Ashland;sans-serif"/>
                <w:i/>
                <w:color w:val="000000"/>
                <w:sz w:val="17"/>
              </w:rPr>
              <w:t>Unallocated and other</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1</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7"/>
              </w:rPr>
            </w:pPr>
            <w:r>
              <w:rPr>
                <w:rFonts w:ascii="Ashland;sans-serif" w:hAnsi="Ashland;sans-serif"/>
                <w:color w:val="000000"/>
                <w:sz w:val="17"/>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7"/>
              </w:rPr>
            </w:pPr>
            <w:r>
              <w:rPr>
                <w:rFonts w:ascii="Ashland;sans-serif" w:hAnsi="Ashland;sans-serif"/>
                <w:color w:val="000000"/>
                <w:sz w:val="17"/>
              </w:rPr>
              <w:t>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Ashland;sans-serif" w:hAnsi="Ashland;sans-serif"/>
          <w:color w:val="000000"/>
          <w:sz w:val="20"/>
        </w:rPr>
      </w:pPr>
      <w:r>
        <w:rPr>
          <w:rFonts w:ascii="Ashland;sans-serif" w:hAnsi="Ashland;sans-serif"/>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623"/>
        <w:gridCol w:w="247"/>
        <w:gridCol w:w="510"/>
        <w:gridCol w:w="198"/>
        <w:gridCol w:w="160"/>
        <w:gridCol w:w="247"/>
        <w:gridCol w:w="593"/>
        <w:gridCol w:w="181"/>
        <w:gridCol w:w="146"/>
        <w:gridCol w:w="236"/>
        <w:gridCol w:w="488"/>
        <w:gridCol w:w="189"/>
        <w:gridCol w:w="152"/>
        <w:gridCol w:w="236"/>
        <w:gridCol w:w="566"/>
        <w:gridCol w:w="433"/>
      </w:tblGrid>
      <w:tr>
        <w:trPr/>
        <w:tc>
          <w:tcPr>
            <w:tcW w:w="562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r>
      <w:tr>
        <w:trPr/>
        <w:tc>
          <w:tcPr>
            <w:tcW w:w="562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55"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Three months ended</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67"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Nine months ended</w:t>
            </w:r>
          </w:p>
        </w:tc>
        <w:tc>
          <w:tcPr>
            <w:tcW w:w="43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56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w:t>
            </w:r>
          </w:p>
        </w:tc>
        <w:tc>
          <w:tcPr>
            <w:tcW w:w="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 - unaudited)</w:t>
            </w:r>
          </w:p>
        </w:tc>
        <w:tc>
          <w:tcPr>
            <w:tcW w:w="7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2026</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2026</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2025</w:t>
            </w:r>
          </w:p>
        </w:tc>
        <w:tc>
          <w:tcPr>
            <w:tcW w:w="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23"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Goodwill impairment and (income) loss on divestitures, net</w:t>
            </w:r>
          </w:p>
        </w:tc>
        <w:tc>
          <w:tcPr>
            <w:tcW w:w="7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i/>
                <w:color w:val="000000"/>
                <w:sz w:val="18"/>
              </w:rPr>
            </w:pPr>
            <w:r>
              <w:rPr>
                <w:rFonts w:ascii="Ashland;sans-serif" w:hAnsi="Ashland;sans-serif"/>
                <w:i/>
                <w:color w:val="000000"/>
                <w:sz w:val="18"/>
              </w:rPr>
              <w:t>Life Sciences</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375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375</w:t>
            </w:r>
          </w:p>
        </w:tc>
        <w:tc>
          <w:tcPr>
            <w:tcW w:w="4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2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i/>
                <w:color w:val="000000"/>
                <w:sz w:val="18"/>
              </w:rPr>
            </w:pPr>
            <w:r>
              <w:rPr>
                <w:rFonts w:ascii="Ashland;sans-serif" w:hAnsi="Ashland;sans-serif"/>
                <w:i/>
                <w:color w:val="000000"/>
                <w:sz w:val="18"/>
              </w:rPr>
              <w:t>Personal Care</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i/>
                <w:color w:val="000000"/>
                <w:sz w:val="18"/>
              </w:rPr>
            </w:pPr>
            <w:r>
              <w:rPr>
                <w:rFonts w:ascii="Ashland;sans-serif" w:hAnsi="Ashland;sans-serif"/>
                <w:i/>
                <w:color w:val="000000"/>
                <w:sz w:val="18"/>
              </w:rPr>
              <w:t>Specialty Additives</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331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331</w:t>
            </w:r>
          </w:p>
        </w:tc>
        <w:tc>
          <w:tcPr>
            <w:tcW w:w="4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2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i/>
                <w:color w:val="000000"/>
                <w:sz w:val="18"/>
              </w:rPr>
            </w:pPr>
            <w:r>
              <w:rPr>
                <w:rFonts w:ascii="Ashland;sans-serif" w:hAnsi="Ashland;sans-serif"/>
                <w:i/>
                <w:color w:val="000000"/>
                <w:sz w:val="18"/>
              </w:rPr>
              <w:t>Intermediates</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3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6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shland;sans-serif" w:hAnsi="Ashland;sans-serif"/>
                <w:i/>
                <w:color w:val="000000"/>
                <w:sz w:val="18"/>
              </w:rPr>
              <w:t>Total operating segments</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706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706</w:t>
            </w:r>
          </w:p>
        </w:tc>
        <w:tc>
          <w:tcPr>
            <w:tcW w:w="4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2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i/>
                <w:color w:val="000000"/>
                <w:sz w:val="18"/>
              </w:rPr>
            </w:pPr>
            <w:r>
              <w:rPr>
                <w:rFonts w:ascii="Ashland;sans-serif" w:hAnsi="Ashland;sans-serif"/>
                <w:i/>
                <w:color w:val="000000"/>
                <w:sz w:val="18"/>
              </w:rPr>
              <w:t>Unallocated and other</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165</w:t>
            </w:r>
          </w:p>
        </w:tc>
        <w:tc>
          <w:tcPr>
            <w:tcW w:w="43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6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706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871</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23"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Operating income (loss)</w:t>
            </w:r>
          </w:p>
        </w:tc>
        <w:tc>
          <w:tcPr>
            <w:tcW w:w="7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i/>
                <w:color w:val="000000"/>
                <w:sz w:val="18"/>
              </w:rPr>
            </w:pPr>
            <w:r>
              <w:rPr>
                <w:rFonts w:ascii="Ashland;sans-serif" w:hAnsi="Ashland;sans-serif"/>
                <w:i/>
                <w:color w:val="000000"/>
                <w:sz w:val="18"/>
              </w:rPr>
              <w:t>Life Sciences</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45</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(343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97</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(301</w:t>
            </w:r>
          </w:p>
        </w:tc>
        <w:tc>
          <w:tcPr>
            <w:tcW w:w="4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w:t>
            </w:r>
          </w:p>
        </w:tc>
      </w:tr>
      <w:tr>
        <w:trPr/>
        <w:tc>
          <w:tcPr>
            <w:tcW w:w="562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i/>
                <w:color w:val="000000"/>
                <w:sz w:val="18"/>
              </w:rPr>
            </w:pPr>
            <w:r>
              <w:rPr>
                <w:rFonts w:ascii="Ashland;sans-serif" w:hAnsi="Ashland;sans-serif"/>
                <w:i/>
                <w:color w:val="000000"/>
                <w:sz w:val="18"/>
              </w:rPr>
              <w:t>Personal Care</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29</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67</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64</w:t>
            </w:r>
          </w:p>
        </w:tc>
        <w:tc>
          <w:tcPr>
            <w:tcW w:w="4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i/>
                <w:color w:val="000000"/>
                <w:sz w:val="18"/>
              </w:rPr>
            </w:pPr>
            <w:r>
              <w:rPr>
                <w:rFonts w:ascii="Ashland;sans-serif" w:hAnsi="Ashland;sans-serif"/>
                <w:i/>
                <w:color w:val="000000"/>
                <w:sz w:val="18"/>
              </w:rPr>
              <w:t>Specialty Additives</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(345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(12</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(343</w:t>
            </w:r>
          </w:p>
        </w:tc>
        <w:tc>
          <w:tcPr>
            <w:tcW w:w="4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w:t>
            </w:r>
          </w:p>
        </w:tc>
      </w:tr>
      <w:tr>
        <w:trPr/>
        <w:tc>
          <w:tcPr>
            <w:tcW w:w="562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i/>
                <w:color w:val="000000"/>
                <w:sz w:val="18"/>
              </w:rPr>
            </w:pPr>
            <w:r>
              <w:rPr>
                <w:rFonts w:ascii="Ashland;sans-serif" w:hAnsi="Ashland;sans-serif"/>
                <w:i/>
                <w:color w:val="000000"/>
                <w:sz w:val="18"/>
              </w:rPr>
              <w:t>Intermediates</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w:t>
            </w:r>
          </w:p>
        </w:tc>
        <w:tc>
          <w:tcPr>
            <w:tcW w:w="43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6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shland;sans-serif" w:hAnsi="Ashland;sans-serif"/>
                <w:i/>
                <w:color w:val="000000"/>
                <w:sz w:val="18"/>
              </w:rPr>
              <w:t>Total operating segments</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80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(659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158</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(574</w:t>
            </w:r>
          </w:p>
        </w:tc>
        <w:tc>
          <w:tcPr>
            <w:tcW w:w="4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w:t>
            </w:r>
          </w:p>
        </w:tc>
      </w:tr>
      <w:tr>
        <w:trPr/>
        <w:tc>
          <w:tcPr>
            <w:tcW w:w="562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Ashland;sans-serif" w:hAnsi="Ashland;sans-serif"/>
                <w:i/>
                <w:color w:val="000000"/>
                <w:sz w:val="18"/>
              </w:rPr>
              <w:t>Unallocated and other</w:t>
            </w:r>
            <w:r>
              <w:rPr>
                <w:rFonts w:ascii="Ashland;sans-serif" w:hAnsi="Ashland;sans-serif"/>
                <w:i/>
                <w:color w:val="000000"/>
                <w:sz w:val="12"/>
              </w:rPr>
              <w:t>(b)</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(37</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(82</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(262</w:t>
            </w:r>
          </w:p>
        </w:tc>
        <w:tc>
          <w:tcPr>
            <w:tcW w:w="43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w:t>
            </w:r>
          </w:p>
        </w:tc>
      </w:tr>
      <w:tr>
        <w:trPr/>
        <w:tc>
          <w:tcPr>
            <w:tcW w:w="56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shland;sans-serif" w:hAnsi="Ashland;sans-serif"/>
                <w:i/>
                <w:color w:val="000000"/>
                <w:sz w:val="18"/>
              </w:rPr>
              <w:t>Total operating income (loss)</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43</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(708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76</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(836</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5623"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Net interest and other (income) expense</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(8</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19</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34</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23"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Other net periodic benefit (income) loss</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w:t>
            </w:r>
          </w:p>
        </w:tc>
        <w:tc>
          <w:tcPr>
            <w:tcW w:w="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23"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Income (loss) from continuing operations before income taxes</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56</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(704</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60</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(874</w:t>
            </w:r>
          </w:p>
        </w:tc>
        <w:tc>
          <w:tcPr>
            <w:tcW w:w="4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56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shland;sans-serif" w:hAnsi="Ashland;sans-serif"/>
                <w:b/>
                <w:color w:val="000000"/>
                <w:sz w:val="18"/>
              </w:rPr>
              <w:t>EBITDA</w:t>
            </w:r>
            <w:r>
              <w:rPr>
                <w:rFonts w:ascii="Ashland;sans-serif" w:hAnsi="Ashland;sans-serif"/>
                <w:b/>
                <w:color w:val="000000"/>
                <w:sz w:val="12"/>
              </w:rPr>
              <w:t>(c)</w:t>
            </w:r>
          </w:p>
        </w:tc>
        <w:tc>
          <w:tcPr>
            <w:tcW w:w="7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i/>
                <w:color w:val="000000"/>
                <w:sz w:val="18"/>
              </w:rPr>
            </w:pPr>
            <w:r>
              <w:rPr>
                <w:rFonts w:ascii="Ashland;sans-serif" w:hAnsi="Ashland;sans-serif"/>
                <w:i/>
                <w:color w:val="000000"/>
                <w:sz w:val="18"/>
              </w:rPr>
              <w:t>Life Sciences</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(321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140</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(240</w:t>
            </w:r>
          </w:p>
        </w:tc>
        <w:tc>
          <w:tcPr>
            <w:tcW w:w="4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w:t>
            </w:r>
          </w:p>
        </w:tc>
      </w:tr>
      <w:tr>
        <w:trPr/>
        <w:tc>
          <w:tcPr>
            <w:tcW w:w="562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i/>
                <w:color w:val="000000"/>
                <w:sz w:val="18"/>
              </w:rPr>
            </w:pPr>
            <w:r>
              <w:rPr>
                <w:rFonts w:ascii="Ashland;sans-serif" w:hAnsi="Ashland;sans-serif"/>
                <w:i/>
                <w:color w:val="000000"/>
                <w:sz w:val="18"/>
              </w:rPr>
              <w:t>Personal Care</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44</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113</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113</w:t>
            </w:r>
          </w:p>
        </w:tc>
        <w:tc>
          <w:tcPr>
            <w:tcW w:w="4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i/>
                <w:color w:val="000000"/>
                <w:sz w:val="18"/>
              </w:rPr>
            </w:pPr>
            <w:r>
              <w:rPr>
                <w:rFonts w:ascii="Ashland;sans-serif" w:hAnsi="Ashland;sans-serif"/>
                <w:i/>
                <w:color w:val="000000"/>
                <w:sz w:val="18"/>
              </w:rPr>
              <w:t>Specialty Additives</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18</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(309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35</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(276</w:t>
            </w:r>
          </w:p>
        </w:tc>
        <w:tc>
          <w:tcPr>
            <w:tcW w:w="4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w:t>
            </w:r>
          </w:p>
        </w:tc>
      </w:tr>
      <w:tr>
        <w:trPr/>
        <w:tc>
          <w:tcPr>
            <w:tcW w:w="562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i/>
                <w:color w:val="000000"/>
                <w:sz w:val="18"/>
              </w:rPr>
            </w:pPr>
            <w:r>
              <w:rPr>
                <w:rFonts w:ascii="Ashland;sans-serif" w:hAnsi="Ashland;sans-serif"/>
                <w:i/>
                <w:color w:val="000000"/>
                <w:sz w:val="18"/>
              </w:rPr>
              <w:t>Intermediates</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10</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16</w:t>
            </w:r>
          </w:p>
        </w:tc>
        <w:tc>
          <w:tcPr>
            <w:tcW w:w="43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6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shland;sans-serif" w:hAnsi="Ashland;sans-serif"/>
                <w:i/>
                <w:color w:val="000000"/>
                <w:sz w:val="18"/>
              </w:rPr>
              <w:t>Total operating segments</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126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(583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298</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(387</w:t>
            </w:r>
          </w:p>
        </w:tc>
        <w:tc>
          <w:tcPr>
            <w:tcW w:w="4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w:t>
            </w:r>
          </w:p>
        </w:tc>
      </w:tr>
      <w:tr>
        <w:trPr/>
        <w:tc>
          <w:tcPr>
            <w:tcW w:w="562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i/>
                <w:color w:val="000000"/>
                <w:sz w:val="18"/>
              </w:rPr>
            </w:pPr>
            <w:r>
              <w:rPr>
                <w:rFonts w:ascii="Ashland;sans-serif" w:hAnsi="Ashland;sans-serif"/>
                <w:i/>
                <w:color w:val="000000"/>
                <w:sz w:val="18"/>
              </w:rPr>
              <w:t>Unallocated and other</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(36</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(81</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(262</w:t>
            </w:r>
          </w:p>
        </w:tc>
        <w:tc>
          <w:tcPr>
            <w:tcW w:w="43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w:t>
            </w:r>
          </w:p>
        </w:tc>
      </w:tr>
      <w:tr>
        <w:trPr/>
        <w:tc>
          <w:tcPr>
            <w:tcW w:w="56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shland;sans-serif" w:hAnsi="Ashland;sans-serif"/>
                <w:i/>
                <w:color w:val="000000"/>
                <w:sz w:val="18"/>
              </w:rPr>
              <w:t>Total EBITDA</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90</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(632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217</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(649</w:t>
            </w:r>
          </w:p>
        </w:tc>
        <w:tc>
          <w:tcPr>
            <w:tcW w:w="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5623"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Depreciation expense</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32</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95</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140</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23"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Amortization expense</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15</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46</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47</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23"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Net interest and other (income) expense</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(8</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19</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34</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23"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Other net periodic benefit (income) loss</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w:t>
            </w:r>
          </w:p>
        </w:tc>
        <w:tc>
          <w:tcPr>
            <w:tcW w:w="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23"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Income (loss) from continuing operations before income taxes</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56</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(704</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60</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(874</w:t>
            </w:r>
          </w:p>
        </w:tc>
        <w:tc>
          <w:tcPr>
            <w:tcW w:w="43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w:t>
            </w:r>
          </w:p>
        </w:tc>
      </w:tr>
      <w:tr>
        <w:trPr/>
        <w:tc>
          <w:tcPr>
            <w:tcW w:w="56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23"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Depreciation expense</w:t>
            </w:r>
          </w:p>
        </w:tc>
        <w:tc>
          <w:tcPr>
            <w:tcW w:w="7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Ashland;sans-serif" w:hAnsi="Ashland;sans-serif"/>
                <w:i/>
                <w:color w:val="000000"/>
                <w:sz w:val="18"/>
              </w:rPr>
              <w:t>Life Sciences</w:t>
            </w:r>
            <w:r>
              <w:rPr>
                <w:rFonts w:ascii="Ashland;sans-serif" w:hAnsi="Ashland;sans-serif"/>
                <w:i/>
                <w:color w:val="000000"/>
                <w:sz w:val="12"/>
              </w:rPr>
              <w:t>(d)</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29</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48</w:t>
            </w:r>
          </w:p>
        </w:tc>
        <w:tc>
          <w:tcPr>
            <w:tcW w:w="4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2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Ashland;sans-serif" w:hAnsi="Ashland;sans-serif"/>
                <w:i/>
                <w:color w:val="000000"/>
                <w:sz w:val="18"/>
              </w:rPr>
              <w:t>Personal Care</w:t>
            </w:r>
            <w:r>
              <w:rPr>
                <w:rFonts w:ascii="Ashland;sans-serif" w:hAnsi="Ashland;sans-serif"/>
                <w:i/>
                <w:color w:val="000000"/>
                <w:sz w:val="12"/>
              </w:rPr>
              <w:t>(e)</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21</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23</w:t>
            </w:r>
          </w:p>
        </w:tc>
        <w:tc>
          <w:tcPr>
            <w:tcW w:w="4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Ashland;sans-serif" w:hAnsi="Ashland;sans-serif"/>
                <w:i/>
                <w:color w:val="000000"/>
                <w:sz w:val="18"/>
              </w:rPr>
              <w:t>Specialty Additives</w:t>
            </w:r>
            <w:r>
              <w:rPr>
                <w:rFonts w:ascii="Ashland;sans-serif" w:hAnsi="Ashland;sans-serif"/>
                <w:i/>
                <w:color w:val="000000"/>
                <w:sz w:val="12"/>
              </w:rPr>
              <w:t>(e)</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13</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40</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60</w:t>
            </w:r>
          </w:p>
        </w:tc>
        <w:tc>
          <w:tcPr>
            <w:tcW w:w="4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2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i/>
                <w:color w:val="000000"/>
                <w:sz w:val="18"/>
              </w:rPr>
            </w:pPr>
            <w:r>
              <w:rPr>
                <w:rFonts w:ascii="Ashland;sans-serif" w:hAnsi="Ashland;sans-serif"/>
                <w:i/>
                <w:color w:val="000000"/>
                <w:sz w:val="18"/>
              </w:rPr>
              <w:t>Intermediates</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9</w:t>
            </w:r>
          </w:p>
        </w:tc>
        <w:tc>
          <w:tcPr>
            <w:tcW w:w="43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6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shland;sans-serif" w:hAnsi="Ashland;sans-serif"/>
                <w:i/>
                <w:color w:val="000000"/>
                <w:sz w:val="18"/>
              </w:rPr>
              <w:t>Total operating segments</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31</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94</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140</w:t>
            </w:r>
          </w:p>
        </w:tc>
        <w:tc>
          <w:tcPr>
            <w:tcW w:w="4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2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Ashland;sans-serif" w:hAnsi="Ashland;sans-serif"/>
                <w:i/>
                <w:color w:val="000000"/>
                <w:sz w:val="18"/>
              </w:rPr>
              <w:t>Unallocated and other</w:t>
            </w:r>
            <w:r>
              <w:rPr>
                <w:rFonts w:ascii="Ashland;sans-serif" w:hAnsi="Ashland;sans-serif"/>
                <w:i/>
                <w:color w:val="000000"/>
                <w:sz w:val="12"/>
              </w:rPr>
              <w:t>(f)</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32</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61</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95</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140</w:t>
            </w:r>
          </w:p>
        </w:tc>
        <w:tc>
          <w:tcPr>
            <w:tcW w:w="4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Ashland;sans-serif" w:hAnsi="Ashland;sans-serif"/>
          <w:color w:val="000000"/>
          <w:sz w:val="20"/>
        </w:rPr>
      </w:pPr>
      <w:r>
        <w:rPr>
          <w:rFonts w:ascii="Ashland;sans-serif" w:hAnsi="Ashland;sans-serif"/>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6836" w:type="dxa"/>
        <w:jc w:val="left"/>
        <w:tblInd w:w="0" w:type="dxa"/>
        <w:tblLayout w:type="fixed"/>
        <w:tblCellMar>
          <w:top w:w="28" w:type="dxa"/>
          <w:left w:w="28" w:type="dxa"/>
          <w:bottom w:w="28" w:type="dxa"/>
          <w:right w:w="28" w:type="dxa"/>
        </w:tblCellMar>
      </w:tblPr>
      <w:tblGrid>
        <w:gridCol w:w="3871"/>
        <w:gridCol w:w="226"/>
        <w:gridCol w:w="646"/>
        <w:gridCol w:w="146"/>
        <w:gridCol w:w="146"/>
        <w:gridCol w:w="364"/>
        <w:gridCol w:w="1046"/>
        <w:gridCol w:w="391"/>
      </w:tblGrid>
      <w:tr>
        <w:trPr/>
        <w:tc>
          <w:tcPr>
            <w:tcW w:w="38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7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10"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September 30</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 - unaudited)</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Assets</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i/>
                <w:color w:val="000000"/>
                <w:sz w:val="18"/>
              </w:rPr>
            </w:pPr>
            <w:r>
              <w:rPr>
                <w:rFonts w:ascii="Ashland;sans-serif" w:hAnsi="Ashland;sans-serif"/>
                <w:i/>
                <w:color w:val="000000"/>
                <w:sz w:val="18"/>
              </w:rPr>
              <w:t>Life Sciences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1,454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1,498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i/>
                <w:color w:val="000000"/>
                <w:sz w:val="18"/>
              </w:rPr>
            </w:pPr>
            <w:r>
              <w:rPr>
                <w:rFonts w:ascii="Ashland;sans-serif" w:hAnsi="Ashland;sans-serif"/>
                <w:i/>
                <w:color w:val="000000"/>
                <w:sz w:val="18"/>
              </w:rPr>
              <w:t>Personal Care</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751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i/>
                <w:color w:val="000000"/>
                <w:sz w:val="18"/>
              </w:rPr>
            </w:pPr>
            <w:r>
              <w:rPr>
                <w:rFonts w:ascii="Ashland;sans-serif" w:hAnsi="Ashland;sans-serif"/>
                <w:i/>
                <w:color w:val="000000"/>
                <w:sz w:val="18"/>
              </w:rPr>
              <w:t>Specialty Additives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964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1,020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i/>
                <w:color w:val="000000"/>
                <w:sz w:val="18"/>
              </w:rPr>
            </w:pPr>
            <w:r>
              <w:rPr>
                <w:rFonts w:ascii="Ashland;sans-serif" w:hAnsi="Ashland;sans-serif"/>
                <w:i/>
                <w:color w:val="000000"/>
                <w:sz w:val="18"/>
              </w:rPr>
              <w:t>Intermediates</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116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i/>
                <w:color w:val="000000"/>
                <w:sz w:val="18"/>
              </w:rPr>
            </w:pPr>
            <w:r>
              <w:rPr>
                <w:rFonts w:ascii="Ashland;sans-serif" w:hAnsi="Ashland;sans-serif"/>
                <w:i/>
                <w:color w:val="000000"/>
                <w:sz w:val="18"/>
              </w:rPr>
              <w:t>Unallocated and other</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1,348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1,226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4,578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0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4,611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Property, plant and equipment - net</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i/>
                <w:color w:val="000000"/>
                <w:sz w:val="18"/>
              </w:rPr>
            </w:pPr>
            <w:r>
              <w:rPr>
                <w:rFonts w:ascii="Ashland;sans-serif" w:hAnsi="Ashland;sans-serif"/>
                <w:i/>
                <w:color w:val="000000"/>
                <w:sz w:val="18"/>
              </w:rPr>
              <w:t>Life Sciences</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481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i/>
                <w:color w:val="000000"/>
                <w:sz w:val="18"/>
              </w:rPr>
            </w:pPr>
            <w:r>
              <w:rPr>
                <w:rFonts w:ascii="Ashland;sans-serif" w:hAnsi="Ashland;sans-serif"/>
                <w:i/>
                <w:color w:val="000000"/>
                <w:sz w:val="18"/>
              </w:rPr>
              <w:t>Personal Care</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101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i/>
                <w:color w:val="000000"/>
                <w:sz w:val="18"/>
              </w:rPr>
            </w:pPr>
            <w:r>
              <w:rPr>
                <w:rFonts w:ascii="Ashland;sans-serif" w:hAnsi="Ashland;sans-serif"/>
                <w:i/>
                <w:color w:val="000000"/>
                <w:sz w:val="18"/>
              </w:rPr>
              <w:t>Specialty Additives</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484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i/>
                <w:color w:val="000000"/>
                <w:sz w:val="18"/>
              </w:rPr>
            </w:pPr>
            <w:r>
              <w:rPr>
                <w:rFonts w:ascii="Ashland;sans-serif" w:hAnsi="Ashland;sans-serif"/>
                <w:i/>
                <w:color w:val="000000"/>
                <w:sz w:val="18"/>
              </w:rPr>
              <w:t>Intermediates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i/>
                <w:color w:val="000000"/>
                <w:sz w:val="18"/>
              </w:rPr>
            </w:pPr>
            <w:r>
              <w:rPr>
                <w:rFonts w:ascii="Ashland;sans-serif" w:hAnsi="Ashland;sans-serif"/>
                <w:i/>
                <w:color w:val="000000"/>
                <w:sz w:val="18"/>
              </w:rPr>
              <w:t>Unallocated and other</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105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1,149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0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1,201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Ashland;sans-serif" w:hAnsi="Ashland;sans-serif"/>
          <w:color w:val="000000"/>
          <w:sz w:val="14"/>
        </w:rPr>
      </w:pPr>
      <w:r>
        <w:rPr>
          <w:rFonts w:ascii="Ashland;sans-serif" w:hAnsi="Ashland;sans-serif"/>
          <w:color w:val="000000"/>
          <w:sz w:val="14"/>
        </w:rPr>
        <w:t>(a)</w:t>
      </w:r>
    </w:p>
    <w:p>
      <w:pPr>
        <w:pStyle w:val="TextBody"/>
        <w:bidi w:val="0"/>
        <w:spacing w:before="120" w:after="283"/>
        <w:jc w:val="both"/>
        <w:rPr>
          <w:rFonts w:ascii="Ashland;sans-serif" w:hAnsi="Ashland;sans-serif"/>
          <w:color w:val="000000"/>
          <w:sz w:val="14"/>
        </w:rPr>
      </w:pPr>
      <w:r>
        <w:rPr>
          <w:rFonts w:ascii="Ashland;sans-serif" w:hAnsi="Ashland;sans-serif"/>
          <w:color w:val="000000"/>
          <w:sz w:val="14"/>
        </w:rPr>
        <w:t>Intersegment sales from Intermediates are accounted for at prices that approximate market value. All other intersegment sales are accounted for at cost.</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(b)</w:t>
      </w:r>
    </w:p>
    <w:p>
      <w:pPr>
        <w:pStyle w:val="TextBody"/>
        <w:bidi w:val="0"/>
        <w:spacing w:before="40" w:after="283"/>
        <w:jc w:val="both"/>
        <w:rPr>
          <w:rFonts w:ascii="Ashland;sans-serif" w:hAnsi="Ashland;sans-serif"/>
          <w:sz w:val="18"/>
        </w:rPr>
      </w:pPr>
      <w:r>
        <w:rPr>
          <w:rFonts w:ascii="Ashland;sans-serif" w:hAnsi="Ashland;sans-serif"/>
          <w:color w:val="000000"/>
          <w:sz w:val="14"/>
        </w:rPr>
        <w:t>Includes a $2</w:t>
      </w:r>
      <w:r>
        <w:rPr>
          <w:rFonts w:ascii="Ashland;sans-serif" w:hAnsi="Ashland;sans-serif"/>
          <w:color w:val="000000"/>
          <w:sz w:val="18"/>
        </w:rPr>
        <w:t xml:space="preserve"> </w:t>
      </w:r>
      <w:r>
        <w:rPr>
          <w:rFonts w:ascii="Ashland;sans-serif" w:hAnsi="Ashland;sans-serif"/>
          <w:color w:val="000000"/>
          <w:sz w:val="14"/>
        </w:rPr>
        <w:t>million excess land sale contract termination fee income for both the three and nine months ended June 30, 2026, a $8</w:t>
      </w:r>
      <w:r>
        <w:rPr>
          <w:rFonts w:ascii="Ashland;sans-serif" w:hAnsi="Ashland;sans-serif"/>
          <w:color w:val="000000"/>
          <w:sz w:val="18"/>
        </w:rPr>
        <w:t xml:space="preserve"> </w:t>
      </w:r>
      <w:r>
        <w:rPr>
          <w:rFonts w:ascii="Ashland;sans-serif" w:hAnsi="Ashland;sans-serif"/>
          <w:color w:val="000000"/>
          <w:sz w:val="14"/>
        </w:rPr>
        <w:t>million gain on sale and a $183</w:t>
      </w:r>
      <w:r>
        <w:rPr>
          <w:rFonts w:ascii="Ashland;sans-serif" w:hAnsi="Ashland;sans-serif"/>
          <w:color w:val="000000"/>
          <w:sz w:val="18"/>
        </w:rPr>
        <w:t xml:space="preserve"> </w:t>
      </w:r>
      <w:r>
        <w:rPr>
          <w:rFonts w:ascii="Ashland;sans-serif" w:hAnsi="Ashland;sans-serif"/>
          <w:color w:val="000000"/>
          <w:sz w:val="14"/>
        </w:rPr>
        <w:t>million impairment charge related to the Avoca business for both the nine months ended June 30, 2025, within the income (loss) on divestitures, net caption of the Statements of Condensed Consolidated Income (Loss).</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(c)</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Excludes loss from discontinued operations, net of income taxes and other net periodic benefit (income) loss. See the Statements of Condensed Consolidated Comprehensive Income (Loss) for applicable amounts excluded.</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(d)</w:t>
      </w:r>
    </w:p>
    <w:p>
      <w:pPr>
        <w:pStyle w:val="TextBody"/>
        <w:bidi w:val="0"/>
        <w:spacing w:before="40" w:after="283"/>
        <w:jc w:val="both"/>
        <w:rPr>
          <w:rFonts w:ascii="Ashland;sans-serif" w:hAnsi="Ashland;sans-serif"/>
          <w:sz w:val="18"/>
        </w:rPr>
      </w:pPr>
      <w:r>
        <w:rPr>
          <w:rFonts w:ascii="Ashland;sans-serif" w:hAnsi="Ashland;sans-serif"/>
          <w:color w:val="000000"/>
          <w:sz w:val="14"/>
        </w:rPr>
        <w:t>Depreciation includes accelerated depreciation of $8</w:t>
      </w:r>
      <w:r>
        <w:rPr>
          <w:rFonts w:ascii="Ashland;sans-serif" w:hAnsi="Ashland;sans-serif"/>
          <w:color w:val="000000"/>
          <w:sz w:val="18"/>
        </w:rPr>
        <w:t xml:space="preserve"> </w:t>
      </w:r>
      <w:r>
        <w:rPr>
          <w:rFonts w:ascii="Ashland;sans-serif" w:hAnsi="Ashland;sans-serif"/>
          <w:color w:val="000000"/>
          <w:sz w:val="14"/>
        </w:rPr>
        <w:t>million and $21</w:t>
      </w:r>
      <w:r>
        <w:rPr>
          <w:rFonts w:ascii="Ashland;sans-serif" w:hAnsi="Ashland;sans-serif"/>
          <w:color w:val="000000"/>
          <w:sz w:val="18"/>
        </w:rPr>
        <w:t xml:space="preserve"> </w:t>
      </w:r>
      <w:r>
        <w:rPr>
          <w:rFonts w:ascii="Ashland;sans-serif" w:hAnsi="Ashland;sans-serif"/>
          <w:color w:val="000000"/>
          <w:sz w:val="14"/>
        </w:rPr>
        <w:t>million for Life Sciences for the three and nine months ended June 30, 2025, respectively.</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(e)</w:t>
      </w:r>
    </w:p>
    <w:p>
      <w:pPr>
        <w:pStyle w:val="TextBody"/>
        <w:bidi w:val="0"/>
        <w:spacing w:before="40" w:after="283"/>
        <w:jc w:val="both"/>
        <w:rPr>
          <w:rFonts w:ascii="Ashland;sans-serif" w:hAnsi="Ashland;sans-serif"/>
          <w:sz w:val="18"/>
        </w:rPr>
      </w:pPr>
      <w:r>
        <w:rPr>
          <w:rFonts w:ascii="Ashland;sans-serif" w:hAnsi="Ashland;sans-serif"/>
          <w:color w:val="000000"/>
          <w:sz w:val="14"/>
        </w:rPr>
        <w:t>Depreciation includes accelerated depreciation of $1</w:t>
      </w:r>
      <w:r>
        <w:rPr>
          <w:rFonts w:ascii="Ashland;sans-serif" w:hAnsi="Ashland;sans-serif"/>
          <w:color w:val="000000"/>
          <w:sz w:val="18"/>
        </w:rPr>
        <w:t xml:space="preserve"> </w:t>
      </w:r>
      <w:r>
        <w:rPr>
          <w:rFonts w:ascii="Ashland;sans-serif" w:hAnsi="Ashland;sans-serif"/>
          <w:color w:val="000000"/>
          <w:sz w:val="14"/>
        </w:rPr>
        <w:t>million for Personal Care and $3</w:t>
      </w:r>
      <w:r>
        <w:rPr>
          <w:rFonts w:ascii="Ashland;sans-serif" w:hAnsi="Ashland;sans-serif"/>
          <w:color w:val="000000"/>
          <w:sz w:val="18"/>
        </w:rPr>
        <w:t xml:space="preserve"> </w:t>
      </w:r>
      <w:r>
        <w:rPr>
          <w:rFonts w:ascii="Ashland;sans-serif" w:hAnsi="Ashland;sans-serif"/>
          <w:color w:val="000000"/>
          <w:sz w:val="14"/>
        </w:rPr>
        <w:t>million for Specialty Additives for the nine months ended June 30, 2026, and $19</w:t>
      </w:r>
      <w:r>
        <w:rPr>
          <w:rFonts w:ascii="Ashland;sans-serif" w:hAnsi="Ashland;sans-serif"/>
          <w:color w:val="000000"/>
          <w:sz w:val="18"/>
        </w:rPr>
        <w:t xml:space="preserve"> </w:t>
      </w:r>
      <w:r>
        <w:rPr>
          <w:rFonts w:ascii="Ashland;sans-serif" w:hAnsi="Ashland;sans-serif"/>
          <w:color w:val="000000"/>
          <w:sz w:val="14"/>
        </w:rPr>
        <w:t>million for both the three and nine months ended June 30, 2025.</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(f)</w:t>
      </w:r>
    </w:p>
    <w:p>
      <w:pPr>
        <w:pStyle w:val="TextBody"/>
        <w:bidi w:val="0"/>
        <w:spacing w:before="40" w:after="283"/>
        <w:jc w:val="both"/>
        <w:rPr>
          <w:rFonts w:ascii="Ashland;sans-serif" w:hAnsi="Ashland;sans-serif"/>
          <w:sz w:val="18"/>
        </w:rPr>
      </w:pPr>
      <w:r>
        <w:rPr>
          <w:rFonts w:ascii="Ashland;sans-serif" w:hAnsi="Ashland;sans-serif"/>
          <w:color w:val="000000"/>
          <w:sz w:val="14"/>
        </w:rPr>
        <w:t>Depreciation includes accelerated depreciation of $1</w:t>
      </w:r>
      <w:r>
        <w:rPr>
          <w:rFonts w:ascii="Ashland;sans-serif" w:hAnsi="Ashland;sans-serif"/>
          <w:color w:val="000000"/>
          <w:sz w:val="18"/>
        </w:rPr>
        <w:t xml:space="preserve"> </w:t>
      </w:r>
      <w:r>
        <w:rPr>
          <w:rFonts w:ascii="Ashland;sans-serif" w:hAnsi="Ashland;sans-serif"/>
          <w:color w:val="000000"/>
          <w:sz w:val="14"/>
        </w:rPr>
        <w:t>million for Unallocated and other for both the three and nine months ended June 30, 2026.</w:t>
      </w:r>
    </w:p>
    <w:p>
      <w:pPr>
        <w:pStyle w:val="TextBody"/>
        <w:bidi w:val="0"/>
        <w:spacing w:before="120" w:after="283"/>
        <w:jc w:val="center"/>
        <w:rPr>
          <w:rFonts w:ascii="Ashland;sans-serif" w:hAnsi="Ashland;sans-serif"/>
          <w:color w:val="000000"/>
          <w:sz w:val="20"/>
        </w:rPr>
      </w:pPr>
      <w:r>
        <w:rPr>
          <w:rFonts w:ascii="Ashland;sans-serif" w:hAnsi="Ashland;sans-serif"/>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shland;sans-serif" w:hAnsi="Ashland;sans-serif"/>
          <w:b/>
          <w:color w:val="000000"/>
          <w:sz w:val="20"/>
        </w:rPr>
      </w:pPr>
      <w:r>
        <w:rPr>
          <w:rFonts w:ascii="Ashland;sans-serif" w:hAnsi="Ashland;sans-serif"/>
          <w:b/>
          <w:color w:val="000000"/>
          <w:sz w:val="20"/>
        </w:rPr>
        <w:t>ASHLAND INC. AND CONSOLIDATED SUBSIDIARIES</w:t>
      </w:r>
    </w:p>
    <w:p>
      <w:pPr>
        <w:pStyle w:val="TextBody"/>
        <w:pBdr>
          <w:bottom w:val="single" w:sz="8" w:space="1" w:color="000000"/>
        </w:pBdr>
        <w:bidi w:val="0"/>
        <w:jc w:val="left"/>
        <w:rPr/>
      </w:pPr>
      <w:r>
        <w:rPr/>
        <w:t> </w:t>
      </w:r>
    </w:p>
    <w:p>
      <w:pPr>
        <w:pStyle w:val="TextBody"/>
        <w:bidi w:val="0"/>
        <w:jc w:val="left"/>
        <w:rPr/>
      </w:pPr>
      <w:r>
        <w:rPr/>
        <w:t> </w:t>
      </w:r>
    </w:p>
    <w:p>
      <w:pPr>
        <w:pStyle w:val="TextBody"/>
        <w:bidi w:val="0"/>
        <w:jc w:val="both"/>
        <w:rPr>
          <w:rFonts w:ascii="Ashland;sans-serif" w:hAnsi="Ashland;sans-serif"/>
          <w:b/>
          <w:color w:val="000000"/>
          <w:sz w:val="20"/>
        </w:rPr>
      </w:pPr>
      <w:r>
        <w:rPr>
          <w:rFonts w:ascii="Ashland;sans-serif" w:hAnsi="Ashland;sans-serif"/>
          <w:b/>
          <w:color w:val="000000"/>
          <w:sz w:val="20"/>
        </w:rPr>
        <w:t>FORWARD-LOOKING STATEMENTS</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This Quarterly Report on Form 10-Q contains forward-looking statements including, without limitation, statements made under the caption “Management’s Discussion and Analysis of Financial Condition and Results of Operation” (“MD&amp;A”), within the meaning of Section 27A of the Securities Act of 1933, as amended and Section 21E of the Securities Exchange Act of 1934, as amended. Ashland has identified some of these forward-looking statements with words such as “anticipates,” “believes,” “expects,” “estimates,” “is likely,” “predicts,” “projects,” “forecasts,” “objectives,” “may,” “will,” “should,” “plans” and “intends” and the negative of these words or other comparable terminology. Ashland may from time to time make forward-looking statements in its Annual Report to Stockholders, quarterly reports and other filings with the Securities and Exchange Commission ("SEC"), news releases and other written and oral communications. These forward-looking statements are based on Ashland’s expectations and assumptions, as of the date such statements are made, regarding Ashland’s future operating performance and financial condition, as well as the economy and other future events or circumstances. The risks and uncertainties we face which may cause our actual results to differ materially from the results expressed, projected, or implied in these forward-looking statements include, but are not limited to: Ashland’s aggressive growth goals and the extent to which such goals may be impacted by a failure to optimize our tangible and intangible assets, a failure to identify and integrate acquisition targets, any unexpected costs and liabilities associated with such acquisitions, and goodwill impairment; business disruptions stemming from natural, operational, and other catastrophic events, including disruptions to supply and logistics functions, manufacturing delays, and information technology system and network failures; climate change and related resource impacts; changes in consumer preferences and a reduction in demand for Ashland’s products; risks inherent in operating a global business, including tariffs and other trade policies, geopolitical instability and armed conflict, and challenges associated with hiring and managing a diverse workforce across countries with differing laws, regulations, and cultural practices; economic downturns and disruptions in the financial markets; Ashland’s substantial indebtedness, including the possibility that such indebtedness and related restrictive covenants may adversely affect our future cash flows, limit our ability to repay debt and obtain future financing, place Ashland at a competitive disadvantage, and make us more vulnerable to interest rate increases; our ability to develop and market new products and remain competitive in the markets in which we operate; our ability to pass increases in the costs of energy and raw materials to customers and to fulfill our contractual requirements with customers and vendors; downward pressures on prices and margins; the ability to attract and retain key employees and to provide for effective succession planning; cybersecurity risks, including disruptions to or failures in Ashland’s information technology systems and networks, malicious cyberattacks, and the inadvertent or accidental disclosure or loss of proprietary or sensitive information; Ashland’s ability to effectively protect and enforce its intellectual property rights; exposure to products liability claims; risks related to compliance with environmental, health, and safety regulations, including the potential for costly litigation, remediation, and settlement actions; exposure to pending and threatened asbestos-related litigation; changes in the legal and regulatory landscapes in which we operate; changes in taxation or adverse tax rulings; and without limitation, risks and uncertainties affecting Ashland that are contained in “Use of estimates, risks and uncertainties” in Note A of Notes to Consolidated Financial Statements and in Item 1A of its most recent Form 10-K filed with SEC. Ashland believes its expectations and assumptions are reasonable, but there can be no assurance that the expectations reflected herein will be achieved. Unless legally required, Ashland undertakes no obligation to update any forward-looking statements made in this Form 10-Q whether as a result of new information, future events or otherwise. Information on Ashland’s website is not incorporated into or a part of this Form 10-Q.</w:t>
      </w:r>
    </w:p>
    <w:p>
      <w:pPr>
        <w:pStyle w:val="TextBody"/>
        <w:bidi w:val="0"/>
        <w:spacing w:before="120" w:after="283"/>
        <w:jc w:val="center"/>
        <w:rPr>
          <w:rFonts w:ascii="Ashland;sans-serif" w:hAnsi="Ashland;sans-serif"/>
          <w:color w:val="000000"/>
          <w:sz w:val="20"/>
        </w:rPr>
      </w:pPr>
      <w:r>
        <w:rPr>
          <w:rFonts w:ascii="Ashland;sans-serif" w:hAnsi="Ashland;sans-serif"/>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shland;sans-serif" w:hAnsi="Ashland;sans-serif"/>
          <w:b/>
          <w:color w:val="000000"/>
          <w:sz w:val="20"/>
        </w:rPr>
      </w:pPr>
      <w:r>
        <w:rPr>
          <w:rFonts w:ascii="Ashland;sans-serif" w:hAnsi="Ashland;sans-serif"/>
          <w:b/>
          <w:color w:val="000000"/>
          <w:sz w:val="20"/>
        </w:rPr>
        <w:t>ITEM 2. MANAGEMENT’S DISCUSSION AND ANALYSIS OF FINANCIAL CONDITION AND RESULTS OF OPERATIONS</w:t>
      </w:r>
    </w:p>
    <w:p>
      <w:pPr>
        <w:pStyle w:val="TextBody"/>
        <w:bidi w:val="0"/>
        <w:jc w:val="left"/>
        <w:rPr/>
      </w:pPr>
      <w:r>
        <w:rPr/>
        <w:t> </w:t>
      </w:r>
    </w:p>
    <w:p>
      <w:pPr>
        <w:pStyle w:val="TextBody"/>
        <w:pBdr>
          <w:top w:val="single" w:sz="8" w:space="1" w:color="000000"/>
        </w:pBdr>
        <w:bidi w:val="0"/>
        <w:jc w:val="left"/>
        <w:rPr/>
      </w:pPr>
      <w:r>
        <w:rPr/>
        <w:t> </w:t>
      </w:r>
    </w:p>
    <w:p>
      <w:pPr>
        <w:pStyle w:val="TextBody"/>
        <w:bidi w:val="0"/>
        <w:jc w:val="left"/>
        <w:rPr>
          <w:rFonts w:ascii="Ashland;sans-serif" w:hAnsi="Ashland;sans-serif"/>
          <w:b/>
          <w:color w:val="000000"/>
          <w:sz w:val="20"/>
        </w:rPr>
      </w:pPr>
      <w:r>
        <w:rPr>
          <w:rFonts w:ascii="Ashland;sans-serif" w:hAnsi="Ashland;sans-serif"/>
          <w:b/>
          <w:color w:val="000000"/>
          <w:sz w:val="20"/>
        </w:rPr>
        <w:t>ASHLAND INC. AND CONSOLIDATED SUBSIDIARIES</w:t>
      </w:r>
    </w:p>
    <w:p>
      <w:pPr>
        <w:pStyle w:val="TextBody"/>
        <w:bidi w:val="0"/>
        <w:spacing w:before="120" w:after="283"/>
        <w:jc w:val="left"/>
        <w:rPr>
          <w:rFonts w:ascii="Ashland;sans-serif" w:hAnsi="Ashland;sans-serif"/>
          <w:b/>
          <w:color w:val="000000"/>
          <w:sz w:val="20"/>
        </w:rPr>
      </w:pPr>
      <w:r>
        <w:rPr>
          <w:rFonts w:ascii="Ashland;sans-serif" w:hAnsi="Ashland;sans-serif"/>
          <w:b/>
          <w:color w:val="000000"/>
          <w:sz w:val="20"/>
        </w:rPr>
        <w:t>MANAGEMENT’S DISCUSSION AND ANALYSIS</w:t>
      </w:r>
    </w:p>
    <w:p>
      <w:pPr>
        <w:pStyle w:val="TextBody"/>
        <w:pBdr>
          <w:bottom w:val="single" w:sz="8" w:space="1" w:color="000000"/>
        </w:pBdr>
        <w:bidi w:val="0"/>
        <w:jc w:val="left"/>
        <w:rPr/>
      </w:pPr>
      <w:r>
        <w:rPr/>
        <w:t> </w:t>
      </w:r>
    </w:p>
    <w:p>
      <w:pPr>
        <w:pStyle w:val="TextBody"/>
        <w:bidi w:val="0"/>
        <w:jc w:val="left"/>
        <w:rPr/>
      </w:pPr>
      <w:r>
        <w:rPr/>
        <w:t> </w:t>
      </w:r>
    </w:p>
    <w:p>
      <w:pPr>
        <w:pStyle w:val="TextBody"/>
        <w:bidi w:val="0"/>
        <w:jc w:val="both"/>
        <w:rPr>
          <w:rFonts w:ascii="Ashland;sans-serif" w:hAnsi="Ashland;sans-serif"/>
          <w:color w:val="000000"/>
          <w:sz w:val="20"/>
        </w:rPr>
      </w:pPr>
      <w:r>
        <w:rPr>
          <w:rFonts w:ascii="Ashland;sans-serif" w:hAnsi="Ashland;sans-serif"/>
          <w:color w:val="000000"/>
          <w:sz w:val="20"/>
        </w:rPr>
        <w:t>The following discussion should be read in conjunction with the Condensed Consolidated Financial Statements and the accompanying Notes to Condensed Consolidated Financial Statements herein.</w:t>
      </w:r>
    </w:p>
    <w:p>
      <w:pPr>
        <w:pStyle w:val="TextBody"/>
        <w:bidi w:val="0"/>
        <w:spacing w:before="120" w:after="283"/>
        <w:jc w:val="both"/>
        <w:rPr>
          <w:rFonts w:ascii="Ashland;sans-serif" w:hAnsi="Ashland;sans-serif"/>
          <w:b/>
          <w:color w:val="000000"/>
          <w:sz w:val="20"/>
        </w:rPr>
      </w:pPr>
      <w:r>
        <w:rPr>
          <w:rFonts w:ascii="Ashland;sans-serif" w:hAnsi="Ashland;sans-serif"/>
          <w:b/>
          <w:color w:val="000000"/>
          <w:sz w:val="20"/>
        </w:rPr>
        <w:t>BUSINESS OVERVIEW</w:t>
      </w:r>
    </w:p>
    <w:p>
      <w:pPr>
        <w:pStyle w:val="TextBody"/>
        <w:bidi w:val="0"/>
        <w:spacing w:before="120" w:after="283"/>
        <w:jc w:val="both"/>
        <w:rPr>
          <w:rFonts w:ascii="Ashland;sans-serif" w:hAnsi="Ashland;sans-serif"/>
          <w:b/>
          <w:color w:val="000000"/>
          <w:sz w:val="20"/>
        </w:rPr>
      </w:pPr>
      <w:r>
        <w:rPr>
          <w:rFonts w:ascii="Ashland;sans-serif" w:hAnsi="Ashland;sans-serif"/>
          <w:b/>
          <w:color w:val="000000"/>
          <w:sz w:val="20"/>
        </w:rPr>
        <w:t>Ashland profile</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Ashland is a global additives and specialty ingredients company with a conscious and proactive mindset for sustainability. The Company serves customers in a wide range of consumer and industrial markets, including architectural coatings, construction, energy, food and beverage, personal care and pharmaceutical. With approximately 2,900 employees worldwide, Ashland serves customers in more than 100 countries.</w:t>
      </w:r>
    </w:p>
    <w:p>
      <w:pPr>
        <w:pStyle w:val="TextBody"/>
        <w:bidi w:val="0"/>
        <w:spacing w:before="120" w:after="120"/>
        <w:jc w:val="both"/>
        <w:rPr>
          <w:rFonts w:ascii="Ashland;sans-serif" w:hAnsi="Ashland;sans-serif"/>
          <w:color w:val="000000"/>
          <w:sz w:val="20"/>
        </w:rPr>
      </w:pPr>
      <w:r>
        <w:rPr>
          <w:rFonts w:ascii="Ashland;sans-serif" w:hAnsi="Ashland;sans-serif"/>
          <w:color w:val="000000"/>
          <w:sz w:val="20"/>
        </w:rPr>
        <w:t>Ashland’s sales generated outside of North America were 73% for both the three and nine months ended June 30, 2026, and 73% and 72% for the three and nine months ended June 30, 2025, respectively. Sales by region expressed as a percentage of total consolidated sales were as follows:</w:t>
      </w:r>
    </w:p>
    <w:tbl>
      <w:tblPr>
        <w:tblW w:w="6860" w:type="dxa"/>
        <w:jc w:val="left"/>
        <w:tblInd w:w="0" w:type="dxa"/>
        <w:tblLayout w:type="fixed"/>
        <w:tblCellMar>
          <w:top w:w="28" w:type="dxa"/>
          <w:left w:w="28" w:type="dxa"/>
          <w:bottom w:w="28" w:type="dxa"/>
          <w:right w:w="28" w:type="dxa"/>
        </w:tblCellMar>
      </w:tblPr>
      <w:tblGrid>
        <w:gridCol w:w="2101"/>
        <w:gridCol w:w="146"/>
        <w:gridCol w:w="177"/>
        <w:gridCol w:w="566"/>
        <w:gridCol w:w="329"/>
        <w:gridCol w:w="177"/>
        <w:gridCol w:w="177"/>
        <w:gridCol w:w="566"/>
        <w:gridCol w:w="271"/>
        <w:gridCol w:w="146"/>
        <w:gridCol w:w="168"/>
        <w:gridCol w:w="536"/>
        <w:gridCol w:w="312"/>
        <w:gridCol w:w="168"/>
        <w:gridCol w:w="168"/>
        <w:gridCol w:w="536"/>
        <w:gridCol w:w="316"/>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0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92"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Three months ended</w:t>
            </w:r>
          </w:p>
        </w:tc>
        <w:tc>
          <w:tcPr>
            <w:tcW w:w="2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888"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Nine months ended</w:t>
            </w:r>
          </w:p>
        </w:tc>
        <w:tc>
          <w:tcPr>
            <w:tcW w:w="3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2026</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2026</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shland;sans-serif" w:hAnsi="Ashland;sans-serif"/>
                <w:color w:val="000000"/>
                <w:sz w:val="18"/>
              </w:rPr>
              <w:t>North America</w:t>
            </w:r>
            <w:r>
              <w:rPr>
                <w:rFonts w:ascii="Ashland;sans-serif" w:hAnsi="Ashland;sans-serif"/>
                <w:color w:val="000000"/>
                <w:sz w:val="12"/>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27</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27</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shland;sans-serif" w:hAnsi="Ashland;sans-serif"/>
                <w:color w:val="000000"/>
                <w:sz w:val="18"/>
              </w:rPr>
              <w:t>Europe</w:t>
            </w:r>
            <w:r>
              <w:rPr>
                <w:rFonts w:ascii="Ashland;sans-serif" w:hAnsi="Ashland;sans-serif"/>
                <w:color w:val="000000"/>
                <w:sz w:val="12"/>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37</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36</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Asia Pacific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27</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27</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Latin America &amp;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9</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10</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100</w:t>
            </w:r>
          </w:p>
        </w:tc>
        <w:tc>
          <w:tcPr>
            <w:tcW w:w="3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100</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100</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2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Ashland;sans-serif" w:hAnsi="Ashland;sans-serif"/>
          <w:color w:val="000000"/>
          <w:sz w:val="14"/>
        </w:rPr>
      </w:pPr>
      <w:r>
        <w:rPr>
          <w:rFonts w:ascii="Ashland;sans-serif" w:hAnsi="Ashland;sans-serif"/>
          <w:color w:val="000000"/>
          <w:sz w:val="14"/>
        </w:rPr>
        <w:t>(a)</w:t>
      </w:r>
    </w:p>
    <w:p>
      <w:pPr>
        <w:pStyle w:val="TextBody"/>
        <w:bidi w:val="0"/>
        <w:spacing w:before="120" w:after="283"/>
        <w:jc w:val="both"/>
        <w:rPr>
          <w:rFonts w:ascii="Ashland;sans-serif" w:hAnsi="Ashland;sans-serif"/>
          <w:color w:val="000000"/>
          <w:sz w:val="14"/>
        </w:rPr>
      </w:pPr>
      <w:r>
        <w:rPr>
          <w:rFonts w:ascii="Ashland;sans-serif" w:hAnsi="Ashland;sans-serif"/>
          <w:color w:val="000000"/>
          <w:sz w:val="14"/>
        </w:rPr>
        <w:t>Ashland includes only U.S. and Canada in its North America designation and includes Europe, the Middle East and Africa in its Europe designation.</w:t>
      </w:r>
    </w:p>
    <w:p>
      <w:pPr>
        <w:pStyle w:val="TextBody"/>
        <w:bidi w:val="0"/>
        <w:spacing w:before="120" w:after="283"/>
        <w:jc w:val="both"/>
        <w:rPr>
          <w:rFonts w:ascii="Ashland;sans-serif" w:hAnsi="Ashland;sans-serif"/>
          <w:b/>
          <w:color w:val="000000"/>
          <w:sz w:val="20"/>
        </w:rPr>
      </w:pPr>
      <w:r>
        <w:rPr>
          <w:rFonts w:ascii="Ashland;sans-serif" w:hAnsi="Ashland;sans-serif"/>
          <w:b/>
          <w:color w:val="000000"/>
          <w:sz w:val="20"/>
        </w:rPr>
        <w:t>Reportable segments</w:t>
      </w:r>
    </w:p>
    <w:p>
      <w:pPr>
        <w:pStyle w:val="TextBody"/>
        <w:bidi w:val="0"/>
        <w:spacing w:before="120" w:after="120"/>
        <w:jc w:val="both"/>
        <w:rPr>
          <w:rFonts w:ascii="Ashland;sans-serif" w:hAnsi="Ashland;sans-serif"/>
          <w:color w:val="000000"/>
          <w:sz w:val="20"/>
        </w:rPr>
      </w:pPr>
      <w:r>
        <w:rPr>
          <w:rFonts w:ascii="Ashland;sans-serif" w:hAnsi="Ashland;sans-serif"/>
          <w:color w:val="000000"/>
          <w:sz w:val="20"/>
        </w:rPr>
        <w:t>Ashland’s reportable segments include Life Sciences, Personal Care, Specialty Additives and Intermediates. Unallocated and other includes corporate governance activities and certain legacy matters. The contribution to sales by each reportable segment expressed as a percentage of total consolidated sales were as follows:</w:t>
      </w:r>
    </w:p>
    <w:tbl>
      <w:tblPr>
        <w:tblW w:w="6590" w:type="dxa"/>
        <w:jc w:val="left"/>
        <w:tblInd w:w="0" w:type="dxa"/>
        <w:tblLayout w:type="fixed"/>
        <w:tblCellMar>
          <w:top w:w="28" w:type="dxa"/>
          <w:left w:w="28" w:type="dxa"/>
          <w:bottom w:w="28" w:type="dxa"/>
          <w:right w:w="28" w:type="dxa"/>
        </w:tblCellMar>
      </w:tblPr>
      <w:tblGrid>
        <w:gridCol w:w="1831"/>
        <w:gridCol w:w="146"/>
        <w:gridCol w:w="177"/>
        <w:gridCol w:w="566"/>
        <w:gridCol w:w="329"/>
        <w:gridCol w:w="177"/>
        <w:gridCol w:w="177"/>
        <w:gridCol w:w="566"/>
        <w:gridCol w:w="271"/>
        <w:gridCol w:w="146"/>
        <w:gridCol w:w="168"/>
        <w:gridCol w:w="536"/>
        <w:gridCol w:w="312"/>
        <w:gridCol w:w="168"/>
        <w:gridCol w:w="168"/>
        <w:gridCol w:w="536"/>
        <w:gridCol w:w="316"/>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3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92"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Three months ended</w:t>
            </w:r>
          </w:p>
        </w:tc>
        <w:tc>
          <w:tcPr>
            <w:tcW w:w="2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888"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Nine months ended</w:t>
            </w:r>
          </w:p>
        </w:tc>
        <w:tc>
          <w:tcPr>
            <w:tcW w:w="3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2026</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2026</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Life Sciences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36</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36</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Personal Care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31</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31</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Specialty Additives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27</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27</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Intermediates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100</w:t>
            </w:r>
          </w:p>
        </w:tc>
        <w:tc>
          <w:tcPr>
            <w:tcW w:w="3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100</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100</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1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spacing w:before="120" w:after="283"/>
        <w:jc w:val="both"/>
        <w:rPr>
          <w:rFonts w:ascii="Ashland;sans-serif" w:hAnsi="Ashland;sans-serif"/>
          <w:b/>
          <w:color w:val="000000"/>
          <w:sz w:val="20"/>
        </w:rPr>
      </w:pPr>
      <w:r>
        <w:rPr>
          <w:rFonts w:ascii="Ashland;sans-serif" w:hAnsi="Ashland;sans-serif"/>
          <w:b/>
          <w:color w:val="000000"/>
          <w:sz w:val="20"/>
        </w:rPr>
        <w:t>KEY DEVELOPMENTS</w:t>
      </w:r>
    </w:p>
    <w:p>
      <w:pPr>
        <w:pStyle w:val="TextBody"/>
        <w:bidi w:val="0"/>
        <w:spacing w:before="120" w:after="120"/>
        <w:jc w:val="both"/>
        <w:rPr>
          <w:rFonts w:ascii="Ashland;sans-serif" w:hAnsi="Ashland;sans-serif"/>
          <w:b/>
          <w:color w:val="000000"/>
          <w:sz w:val="20"/>
        </w:rPr>
      </w:pPr>
      <w:r>
        <w:rPr>
          <w:rFonts w:ascii="Ashland;sans-serif" w:hAnsi="Ashland;sans-serif"/>
          <w:b/>
          <w:color w:val="000000"/>
          <w:sz w:val="20"/>
        </w:rPr>
        <w:t>Uncertainty related to tariffs and global trade policy changes</w:t>
      </w:r>
    </w:p>
    <w:p>
      <w:pPr>
        <w:pStyle w:val="TextBody"/>
        <w:bidi w:val="0"/>
        <w:jc w:val="both"/>
        <w:rPr>
          <w:rFonts w:ascii="Times New Roman" w:hAnsi="Times New Roman"/>
          <w:sz w:val="20"/>
        </w:rPr>
      </w:pPr>
      <w:r>
        <w:rPr>
          <w:rFonts w:ascii="Ashland;sans-serif" w:hAnsi="Ashland;sans-serif"/>
          <w:color w:val="000000"/>
          <w:sz w:val="20"/>
        </w:rPr>
        <w:t>The three and nine months ended June 30, 2026, saw continuing regulatory activity involving notable changes to U.S. and foreign trade policy, leading to significant uncertainty in the macroeconomic and geopolitical environments. Beginning in the second quarter of fiscal 2025, the U.S. instituted a series of tariffs on imports</w:t>
      </w:r>
      <w:r>
        <w:rPr>
          <w:rFonts w:ascii="Times New Roman" w:hAnsi="Times New Roman"/>
          <w:color w:val="000000"/>
          <w:sz w:val="20"/>
        </w:rPr>
        <w:t xml:space="preserve"> </w:t>
      </w:r>
    </w:p>
    <w:p>
      <w:pPr>
        <w:pStyle w:val="TextBody"/>
        <w:bidi w:val="0"/>
        <w:spacing w:before="120" w:after="283"/>
        <w:jc w:val="center"/>
        <w:rPr>
          <w:rFonts w:ascii="Ashland;sans-serif" w:hAnsi="Ashland;sans-serif"/>
          <w:color w:val="000000"/>
          <w:sz w:val="20"/>
        </w:rPr>
      </w:pPr>
      <w:r>
        <w:rPr>
          <w:rFonts w:ascii="Ashland;sans-serif" w:hAnsi="Ashland;sans-serif"/>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from China, the E.U., India, and other countries which has resulted in the imposition of retaliatory measures against U.S. goods. During fiscal 2026, certain previously announced tariff measures have been modified, suspended, challenged, or reversed, while additional trade actions remain under consideration, contributing to continued uncertainty regarding the future trade policy environment and its potential impact on our business. As a global business, we are exposed to risks associated with tariffs and other trade conflicts. Such risks may include, but are not limited to, (i) changes to and strains on the global supply chain and our ability to source materials; (ii) increased sourcing and manufacturing costs; (iii) decreased demand for Ashland’s products in affected markets; and (iv) other impacts on Ashland’s ability to operate optimally.</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The ultimate impact of these recent tariffs and trade disputes on general economic conditions, and on Ashland’s business, financial performance, and results of operations, is uncertain and depends on various factors, including the duration of the tariffs and disputes, negotiations between the U.S. and affected countries, whether additional or incremental tariffs are imposed and the responses of other countries or regions, and the potential for trade restriction-related exemptions including recent tariff reversal developments. Given the dynamic nature of the situation, Ashland continues to monitor tariff developments as well as the broader global trade landscape and is working to mitigate potential impacts on its business.</w:t>
      </w:r>
    </w:p>
    <w:p>
      <w:pPr>
        <w:pStyle w:val="TextBody"/>
        <w:bidi w:val="0"/>
        <w:spacing w:before="120" w:after="120"/>
        <w:jc w:val="both"/>
        <w:rPr>
          <w:rFonts w:ascii="Ashland;sans-serif" w:hAnsi="Ashland;sans-serif"/>
          <w:b/>
          <w:color w:val="000000"/>
          <w:sz w:val="20"/>
        </w:rPr>
      </w:pPr>
      <w:r>
        <w:rPr>
          <w:rFonts w:ascii="Ashland;sans-serif" w:hAnsi="Ashland;sans-serif"/>
          <w:b/>
          <w:color w:val="000000"/>
          <w:sz w:val="20"/>
        </w:rPr>
        <w:t>Uncertainty relating to the ongoing United States, Israel/Iran, Ukraine/Russia and Israel/Hamas conflicts and other political events</w:t>
      </w:r>
    </w:p>
    <w:p>
      <w:pPr>
        <w:pStyle w:val="TextBody"/>
        <w:bidi w:val="0"/>
        <w:jc w:val="both"/>
        <w:rPr>
          <w:rFonts w:ascii="Ashland;sans-serif" w:hAnsi="Ashland;sans-serif"/>
          <w:color w:val="000000"/>
          <w:sz w:val="20"/>
        </w:rPr>
      </w:pPr>
      <w:r>
        <w:rPr>
          <w:rFonts w:ascii="Ashland;sans-serif" w:hAnsi="Ashland;sans-serif"/>
          <w:color w:val="000000"/>
          <w:sz w:val="20"/>
        </w:rPr>
        <w:t>Business disruptions, including those related to the ongoing conflicts between the United States, Israel/Iran, Ukraine/Russia and Israel/Hamas, as well as the recent political events in Venezuela, continue to impact businesses around the globe. While it is impossible to predict the effects of the conflicts such as possible escalating geopolitical tensions (including the imposition of existing and additional sanctions by the U.S. and the European Union on Russia), worsening macroeconomic and general business conditions, supply chain interruptions and unfavorable energy markets, the impact could be material. Ashland is closely monitoring these situations and maintains business continuity plans that are intended to continue operations or mitigate the effects of events that could disrupt its business.</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Ashland does not have manufacturing operations in Iran, Israel, Russia, Ukraine, Venezuela or Belarus. Ashland sells (or previously sold) additives and specialty ingredients to manufacturers in these countries for their use in pharmaceuticals, personal care, and coatings applications. Sales to Russia and Belarus were previously limited and our products were primarily used in products and applications that are essential to the population's well-being and currently support our customers' humanitarian efforts. We have sales controls in place to ensure that future potential sales into the region are only to support critical pharmaceutical or personal hygiene products which are essential for the general population and in accordance with any applicable sanctions. Sales to Israel, Ukraine, Russia, and Belarus represent less than 1% of total consolidated sales and less than 1% of total consolidated assets (related to accounts receivable). Ashland has no sales activity with Iran.</w:t>
      </w:r>
    </w:p>
    <w:p>
      <w:pPr>
        <w:pStyle w:val="TextBody"/>
        <w:bidi w:val="0"/>
        <w:spacing w:before="120" w:after="120"/>
        <w:jc w:val="both"/>
        <w:rPr>
          <w:rFonts w:ascii="Ashland;sans-serif" w:hAnsi="Ashland;sans-serif"/>
          <w:b/>
          <w:color w:val="000000"/>
          <w:sz w:val="20"/>
        </w:rPr>
      </w:pPr>
      <w:r>
        <w:rPr>
          <w:rFonts w:ascii="Ashland;sans-serif" w:hAnsi="Ashland;sans-serif"/>
          <w:b/>
          <w:color w:val="000000"/>
          <w:sz w:val="20"/>
        </w:rPr>
        <w:t>Other items</w:t>
      </w:r>
    </w:p>
    <w:p>
      <w:pPr>
        <w:pStyle w:val="TextBody"/>
        <w:bidi w:val="0"/>
        <w:jc w:val="both"/>
        <w:rPr>
          <w:rFonts w:ascii="Ashland;sans-serif" w:hAnsi="Ashland;sans-serif"/>
          <w:i/>
          <w:color w:val="000000"/>
          <w:sz w:val="20"/>
        </w:rPr>
      </w:pPr>
      <w:r>
        <w:rPr>
          <w:rFonts w:ascii="Ashland;sans-serif" w:hAnsi="Ashland;sans-serif"/>
          <w:i/>
          <w:color w:val="000000"/>
          <w:sz w:val="20"/>
        </w:rPr>
        <w:t>Restructuring programs</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As previously announced, Ashland initiated a $30 million pre-tax restructuring plan to offset the impact from the Nutraceuticals business sale completed in fiscal 2024, the Avoca business sale completed in fiscal 2025, and other portfolio optimization actions, which were expected to be realized 50 percent in fiscal 2025 and 50 percent in fiscal 2026. These actions are substantially complete. See Note D of the Notes to Condensed Consolidated Financial Statements for severance reserves associated with this program.</w:t>
      </w:r>
    </w:p>
    <w:p>
      <w:pPr>
        <w:pStyle w:val="TextBody"/>
        <w:bidi w:val="0"/>
        <w:spacing w:before="120" w:after="283"/>
        <w:jc w:val="both"/>
        <w:rPr>
          <w:rFonts w:ascii="Times New Roman" w:hAnsi="Times New Roman"/>
          <w:sz w:val="20"/>
        </w:rPr>
      </w:pPr>
      <w:r>
        <w:rPr>
          <w:rFonts w:ascii="Ashland;sans-serif" w:hAnsi="Ashland;sans-serif"/>
          <w:color w:val="000000"/>
          <w:sz w:val="20"/>
        </w:rPr>
        <w:t>Ashland also executed its portfolio optimization actions to further strengthen Ashland’s resilience and improve margins and returns. These previously announced actions include initiatives focused on carboxymethylcellulose ("CMC"), methylcellulose ("MC"), the Nutraceuticals business sale and the Avoca business sale (collectively, "Portfolio Optimization"). These actions are substantially complete. Overall, these Portfolio Optimization actions had no impact on sales, Adjusted EBITDA and operating income (loss) for the three months ended June 30,</w:t>
      </w:r>
      <w:r>
        <w:rPr>
          <w:rFonts w:ascii="Times New Roman" w:hAnsi="Times New Roman"/>
          <w:color w:val="000000"/>
          <w:sz w:val="20"/>
        </w:rPr>
        <w:t xml:space="preserve"> </w:t>
      </w:r>
    </w:p>
    <w:p>
      <w:pPr>
        <w:pStyle w:val="TextBody"/>
        <w:bidi w:val="0"/>
        <w:spacing w:before="120" w:after="283"/>
        <w:jc w:val="center"/>
        <w:rPr>
          <w:rFonts w:ascii="Ashland;sans-serif" w:hAnsi="Ashland;sans-serif"/>
          <w:color w:val="000000"/>
          <w:sz w:val="20"/>
        </w:rPr>
      </w:pPr>
      <w:r>
        <w:rPr>
          <w:rFonts w:ascii="Ashland;sans-serif" w:hAnsi="Ashland;sans-serif"/>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2026, compared to the prior year quarter. These actions reduced sales and Adjusted EBITDA by approximately $11 million and $1 million for the nine months ended June 30, 2026, respectively, compared to the prior year periods. Operating income (loss) was positively impacted by $4 million for the nine months ended June 30, 2026, compared to the prior year periods.</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Ashland is also advancing a multi-year manufacturing network optimization to improve operational cost and strengthen its competitive position. This optimization plan is expected to generate pre-tax savings of $50 million to $55 million with $60 million being achievable as market conditions improve, particularly within China. Ashland realized savings of approximately $2 million and $10 million during the three and nine months ended June 30, 2026, respectively, compared to the prior year periods as a result of these multi-year manufacturing network optimizations.</w:t>
      </w:r>
    </w:p>
    <w:p>
      <w:pPr>
        <w:pStyle w:val="TextBody"/>
        <w:bidi w:val="0"/>
        <w:spacing w:before="120" w:after="120"/>
        <w:jc w:val="both"/>
        <w:rPr>
          <w:rFonts w:ascii="Ashland;sans-serif" w:hAnsi="Ashland;sans-serif"/>
          <w:color w:val="000000"/>
          <w:sz w:val="20"/>
        </w:rPr>
      </w:pPr>
      <w:r>
        <w:rPr>
          <w:rFonts w:ascii="Ashland;sans-serif" w:hAnsi="Ashland;sans-serif"/>
          <w:color w:val="000000"/>
          <w:sz w:val="20"/>
        </w:rPr>
        <w:t>The following table summarizes the expense impact of these actions:</w:t>
      </w:r>
    </w:p>
    <w:tbl>
      <w:tblPr>
        <w:tblW w:w="8575" w:type="dxa"/>
        <w:jc w:val="left"/>
        <w:tblInd w:w="0" w:type="dxa"/>
        <w:tblLayout w:type="fixed"/>
        <w:tblCellMar>
          <w:top w:w="28" w:type="dxa"/>
          <w:left w:w="28" w:type="dxa"/>
          <w:bottom w:w="28" w:type="dxa"/>
          <w:right w:w="28" w:type="dxa"/>
        </w:tblCellMar>
      </w:tblPr>
      <w:tblGrid>
        <w:gridCol w:w="4066"/>
        <w:gridCol w:w="146"/>
        <w:gridCol w:w="314"/>
        <w:gridCol w:w="480"/>
        <w:gridCol w:w="202"/>
        <w:gridCol w:w="202"/>
        <w:gridCol w:w="314"/>
        <w:gridCol w:w="480"/>
        <w:gridCol w:w="146"/>
        <w:gridCol w:w="146"/>
        <w:gridCol w:w="297"/>
        <w:gridCol w:w="455"/>
        <w:gridCol w:w="192"/>
        <w:gridCol w:w="192"/>
        <w:gridCol w:w="297"/>
        <w:gridCol w:w="455"/>
        <w:gridCol w:w="191"/>
      </w:tblGrid>
      <w:tr>
        <w:trPr/>
        <w:tc>
          <w:tcPr>
            <w:tcW w:w="4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92"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Three months ended</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888"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Nine months ended</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2026</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2026</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shland;sans-serif" w:hAnsi="Ashland;sans-serif"/>
                <w:color w:val="000000"/>
                <w:sz w:val="18"/>
              </w:rPr>
              <w:t>Accelerated depreciation</w:t>
            </w:r>
            <w:r>
              <w:rPr>
                <w:rFonts w:ascii="Ashland;sans-serif" w:hAnsi="Ashland;sans-serif"/>
                <w:color w:val="000000"/>
                <w:sz w:val="12"/>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shland;sans-serif" w:hAnsi="Ashland;sans-serif"/>
                <w:color w:val="000000"/>
                <w:sz w:val="18"/>
              </w:rPr>
              <w:t>Restructuring, separation and other costs</w:t>
            </w:r>
            <w:r>
              <w:rPr>
                <w:rFonts w:ascii="Ashland;sans-serif" w:hAnsi="Ashland;sans-serif"/>
                <w:color w:val="000000"/>
                <w:sz w:val="12"/>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14</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shland;sans-serif" w:hAnsi="Ashland;sans-serif"/>
                <w:color w:val="000000"/>
                <w:sz w:val="18"/>
              </w:rPr>
              <w:t>Other plant optimization costs</w:t>
            </w:r>
            <w:r>
              <w:rPr>
                <w:rFonts w:ascii="Ashland;sans-serif" w:hAnsi="Ashland;sans-serif"/>
                <w:color w:val="000000"/>
                <w:sz w:val="12"/>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18</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11</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37</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Ashland;sans-serif" w:hAnsi="Ashland;sans-serif"/>
          <w:color w:val="000000"/>
          <w:sz w:val="14"/>
        </w:rPr>
      </w:pPr>
      <w:r>
        <w:rPr>
          <w:rFonts w:ascii="Ashland;sans-serif" w:hAnsi="Ashland;sans-serif"/>
          <w:color w:val="000000"/>
          <w:sz w:val="14"/>
        </w:rPr>
        <w:t>(a)</w:t>
      </w:r>
    </w:p>
    <w:p>
      <w:pPr>
        <w:pStyle w:val="TextBody"/>
        <w:bidi w:val="0"/>
        <w:spacing w:before="120" w:after="283"/>
        <w:jc w:val="both"/>
        <w:rPr>
          <w:rFonts w:ascii="Ashland;sans-serif" w:hAnsi="Ashland;sans-serif"/>
          <w:color w:val="000000"/>
          <w:sz w:val="14"/>
        </w:rPr>
      </w:pPr>
      <w:r>
        <w:rPr>
          <w:rFonts w:ascii="Ashland;sans-serif" w:hAnsi="Ashland;sans-serif"/>
          <w:color w:val="000000"/>
          <w:sz w:val="14"/>
        </w:rPr>
        <w:t>Recorded within the cost of sales caption within the Statements of Condensed Consolidated Comprehensive Income (Loss).</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(b)</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Recorded within the selling, general and administrative expense caption within the Statements of Condensed Consolidated Comprehensive Income (Loss).</w:t>
      </w:r>
    </w:p>
    <w:p>
      <w:pPr>
        <w:pStyle w:val="TextBody"/>
        <w:bidi w:val="0"/>
        <w:spacing w:before="120" w:after="283"/>
        <w:jc w:val="both"/>
        <w:rPr>
          <w:rFonts w:ascii="Ashland;sans-serif" w:hAnsi="Ashland;sans-serif"/>
          <w:b/>
          <w:color w:val="000000"/>
          <w:sz w:val="20"/>
        </w:rPr>
      </w:pPr>
      <w:r>
        <w:rPr>
          <w:rFonts w:ascii="Ashland;sans-serif" w:hAnsi="Ashland;sans-serif"/>
          <w:b/>
          <w:color w:val="000000"/>
          <w:sz w:val="20"/>
        </w:rPr>
        <w:t>RESULTS OF OPERATIONS – CONSOLIDATED REVIEW</w:t>
      </w:r>
    </w:p>
    <w:p>
      <w:pPr>
        <w:pStyle w:val="TextBody"/>
        <w:bidi w:val="0"/>
        <w:spacing w:before="120" w:after="283"/>
        <w:jc w:val="both"/>
        <w:rPr>
          <w:rFonts w:ascii="Ashland;sans-serif" w:hAnsi="Ashland;sans-serif"/>
          <w:b/>
          <w:i/>
          <w:color w:val="000000"/>
          <w:sz w:val="20"/>
        </w:rPr>
      </w:pPr>
      <w:r>
        <w:rPr>
          <w:rFonts w:ascii="Ashland;sans-serif" w:hAnsi="Ashland;sans-serif"/>
          <w:b/>
          <w:i/>
          <w:color w:val="000000"/>
          <w:sz w:val="20"/>
        </w:rPr>
        <w:t>Consolidated review</w:t>
      </w:r>
    </w:p>
    <w:p>
      <w:pPr>
        <w:pStyle w:val="TextBody"/>
        <w:bidi w:val="0"/>
        <w:spacing w:before="120" w:after="283"/>
        <w:jc w:val="both"/>
        <w:rPr>
          <w:rFonts w:ascii="Ashland;sans-serif" w:hAnsi="Ashland;sans-serif"/>
          <w:i/>
          <w:color w:val="000000"/>
          <w:sz w:val="20"/>
        </w:rPr>
      </w:pPr>
      <w:r>
        <w:rPr>
          <w:rFonts w:ascii="Ashland;sans-serif" w:hAnsi="Ashland;sans-serif"/>
          <w:i/>
          <w:color w:val="000000"/>
          <w:sz w:val="20"/>
        </w:rPr>
        <w:t>Overview</w:t>
      </w:r>
    </w:p>
    <w:p>
      <w:pPr>
        <w:pStyle w:val="TextBody"/>
        <w:bidi w:val="0"/>
        <w:spacing w:before="120" w:after="120"/>
        <w:jc w:val="both"/>
        <w:rPr>
          <w:rFonts w:ascii="Ashland;sans-serif" w:hAnsi="Ashland;sans-serif"/>
          <w:color w:val="000000"/>
          <w:sz w:val="20"/>
        </w:rPr>
      </w:pPr>
      <w:r>
        <w:rPr>
          <w:rFonts w:ascii="Ashland;sans-serif" w:hAnsi="Ashland;sans-serif"/>
          <w:color w:val="000000"/>
          <w:sz w:val="20"/>
        </w:rPr>
        <w:t>Key financial results included the following:</w:t>
      </w:r>
    </w:p>
    <w:tbl>
      <w:tblPr>
        <w:tblW w:w="10205" w:type="dxa"/>
        <w:jc w:val="left"/>
        <w:tblInd w:w="0" w:type="dxa"/>
        <w:tblLayout w:type="fixed"/>
        <w:tblCellMar>
          <w:top w:w="28" w:type="dxa"/>
          <w:left w:w="28" w:type="dxa"/>
          <w:bottom w:w="28" w:type="dxa"/>
          <w:right w:w="28" w:type="dxa"/>
        </w:tblCellMar>
      </w:tblPr>
      <w:tblGrid>
        <w:gridCol w:w="3126"/>
        <w:gridCol w:w="146"/>
        <w:gridCol w:w="226"/>
        <w:gridCol w:w="526"/>
        <w:gridCol w:w="146"/>
        <w:gridCol w:w="146"/>
        <w:gridCol w:w="226"/>
        <w:gridCol w:w="721"/>
        <w:gridCol w:w="181"/>
        <w:gridCol w:w="146"/>
        <w:gridCol w:w="226"/>
        <w:gridCol w:w="646"/>
        <w:gridCol w:w="181"/>
        <w:gridCol w:w="146"/>
        <w:gridCol w:w="226"/>
        <w:gridCol w:w="526"/>
        <w:gridCol w:w="146"/>
        <w:gridCol w:w="146"/>
        <w:gridCol w:w="226"/>
        <w:gridCol w:w="721"/>
        <w:gridCol w:w="181"/>
        <w:gridCol w:w="146"/>
        <w:gridCol w:w="226"/>
        <w:gridCol w:w="646"/>
        <w:gridCol w:w="226"/>
      </w:tblGrid>
      <w:tr>
        <w:trPr/>
        <w:tc>
          <w:tcPr>
            <w:tcW w:w="3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12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190" w:type="dxa"/>
            <w:gridSpan w:val="10"/>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Three months ended</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190" w:type="dxa"/>
            <w:gridSpan w:val="10"/>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Nine months ended</w:t>
            </w:r>
          </w:p>
        </w:tc>
        <w:tc>
          <w:tcPr>
            <w:tcW w:w="22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9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9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 except per share data)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Change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Change</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1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(742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758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(877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897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shland;sans-serif" w:hAnsi="Ashland;sans-serif"/>
                <w:color w:val="000000"/>
                <w:sz w:val="18"/>
              </w:rPr>
              <w:t>Diluted earnings per share (EPS) net income (loss)</w:t>
            </w:r>
            <w:r>
              <w:rPr>
                <w:rFonts w:ascii="Ashland;sans-serif" w:hAnsi="Ashland;sans-serif"/>
                <w:color w:val="000000"/>
                <w:sz w:val="12"/>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(16.21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16.56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(18.85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19.28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Income (loss)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(719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760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(855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897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shland;sans-serif" w:hAnsi="Ashland;sans-serif"/>
                <w:color w:val="000000"/>
                <w:sz w:val="18"/>
              </w:rPr>
              <w:t>Diluted EPS income (loss) from continuing operations</w:t>
            </w:r>
            <w:r>
              <w:rPr>
                <w:rFonts w:ascii="Ashland;sans-serif" w:hAnsi="Ashland;sans-serif"/>
                <w:color w:val="000000"/>
                <w:sz w:val="12"/>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(15.70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16.59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(18.39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19.30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Operating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(708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751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(836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912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shland;sans-serif" w:hAnsi="Ashland;sans-serif"/>
                <w:color w:val="000000"/>
                <w:sz w:val="18"/>
              </w:rPr>
              <w:t>EBITDA</w:t>
            </w:r>
            <w:r>
              <w:rPr>
                <w:rFonts w:ascii="Ashland;sans-serif" w:hAnsi="Ashland;sans-serif"/>
                <w:color w:val="000000"/>
                <w:sz w:val="12"/>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(683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752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(713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906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shland;sans-serif" w:hAnsi="Ashland;sans-serif"/>
                <w:color w:val="000000"/>
                <w:sz w:val="18"/>
              </w:rPr>
              <w:t>Adjusted EBITDA</w:t>
            </w:r>
            <w:r>
              <w:rPr>
                <w:rFonts w:ascii="Ashland;sans-serif" w:hAnsi="Ashland;sans-serif"/>
                <w:color w:val="000000"/>
                <w:sz w:val="12"/>
              </w:rPr>
              <w:t>(b)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113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282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3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shland;sans-serif" w:hAnsi="Ashland;sans-serif"/>
                <w:color w:val="000000"/>
                <w:sz w:val="18"/>
              </w:rPr>
              <w:t>Adjusted Diluted EPS from Continuing Operations Excluding Intangibles Amortization Expense</w:t>
            </w:r>
            <w:r>
              <w:rPr>
                <w:rFonts w:ascii="Ashland;sans-serif" w:hAnsi="Ashland;sans-serif"/>
                <w:color w:val="000000"/>
                <w:sz w:val="12"/>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1.04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(0.02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2.30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(0.11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3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Ashland;sans-serif" w:hAnsi="Ashland;sans-serif"/>
          <w:color w:val="000000"/>
          <w:sz w:val="14"/>
        </w:rPr>
      </w:pPr>
      <w:r>
        <w:rPr>
          <w:rFonts w:ascii="Ashland;sans-serif" w:hAnsi="Ashland;sans-serif"/>
          <w:color w:val="000000"/>
          <w:sz w:val="14"/>
        </w:rPr>
        <w:t>(a)</w:t>
      </w:r>
    </w:p>
    <w:p>
      <w:pPr>
        <w:pStyle w:val="TextBody"/>
        <w:bidi w:val="0"/>
        <w:spacing w:before="120" w:after="283"/>
        <w:jc w:val="both"/>
        <w:rPr>
          <w:rFonts w:ascii="Ashland;sans-serif" w:hAnsi="Ashland;sans-serif"/>
          <w:color w:val="000000"/>
          <w:sz w:val="14"/>
        </w:rPr>
      </w:pPr>
      <w:r>
        <w:rPr>
          <w:rFonts w:ascii="Ashland;sans-serif" w:hAnsi="Ashland;sans-serif"/>
          <w:color w:val="000000"/>
          <w:sz w:val="14"/>
        </w:rPr>
        <w:t>As a result of the loss from continuing operations attributable to Ashland during the three and nine months ended June 30, 2025, the effect of the share-based awards convertible to common stock would be antidilutive and have been excluded from the diluted EPS calculation.</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(b)</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These are non-GAAP financial measures. See "Use of Non-GAAP Financial Measures" section below for reconciliations to U.S. GAAP.</w:t>
      </w:r>
    </w:p>
    <w:p>
      <w:pPr>
        <w:pStyle w:val="TextBody"/>
        <w:bidi w:val="0"/>
        <w:spacing w:before="120" w:after="283"/>
        <w:jc w:val="center"/>
        <w:rPr>
          <w:rFonts w:ascii="Ashland;sans-serif" w:hAnsi="Ashland;sans-serif"/>
          <w:color w:val="000000"/>
          <w:sz w:val="20"/>
        </w:rPr>
      </w:pPr>
      <w:r>
        <w:rPr>
          <w:rFonts w:ascii="Ashland;sans-serif" w:hAnsi="Ashland;sans-serif"/>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shland;sans-serif" w:hAnsi="Ashland;sans-serif"/>
          <w:i/>
          <w:color w:val="000000"/>
          <w:sz w:val="20"/>
        </w:rPr>
      </w:pPr>
      <w:r>
        <w:rPr>
          <w:rFonts w:ascii="Ashland;sans-serif" w:hAnsi="Ashland;sans-serif"/>
          <w:i/>
          <w:color w:val="000000"/>
          <w:sz w:val="20"/>
        </w:rPr>
        <w:t>Business results</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Ashland's net income of $16 million ($0.35 diluted EPS) and net loss of $742 million (loss of $16.21 diluted EPS) included loss from discontinued operations of $25 million (loss of $0.54 diluted EPS) and $23 million (loss of $0.51 diluted EPS) in the three months ended June 30, 2026 and 2025, respectively.</w:t>
      </w:r>
    </w:p>
    <w:p>
      <w:pPr>
        <w:pStyle w:val="TextBody"/>
        <w:bidi w:val="0"/>
        <w:spacing w:before="120" w:after="283"/>
        <w:jc w:val="both"/>
        <w:rPr>
          <w:rFonts w:ascii="Times New Roman" w:hAnsi="Times New Roman"/>
          <w:sz w:val="20"/>
        </w:rPr>
      </w:pPr>
      <w:r>
        <w:rPr>
          <w:rFonts w:ascii="Ashland;sans-serif" w:hAnsi="Ashland;sans-serif"/>
          <w:color w:val="000000"/>
          <w:sz w:val="20"/>
        </w:rPr>
        <w:t>Results for Ashland’s continuing operations, diluted EPS from continuing operations and operating income (loss) for the three months ended June 30, 2026 and 2025, included certain key items that were excluded to arrive at Adjusted EBITDA and are quantified in the “Use of Non-GAAP Financial Measures” section below. These pre-tax key items totaled income of $5 million and expense of $754 million for the three months ended June 30, 2026 and 2025, respectively, impacting continuing operations, including a non-cash goodwill impairment charge of $706 million in the three months ended June 30, 2025 ($375 million for the Life Sciences and $331 million for the Specialty Additives reportable segments). Continuing operations was also impacted by unfavorable tax specific key items for discrete tax items totaling zero and $13 million for the three months ended June 30, 2026 and 2025, respectively.</w:t>
      </w:r>
      <w:r>
        <w:rPr>
          <w:rFonts w:ascii="Times New Roman" w:hAnsi="Times New Roman"/>
          <w:color w:val="000000"/>
          <w:sz w:val="20"/>
        </w:rPr>
        <w:t xml:space="preserve"> </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Excluding these key items, the decrease in continuing operations, diluted EPS from continuing operations and operating income (loss) was primarily driven by unfavorable production costs and higher selling, general and administrative expenses, partially offset by higher sales volumes, price/mix and foreign currency exchange. The number of weighted-average common shares outstanding was 46 million diluted shares at both June 30, 2026 and 2025.</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Ashland’s Adjusted EBITDA was $109 million for the three months ended June 30, 2026 compared to $113 million for the three months ended June 30, 2025 (see U.S. GAAP reconciliation under “Use of Non-GAAP Financial Measures” below). The $4 million decrease in Adjusted EBITDA was primarily driven by unfavorable production costs and higher selling, general and administrative expenses, partially offset by higher sales volumes, price/mix and foreign currency exchange. Adjusted Diluted EPS from Continuing Operations (non-GAAP) Excluding Intangibles Amortization Expense was also impacted by these factors.</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For further information on the items reported above, see the discussion in the comparative Statements of Condensed Consolidated Comprehensive Income (Loss) caption review analysis.</w:t>
      </w:r>
    </w:p>
    <w:p>
      <w:pPr>
        <w:pStyle w:val="TextBody"/>
        <w:bidi w:val="0"/>
        <w:spacing w:before="120" w:after="283"/>
        <w:jc w:val="both"/>
        <w:rPr>
          <w:rFonts w:ascii="Ashland;sans-serif" w:hAnsi="Ashland;sans-serif"/>
          <w:i/>
          <w:color w:val="000000"/>
          <w:sz w:val="20"/>
        </w:rPr>
      </w:pPr>
      <w:r>
        <w:rPr>
          <w:rFonts w:ascii="Ashland;sans-serif" w:hAnsi="Ashland;sans-serif"/>
          <w:i/>
          <w:color w:val="000000"/>
          <w:sz w:val="20"/>
        </w:rPr>
        <w:t>Statements of Condensed Consolidated Comprehensive Income (Loss) – caption review</w:t>
      </w:r>
    </w:p>
    <w:p>
      <w:pPr>
        <w:pStyle w:val="TextBody"/>
        <w:bidi w:val="0"/>
        <w:spacing w:before="120" w:after="120"/>
        <w:jc w:val="both"/>
        <w:rPr>
          <w:rFonts w:ascii="Ashland;sans-serif" w:hAnsi="Ashland;sans-serif"/>
          <w:color w:val="000000"/>
          <w:sz w:val="20"/>
        </w:rPr>
      </w:pPr>
      <w:r>
        <w:rPr>
          <w:rFonts w:ascii="Ashland;sans-serif" w:hAnsi="Ashland;sans-serif"/>
          <w:color w:val="000000"/>
          <w:sz w:val="20"/>
        </w:rPr>
        <w:t>A comparative analysis of the Statements of Condensed Consolidated Comprehensive Income (Loss) by caption is provided as follows:</w:t>
      </w:r>
    </w:p>
    <w:tbl>
      <w:tblPr>
        <w:tblW w:w="7869" w:type="dxa"/>
        <w:jc w:val="left"/>
        <w:tblInd w:w="0" w:type="dxa"/>
        <w:tblLayout w:type="fixed"/>
        <w:tblCellMar>
          <w:top w:w="28" w:type="dxa"/>
          <w:left w:w="28" w:type="dxa"/>
          <w:bottom w:w="28" w:type="dxa"/>
          <w:right w:w="28" w:type="dxa"/>
        </w:tblCellMar>
      </w:tblPr>
      <w:tblGrid>
        <w:gridCol w:w="1186"/>
        <w:gridCol w:w="146"/>
        <w:gridCol w:w="245"/>
        <w:gridCol w:w="506"/>
        <w:gridCol w:w="158"/>
        <w:gridCol w:w="158"/>
        <w:gridCol w:w="245"/>
        <w:gridCol w:w="506"/>
        <w:gridCol w:w="158"/>
        <w:gridCol w:w="158"/>
        <w:gridCol w:w="314"/>
        <w:gridCol w:w="482"/>
        <w:gridCol w:w="146"/>
        <w:gridCol w:w="146"/>
        <w:gridCol w:w="226"/>
        <w:gridCol w:w="646"/>
        <w:gridCol w:w="146"/>
        <w:gridCol w:w="146"/>
        <w:gridCol w:w="226"/>
        <w:gridCol w:w="646"/>
        <w:gridCol w:w="146"/>
        <w:gridCol w:w="146"/>
        <w:gridCol w:w="314"/>
        <w:gridCol w:w="482"/>
        <w:gridCol w:w="191"/>
      </w:tblGrid>
      <w:tr>
        <w:trPr/>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8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930"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Three months ended June 30</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3124"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Nine months ended June 30</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2026</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2025</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Change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497</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463</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1,365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1,347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spacing w:before="120" w:after="120"/>
        <w:jc w:val="both"/>
        <w:rPr>
          <w:rFonts w:ascii="Ashland;sans-serif" w:hAnsi="Ashland;sans-serif"/>
          <w:color w:val="000000"/>
          <w:sz w:val="20"/>
        </w:rPr>
      </w:pPr>
      <w:r>
        <w:rPr>
          <w:rFonts w:ascii="Ashland;sans-serif" w:hAnsi="Ashland;sans-serif"/>
          <w:color w:val="000000"/>
          <w:sz w:val="20"/>
        </w:rPr>
        <w:t>The following table provides a reconciliation of the change in sales:</w:t>
      </w:r>
    </w:p>
    <w:tbl>
      <w:tblPr>
        <w:tblW w:w="7560" w:type="dxa"/>
        <w:jc w:val="left"/>
        <w:tblInd w:w="0" w:type="dxa"/>
        <w:tblLayout w:type="fixed"/>
        <w:tblCellMar>
          <w:top w:w="28" w:type="dxa"/>
          <w:left w:w="28" w:type="dxa"/>
          <w:bottom w:w="28" w:type="dxa"/>
          <w:right w:w="28" w:type="dxa"/>
        </w:tblCellMar>
      </w:tblPr>
      <w:tblGrid>
        <w:gridCol w:w="2811"/>
        <w:gridCol w:w="146"/>
        <w:gridCol w:w="787"/>
        <w:gridCol w:w="1208"/>
        <w:gridCol w:w="146"/>
        <w:gridCol w:w="146"/>
        <w:gridCol w:w="660"/>
        <w:gridCol w:w="1230"/>
        <w:gridCol w:w="426"/>
      </w:tblGrid>
      <w:tr>
        <w:trPr/>
        <w:tc>
          <w:tcPr>
            <w:tcW w:w="2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28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95"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Three months ended</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890"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Nine months ended</w:t>
            </w:r>
          </w:p>
        </w:tc>
        <w:tc>
          <w:tcPr>
            <w:tcW w:w="42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 2026</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1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Sales change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9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Foreign currency exchange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28</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Volume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16</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Avoca 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(11</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w:t>
            </w:r>
          </w:p>
        </w:tc>
      </w:tr>
      <w:tr>
        <w:trPr/>
        <w:tc>
          <w:tcPr>
            <w:tcW w:w="2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Price/mix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(15</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28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Change in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18</w:t>
            </w:r>
          </w:p>
        </w:tc>
        <w:tc>
          <w:tcPr>
            <w:tcW w:w="4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Ashland;sans-serif" w:hAnsi="Ashland;sans-serif"/>
          <w:color w:val="000000"/>
          <w:sz w:val="20"/>
        </w:rPr>
      </w:pPr>
      <w:r>
        <w:rPr>
          <w:rFonts w:ascii="Ashland;sans-serif" w:hAnsi="Ashland;sans-serif"/>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Ashland;sans-serif" w:hAnsi="Ashland;sans-serif"/>
          <w:i/>
          <w:color w:val="000000"/>
          <w:sz w:val="20"/>
        </w:rPr>
      </w:pPr>
      <w:r>
        <w:rPr>
          <w:rFonts w:ascii="Ashland;sans-serif" w:hAnsi="Ashland;sans-serif"/>
          <w:i/>
          <w:color w:val="000000"/>
          <w:sz w:val="20"/>
        </w:rPr>
        <w:t>Three months ended June 30, 2026 compared to three months ended June 30, 2025</w:t>
      </w:r>
    </w:p>
    <w:p>
      <w:pPr>
        <w:pStyle w:val="TextBody"/>
        <w:bidi w:val="0"/>
        <w:spacing w:before="0" w:after="120"/>
        <w:jc w:val="both"/>
        <w:rPr>
          <w:rFonts w:ascii="Ashland;sans-serif" w:hAnsi="Ashland;sans-serif"/>
          <w:color w:val="000000"/>
          <w:sz w:val="20"/>
        </w:rPr>
      </w:pPr>
      <w:r>
        <w:rPr>
          <w:rFonts w:ascii="Ashland;sans-serif" w:hAnsi="Ashland;sans-serif"/>
          <w:color w:val="000000"/>
          <w:sz w:val="20"/>
        </w:rPr>
        <w:t>Sales for the three months ended June 30, 2026 increased $34 million compared to the three months ended June 30, 2025. The increase was driven by higher volume, favorable foreign currency exchange and price/mix.</w:t>
      </w:r>
    </w:p>
    <w:p>
      <w:pPr>
        <w:pStyle w:val="TextBody"/>
        <w:bidi w:val="0"/>
        <w:spacing w:before="0" w:after="120"/>
        <w:jc w:val="both"/>
        <w:rPr>
          <w:rFonts w:ascii="Ashland;sans-serif" w:hAnsi="Ashland;sans-serif"/>
          <w:i/>
          <w:color w:val="000000"/>
          <w:sz w:val="20"/>
        </w:rPr>
      </w:pPr>
      <w:r>
        <w:rPr>
          <w:rFonts w:ascii="Ashland;sans-serif" w:hAnsi="Ashland;sans-serif"/>
          <w:i/>
          <w:color w:val="000000"/>
          <w:sz w:val="20"/>
        </w:rPr>
        <w:t>Nine months ended June 30, 2026 compared to nine months ended June 30, 2025</w:t>
      </w:r>
    </w:p>
    <w:p>
      <w:pPr>
        <w:pStyle w:val="TextBody"/>
        <w:bidi w:val="0"/>
        <w:spacing w:before="0" w:after="120"/>
        <w:jc w:val="both"/>
        <w:rPr>
          <w:rFonts w:ascii="Ashland;sans-serif" w:hAnsi="Ashland;sans-serif"/>
          <w:color w:val="000000"/>
          <w:sz w:val="20"/>
        </w:rPr>
      </w:pPr>
      <w:r>
        <w:rPr>
          <w:rFonts w:ascii="Ashland;sans-serif" w:hAnsi="Ashland;sans-serif"/>
          <w:color w:val="000000"/>
          <w:sz w:val="20"/>
        </w:rPr>
        <w:t>Sales for the nine months ended June 30, 2026 increased $18 million compared to the nine months ended June 30, 2025. The increase was driven by favorable foreign currency exchange and higher volume, which was partially offset by unfavorable price/mix and the impact of the Avoca business sale. Portfolio Optimization initiatives had a negative $11 million impact on sales in the nine months ended June 30, 2026.</w:t>
      </w:r>
    </w:p>
    <w:tbl>
      <w:tblPr>
        <w:tblW w:w="10205" w:type="dxa"/>
        <w:jc w:val="left"/>
        <w:tblInd w:w="0" w:type="dxa"/>
        <w:tblLayout w:type="fixed"/>
        <w:tblCellMar>
          <w:top w:w="28" w:type="dxa"/>
          <w:left w:w="28" w:type="dxa"/>
          <w:bottom w:w="28" w:type="dxa"/>
          <w:right w:w="28" w:type="dxa"/>
        </w:tblCellMar>
      </w:tblPr>
      <w:tblGrid>
        <w:gridCol w:w="3238"/>
        <w:gridCol w:w="146"/>
        <w:gridCol w:w="226"/>
        <w:gridCol w:w="526"/>
        <w:gridCol w:w="271"/>
        <w:gridCol w:w="146"/>
        <w:gridCol w:w="226"/>
        <w:gridCol w:w="526"/>
        <w:gridCol w:w="271"/>
        <w:gridCol w:w="146"/>
        <w:gridCol w:w="341"/>
        <w:gridCol w:w="455"/>
        <w:gridCol w:w="181"/>
        <w:gridCol w:w="146"/>
        <w:gridCol w:w="226"/>
        <w:gridCol w:w="526"/>
        <w:gridCol w:w="271"/>
        <w:gridCol w:w="146"/>
        <w:gridCol w:w="226"/>
        <w:gridCol w:w="526"/>
        <w:gridCol w:w="271"/>
        <w:gridCol w:w="146"/>
        <w:gridCol w:w="278"/>
        <w:gridCol w:w="518"/>
        <w:gridCol w:w="226"/>
      </w:tblGrid>
      <w:tr>
        <w:trPr/>
        <w:tc>
          <w:tcPr>
            <w:tcW w:w="32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23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134"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Three months ended June 30</w:t>
            </w:r>
          </w:p>
        </w:tc>
        <w:tc>
          <w:tcPr>
            <w:tcW w:w="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3134"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Nine months ended June 30</w:t>
            </w:r>
          </w:p>
        </w:tc>
        <w:tc>
          <w:tcPr>
            <w:tcW w:w="2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Change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Change</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38"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327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331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943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957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3238"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Gross profit as a percent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34.2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28.5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30.9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Ashland;sans-serif" w:hAnsi="Ashland;sans-serif"/>
          <w:color w:val="000000"/>
          <w:sz w:val="20"/>
        </w:rPr>
      </w:pPr>
      <w:r>
        <w:rPr>
          <w:rFonts w:ascii="Ashland;sans-serif" w:hAnsi="Ashland;sans-serif"/>
          <w:color w:val="000000"/>
          <w:sz w:val="20"/>
        </w:rPr>
        <w:t>The following table provides a reconciliation of the change in cost of sales:</w:t>
      </w:r>
    </w:p>
    <w:tbl>
      <w:tblPr>
        <w:tblW w:w="7795" w:type="dxa"/>
        <w:jc w:val="left"/>
        <w:tblInd w:w="0" w:type="dxa"/>
        <w:tblLayout w:type="fixed"/>
        <w:tblCellMar>
          <w:top w:w="28" w:type="dxa"/>
          <w:left w:w="28" w:type="dxa"/>
          <w:bottom w:w="28" w:type="dxa"/>
          <w:right w:w="28" w:type="dxa"/>
        </w:tblCellMar>
      </w:tblPr>
      <w:tblGrid>
        <w:gridCol w:w="2811"/>
        <w:gridCol w:w="346"/>
        <w:gridCol w:w="697"/>
        <w:gridCol w:w="1298"/>
        <w:gridCol w:w="181"/>
        <w:gridCol w:w="146"/>
        <w:gridCol w:w="660"/>
        <w:gridCol w:w="1230"/>
        <w:gridCol w:w="426"/>
      </w:tblGrid>
      <w:tr>
        <w:trPr/>
        <w:tc>
          <w:tcPr>
            <w:tcW w:w="28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28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95"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Three months ended</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890"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Nine months ended</w:t>
            </w:r>
          </w:p>
        </w:tc>
        <w:tc>
          <w:tcPr>
            <w:tcW w:w="42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 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 2026</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1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Cost of sales change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Price/mix</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298"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(18</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w:t>
            </w:r>
          </w:p>
        </w:tc>
      </w:tr>
      <w:tr>
        <w:trPr/>
        <w:tc>
          <w:tcPr>
            <w:tcW w:w="2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Avoca business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(11</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w:t>
            </w:r>
          </w:p>
        </w:tc>
      </w:tr>
      <w:tr>
        <w:trPr/>
        <w:tc>
          <w:tcPr>
            <w:tcW w:w="2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Operating costs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8"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(8</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w:t>
            </w:r>
          </w:p>
        </w:tc>
      </w:tr>
      <w:tr>
        <w:trPr/>
        <w:tc>
          <w:tcPr>
            <w:tcW w:w="2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Volume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8"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Foreign currency exchange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17</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1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Change in cost of sales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(14</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2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Ashland;sans-serif" w:hAnsi="Ashland;sans-serif"/>
          <w:i/>
          <w:color w:val="000000"/>
          <w:sz w:val="20"/>
        </w:rPr>
      </w:pPr>
      <w:r>
        <w:rPr>
          <w:rFonts w:ascii="Ashland;sans-serif" w:hAnsi="Ashland;sans-serif"/>
          <w:i/>
          <w:color w:val="000000"/>
          <w:sz w:val="20"/>
        </w:rPr>
        <w:t>Three months ended June 30, 2026 compared to three months ended June 30, 2025</w:t>
      </w:r>
    </w:p>
    <w:p>
      <w:pPr>
        <w:pStyle w:val="TextBody"/>
        <w:bidi w:val="0"/>
        <w:spacing w:before="0" w:after="120"/>
        <w:jc w:val="both"/>
        <w:rPr>
          <w:rFonts w:ascii="Ashland;sans-serif" w:hAnsi="Ashland;sans-serif"/>
          <w:color w:val="000000"/>
          <w:sz w:val="20"/>
        </w:rPr>
      </w:pPr>
      <w:r>
        <w:rPr>
          <w:rFonts w:ascii="Ashland;sans-serif" w:hAnsi="Ashland;sans-serif"/>
          <w:color w:val="000000"/>
          <w:sz w:val="20"/>
        </w:rPr>
        <w:t>Cost of sales for the three months ended June 30, 2026, decreased $4 million compared to the three months ended June 30, 2025. The decrease was primarily driven by lower operating costs and favorable price/mix partially offset by higher volumes and unfavorable foreign currency. The three months ended June 30, 2026, included $3 million of other plant optimization costs while the three months ended June 30, 2025 included $27 million of accelerated depreciation for product line optimization activities at manufacturing facilities within Life Sciences, Personal Care and Specialty Additives reportable segments and $3 million of other plant optimization costs. Gross profit as a percentage of sales increased 5.7% compared to the three months ended June 30, 2025 as a result of the sales and cost of sales factors noted above.</w:t>
      </w:r>
    </w:p>
    <w:p>
      <w:pPr>
        <w:pStyle w:val="TextBody"/>
        <w:bidi w:val="0"/>
        <w:spacing w:before="0" w:after="120"/>
        <w:jc w:val="both"/>
        <w:rPr>
          <w:rFonts w:ascii="Ashland;sans-serif" w:hAnsi="Ashland;sans-serif"/>
          <w:i/>
          <w:color w:val="000000"/>
          <w:sz w:val="20"/>
        </w:rPr>
      </w:pPr>
      <w:r>
        <w:rPr>
          <w:rFonts w:ascii="Ashland;sans-serif" w:hAnsi="Ashland;sans-serif"/>
          <w:i/>
          <w:color w:val="000000"/>
          <w:sz w:val="20"/>
        </w:rPr>
        <w:t>Nine months ended June 30, 2026 compared to nine months ended June 30, 2025</w:t>
      </w:r>
    </w:p>
    <w:p>
      <w:pPr>
        <w:pStyle w:val="TextBody"/>
        <w:bidi w:val="0"/>
        <w:spacing w:before="0" w:after="120"/>
        <w:jc w:val="both"/>
        <w:rPr>
          <w:rFonts w:ascii="Ashland;sans-serif" w:hAnsi="Ashland;sans-serif"/>
          <w:color w:val="000000"/>
          <w:sz w:val="20"/>
        </w:rPr>
      </w:pPr>
      <w:r>
        <w:rPr>
          <w:rFonts w:ascii="Ashland;sans-serif" w:hAnsi="Ashland;sans-serif"/>
          <w:color w:val="000000"/>
          <w:sz w:val="20"/>
        </w:rPr>
        <w:t>Cost of sales for the nine months ended June 30, 2026, decreased $14 million compared to the nine months ended June 30, 2025. The decrease was primarily driven by favorable price/mix, the divestiture of the Avoca business and lower operating costs, partially offset by higher volumes and unfavorable foreign currency. The nine months ended June 30, 2026, operating costs were affected by $4 million of accelerated depreciation for product line optimization activities at manufacturing facilities within Specialty Additives and Personal Care and $18 million of other plant optimization costs while the nine months ended June 30, 2025 included $40 million of accelerated depreciation for product line optimization activities at manufacturing facilities within Life Sciences, Personal Care and Specialty Additives reportable segments and $12 million of other plant optimization costs. Gross profit as a percentage of sales increased 1.9% compared to the nine months ended June 30, 2025, as a result of the sales and cost of sales factors notes above.</w:t>
      </w:r>
    </w:p>
    <w:p>
      <w:pPr>
        <w:pStyle w:val="TextBody"/>
        <w:bidi w:val="0"/>
        <w:spacing w:before="120" w:after="283"/>
        <w:jc w:val="center"/>
        <w:rPr>
          <w:rFonts w:ascii="Ashland;sans-serif" w:hAnsi="Ashland;sans-serif"/>
          <w:color w:val="000000"/>
          <w:sz w:val="20"/>
        </w:rPr>
      </w:pPr>
      <w:r>
        <w:rPr>
          <w:rFonts w:ascii="Ashland;sans-serif" w:hAnsi="Ashland;sans-serif"/>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38"/>
        <w:gridCol w:w="146"/>
        <w:gridCol w:w="226"/>
        <w:gridCol w:w="526"/>
        <w:gridCol w:w="271"/>
        <w:gridCol w:w="146"/>
        <w:gridCol w:w="226"/>
        <w:gridCol w:w="526"/>
        <w:gridCol w:w="271"/>
        <w:gridCol w:w="146"/>
        <w:gridCol w:w="341"/>
        <w:gridCol w:w="455"/>
        <w:gridCol w:w="181"/>
        <w:gridCol w:w="146"/>
        <w:gridCol w:w="226"/>
        <w:gridCol w:w="526"/>
        <w:gridCol w:w="271"/>
        <w:gridCol w:w="146"/>
        <w:gridCol w:w="226"/>
        <w:gridCol w:w="526"/>
        <w:gridCol w:w="271"/>
        <w:gridCol w:w="146"/>
        <w:gridCol w:w="341"/>
        <w:gridCol w:w="455"/>
        <w:gridCol w:w="226"/>
      </w:tblGrid>
      <w:tr>
        <w:trPr/>
        <w:tc>
          <w:tcPr>
            <w:tcW w:w="32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23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134"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Three months ended June 30</w:t>
            </w:r>
          </w:p>
        </w:tc>
        <w:tc>
          <w:tcPr>
            <w:tcW w:w="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3134"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Nine months ended June 30</w:t>
            </w:r>
          </w:p>
        </w:tc>
        <w:tc>
          <w:tcPr>
            <w:tcW w:w="2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Change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Change</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38"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Selling, general and administrative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99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106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264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268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3238"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As a percent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19.9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19.3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19.9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Ashland;sans-serif" w:hAnsi="Ashland;sans-serif"/>
          <w:i/>
          <w:color w:val="000000"/>
          <w:sz w:val="20"/>
        </w:rPr>
      </w:pPr>
      <w:r>
        <w:rPr>
          <w:rFonts w:ascii="Ashland;sans-serif" w:hAnsi="Ashland;sans-serif"/>
          <w:i/>
          <w:color w:val="000000"/>
          <w:sz w:val="20"/>
        </w:rPr>
        <w:t>Three months ended June 30, 2026 compared to three months ended June 30, 2025</w:t>
      </w:r>
    </w:p>
    <w:p>
      <w:pPr>
        <w:pStyle w:val="TextBody"/>
        <w:bidi w:val="0"/>
        <w:spacing w:before="0" w:after="120"/>
        <w:jc w:val="both"/>
        <w:rPr>
          <w:rFonts w:ascii="Times New Roman" w:hAnsi="Times New Roman"/>
          <w:sz w:val="20"/>
        </w:rPr>
      </w:pPr>
      <w:r>
        <w:rPr>
          <w:rFonts w:ascii="Ashland;sans-serif" w:hAnsi="Ashland;sans-serif"/>
          <w:color w:val="000000"/>
          <w:sz w:val="20"/>
        </w:rPr>
        <w:t>Selling, general and administrative expense for the three months ended June 30, 2026, decreased $7 million compared to the three months ended June 30, 2025, with expenses as a percent of sales decreasing 3.0%. Key drivers of the fluctuation in selling, general and administrative expense compared to the three months ended June 30, 2025, were:</w:t>
      </w:r>
      <w:r>
        <w:rPr>
          <w:rFonts w:ascii="Times New Roman" w:hAnsi="Times New Roman"/>
          <w:color w:val="000000"/>
          <w:sz w:val="20"/>
        </w:rPr>
        <w:t xml:space="preserve"> </w:t>
      </w:r>
    </w:p>
    <w:p>
      <w:pPr>
        <w:pStyle w:val="TextBody"/>
        <w:bidi w:val="0"/>
        <w:spacing w:before="0" w:after="0"/>
        <w:jc w:val="both"/>
        <w:rPr>
          <w:color w:val="000000"/>
        </w:rPr>
      </w:pPr>
      <w:r>
        <w:rPr>
          <w:color w:val="000000"/>
        </w:rPr>
        <w:t>•</w:t>
      </w:r>
    </w:p>
    <w:p>
      <w:pPr>
        <w:pStyle w:val="TextBody"/>
        <w:bidi w:val="0"/>
        <w:spacing w:before="0" w:after="0"/>
        <w:jc w:val="both"/>
        <w:rPr>
          <w:rFonts w:ascii="Ashland;sans-serif" w:hAnsi="Ashland;sans-serif"/>
          <w:color w:val="000000"/>
          <w:sz w:val="20"/>
        </w:rPr>
      </w:pPr>
      <w:r>
        <w:rPr>
          <w:rFonts w:ascii="Ashland;sans-serif" w:hAnsi="Ashland;sans-serif"/>
          <w:color w:val="000000"/>
          <w:sz w:val="20"/>
        </w:rPr>
        <w:t xml:space="preserve">$17 million and $30 million in net environmental-related expenses during the three months ended June 30, 2026 and 2025, respectively (see Note L of the Notes to Condensed Consolidated Financial Statements for more information); </w:t>
      </w:r>
    </w:p>
    <w:p>
      <w:pPr>
        <w:pStyle w:val="TextBody"/>
        <w:bidi w:val="0"/>
        <w:spacing w:before="120" w:after="283"/>
        <w:jc w:val="both"/>
        <w:rPr>
          <w:color w:val="000000"/>
        </w:rPr>
      </w:pPr>
      <w:r>
        <w:rPr>
          <w:color w:val="000000"/>
        </w:rPr>
        <w:t>•</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 xml:space="preserve">Expense of $8 million and $7 million comprised of key items for severance, lease abandonment and other restructuring costs during the three months ended June 30, 2026 and 2025, respectively; </w:t>
      </w:r>
    </w:p>
    <w:p>
      <w:pPr>
        <w:pStyle w:val="TextBody"/>
        <w:bidi w:val="0"/>
        <w:spacing w:before="120" w:after="283"/>
        <w:jc w:val="both"/>
        <w:rPr>
          <w:color w:val="000000"/>
        </w:rPr>
      </w:pPr>
      <w:r>
        <w:rPr>
          <w:color w:val="000000"/>
        </w:rPr>
        <w:t>•</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$8 million benefit related to domestic tax credits during the three months ended June 30, 2026; and</w:t>
      </w:r>
    </w:p>
    <w:p>
      <w:pPr>
        <w:pStyle w:val="TextBody"/>
        <w:bidi w:val="0"/>
        <w:spacing w:before="120" w:after="120"/>
        <w:jc w:val="both"/>
        <w:rPr>
          <w:color w:val="000000"/>
        </w:rPr>
      </w:pPr>
      <w:r>
        <w:rPr>
          <w:color w:val="000000"/>
        </w:rPr>
        <w:t>•</w:t>
      </w:r>
    </w:p>
    <w:p>
      <w:pPr>
        <w:pStyle w:val="TextBody"/>
        <w:bidi w:val="0"/>
        <w:spacing w:before="120" w:after="120"/>
        <w:jc w:val="both"/>
        <w:rPr>
          <w:rFonts w:ascii="Ashland;sans-serif" w:hAnsi="Ashland;sans-serif"/>
          <w:color w:val="000000"/>
          <w:sz w:val="20"/>
        </w:rPr>
      </w:pPr>
      <w:r>
        <w:rPr>
          <w:rFonts w:ascii="Ashland;sans-serif" w:hAnsi="Ashland;sans-serif"/>
          <w:color w:val="000000"/>
          <w:sz w:val="20"/>
        </w:rPr>
        <w:t xml:space="preserve">Offset by higher variable compensation expense and lower transition services income. </w:t>
      </w:r>
    </w:p>
    <w:p>
      <w:pPr>
        <w:pStyle w:val="TextBody"/>
        <w:bidi w:val="0"/>
        <w:spacing w:before="0" w:after="120"/>
        <w:jc w:val="both"/>
        <w:rPr>
          <w:rFonts w:ascii="Ashland;sans-serif" w:hAnsi="Ashland;sans-serif"/>
          <w:i/>
          <w:color w:val="000000"/>
          <w:sz w:val="20"/>
        </w:rPr>
      </w:pPr>
      <w:r>
        <w:rPr>
          <w:rFonts w:ascii="Ashland;sans-serif" w:hAnsi="Ashland;sans-serif"/>
          <w:i/>
          <w:color w:val="000000"/>
          <w:sz w:val="20"/>
        </w:rPr>
        <w:t>Nine months ended June 30, 2026 compared to nine months ended June 30, 2025</w:t>
      </w:r>
    </w:p>
    <w:p>
      <w:pPr>
        <w:pStyle w:val="TextBody"/>
        <w:bidi w:val="0"/>
        <w:spacing w:before="0" w:after="120"/>
        <w:jc w:val="both"/>
        <w:rPr>
          <w:rFonts w:ascii="Times New Roman" w:hAnsi="Times New Roman"/>
          <w:sz w:val="20"/>
        </w:rPr>
      </w:pPr>
      <w:r>
        <w:rPr>
          <w:rFonts w:ascii="Ashland;sans-serif" w:hAnsi="Ashland;sans-serif"/>
          <w:color w:val="000000"/>
          <w:sz w:val="20"/>
        </w:rPr>
        <w:t>Selling, general and administrative expense for the nine months ended June 30, 2026, decreased $4 million compared to the nine months ended June 30, 2025, with expenses as a percent of sales decreasing 0.6%. Key drivers of the fluctuation in selling, general and administrative expense compared to the nine months ended June 30, 2025 were:</w:t>
      </w:r>
      <w:r>
        <w:rPr>
          <w:rFonts w:ascii="Times New Roman" w:hAnsi="Times New Roman"/>
          <w:color w:val="000000"/>
          <w:sz w:val="20"/>
        </w:rPr>
        <w:t xml:space="preserve"> </w:t>
      </w:r>
    </w:p>
    <w:p>
      <w:pPr>
        <w:pStyle w:val="TextBody"/>
        <w:bidi w:val="0"/>
        <w:spacing w:before="0" w:after="0"/>
        <w:jc w:val="both"/>
        <w:rPr>
          <w:color w:val="000000"/>
        </w:rPr>
      </w:pPr>
      <w:r>
        <w:rPr>
          <w:color w:val="000000"/>
        </w:rPr>
        <w:t>•</w:t>
      </w:r>
    </w:p>
    <w:p>
      <w:pPr>
        <w:pStyle w:val="TextBody"/>
        <w:bidi w:val="0"/>
        <w:spacing w:before="0" w:after="0"/>
        <w:jc w:val="both"/>
        <w:rPr>
          <w:rFonts w:ascii="Ashland;sans-serif" w:hAnsi="Ashland;sans-serif"/>
          <w:color w:val="000000"/>
          <w:sz w:val="20"/>
        </w:rPr>
      </w:pPr>
      <w:r>
        <w:rPr>
          <w:rFonts w:ascii="Ashland;sans-serif" w:hAnsi="Ashland;sans-serif"/>
          <w:color w:val="000000"/>
          <w:sz w:val="20"/>
        </w:rPr>
        <w:t xml:space="preserve">$28 million and $33 million in net environmental-related expenses during the nine months ended June 30, 2026 and 2025, respectively (see Note L of the Notes to Condensed Consolidated Financial Statements for more information); </w:t>
      </w:r>
    </w:p>
    <w:p>
      <w:pPr>
        <w:pStyle w:val="TextBody"/>
        <w:bidi w:val="0"/>
        <w:spacing w:before="120" w:after="283"/>
        <w:jc w:val="both"/>
        <w:rPr>
          <w:color w:val="000000"/>
        </w:rPr>
      </w:pPr>
      <w:r>
        <w:rPr>
          <w:color w:val="000000"/>
        </w:rPr>
        <w:t>•</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 xml:space="preserve">Expense of $15 million and $18 million comprised of key items for severance, lease abandonment and other restructuring costs during the nine months ended June 30, 2026 and 2025, respectively; </w:t>
      </w:r>
    </w:p>
    <w:p>
      <w:pPr>
        <w:pStyle w:val="TextBody"/>
        <w:bidi w:val="0"/>
        <w:spacing w:before="120" w:after="283"/>
        <w:jc w:val="both"/>
        <w:rPr>
          <w:color w:val="000000"/>
        </w:rPr>
      </w:pPr>
      <w:r>
        <w:rPr>
          <w:color w:val="000000"/>
        </w:rPr>
        <w:t>•</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$8 million benefit related to domestic tax credits during the nine months ended June 30, 2026; and</w:t>
      </w:r>
    </w:p>
    <w:p>
      <w:pPr>
        <w:pStyle w:val="TextBody"/>
        <w:bidi w:val="0"/>
        <w:spacing w:before="120" w:after="120"/>
        <w:jc w:val="both"/>
        <w:rPr>
          <w:color w:val="000000"/>
        </w:rPr>
      </w:pPr>
      <w:r>
        <w:rPr>
          <w:color w:val="000000"/>
        </w:rPr>
        <w:t>•</w:t>
      </w:r>
    </w:p>
    <w:p>
      <w:pPr>
        <w:pStyle w:val="TextBody"/>
        <w:bidi w:val="0"/>
        <w:spacing w:before="120" w:after="120"/>
        <w:jc w:val="both"/>
        <w:rPr>
          <w:rFonts w:ascii="Ashland;sans-serif" w:hAnsi="Ashland;sans-serif"/>
          <w:color w:val="000000"/>
          <w:sz w:val="20"/>
        </w:rPr>
      </w:pPr>
      <w:r>
        <w:rPr>
          <w:rFonts w:ascii="Ashland;sans-serif" w:hAnsi="Ashland;sans-serif"/>
          <w:color w:val="000000"/>
          <w:sz w:val="20"/>
        </w:rPr>
        <w:t>Increased income associated with company-owned life insurance contracts and realized cost reductions, including the Avoca business sale, associated with restructuring actions, offset by higher variable compensation expense, increased bad debt expense and lower transition services income.</w:t>
      </w:r>
    </w:p>
    <w:tbl>
      <w:tblPr>
        <w:tblW w:w="10205" w:type="dxa"/>
        <w:jc w:val="left"/>
        <w:tblInd w:w="0" w:type="dxa"/>
        <w:tblLayout w:type="fixed"/>
        <w:tblCellMar>
          <w:top w:w="28" w:type="dxa"/>
          <w:left w:w="28" w:type="dxa"/>
          <w:bottom w:w="28" w:type="dxa"/>
          <w:right w:w="28" w:type="dxa"/>
        </w:tblCellMar>
      </w:tblPr>
      <w:tblGrid>
        <w:gridCol w:w="3813"/>
        <w:gridCol w:w="146"/>
        <w:gridCol w:w="285"/>
        <w:gridCol w:w="437"/>
        <w:gridCol w:w="183"/>
        <w:gridCol w:w="183"/>
        <w:gridCol w:w="285"/>
        <w:gridCol w:w="437"/>
        <w:gridCol w:w="183"/>
        <w:gridCol w:w="183"/>
        <w:gridCol w:w="398"/>
        <w:gridCol w:w="398"/>
        <w:gridCol w:w="146"/>
        <w:gridCol w:w="146"/>
        <w:gridCol w:w="259"/>
        <w:gridCol w:w="398"/>
        <w:gridCol w:w="167"/>
        <w:gridCol w:w="167"/>
        <w:gridCol w:w="259"/>
        <w:gridCol w:w="398"/>
        <w:gridCol w:w="167"/>
        <w:gridCol w:w="167"/>
        <w:gridCol w:w="314"/>
        <w:gridCol w:w="482"/>
        <w:gridCol w:w="204"/>
      </w:tblGrid>
      <w:tr>
        <w:trPr/>
        <w:tc>
          <w:tcPr>
            <w:tcW w:w="38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381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972"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Three months ended June 30</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778"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Nine months ended June 30</w:t>
            </w:r>
          </w:p>
        </w:tc>
        <w:tc>
          <w:tcPr>
            <w:tcW w:w="20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2026</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2025</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2025</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Change</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813"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Research and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15</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13</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41</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41</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Ashland;sans-serif" w:hAnsi="Ashland;sans-serif"/>
          <w:i/>
          <w:color w:val="000000"/>
          <w:sz w:val="20"/>
        </w:rPr>
      </w:pPr>
      <w:r>
        <w:rPr>
          <w:rFonts w:ascii="Ashland;sans-serif" w:hAnsi="Ashland;sans-serif"/>
          <w:i/>
          <w:color w:val="000000"/>
          <w:sz w:val="20"/>
        </w:rPr>
        <w:t>Three months ended June 30, 2026 compared to three months ended June 30, 2025</w:t>
      </w:r>
    </w:p>
    <w:p>
      <w:pPr>
        <w:pStyle w:val="TextBody"/>
        <w:bidi w:val="0"/>
        <w:spacing w:before="0" w:after="120"/>
        <w:jc w:val="both"/>
        <w:rPr>
          <w:rFonts w:ascii="Ashland;sans-serif" w:hAnsi="Ashland;sans-serif"/>
          <w:color w:val="000000"/>
          <w:sz w:val="20"/>
        </w:rPr>
      </w:pPr>
      <w:r>
        <w:rPr>
          <w:rFonts w:ascii="Ashland;sans-serif" w:hAnsi="Ashland;sans-serif"/>
          <w:color w:val="000000"/>
          <w:sz w:val="20"/>
        </w:rPr>
        <w:t>Research and development expense increased mostly due to higher incentive compensation between the three months ended June 30, 2026 and 2025.</w:t>
      </w:r>
    </w:p>
    <w:p>
      <w:pPr>
        <w:pStyle w:val="TextBody"/>
        <w:bidi w:val="0"/>
        <w:spacing w:before="0" w:after="120"/>
        <w:jc w:val="both"/>
        <w:rPr>
          <w:rFonts w:ascii="Ashland;sans-serif" w:hAnsi="Ashland;sans-serif"/>
          <w:i/>
          <w:color w:val="000000"/>
          <w:sz w:val="20"/>
        </w:rPr>
      </w:pPr>
      <w:r>
        <w:rPr>
          <w:rFonts w:ascii="Ashland;sans-serif" w:hAnsi="Ashland;sans-serif"/>
          <w:i/>
          <w:color w:val="000000"/>
          <w:sz w:val="20"/>
        </w:rPr>
        <w:t>Nine months ended June 30, 2026 compared to nine months ended June 30, 2025</w:t>
      </w:r>
    </w:p>
    <w:p>
      <w:pPr>
        <w:pStyle w:val="TextBody"/>
        <w:bidi w:val="0"/>
        <w:spacing w:before="0" w:after="120"/>
        <w:jc w:val="both"/>
        <w:rPr>
          <w:rFonts w:ascii="Ashland;sans-serif" w:hAnsi="Ashland;sans-serif"/>
          <w:color w:val="000000"/>
          <w:sz w:val="20"/>
        </w:rPr>
      </w:pPr>
      <w:r>
        <w:rPr>
          <w:rFonts w:ascii="Ashland;sans-serif" w:hAnsi="Ashland;sans-serif"/>
          <w:color w:val="000000"/>
          <w:sz w:val="20"/>
        </w:rPr>
        <w:t>Research and development expense is generally consistent between the nine months ended June 30, 2026 and 2025.</w:t>
      </w:r>
    </w:p>
    <w:p>
      <w:pPr>
        <w:pStyle w:val="TextBody"/>
        <w:bidi w:val="0"/>
        <w:spacing w:before="120" w:after="283"/>
        <w:jc w:val="center"/>
        <w:rPr>
          <w:rFonts w:ascii="Ashland;sans-serif" w:hAnsi="Ashland;sans-serif"/>
          <w:color w:val="000000"/>
          <w:sz w:val="20"/>
        </w:rPr>
      </w:pPr>
      <w:r>
        <w:rPr>
          <w:rFonts w:ascii="Ashland;sans-serif" w:hAnsi="Ashland;sans-serif"/>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914" w:type="dxa"/>
        <w:jc w:val="left"/>
        <w:tblInd w:w="0" w:type="dxa"/>
        <w:tblLayout w:type="fixed"/>
        <w:tblCellMar>
          <w:top w:w="28" w:type="dxa"/>
          <w:left w:w="28" w:type="dxa"/>
          <w:bottom w:w="28" w:type="dxa"/>
          <w:right w:w="28" w:type="dxa"/>
        </w:tblCellMar>
      </w:tblPr>
      <w:tblGrid>
        <w:gridCol w:w="3556"/>
        <w:gridCol w:w="146"/>
        <w:gridCol w:w="271"/>
        <w:gridCol w:w="415"/>
        <w:gridCol w:w="175"/>
        <w:gridCol w:w="175"/>
        <w:gridCol w:w="271"/>
        <w:gridCol w:w="415"/>
        <w:gridCol w:w="175"/>
        <w:gridCol w:w="175"/>
        <w:gridCol w:w="314"/>
        <w:gridCol w:w="482"/>
        <w:gridCol w:w="146"/>
        <w:gridCol w:w="146"/>
        <w:gridCol w:w="266"/>
        <w:gridCol w:w="407"/>
        <w:gridCol w:w="171"/>
        <w:gridCol w:w="171"/>
        <w:gridCol w:w="266"/>
        <w:gridCol w:w="407"/>
        <w:gridCol w:w="171"/>
        <w:gridCol w:w="171"/>
        <w:gridCol w:w="341"/>
        <w:gridCol w:w="455"/>
        <w:gridCol w:w="226"/>
      </w:tblGrid>
      <w:tr>
        <w:trPr/>
        <w:tc>
          <w:tcPr>
            <w:tcW w:w="3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55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868"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Three months ended June 30</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826"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Nine months ended June 30</w:t>
            </w:r>
          </w:p>
        </w:tc>
        <w:tc>
          <w:tcPr>
            <w:tcW w:w="2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2026</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2025</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2025</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Change</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Intangibles 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15</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15</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46</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47</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3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Ashland;sans-serif" w:hAnsi="Ashland;sans-serif"/>
          <w:i/>
          <w:color w:val="000000"/>
          <w:sz w:val="20"/>
        </w:rPr>
      </w:pPr>
      <w:r>
        <w:rPr>
          <w:rFonts w:ascii="Ashland;sans-serif" w:hAnsi="Ashland;sans-serif"/>
          <w:i/>
          <w:color w:val="000000"/>
          <w:sz w:val="20"/>
        </w:rPr>
        <w:t>Three months ended June 30, 2026 compared to three months ended June 30, 2025</w:t>
      </w:r>
    </w:p>
    <w:p>
      <w:pPr>
        <w:pStyle w:val="TextBody"/>
        <w:bidi w:val="0"/>
        <w:spacing w:before="0" w:after="120"/>
        <w:jc w:val="both"/>
        <w:rPr>
          <w:rFonts w:ascii="Ashland;sans-serif" w:hAnsi="Ashland;sans-serif"/>
          <w:color w:val="000000"/>
          <w:sz w:val="20"/>
        </w:rPr>
      </w:pPr>
      <w:r>
        <w:rPr>
          <w:rFonts w:ascii="Ashland;sans-serif" w:hAnsi="Ashland;sans-serif"/>
          <w:color w:val="000000"/>
          <w:sz w:val="20"/>
        </w:rPr>
        <w:t>Intangibles amortization expense is generally consistent between the three months ended June 30, 2026 and 2025.</w:t>
      </w:r>
    </w:p>
    <w:p>
      <w:pPr>
        <w:pStyle w:val="TextBody"/>
        <w:bidi w:val="0"/>
        <w:spacing w:before="0" w:after="120"/>
        <w:jc w:val="both"/>
        <w:rPr>
          <w:rFonts w:ascii="Ashland;sans-serif" w:hAnsi="Ashland;sans-serif"/>
          <w:i/>
          <w:color w:val="000000"/>
          <w:sz w:val="20"/>
        </w:rPr>
      </w:pPr>
      <w:r>
        <w:rPr>
          <w:rFonts w:ascii="Ashland;sans-serif" w:hAnsi="Ashland;sans-serif"/>
          <w:i/>
          <w:color w:val="000000"/>
          <w:sz w:val="20"/>
        </w:rPr>
        <w:t>Nine months ended June 30, 2026 compared to nine months ended June 30, 2025</w:t>
      </w:r>
    </w:p>
    <w:p>
      <w:pPr>
        <w:pStyle w:val="TextBody"/>
        <w:bidi w:val="0"/>
        <w:spacing w:before="0" w:after="120"/>
        <w:jc w:val="both"/>
        <w:rPr>
          <w:rFonts w:ascii="Ashland;sans-serif" w:hAnsi="Ashland;sans-serif"/>
          <w:color w:val="000000"/>
          <w:sz w:val="20"/>
        </w:rPr>
      </w:pPr>
      <w:r>
        <w:rPr>
          <w:rFonts w:ascii="Ashland;sans-serif" w:hAnsi="Ashland;sans-serif"/>
          <w:color w:val="000000"/>
          <w:sz w:val="20"/>
        </w:rPr>
        <w:t>The lower intangibles amortization expense in the nine months ended June 30, 2026, is driven by the impact of amortization related to the divested Avoca business in the nine months ended June 30, 2025.</w:t>
      </w:r>
    </w:p>
    <w:tbl>
      <w:tblPr>
        <w:tblW w:w="9043" w:type="dxa"/>
        <w:jc w:val="left"/>
        <w:tblInd w:w="0" w:type="dxa"/>
        <w:tblLayout w:type="fixed"/>
        <w:tblCellMar>
          <w:top w:w="28" w:type="dxa"/>
          <w:left w:w="28" w:type="dxa"/>
          <w:bottom w:w="28" w:type="dxa"/>
          <w:right w:w="28" w:type="dxa"/>
        </w:tblCellMar>
      </w:tblPr>
      <w:tblGrid>
        <w:gridCol w:w="2641"/>
        <w:gridCol w:w="146"/>
        <w:gridCol w:w="302"/>
        <w:gridCol w:w="302"/>
        <w:gridCol w:w="195"/>
        <w:gridCol w:w="195"/>
        <w:gridCol w:w="302"/>
        <w:gridCol w:w="463"/>
        <w:gridCol w:w="195"/>
        <w:gridCol w:w="195"/>
        <w:gridCol w:w="398"/>
        <w:gridCol w:w="398"/>
        <w:gridCol w:w="146"/>
        <w:gridCol w:w="146"/>
        <w:gridCol w:w="309"/>
        <w:gridCol w:w="309"/>
        <w:gridCol w:w="199"/>
        <w:gridCol w:w="199"/>
        <w:gridCol w:w="309"/>
        <w:gridCol w:w="309"/>
        <w:gridCol w:w="199"/>
        <w:gridCol w:w="199"/>
        <w:gridCol w:w="398"/>
        <w:gridCol w:w="398"/>
        <w:gridCol w:w="19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4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945"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Three months ended June 30</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828"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Nine months ended June 30</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2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2026</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2026</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2025</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Change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Equity and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Ashland;sans-serif" w:hAnsi="Ashland;sans-serif"/>
          <w:i/>
          <w:color w:val="000000"/>
          <w:sz w:val="20"/>
        </w:rPr>
      </w:pPr>
      <w:r>
        <w:rPr>
          <w:rFonts w:ascii="Ashland;sans-serif" w:hAnsi="Ashland;sans-serif"/>
          <w:i/>
          <w:color w:val="000000"/>
          <w:sz w:val="20"/>
        </w:rPr>
        <w:t>Three months ended June 30, 2026 compared to three months ended June 30, 2025</w:t>
      </w:r>
    </w:p>
    <w:p>
      <w:pPr>
        <w:pStyle w:val="TextBody"/>
        <w:bidi w:val="0"/>
        <w:spacing w:before="0" w:after="120"/>
        <w:jc w:val="both"/>
        <w:rPr>
          <w:rFonts w:ascii="Ashland;sans-serif" w:hAnsi="Ashland;sans-serif"/>
          <w:color w:val="000000"/>
          <w:sz w:val="20"/>
        </w:rPr>
      </w:pPr>
      <w:r>
        <w:rPr>
          <w:rFonts w:ascii="Ashland;sans-serif" w:hAnsi="Ashland;sans-serif"/>
          <w:color w:val="000000"/>
          <w:sz w:val="20"/>
        </w:rPr>
        <w:t>Equity and other income is generally consistent between the three months ended June 30, 2026 and 2025.</w:t>
      </w:r>
    </w:p>
    <w:p>
      <w:pPr>
        <w:pStyle w:val="TextBody"/>
        <w:bidi w:val="0"/>
        <w:spacing w:before="0" w:after="120"/>
        <w:jc w:val="both"/>
        <w:rPr>
          <w:rFonts w:ascii="Ashland;sans-serif" w:hAnsi="Ashland;sans-serif"/>
          <w:i/>
          <w:color w:val="000000"/>
          <w:sz w:val="20"/>
        </w:rPr>
      </w:pPr>
      <w:r>
        <w:rPr>
          <w:rFonts w:ascii="Ashland;sans-serif" w:hAnsi="Ashland;sans-serif"/>
          <w:i/>
          <w:color w:val="000000"/>
          <w:sz w:val="20"/>
        </w:rPr>
        <w:t>Nine months ended June 30, 2026 compared to nine months ended June 30, 2025</w:t>
      </w:r>
    </w:p>
    <w:p>
      <w:pPr>
        <w:pStyle w:val="TextBody"/>
        <w:bidi w:val="0"/>
        <w:spacing w:before="0" w:after="120"/>
        <w:jc w:val="both"/>
        <w:rPr>
          <w:rFonts w:ascii="Ashland;sans-serif" w:hAnsi="Ashland;sans-serif"/>
          <w:color w:val="000000"/>
          <w:sz w:val="20"/>
        </w:rPr>
      </w:pPr>
      <w:r>
        <w:rPr>
          <w:rFonts w:ascii="Ashland;sans-serif" w:hAnsi="Ashland;sans-serif"/>
          <w:color w:val="000000"/>
          <w:sz w:val="20"/>
        </w:rPr>
        <w:t>Equity and other income is generally consistent between the nine months ended June 30, 2026 and 2025.</w:t>
      </w:r>
    </w:p>
    <w:tbl>
      <w:tblPr>
        <w:tblW w:w="8384" w:type="dxa"/>
        <w:jc w:val="left"/>
        <w:tblInd w:w="0" w:type="dxa"/>
        <w:tblLayout w:type="fixed"/>
        <w:tblCellMar>
          <w:top w:w="28" w:type="dxa"/>
          <w:left w:w="28" w:type="dxa"/>
          <w:bottom w:w="28" w:type="dxa"/>
          <w:right w:w="28" w:type="dxa"/>
        </w:tblCellMar>
      </w:tblPr>
      <w:tblGrid>
        <w:gridCol w:w="2251"/>
        <w:gridCol w:w="146"/>
        <w:gridCol w:w="238"/>
        <w:gridCol w:w="365"/>
        <w:gridCol w:w="154"/>
        <w:gridCol w:w="154"/>
        <w:gridCol w:w="238"/>
        <w:gridCol w:w="492"/>
        <w:gridCol w:w="154"/>
        <w:gridCol w:w="154"/>
        <w:gridCol w:w="238"/>
        <w:gridCol w:w="571"/>
        <w:gridCol w:w="181"/>
        <w:gridCol w:w="146"/>
        <w:gridCol w:w="231"/>
        <w:gridCol w:w="355"/>
        <w:gridCol w:w="148"/>
        <w:gridCol w:w="148"/>
        <w:gridCol w:w="229"/>
        <w:gridCol w:w="473"/>
        <w:gridCol w:w="148"/>
        <w:gridCol w:w="148"/>
        <w:gridCol w:w="234"/>
        <w:gridCol w:w="562"/>
        <w:gridCol w:w="226"/>
      </w:tblGrid>
      <w:tr>
        <w:trPr/>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22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758"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Three months ended June 30</w:t>
            </w:r>
          </w:p>
        </w:tc>
        <w:tc>
          <w:tcPr>
            <w:tcW w:w="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676"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Nine months ended June 30</w:t>
            </w:r>
          </w:p>
        </w:tc>
        <w:tc>
          <w:tcPr>
            <w:tcW w:w="2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2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2025</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Change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2026</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2025</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Change</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Goodwill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706</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(706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706</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(706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2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Ashland;sans-serif" w:hAnsi="Ashland;sans-serif"/>
          <w:i/>
          <w:color w:val="000000"/>
          <w:sz w:val="20"/>
        </w:rPr>
      </w:pPr>
      <w:r>
        <w:rPr>
          <w:rFonts w:ascii="Ashland;sans-serif" w:hAnsi="Ashland;sans-serif"/>
          <w:i/>
          <w:color w:val="000000"/>
          <w:sz w:val="20"/>
        </w:rPr>
        <w:t>Three months ended June 30, 2026 compared to three months ended June 30, 2025</w:t>
      </w:r>
    </w:p>
    <w:p>
      <w:pPr>
        <w:pStyle w:val="TextBody"/>
        <w:bidi w:val="0"/>
        <w:spacing w:before="0" w:after="120"/>
        <w:jc w:val="both"/>
        <w:rPr>
          <w:rFonts w:ascii="Ashland;sans-serif" w:hAnsi="Ashland;sans-serif"/>
          <w:color w:val="000000"/>
          <w:sz w:val="20"/>
        </w:rPr>
      </w:pPr>
      <w:r>
        <w:rPr>
          <w:rFonts w:ascii="Ashland;sans-serif" w:hAnsi="Ashland;sans-serif"/>
          <w:color w:val="000000"/>
          <w:sz w:val="20"/>
        </w:rPr>
        <w:t>Ashland recorded a $706 million goodwill impairment charge during the three months ended June 30, 2025. See Note G of the Notes to Condensed Consolidated Financial Statements for more information.</w:t>
      </w:r>
    </w:p>
    <w:p>
      <w:pPr>
        <w:pStyle w:val="TextBody"/>
        <w:bidi w:val="0"/>
        <w:spacing w:before="0" w:after="120"/>
        <w:jc w:val="both"/>
        <w:rPr>
          <w:rFonts w:ascii="Ashland;sans-serif" w:hAnsi="Ashland;sans-serif"/>
          <w:i/>
          <w:color w:val="000000"/>
          <w:sz w:val="20"/>
        </w:rPr>
      </w:pPr>
      <w:r>
        <w:rPr>
          <w:rFonts w:ascii="Ashland;sans-serif" w:hAnsi="Ashland;sans-serif"/>
          <w:i/>
          <w:color w:val="000000"/>
          <w:sz w:val="20"/>
        </w:rPr>
        <w:t>Nine months ended June 30, 2026 compared to nine months ended June 30, 2025</w:t>
      </w:r>
    </w:p>
    <w:p>
      <w:pPr>
        <w:pStyle w:val="TextBody"/>
        <w:bidi w:val="0"/>
        <w:spacing w:before="0" w:after="120"/>
        <w:jc w:val="both"/>
        <w:rPr>
          <w:rFonts w:ascii="Ashland;sans-serif" w:hAnsi="Ashland;sans-serif"/>
          <w:color w:val="000000"/>
          <w:sz w:val="20"/>
        </w:rPr>
      </w:pPr>
      <w:r>
        <w:rPr>
          <w:rFonts w:ascii="Ashland;sans-serif" w:hAnsi="Ashland;sans-serif"/>
          <w:color w:val="000000"/>
          <w:sz w:val="20"/>
        </w:rPr>
        <w:t>Ashland recorded a $706 million goodwill impairment charge during the nine months ended June 30, 2025. See Note G of the Notes to Condensed Consolidated Financial Statements for more information.</w:t>
      </w:r>
    </w:p>
    <w:tbl>
      <w:tblPr>
        <w:tblW w:w="9950" w:type="dxa"/>
        <w:jc w:val="left"/>
        <w:tblInd w:w="0" w:type="dxa"/>
        <w:tblLayout w:type="fixed"/>
        <w:tblCellMar>
          <w:top w:w="28" w:type="dxa"/>
          <w:left w:w="28" w:type="dxa"/>
          <w:bottom w:w="28" w:type="dxa"/>
          <w:right w:w="28" w:type="dxa"/>
        </w:tblCellMar>
      </w:tblPr>
      <w:tblGrid>
        <w:gridCol w:w="3541"/>
        <w:gridCol w:w="146"/>
        <w:gridCol w:w="302"/>
        <w:gridCol w:w="302"/>
        <w:gridCol w:w="195"/>
        <w:gridCol w:w="195"/>
        <w:gridCol w:w="302"/>
        <w:gridCol w:w="463"/>
        <w:gridCol w:w="195"/>
        <w:gridCol w:w="195"/>
        <w:gridCol w:w="398"/>
        <w:gridCol w:w="398"/>
        <w:gridCol w:w="146"/>
        <w:gridCol w:w="146"/>
        <w:gridCol w:w="293"/>
        <w:gridCol w:w="293"/>
        <w:gridCol w:w="153"/>
        <w:gridCol w:w="153"/>
        <w:gridCol w:w="237"/>
        <w:gridCol w:w="567"/>
        <w:gridCol w:w="190"/>
        <w:gridCol w:w="153"/>
        <w:gridCol w:w="259"/>
        <w:gridCol w:w="537"/>
        <w:gridCol w:w="19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4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945"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Three months ended June 30</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835"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Nine months ended June 30</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2026</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2026</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2025</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Change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Income (loss) on divestitures,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(165</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Ashland;sans-serif" w:hAnsi="Ashland;sans-serif"/>
          <w:i/>
          <w:color w:val="000000"/>
          <w:sz w:val="20"/>
        </w:rPr>
      </w:pPr>
      <w:r>
        <w:rPr>
          <w:rFonts w:ascii="Ashland;sans-serif" w:hAnsi="Ashland;sans-serif"/>
          <w:i/>
          <w:color w:val="000000"/>
          <w:sz w:val="20"/>
        </w:rPr>
        <w:t>Three months ended June 30, 2026 compared to three months ended June 30, 2025</w:t>
      </w:r>
    </w:p>
    <w:p>
      <w:pPr>
        <w:pStyle w:val="TextBody"/>
        <w:bidi w:val="0"/>
        <w:spacing w:before="0" w:after="120"/>
        <w:jc w:val="both"/>
        <w:rPr>
          <w:rFonts w:ascii="Ashland;sans-serif" w:hAnsi="Ashland;sans-serif"/>
          <w:color w:val="000000"/>
          <w:sz w:val="20"/>
        </w:rPr>
      </w:pPr>
      <w:r>
        <w:rPr>
          <w:rFonts w:ascii="Ashland;sans-serif" w:hAnsi="Ashland;sans-serif"/>
          <w:color w:val="000000"/>
          <w:sz w:val="20"/>
        </w:rPr>
        <w:t>Income (loss) on divestitures, net for the three months ended June 30, 2026 primarily relates to income related to sales activity of excess corporate real estate. See Note B of the Notes to Condensed Consolidated Financial Statements for more information.</w:t>
      </w:r>
    </w:p>
    <w:p>
      <w:pPr>
        <w:pStyle w:val="TextBody"/>
        <w:bidi w:val="0"/>
        <w:spacing w:before="0" w:after="120"/>
        <w:jc w:val="both"/>
        <w:rPr>
          <w:rFonts w:ascii="Ashland;sans-serif" w:hAnsi="Ashland;sans-serif"/>
          <w:i/>
          <w:color w:val="000000"/>
          <w:sz w:val="20"/>
        </w:rPr>
      </w:pPr>
      <w:r>
        <w:rPr>
          <w:rFonts w:ascii="Ashland;sans-serif" w:hAnsi="Ashland;sans-serif"/>
          <w:i/>
          <w:color w:val="000000"/>
          <w:sz w:val="20"/>
        </w:rPr>
        <w:t>Nine months ended June 30, 2026 compared to nine months ended June 30, 2025</w:t>
      </w:r>
    </w:p>
    <w:p>
      <w:pPr>
        <w:pStyle w:val="TextBody"/>
        <w:bidi w:val="0"/>
        <w:spacing w:before="0" w:after="120"/>
        <w:jc w:val="both"/>
        <w:rPr>
          <w:rFonts w:ascii="Ashland;sans-serif" w:hAnsi="Ashland;sans-serif"/>
          <w:color w:val="000000"/>
          <w:sz w:val="20"/>
        </w:rPr>
      </w:pPr>
      <w:r>
        <w:rPr>
          <w:rFonts w:ascii="Ashland;sans-serif" w:hAnsi="Ashland;sans-serif"/>
          <w:color w:val="000000"/>
          <w:sz w:val="20"/>
        </w:rPr>
        <w:t>Income (loss) on divestitures, net for the nine months ended June 30, 2026, primarily relates to sales activity and a pre-tax gain on sale of excess corporate real estate while the three months ended June 30, 2025, primarily relates to a $183 million impairment charge, a pre-tax gain on sale of $8 million associated with the Avoca business and a pre-tax gain on sale of excess corporate real estate of $11 million, partially offset by $1 million adjustment related to the Nutraceuticals business sale completed in fiscal 2024. See Note B of the Notes to Condensed Consolidated Financial Statements for more information.</w:t>
      </w:r>
    </w:p>
    <w:p>
      <w:pPr>
        <w:pStyle w:val="TextBody"/>
        <w:bidi w:val="0"/>
        <w:spacing w:before="120" w:after="283"/>
        <w:jc w:val="center"/>
        <w:rPr>
          <w:rFonts w:ascii="Ashland;sans-serif" w:hAnsi="Ashland;sans-serif"/>
          <w:color w:val="000000"/>
          <w:sz w:val="20"/>
        </w:rPr>
      </w:pPr>
      <w:r>
        <w:rPr>
          <w:rFonts w:ascii="Ashland;sans-serif" w:hAnsi="Ashland;sans-serif"/>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64"/>
        <w:gridCol w:w="346"/>
        <w:gridCol w:w="241"/>
        <w:gridCol w:w="449"/>
        <w:gridCol w:w="192"/>
        <w:gridCol w:w="155"/>
        <w:gridCol w:w="241"/>
        <w:gridCol w:w="449"/>
        <w:gridCol w:w="192"/>
        <w:gridCol w:w="155"/>
        <w:gridCol w:w="341"/>
        <w:gridCol w:w="455"/>
        <w:gridCol w:w="381"/>
        <w:gridCol w:w="346"/>
        <w:gridCol w:w="228"/>
        <w:gridCol w:w="426"/>
        <w:gridCol w:w="183"/>
        <w:gridCol w:w="147"/>
        <w:gridCol w:w="228"/>
        <w:gridCol w:w="426"/>
        <w:gridCol w:w="183"/>
        <w:gridCol w:w="147"/>
        <w:gridCol w:w="278"/>
        <w:gridCol w:w="518"/>
        <w:gridCol w:w="434"/>
      </w:tblGrid>
      <w:tr>
        <w:trPr/>
        <w:tc>
          <w:tcPr>
            <w:tcW w:w="306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r>
      <w:tr>
        <w:trPr/>
        <w:tc>
          <w:tcPr>
            <w:tcW w:w="306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870"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Three months ended June 30</w:t>
            </w:r>
          </w:p>
        </w:tc>
        <w:tc>
          <w:tcPr>
            <w:tcW w:w="3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3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764"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Nine months ended June 30</w:t>
            </w:r>
          </w:p>
        </w:tc>
        <w:tc>
          <w:tcPr>
            <w:tcW w:w="43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0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2026</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2025</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Change</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2026</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2025</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Change</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64"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Net interest and other (income)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Interest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16</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15</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46</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4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Interest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Investment securities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(23</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(22</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(28</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(13</w:t>
            </w:r>
          </w:p>
        </w:tc>
        <w:tc>
          <w:tcPr>
            <w:tcW w:w="4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w:t>
            </w:r>
          </w:p>
        </w:tc>
      </w:tr>
      <w:tr>
        <w:trPr/>
        <w:tc>
          <w:tcPr>
            <w:tcW w:w="30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Other financing costs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8</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4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30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(8</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19</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34</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(15</w:t>
            </w:r>
          </w:p>
        </w:tc>
        <w:tc>
          <w:tcPr>
            <w:tcW w:w="4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30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Ashland;sans-serif" w:hAnsi="Ashland;sans-serif"/>
          <w:i/>
          <w:color w:val="000000"/>
          <w:sz w:val="20"/>
        </w:rPr>
      </w:pPr>
      <w:r>
        <w:rPr>
          <w:rFonts w:ascii="Ashland;sans-serif" w:hAnsi="Ashland;sans-serif"/>
          <w:i/>
          <w:color w:val="000000"/>
          <w:sz w:val="20"/>
        </w:rPr>
        <w:t>Three months ended June 30, 2026 compared to three months ended June 30, 2025</w:t>
      </w:r>
    </w:p>
    <w:p>
      <w:pPr>
        <w:pStyle w:val="TextBody"/>
        <w:bidi w:val="0"/>
        <w:spacing w:before="0" w:after="120"/>
        <w:jc w:val="both"/>
        <w:rPr>
          <w:rFonts w:ascii="Ashland;sans-serif" w:hAnsi="Ashland;sans-serif"/>
          <w:color w:val="000000"/>
          <w:sz w:val="20"/>
        </w:rPr>
      </w:pPr>
      <w:r>
        <w:rPr>
          <w:rFonts w:ascii="Ashland;sans-serif" w:hAnsi="Ashland;sans-serif"/>
          <w:color w:val="000000"/>
          <w:sz w:val="20"/>
        </w:rPr>
        <w:t>Net interest and other (income) expense increased by $3 million during the three months ended June 30, 2026, compared to the three months ended June 30, 2025. Interest expense and interest income are generally consistent between the three months ended June 30, 2026 and 2025. Investment securities income of $23 million and $22 million included realized gains of $20 million and $19 million for the three months ended June 30, 2026 and 2025, respectively. Other financing costs decreased $2 million due to lower losses on receivable sales and was the primary change. See Note E of the Notes to Condensed Consolidated Financial Statements for more information.</w:t>
      </w:r>
    </w:p>
    <w:p>
      <w:pPr>
        <w:pStyle w:val="TextBody"/>
        <w:bidi w:val="0"/>
        <w:spacing w:before="0" w:after="120"/>
        <w:jc w:val="both"/>
        <w:rPr>
          <w:rFonts w:ascii="Ashland;sans-serif" w:hAnsi="Ashland;sans-serif"/>
          <w:i/>
          <w:color w:val="000000"/>
          <w:sz w:val="20"/>
        </w:rPr>
      </w:pPr>
      <w:r>
        <w:rPr>
          <w:rFonts w:ascii="Ashland;sans-serif" w:hAnsi="Ashland;sans-serif"/>
          <w:i/>
          <w:color w:val="000000"/>
          <w:sz w:val="20"/>
        </w:rPr>
        <w:t>Nine months ended June 30, 2026 compared to nine months ended June 30, 2025</w:t>
      </w:r>
    </w:p>
    <w:p>
      <w:pPr>
        <w:pStyle w:val="TextBody"/>
        <w:bidi w:val="0"/>
        <w:spacing w:before="0" w:after="120"/>
        <w:jc w:val="both"/>
        <w:rPr>
          <w:rFonts w:ascii="Ashland;sans-serif" w:hAnsi="Ashland;sans-serif"/>
          <w:color w:val="000000"/>
          <w:sz w:val="20"/>
        </w:rPr>
      </w:pPr>
      <w:r>
        <w:rPr>
          <w:rFonts w:ascii="Ashland;sans-serif" w:hAnsi="Ashland;sans-serif"/>
          <w:color w:val="000000"/>
          <w:sz w:val="20"/>
        </w:rPr>
        <w:t>Net interest and other (income) expense decreased by $15 million during the nine months ended June 30, 2026, compared to the nine months ended June 30, 2025. Interest expense and interest income are generally consistent between the nine months ended June 30, 2026 and 2025. Investment securities income of $28 million and $15 million included realized gains of $18 million and $5 million for the nine months ended June 30, 2026 and 2025, respectively, and was the primary change. See Note E of the Notes to Condensed Consolidated Financial Statements for more information.</w:t>
      </w:r>
    </w:p>
    <w:tbl>
      <w:tblPr>
        <w:tblW w:w="10205" w:type="dxa"/>
        <w:jc w:val="left"/>
        <w:tblInd w:w="0" w:type="dxa"/>
        <w:tblLayout w:type="fixed"/>
        <w:tblCellMar>
          <w:top w:w="28" w:type="dxa"/>
          <w:left w:w="28" w:type="dxa"/>
          <w:bottom w:w="28" w:type="dxa"/>
          <w:right w:w="28" w:type="dxa"/>
        </w:tblCellMar>
      </w:tblPr>
      <w:tblGrid>
        <w:gridCol w:w="3875"/>
        <w:gridCol w:w="146"/>
        <w:gridCol w:w="292"/>
        <w:gridCol w:w="382"/>
        <w:gridCol w:w="229"/>
        <w:gridCol w:w="184"/>
        <w:gridCol w:w="293"/>
        <w:gridCol w:w="293"/>
        <w:gridCol w:w="184"/>
        <w:gridCol w:w="184"/>
        <w:gridCol w:w="341"/>
        <w:gridCol w:w="455"/>
        <w:gridCol w:w="181"/>
        <w:gridCol w:w="146"/>
        <w:gridCol w:w="282"/>
        <w:gridCol w:w="368"/>
        <w:gridCol w:w="221"/>
        <w:gridCol w:w="178"/>
        <w:gridCol w:w="293"/>
        <w:gridCol w:w="293"/>
        <w:gridCol w:w="178"/>
        <w:gridCol w:w="178"/>
        <w:gridCol w:w="341"/>
        <w:gridCol w:w="455"/>
        <w:gridCol w:w="233"/>
      </w:tblGrid>
      <w:tr>
        <w:trPr/>
        <w:tc>
          <w:tcPr>
            <w:tcW w:w="38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387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837"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Three months ended June 30</w:t>
            </w:r>
          </w:p>
        </w:tc>
        <w:tc>
          <w:tcPr>
            <w:tcW w:w="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787"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Nine months ended June 30</w:t>
            </w:r>
          </w:p>
        </w:tc>
        <w:tc>
          <w:tcPr>
            <w:tcW w:w="23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2026</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2025</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Change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2026</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2025</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Change</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875"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Other net periodic benefit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3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Ashland;sans-serif" w:hAnsi="Ashland;sans-serif"/>
          <w:i/>
          <w:color w:val="000000"/>
          <w:sz w:val="20"/>
        </w:rPr>
      </w:pPr>
      <w:r>
        <w:rPr>
          <w:rFonts w:ascii="Ashland;sans-serif" w:hAnsi="Ashland;sans-serif"/>
          <w:i/>
          <w:color w:val="000000"/>
          <w:sz w:val="20"/>
        </w:rPr>
        <w:t>Three months ended June 30, 2026 compared to three months ended June 30, 2025</w:t>
      </w:r>
    </w:p>
    <w:p>
      <w:pPr>
        <w:pStyle w:val="TextBody"/>
        <w:bidi w:val="0"/>
        <w:spacing w:before="0" w:after="120"/>
        <w:jc w:val="both"/>
        <w:rPr>
          <w:rFonts w:ascii="Ashland;sans-serif" w:hAnsi="Ashland;sans-serif"/>
          <w:color w:val="000000"/>
          <w:sz w:val="20"/>
        </w:rPr>
      </w:pPr>
      <w:r>
        <w:rPr>
          <w:rFonts w:ascii="Ashland;sans-serif" w:hAnsi="Ashland;sans-serif"/>
          <w:color w:val="000000"/>
          <w:sz w:val="20"/>
        </w:rPr>
        <w:t>Other net periodic benefit income for the three months ended June 30, 2026, primarily included an actuarial gain of $3 million, expected return on plan assets of $3 million and a settlement gain of $2 million, which was partially offset by interest cost of $3 million. Other net periodic benefit loss for the three months ended June 30, 2025, primarily included interest cost of $3 million, which was partially offset by expected return on plan assets of $2 million. See Note K of the Notes to Condensed Consolidated Financial Statements for more information.</w:t>
      </w:r>
    </w:p>
    <w:p>
      <w:pPr>
        <w:pStyle w:val="TextBody"/>
        <w:bidi w:val="0"/>
        <w:spacing w:before="0" w:after="120"/>
        <w:jc w:val="both"/>
        <w:rPr>
          <w:rFonts w:ascii="Ashland;sans-serif" w:hAnsi="Ashland;sans-serif"/>
          <w:i/>
          <w:color w:val="000000"/>
          <w:sz w:val="20"/>
        </w:rPr>
      </w:pPr>
      <w:r>
        <w:rPr>
          <w:rFonts w:ascii="Ashland;sans-serif" w:hAnsi="Ashland;sans-serif"/>
          <w:i/>
          <w:color w:val="000000"/>
          <w:sz w:val="20"/>
        </w:rPr>
        <w:t>Nine months ended June 30, 2026 compared to nine months ended June 30, 2025</w:t>
      </w:r>
    </w:p>
    <w:p>
      <w:pPr>
        <w:pStyle w:val="TextBody"/>
        <w:bidi w:val="0"/>
        <w:spacing w:before="0" w:after="120"/>
        <w:jc w:val="both"/>
        <w:rPr>
          <w:rFonts w:ascii="Ashland;sans-serif" w:hAnsi="Ashland;sans-serif"/>
          <w:color w:val="000000"/>
          <w:sz w:val="20"/>
        </w:rPr>
      </w:pPr>
      <w:r>
        <w:rPr>
          <w:rFonts w:ascii="Ashland;sans-serif" w:hAnsi="Ashland;sans-serif"/>
          <w:color w:val="000000"/>
          <w:sz w:val="20"/>
        </w:rPr>
        <w:t>Other net periodic benefit income for the nine months ended June 30, 2026, primarily included expected return on plan assets of $8 million, an actuarial gain of $3 million and a settlement gain of $2 million, which was partially offset by interest cost of $10 million. Other net periodic benefit loss for the nine months ended June 30, 2025, primarily included interest cost of $10 million and a $1 million curtailment loss, which was partially offset by expected return on plan assets of $7 million. See Note K of the Notes to Condensed Consolidated Financial Statements for more information.</w:t>
      </w:r>
    </w:p>
    <w:p>
      <w:pPr>
        <w:pStyle w:val="TextBody"/>
        <w:bidi w:val="0"/>
        <w:spacing w:before="120" w:after="283"/>
        <w:jc w:val="center"/>
        <w:rPr>
          <w:rFonts w:ascii="Ashland;sans-serif" w:hAnsi="Ashland;sans-serif"/>
          <w:color w:val="000000"/>
          <w:sz w:val="20"/>
        </w:rPr>
      </w:pPr>
      <w:r>
        <w:rPr>
          <w:rFonts w:ascii="Ashland;sans-serif" w:hAnsi="Ashland;sans-serif"/>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562" w:type="dxa"/>
        <w:jc w:val="left"/>
        <w:tblInd w:w="0" w:type="dxa"/>
        <w:tblLayout w:type="fixed"/>
        <w:tblCellMar>
          <w:top w:w="28" w:type="dxa"/>
          <w:left w:w="28" w:type="dxa"/>
          <w:bottom w:w="28" w:type="dxa"/>
          <w:right w:w="28" w:type="dxa"/>
        </w:tblCellMar>
      </w:tblPr>
      <w:tblGrid>
        <w:gridCol w:w="3106"/>
        <w:gridCol w:w="146"/>
        <w:gridCol w:w="237"/>
        <w:gridCol w:w="363"/>
        <w:gridCol w:w="285"/>
        <w:gridCol w:w="153"/>
        <w:gridCol w:w="237"/>
        <w:gridCol w:w="363"/>
        <w:gridCol w:w="363"/>
        <w:gridCol w:w="153"/>
        <w:gridCol w:w="314"/>
        <w:gridCol w:w="482"/>
        <w:gridCol w:w="146"/>
        <w:gridCol w:w="146"/>
        <w:gridCol w:w="231"/>
        <w:gridCol w:w="355"/>
        <w:gridCol w:w="274"/>
        <w:gridCol w:w="147"/>
        <w:gridCol w:w="228"/>
        <w:gridCol w:w="425"/>
        <w:gridCol w:w="274"/>
        <w:gridCol w:w="147"/>
        <w:gridCol w:w="314"/>
        <w:gridCol w:w="482"/>
        <w:gridCol w:w="191"/>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0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950"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Three months ended June 30</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877"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Nine months ended June 30</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1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2026</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2025</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2026</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2025</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Change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15</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15</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18</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(19</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Effective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27</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30</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spacing w:before="120" w:after="120"/>
        <w:jc w:val="both"/>
        <w:rPr>
          <w:rFonts w:ascii="Ashland;sans-serif" w:hAnsi="Ashland;sans-serif"/>
          <w:i/>
          <w:color w:val="000000"/>
          <w:sz w:val="20"/>
        </w:rPr>
      </w:pPr>
      <w:r>
        <w:rPr>
          <w:rFonts w:ascii="Ashland;sans-serif" w:hAnsi="Ashland;sans-serif"/>
          <w:i/>
          <w:color w:val="000000"/>
          <w:sz w:val="20"/>
        </w:rPr>
        <w:t>Three months ended June 30, 2026 compared to three months ended June 30, 2025</w:t>
      </w:r>
    </w:p>
    <w:p>
      <w:pPr>
        <w:pStyle w:val="TextBody"/>
        <w:bidi w:val="0"/>
        <w:jc w:val="both"/>
        <w:rPr>
          <w:rFonts w:ascii="Ashland;sans-serif" w:hAnsi="Ashland;sans-serif"/>
          <w:color w:val="000000"/>
          <w:sz w:val="20"/>
        </w:rPr>
      </w:pPr>
      <w:r>
        <w:rPr>
          <w:rFonts w:ascii="Ashland;sans-serif" w:hAnsi="Ashland;sans-serif"/>
          <w:color w:val="000000"/>
          <w:sz w:val="20"/>
        </w:rPr>
        <w:t>Ashland’s effective tax rate in any interim period is subject to adjustments related to discrete items and the mix of domestic and foreign operating results. The effective tax rate was 27% for the three months ended June 30, 2026, and was primarily impacted by jurisdictional income mix and a net $3 million from unfavorable tax discrete items primarily related to cash repatriation and changes in uncertain tax positions.</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The effective tax rate was negative 2% for the three months ended June 30, 2025, and was primarily impacted by jurisdictional income mix, nondeductible goodwill impairment of $706 million charge and a net $16 million from unfavorable tax discrete items primarily related to return to provision adjustments and changes in uncertain tax positions.</w:t>
      </w:r>
    </w:p>
    <w:p>
      <w:pPr>
        <w:pStyle w:val="TextBody"/>
        <w:bidi w:val="0"/>
        <w:spacing w:before="120" w:after="120"/>
        <w:jc w:val="both"/>
        <w:rPr>
          <w:rFonts w:ascii="Ashland;sans-serif" w:hAnsi="Ashland;sans-serif"/>
          <w:i/>
          <w:color w:val="000000"/>
          <w:sz w:val="20"/>
        </w:rPr>
      </w:pPr>
      <w:r>
        <w:rPr>
          <w:rFonts w:ascii="Ashland;sans-serif" w:hAnsi="Ashland;sans-serif"/>
          <w:i/>
          <w:color w:val="000000"/>
          <w:sz w:val="20"/>
        </w:rPr>
        <w:t>Nine months ended June 30, 2026 compared to nine months ended June 30, 2025</w:t>
      </w:r>
    </w:p>
    <w:p>
      <w:pPr>
        <w:pStyle w:val="TextBody"/>
        <w:bidi w:val="0"/>
        <w:jc w:val="both"/>
        <w:rPr>
          <w:rFonts w:ascii="Ashland;sans-serif" w:hAnsi="Ashland;sans-serif"/>
          <w:color w:val="000000"/>
          <w:sz w:val="20"/>
        </w:rPr>
      </w:pPr>
      <w:r>
        <w:rPr>
          <w:rFonts w:ascii="Ashland;sans-serif" w:hAnsi="Ashland;sans-serif"/>
          <w:color w:val="000000"/>
          <w:sz w:val="20"/>
        </w:rPr>
        <w:t>The effective tax rate was 30% for the nine months ended June 30, 2026, and was primarily impacted by jurisdictional income mix and a net $4 million from unfavorable tax discrete items primarily related to equity compensation adjustments and changes in uncertain tax positions.</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The effective tax rate was 2% for the nine months ended June 30, 2025, and was primarily impacted by jurisdictional income mix, nondeductible goodwill impairment of $706 million, and a net $23 million from unfavorable tax discrete items primarily related to cash repatriation, return to provision adjustments and changes to uncertain tax positions.</w:t>
      </w:r>
    </w:p>
    <w:p>
      <w:pPr>
        <w:pStyle w:val="TextBody"/>
        <w:bidi w:val="0"/>
        <w:spacing w:before="120" w:after="283"/>
        <w:jc w:val="both"/>
        <w:rPr>
          <w:rFonts w:ascii="Ashland;sans-serif" w:hAnsi="Ashland;sans-serif"/>
          <w:i/>
          <w:color w:val="000000"/>
          <w:sz w:val="20"/>
        </w:rPr>
      </w:pPr>
      <w:r>
        <w:rPr>
          <w:rFonts w:ascii="Ashland;sans-serif" w:hAnsi="Ashland;sans-serif"/>
          <w:i/>
          <w:color w:val="000000"/>
          <w:sz w:val="20"/>
        </w:rPr>
        <w:t>Adjusted income tax expense (benefit)</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Key items are defined as the financial effects from significant transactions that may have caused short-term fluctuations in net income (loss) and/or operating income (loss) which Ashland believes do not accurately reflect Ashland’s underlying business performance and trends. Tax specific key items are defined as the financial effects from tax specific financial transactions, tax law changes or other matters that fall within the definition of key items as previously described. The effective tax rate, excluding key items, which is a non-GAAP financial measure, has been prepared to illustrate the ongoing tax effects of Ashland’s operations. Management believes investors and analysts use this financial measure in assessing Ashland's business performance and that presenting this non-GAAP financial measure on a consolidated basis assists investors in better understanding Ashland’s ongoing business performance enhancing their ability to compare period-to-period financial results.</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There were no tax specific key items affecting the three and nine months ended June 30, 2026.</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The effective tax rate during the three and nine months ended June 30, 2025 was significantly impacted by the following tax specific key items:</w:t>
      </w:r>
    </w:p>
    <w:p>
      <w:pPr>
        <w:pStyle w:val="TextBody"/>
        <w:bidi w:val="0"/>
        <w:spacing w:before="120" w:after="283"/>
        <w:jc w:val="both"/>
        <w:rPr>
          <w:color w:val="000000"/>
        </w:rPr>
      </w:pPr>
      <w:r>
        <w:rPr>
          <w:color w:val="000000"/>
        </w:rPr>
        <w:t>•</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Uncertain tax position – Includes the impact from the settlement of uncertain tax positions with various tax authorities; and</w:t>
      </w:r>
    </w:p>
    <w:p>
      <w:pPr>
        <w:pStyle w:val="TextBody"/>
        <w:bidi w:val="0"/>
        <w:spacing w:before="120" w:after="283"/>
        <w:jc w:val="both"/>
        <w:rPr>
          <w:color w:val="000000"/>
        </w:rPr>
      </w:pPr>
      <w:r>
        <w:rPr>
          <w:color w:val="000000"/>
        </w:rPr>
        <w:t>•</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Other and tax reform related activity – Includes miscellaneous state and foreign statute adjustments.</w:t>
      </w:r>
    </w:p>
    <w:p>
      <w:pPr>
        <w:pStyle w:val="TextBody"/>
        <w:bidi w:val="0"/>
        <w:spacing w:before="120" w:after="283"/>
        <w:jc w:val="center"/>
        <w:rPr>
          <w:rFonts w:ascii="Ashland;sans-serif" w:hAnsi="Ashland;sans-serif"/>
          <w:color w:val="000000"/>
          <w:sz w:val="20"/>
        </w:rPr>
      </w:pPr>
      <w:r>
        <w:rPr>
          <w:rFonts w:ascii="Ashland;sans-serif" w:hAnsi="Ashland;sans-serif"/>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Ashland;sans-serif" w:hAnsi="Ashland;sans-serif"/>
          <w:color w:val="000000"/>
          <w:sz w:val="20"/>
        </w:rPr>
      </w:pPr>
      <w:r>
        <w:rPr>
          <w:rFonts w:ascii="Ashland;sans-serif" w:hAnsi="Ashland;sans-serif"/>
          <w:color w:val="000000"/>
          <w:sz w:val="20"/>
        </w:rPr>
        <w:t>The following table is a calculation of the effective tax rate, excluding these key items.</w:t>
      </w:r>
    </w:p>
    <w:tbl>
      <w:tblPr>
        <w:tblW w:w="10205" w:type="dxa"/>
        <w:jc w:val="left"/>
        <w:tblInd w:w="0" w:type="dxa"/>
        <w:tblLayout w:type="fixed"/>
        <w:tblCellMar>
          <w:top w:w="28" w:type="dxa"/>
          <w:left w:w="28" w:type="dxa"/>
          <w:bottom w:w="28" w:type="dxa"/>
          <w:right w:w="28" w:type="dxa"/>
        </w:tblCellMar>
      </w:tblPr>
      <w:tblGrid>
        <w:gridCol w:w="4948"/>
        <w:gridCol w:w="346"/>
        <w:gridCol w:w="250"/>
        <w:gridCol w:w="376"/>
        <w:gridCol w:w="294"/>
        <w:gridCol w:w="158"/>
        <w:gridCol w:w="245"/>
        <w:gridCol w:w="587"/>
        <w:gridCol w:w="381"/>
        <w:gridCol w:w="346"/>
        <w:gridCol w:w="241"/>
        <w:gridCol w:w="362"/>
        <w:gridCol w:w="283"/>
        <w:gridCol w:w="153"/>
        <w:gridCol w:w="236"/>
        <w:gridCol w:w="567"/>
        <w:gridCol w:w="432"/>
      </w:tblGrid>
      <w:tr>
        <w:trPr/>
        <w:tc>
          <w:tcPr>
            <w:tcW w:w="494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494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10"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Three months ended</w:t>
            </w:r>
          </w:p>
        </w:tc>
        <w:tc>
          <w:tcPr>
            <w:tcW w:w="3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42"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Nine months ended</w:t>
            </w:r>
          </w:p>
        </w:tc>
        <w:tc>
          <w:tcPr>
            <w:tcW w:w="43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9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2026</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2025</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2026</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2025</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948"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Income (loss) from continuing operations before income taxes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56</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(704</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60</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(874</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49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shland;sans-serif" w:hAnsi="Ashland;sans-serif"/>
                <w:color w:val="000000"/>
                <w:sz w:val="18"/>
              </w:rPr>
              <w:t>Key items (pre-tax)</w:t>
            </w:r>
            <w:r>
              <w:rPr>
                <w:rFonts w:ascii="Ashland;sans-serif" w:hAnsi="Ashland;sans-serif"/>
                <w:color w:val="000000"/>
                <w:sz w:val="12"/>
              </w:rPr>
              <w:t>(a)</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754</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32</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968</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48"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shland;sans-serif" w:hAnsi="Ashland;sans-serif"/>
                <w:b/>
                <w:color w:val="000000"/>
                <w:sz w:val="18"/>
              </w:rPr>
            </w:pPr>
            <w:r>
              <w:rPr>
                <w:rFonts w:ascii="Ashland;sans-serif" w:hAnsi="Ashland;sans-serif"/>
                <w:b/>
                <w:color w:val="000000"/>
                <w:sz w:val="18"/>
              </w:rPr>
              <w:t>Adjusted income from continuing operations before income taxes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51</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50</w:t>
            </w:r>
          </w:p>
        </w:tc>
        <w:tc>
          <w:tcPr>
            <w:tcW w:w="38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40"/>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40"/>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92</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94</w:t>
            </w:r>
          </w:p>
        </w:tc>
        <w:tc>
          <w:tcPr>
            <w:tcW w:w="4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8"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Income tax expense (benefit)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15</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15</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18</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(19</w:t>
            </w:r>
          </w:p>
        </w:tc>
        <w:tc>
          <w:tcPr>
            <w:tcW w:w="4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4948"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Income tax rate adjustments: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4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Ashland;sans-serif" w:hAnsi="Ashland;sans-serif"/>
                <w:color w:val="000000"/>
                <w:sz w:val="18"/>
              </w:rPr>
              <w:t>Tax effect of key items</w:t>
            </w:r>
            <w:r>
              <w:rPr>
                <w:rFonts w:ascii="Ashland;sans-serif" w:hAnsi="Ashland;sans-serif"/>
                <w:color w:val="000000"/>
                <w:sz w:val="12"/>
              </w:rPr>
              <w:t>(b)</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12</w:t>
            </w:r>
          </w:p>
        </w:tc>
        <w:tc>
          <w:tcPr>
            <w:tcW w:w="3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10</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64</w:t>
            </w:r>
          </w:p>
        </w:tc>
        <w:tc>
          <w:tcPr>
            <w:tcW w:w="43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Ashland;sans-serif" w:hAnsi="Ashland;sans-serif"/>
                <w:color w:val="000000"/>
                <w:sz w:val="18"/>
              </w:rPr>
              <w:t>Tax specific key items:</w:t>
            </w:r>
            <w:r>
              <w:rPr>
                <w:rFonts w:ascii="Ashland;sans-serif" w:hAnsi="Ashland;sans-serif"/>
                <w:color w:val="000000"/>
                <w:sz w:val="12"/>
              </w:rPr>
              <w:t>(c)</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0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4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shland;sans-serif" w:hAnsi="Ashland;sans-serif"/>
                <w:color w:val="000000"/>
                <w:sz w:val="18"/>
              </w:rPr>
            </w:pPr>
            <w:r>
              <w:rPr>
                <w:rFonts w:ascii="Ashland;sans-serif" w:hAnsi="Ashland;sans-serif"/>
                <w:color w:val="000000"/>
                <w:sz w:val="18"/>
              </w:rPr>
              <w:t>Uncertain tax positions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w:t>
            </w:r>
          </w:p>
        </w:tc>
        <w:tc>
          <w:tcPr>
            <w:tcW w:w="3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shland;sans-serif" w:hAnsi="Ashland;sans-serif"/>
                <w:color w:val="000000"/>
                <w:sz w:val="18"/>
              </w:rPr>
            </w:pPr>
            <w:r>
              <w:rPr>
                <w:rFonts w:ascii="Ashland;sans-serif" w:hAnsi="Ashland;sans-serif"/>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4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w:t>
            </w:r>
          </w:p>
        </w:tc>
      </w:tr>
      <w:tr>
        <w:trPr/>
        <w:tc>
          <w:tcPr>
            <w:tcW w:w="49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Other and tax reform related activity</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(8</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(19</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4948"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Total income tax rate adjustments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10</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44</w:t>
            </w:r>
          </w:p>
        </w:tc>
        <w:tc>
          <w:tcPr>
            <w:tcW w:w="4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48"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Adjusted income tax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16</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14</w:t>
            </w:r>
          </w:p>
        </w:tc>
        <w:tc>
          <w:tcPr>
            <w:tcW w:w="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28</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25</w:t>
            </w:r>
          </w:p>
        </w:tc>
        <w:tc>
          <w:tcPr>
            <w:tcW w:w="4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48"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Effective tax rate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27</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30</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49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shland;sans-serif" w:hAnsi="Ashland;sans-serif"/>
                <w:b/>
                <w:color w:val="000000"/>
                <w:sz w:val="18"/>
              </w:rPr>
              <w:t>Effective Tax Rate, Excluding Key Items (Non-GAAP)</w:t>
            </w:r>
            <w:r>
              <w:rPr>
                <w:rFonts w:ascii="Ashland;sans-serif" w:hAnsi="Ashland;sans-serif"/>
                <w:b/>
                <w:color w:val="000000"/>
                <w:sz w:val="12"/>
              </w:rPr>
              <w:t>(d)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31</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28</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30</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26</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4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Ashland;sans-serif" w:hAnsi="Ashland;sans-serif"/>
          <w:color w:val="000000"/>
          <w:sz w:val="14"/>
        </w:rPr>
      </w:pPr>
      <w:r>
        <w:rPr>
          <w:rFonts w:ascii="Ashland;sans-serif" w:hAnsi="Ashland;sans-serif"/>
          <w:color w:val="000000"/>
          <w:sz w:val="14"/>
        </w:rPr>
        <w:t>(a)</w:t>
      </w:r>
    </w:p>
    <w:p>
      <w:pPr>
        <w:pStyle w:val="TextBody"/>
        <w:bidi w:val="0"/>
        <w:spacing w:before="120" w:after="283"/>
        <w:jc w:val="both"/>
        <w:rPr>
          <w:rFonts w:ascii="Ashland;sans-serif" w:hAnsi="Ashland;sans-serif"/>
          <w:color w:val="000000"/>
          <w:sz w:val="14"/>
        </w:rPr>
      </w:pPr>
      <w:r>
        <w:rPr>
          <w:rFonts w:ascii="Ashland;sans-serif" w:hAnsi="Ashland;sans-serif"/>
          <w:color w:val="000000"/>
          <w:sz w:val="14"/>
        </w:rPr>
        <w:t>See Adjusted EBITDA reconciliation table disclosed in this Management’s Discussion and Analysis of Financial Condition and Results of Operation for a summary of the key items, before tax.</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(b)</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The tax rate specific to the jurisdiction in which the key item originates is used to calculate the tax effect of key items.</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(c)</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For additional information on the effect that these tax specific key items had on EPS, see the Adjusted Diluted EPS table disclosed in this Management’s Discussion and Analysis of Financial Condition and Results of Operation.</w:t>
      </w:r>
    </w:p>
    <w:p>
      <w:pPr>
        <w:pStyle w:val="TextBody"/>
        <w:bidi w:val="0"/>
        <w:spacing w:before="40" w:after="120"/>
        <w:jc w:val="both"/>
        <w:rPr>
          <w:rFonts w:ascii="Ashland;sans-serif" w:hAnsi="Ashland;sans-serif"/>
          <w:color w:val="000000"/>
          <w:sz w:val="14"/>
        </w:rPr>
      </w:pPr>
      <w:r>
        <w:rPr>
          <w:rFonts w:ascii="Ashland;sans-serif" w:hAnsi="Ashland;sans-serif"/>
          <w:color w:val="000000"/>
          <w:sz w:val="14"/>
        </w:rPr>
        <w:t>(d)</w:t>
      </w:r>
    </w:p>
    <w:p>
      <w:pPr>
        <w:pStyle w:val="TextBody"/>
        <w:bidi w:val="0"/>
        <w:spacing w:before="40" w:after="120"/>
        <w:jc w:val="both"/>
        <w:rPr>
          <w:rFonts w:ascii="Ashland;sans-serif" w:hAnsi="Ashland;sans-serif"/>
          <w:color w:val="000000"/>
          <w:sz w:val="14"/>
        </w:rPr>
      </w:pPr>
      <w:r>
        <w:rPr>
          <w:rFonts w:ascii="Ashland;sans-serif" w:hAnsi="Ashland;sans-serif"/>
          <w:color w:val="000000"/>
          <w:sz w:val="14"/>
        </w:rPr>
        <w:t>Due to rounding conventions, the effective tax rate presented may not recalculate precisely based on the numbers disclosed within this table.</w:t>
      </w:r>
    </w:p>
    <w:tbl>
      <w:tblPr>
        <w:tblW w:w="10205" w:type="dxa"/>
        <w:jc w:val="left"/>
        <w:tblInd w:w="0" w:type="dxa"/>
        <w:tblLayout w:type="fixed"/>
        <w:tblCellMar>
          <w:top w:w="28" w:type="dxa"/>
          <w:left w:w="28" w:type="dxa"/>
          <w:bottom w:w="28" w:type="dxa"/>
          <w:right w:w="28" w:type="dxa"/>
        </w:tblCellMar>
      </w:tblPr>
      <w:tblGrid>
        <w:gridCol w:w="2756"/>
        <w:gridCol w:w="446"/>
        <w:gridCol w:w="230"/>
        <w:gridCol w:w="429"/>
        <w:gridCol w:w="184"/>
        <w:gridCol w:w="148"/>
        <w:gridCol w:w="230"/>
        <w:gridCol w:w="429"/>
        <w:gridCol w:w="184"/>
        <w:gridCol w:w="148"/>
        <w:gridCol w:w="314"/>
        <w:gridCol w:w="482"/>
        <w:gridCol w:w="481"/>
        <w:gridCol w:w="446"/>
        <w:gridCol w:w="228"/>
        <w:gridCol w:w="425"/>
        <w:gridCol w:w="182"/>
        <w:gridCol w:w="147"/>
        <w:gridCol w:w="228"/>
        <w:gridCol w:w="425"/>
        <w:gridCol w:w="182"/>
        <w:gridCol w:w="147"/>
        <w:gridCol w:w="314"/>
        <w:gridCol w:w="482"/>
        <w:gridCol w:w="538"/>
      </w:tblGrid>
      <w:tr>
        <w:trPr/>
        <w:tc>
          <w:tcPr>
            <w:tcW w:w="275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r>
      <w:tr>
        <w:trPr/>
        <w:tc>
          <w:tcPr>
            <w:tcW w:w="275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4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778"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Three months ended June 30</w:t>
            </w:r>
          </w:p>
        </w:tc>
        <w:tc>
          <w:tcPr>
            <w:tcW w:w="4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4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760"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Nine months ended June 30</w:t>
            </w:r>
          </w:p>
        </w:tc>
        <w:tc>
          <w:tcPr>
            <w:tcW w:w="53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2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2026</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2025</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Change</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2026</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2025</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Change</w:t>
            </w:r>
          </w:p>
        </w:tc>
        <w:tc>
          <w:tcPr>
            <w:tcW w:w="5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75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Loss from discontinued operations, net of income taxes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75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shland;sans-serif" w:hAnsi="Ashland;sans-serif"/>
                <w:color w:val="000000"/>
                <w:sz w:val="18"/>
              </w:rPr>
            </w:pPr>
            <w:r>
              <w:rPr>
                <w:rFonts w:ascii="Ashland;sans-serif" w:hAnsi="Ashland;sans-serif"/>
                <w:color w:val="000000"/>
                <w:sz w:val="18"/>
              </w:rPr>
              <w:t>Performance Adhesives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53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75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Ashland;sans-serif" w:hAnsi="Ashland;sans-serif"/>
                <w:color w:val="000000"/>
                <w:sz w:val="18"/>
              </w:rPr>
            </w:pPr>
            <w:r>
              <w:rPr>
                <w:rFonts w:ascii="Ashland;sans-serif" w:hAnsi="Ashland;sans-serif"/>
                <w:color w:val="000000"/>
                <w:sz w:val="18"/>
              </w:rPr>
              <w:t>Water Technologies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538"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75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shland;sans-serif" w:hAnsi="Ashland;sans-serif"/>
                <w:color w:val="000000"/>
                <w:sz w:val="18"/>
              </w:rPr>
            </w:pPr>
            <w:r>
              <w:rPr>
                <w:rFonts w:ascii="Ashland;sans-serif" w:hAnsi="Ashland;sans-serif"/>
                <w:color w:val="000000"/>
                <w:sz w:val="18"/>
              </w:rPr>
              <w:t>Distribution</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w:t>
            </w:r>
          </w:p>
        </w:tc>
        <w:tc>
          <w:tcPr>
            <w:tcW w:w="48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(10</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w:t>
            </w:r>
          </w:p>
        </w:tc>
        <w:tc>
          <w:tcPr>
            <w:tcW w:w="53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75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Ashland;sans-serif" w:hAnsi="Ashland;sans-serif"/>
                <w:color w:val="000000"/>
                <w:sz w:val="18"/>
              </w:rPr>
            </w:pPr>
            <w:r>
              <w:rPr>
                <w:rFonts w:ascii="Ashland;sans-serif" w:hAnsi="Ashland;sans-serif"/>
                <w:color w:val="000000"/>
                <w:sz w:val="18"/>
              </w:rPr>
              <w:t>Valvoline</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538"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Ashland;sans-serif" w:hAnsi="Ashland;sans-serif"/>
                <w:color w:val="000000"/>
                <w:sz w:val="18"/>
              </w:rPr>
            </w:pPr>
            <w:r>
              <w:rPr>
                <w:rFonts w:ascii="Ashland;sans-serif" w:hAnsi="Ashland;sans-serif"/>
                <w:color w:val="000000"/>
                <w:sz w:val="18"/>
              </w:rPr>
              <w:t>)</w:t>
            </w:r>
          </w:p>
        </w:tc>
      </w:tr>
      <w:tr>
        <w:trPr/>
        <w:tc>
          <w:tcPr>
            <w:tcW w:w="275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shland;sans-serif" w:hAnsi="Ashland;sans-serif"/>
                <w:color w:val="000000"/>
                <w:sz w:val="18"/>
              </w:rPr>
            </w:pPr>
            <w:r>
              <w:rPr>
                <w:rFonts w:ascii="Ashland;sans-serif" w:hAnsi="Ashland;sans-serif"/>
                <w:color w:val="000000"/>
                <w:sz w:val="18"/>
              </w:rPr>
              <w:t>Asbestos-related litigation</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(22</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(13</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(9</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Ashland;sans-serif" w:hAnsi="Ashland;sans-serif"/>
                <w:color w:val="000000"/>
                <w:sz w:val="18"/>
              </w:rPr>
            </w:pPr>
            <w:r>
              <w:rPr>
                <w:rFonts w:ascii="Ashland;sans-serif" w:hAnsi="Ashland;sans-serif"/>
                <w:color w:val="000000"/>
                <w:sz w:val="18"/>
              </w:rPr>
              <w:t>)</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(22</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(13</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(9</w:t>
            </w:r>
          </w:p>
        </w:tc>
        <w:tc>
          <w:tcPr>
            <w:tcW w:w="53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Ashland;sans-serif" w:hAnsi="Ashland;sans-serif"/>
                <w:color w:val="000000"/>
                <w:sz w:val="18"/>
              </w:rPr>
            </w:pPr>
            <w:r>
              <w:rPr>
                <w:rFonts w:ascii="Ashland;sans-serif" w:hAnsi="Ashland;sans-serif"/>
                <w:color w:val="000000"/>
                <w:sz w:val="18"/>
              </w:rPr>
              <w:t>)</w:t>
            </w:r>
          </w:p>
        </w:tc>
      </w:tr>
      <w:tr>
        <w:trPr/>
        <w:tc>
          <w:tcPr>
            <w:tcW w:w="275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(25</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(23</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Ashland;sans-serif" w:hAnsi="Ashland;sans-serif"/>
                <w:color w:val="000000"/>
                <w:sz w:val="18"/>
              </w:rPr>
            </w:pPr>
            <w:r>
              <w:rPr>
                <w:rFonts w:ascii="Ashland;sans-serif" w:hAnsi="Ashland;sans-serif"/>
                <w:color w:val="000000"/>
                <w:sz w:val="18"/>
              </w:rPr>
              <w:t>)</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(22</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(22</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Ashland;sans-serif" w:hAnsi="Ashland;sans-serif"/>
          <w:i/>
          <w:color w:val="000000"/>
          <w:sz w:val="20"/>
        </w:rPr>
      </w:pPr>
      <w:r>
        <w:rPr>
          <w:rFonts w:ascii="Ashland;sans-serif" w:hAnsi="Ashland;sans-serif"/>
          <w:i/>
          <w:color w:val="000000"/>
          <w:sz w:val="20"/>
        </w:rPr>
        <w:t>Three months ended June 30, 2026 compared to three months ended June 30, 2025</w:t>
      </w:r>
    </w:p>
    <w:p>
      <w:pPr>
        <w:pStyle w:val="TextBody"/>
        <w:bidi w:val="0"/>
        <w:spacing w:before="0" w:after="120"/>
        <w:jc w:val="both"/>
        <w:rPr>
          <w:rFonts w:ascii="Ashland;sans-serif" w:hAnsi="Ashland;sans-serif"/>
          <w:color w:val="000000"/>
          <w:sz w:val="20"/>
        </w:rPr>
      </w:pPr>
      <w:r>
        <w:rPr>
          <w:rFonts w:ascii="Ashland;sans-serif" w:hAnsi="Ashland;sans-serif"/>
          <w:color w:val="000000"/>
          <w:sz w:val="20"/>
        </w:rPr>
        <w:t>The activity for Distribution represents subsequent adjustments that were made in conjunction with environmental related reserves. Asbestos-related litigation activity primarily relates to Ashland's annual update.</w:t>
      </w:r>
    </w:p>
    <w:p>
      <w:pPr>
        <w:pStyle w:val="TextBody"/>
        <w:bidi w:val="0"/>
        <w:spacing w:before="0" w:after="120"/>
        <w:jc w:val="both"/>
        <w:rPr>
          <w:rFonts w:ascii="Ashland;sans-serif" w:hAnsi="Ashland;sans-serif"/>
          <w:i/>
          <w:color w:val="000000"/>
          <w:sz w:val="20"/>
        </w:rPr>
      </w:pPr>
      <w:r>
        <w:rPr>
          <w:rFonts w:ascii="Ashland;sans-serif" w:hAnsi="Ashland;sans-serif"/>
          <w:i/>
          <w:color w:val="000000"/>
          <w:sz w:val="20"/>
        </w:rPr>
        <w:t>Nine months ended June 30, 2026 compared to nine months ended June 30, 2025</w:t>
      </w:r>
    </w:p>
    <w:p>
      <w:pPr>
        <w:pStyle w:val="TextBody"/>
        <w:bidi w:val="0"/>
        <w:spacing w:before="0" w:after="120"/>
        <w:jc w:val="both"/>
        <w:rPr>
          <w:rFonts w:ascii="Ashland;sans-serif" w:hAnsi="Ashland;sans-serif"/>
          <w:color w:val="000000"/>
          <w:sz w:val="20"/>
        </w:rPr>
      </w:pPr>
      <w:r>
        <w:rPr>
          <w:rFonts w:ascii="Ashland;sans-serif" w:hAnsi="Ashland;sans-serif"/>
          <w:color w:val="000000"/>
          <w:sz w:val="20"/>
        </w:rPr>
        <w:t>The activity for Performance Adhesives, Distribution, Water Technologies and Valvoline represents subsequent adjustments that were made in conjunction with environmental and tax related reserves. Asbestos-related litigation activity primarily relates to Ashland's annual update.</w:t>
      </w:r>
    </w:p>
    <w:p>
      <w:pPr>
        <w:pStyle w:val="TextBody"/>
        <w:bidi w:val="0"/>
        <w:spacing w:before="120" w:after="283"/>
        <w:jc w:val="center"/>
        <w:rPr>
          <w:rFonts w:ascii="Ashland;sans-serif" w:hAnsi="Ashland;sans-serif"/>
          <w:color w:val="000000"/>
          <w:sz w:val="20"/>
        </w:rPr>
      </w:pPr>
      <w:r>
        <w:rPr>
          <w:rFonts w:ascii="Ashland;sans-serif" w:hAnsi="Ashland;sans-serif"/>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Ashland;sans-serif" w:hAnsi="Ashland;sans-serif"/>
          <w:i/>
          <w:color w:val="000000"/>
          <w:sz w:val="20"/>
        </w:rPr>
      </w:pPr>
      <w:r>
        <w:rPr>
          <w:rFonts w:ascii="Ashland;sans-serif" w:hAnsi="Ashland;sans-serif"/>
          <w:i/>
          <w:color w:val="000000"/>
          <w:sz w:val="20"/>
        </w:rPr>
        <w:t>Other comprehensive income (loss)</w:t>
      </w:r>
    </w:p>
    <w:tbl>
      <w:tblPr>
        <w:tblW w:w="10205" w:type="dxa"/>
        <w:jc w:val="left"/>
        <w:tblInd w:w="0" w:type="dxa"/>
        <w:tblLayout w:type="fixed"/>
        <w:tblCellMar>
          <w:top w:w="28" w:type="dxa"/>
          <w:left w:w="28" w:type="dxa"/>
          <w:bottom w:w="28" w:type="dxa"/>
          <w:right w:w="28" w:type="dxa"/>
        </w:tblCellMar>
      </w:tblPr>
      <w:tblGrid>
        <w:gridCol w:w="3330"/>
        <w:gridCol w:w="346"/>
        <w:gridCol w:w="259"/>
        <w:gridCol w:w="336"/>
        <w:gridCol w:w="195"/>
        <w:gridCol w:w="156"/>
        <w:gridCol w:w="249"/>
        <w:gridCol w:w="373"/>
        <w:gridCol w:w="195"/>
        <w:gridCol w:w="156"/>
        <w:gridCol w:w="278"/>
        <w:gridCol w:w="518"/>
        <w:gridCol w:w="381"/>
        <w:gridCol w:w="346"/>
        <w:gridCol w:w="253"/>
        <w:gridCol w:w="335"/>
        <w:gridCol w:w="192"/>
        <w:gridCol w:w="154"/>
        <w:gridCol w:w="246"/>
        <w:gridCol w:w="367"/>
        <w:gridCol w:w="154"/>
        <w:gridCol w:w="154"/>
        <w:gridCol w:w="278"/>
        <w:gridCol w:w="518"/>
        <w:gridCol w:w="436"/>
      </w:tblGrid>
      <w:tr>
        <w:trPr/>
        <w:tc>
          <w:tcPr>
            <w:tcW w:w="333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333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715"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Three months ended June 30</w:t>
            </w:r>
          </w:p>
        </w:tc>
        <w:tc>
          <w:tcPr>
            <w:tcW w:w="3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3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651"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Nine months ended June 30</w:t>
            </w:r>
          </w:p>
        </w:tc>
        <w:tc>
          <w:tcPr>
            <w:tcW w:w="4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2026</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Change</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2026</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2025</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Change</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330"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Other comprehensive income (loss), net of tax</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Unrealized translation gain (loss)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91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(87</w:t>
            </w:r>
          </w:p>
        </w:tc>
        <w:tc>
          <w:tcPr>
            <w:tcW w:w="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(52</w:t>
            </w:r>
          </w:p>
        </w:tc>
        <w:tc>
          <w:tcPr>
            <w:tcW w:w="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w:t>
            </w:r>
          </w:p>
        </w:tc>
      </w:tr>
      <w:tr>
        <w:trPr/>
        <w:tc>
          <w:tcPr>
            <w:tcW w:w="33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Unrealized (loss) gain on commodity hedges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3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90</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(88</w:t>
            </w:r>
          </w:p>
        </w:tc>
        <w:tc>
          <w:tcPr>
            <w:tcW w:w="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(8</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48</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(56</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3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Ashland;sans-serif" w:hAnsi="Ashland;sans-serif"/>
          <w:i/>
          <w:color w:val="000000"/>
          <w:sz w:val="20"/>
        </w:rPr>
      </w:pPr>
      <w:r>
        <w:rPr>
          <w:rFonts w:ascii="Ashland;sans-serif" w:hAnsi="Ashland;sans-serif"/>
          <w:i/>
          <w:color w:val="000000"/>
          <w:sz w:val="20"/>
        </w:rPr>
        <w:t>Three months ended June 30, 2026 compared to three months ended June 30, 2025</w:t>
      </w:r>
    </w:p>
    <w:p>
      <w:pPr>
        <w:pStyle w:val="TextBody"/>
        <w:bidi w:val="0"/>
        <w:jc w:val="both"/>
        <w:rPr>
          <w:rFonts w:ascii="Ashland;sans-serif" w:hAnsi="Ashland;sans-serif"/>
          <w:color w:val="000000"/>
          <w:sz w:val="20"/>
        </w:rPr>
      </w:pPr>
      <w:r>
        <w:rPr>
          <w:rFonts w:ascii="Ashland;sans-serif" w:hAnsi="Ashland;sans-serif"/>
          <w:color w:val="000000"/>
          <w:sz w:val="20"/>
        </w:rPr>
        <w:t>Total other comprehensive income (loss), net of tax, for the three months ended June 30, 2026, decreased $88 million compared to the three months ended June 30, 2025, primarily as a result of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For the three months ended June 30, 2026 and 2025, the change in unrealized gain (loss) from foreign currency translation adjustments resulted in gains of $4 million and $91 million, respectively. The fluctuations in unrealized translation gains and losses are primarily due to translating foreign subsidiary financial statements from local currencies to U.S. Dollars.</w:t>
      </w:r>
    </w:p>
    <w:p>
      <w:pPr>
        <w:pStyle w:val="TextBody"/>
        <w:bidi w:val="0"/>
        <w:spacing w:before="120" w:after="283"/>
        <w:jc w:val="both"/>
        <w:rPr>
          <w:color w:val="000000"/>
        </w:rPr>
      </w:pPr>
      <w:r>
        <w:rPr>
          <w:color w:val="000000"/>
        </w:rPr>
        <w:t>•</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For the three months ended June 30, 2026 and 2025, the change in commodity hedges is primarily due to the fluctuations of the market prices of the underlying commodities. Commodity hedges resulted in unrealized losses of $2 million and $1 million for the three months ended June 30, 2026 and 2025, respectively.</w:t>
      </w:r>
    </w:p>
    <w:p>
      <w:pPr>
        <w:pStyle w:val="TextBody"/>
        <w:bidi w:val="0"/>
        <w:spacing w:before="120" w:after="120"/>
        <w:jc w:val="both"/>
        <w:rPr>
          <w:rFonts w:ascii="Ashland;sans-serif" w:hAnsi="Ashland;sans-serif"/>
          <w:i/>
          <w:color w:val="000000"/>
          <w:sz w:val="20"/>
        </w:rPr>
      </w:pPr>
      <w:r>
        <w:rPr>
          <w:rFonts w:ascii="Ashland;sans-serif" w:hAnsi="Ashland;sans-serif"/>
          <w:i/>
          <w:color w:val="000000"/>
          <w:sz w:val="20"/>
        </w:rPr>
        <w:t>Nine months ended June 30, 2026 compared to nine months ended June 30, 2025</w:t>
      </w:r>
    </w:p>
    <w:p>
      <w:pPr>
        <w:pStyle w:val="TextBody"/>
        <w:bidi w:val="0"/>
        <w:jc w:val="both"/>
        <w:rPr>
          <w:rFonts w:ascii="Ashland;sans-serif" w:hAnsi="Ashland;sans-serif"/>
          <w:color w:val="000000"/>
          <w:sz w:val="20"/>
        </w:rPr>
      </w:pPr>
      <w:r>
        <w:rPr>
          <w:rFonts w:ascii="Ashland;sans-serif" w:hAnsi="Ashland;sans-serif"/>
          <w:color w:val="000000"/>
          <w:sz w:val="20"/>
        </w:rPr>
        <w:t>Total other comprehensive income (loss), net of tax, for the nine months ended June 30, 2026, decreased $56 million compared to the nine months ended June 30, 2025, primarily as a result of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For the nine months ended June 30, 2026 and 2025, the change in unrealized gain (loss) from foreign currency translation adjustments resulted in losses of $6 million and gains of $46 million, respectively. The fluctuations in unrealized translation gains and losses are primarily due to translating foreign subsidiary financial statements from local currencies to U.S. Dollars.</w:t>
      </w:r>
    </w:p>
    <w:p>
      <w:pPr>
        <w:pStyle w:val="TextBody"/>
        <w:bidi w:val="0"/>
        <w:spacing w:before="120" w:after="283"/>
        <w:jc w:val="both"/>
        <w:rPr>
          <w:color w:val="000000"/>
        </w:rPr>
      </w:pPr>
      <w:r>
        <w:rPr>
          <w:color w:val="000000"/>
        </w:rPr>
        <w:t>•</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For the nine months ended June 30, 2026 and 2025, the change in commodity hedges is primarily due to the fluctuations of the market prices of the underlying commodities. Commodity hedges resulted in unrealized losses of $2 million and gains of $2 million for the nine months ended June 30, 2026 and 2025, respectively.</w:t>
      </w:r>
    </w:p>
    <w:p>
      <w:pPr>
        <w:pStyle w:val="TextBody"/>
        <w:bidi w:val="0"/>
        <w:spacing w:before="120" w:after="283"/>
        <w:jc w:val="both"/>
        <w:rPr>
          <w:rFonts w:ascii="Ashland;sans-serif" w:hAnsi="Ashland;sans-serif"/>
          <w:b/>
          <w:i/>
          <w:color w:val="000000"/>
          <w:sz w:val="20"/>
        </w:rPr>
      </w:pPr>
      <w:r>
        <w:rPr>
          <w:rFonts w:ascii="Ashland;sans-serif" w:hAnsi="Ashland;sans-serif"/>
          <w:b/>
          <w:i/>
          <w:color w:val="000000"/>
          <w:sz w:val="20"/>
        </w:rPr>
        <w:t>Use of Non-GAAP Financial Measures</w:t>
      </w:r>
    </w:p>
    <w:p>
      <w:pPr>
        <w:pStyle w:val="TextBody"/>
        <w:bidi w:val="0"/>
        <w:spacing w:before="120" w:after="120"/>
        <w:jc w:val="both"/>
        <w:rPr>
          <w:rFonts w:ascii="Ashland;sans-serif" w:hAnsi="Ashland;sans-serif"/>
          <w:color w:val="000000"/>
          <w:sz w:val="20"/>
        </w:rPr>
      </w:pPr>
      <w:r>
        <w:rPr>
          <w:rFonts w:ascii="Ashland;sans-serif" w:hAnsi="Ashland;sans-serif"/>
          <w:color w:val="000000"/>
          <w:sz w:val="20"/>
        </w:rPr>
        <w:t>Ashland has included within this document the following non-GAAP financial measures, on both a consolidated and reportable segment basis, which are not defined within U.S. GAAP and do not purport to be alternatives to net income (loss) or cash flows from operating activities as a measure of operating performance or cash flows:</w:t>
      </w:r>
    </w:p>
    <w:p>
      <w:pPr>
        <w:pStyle w:val="TextBody"/>
        <w:bidi w:val="0"/>
        <w:jc w:val="both"/>
        <w:rPr>
          <w:rFonts w:ascii="Ashland;sans-serif" w:hAnsi="Ashland;sans-serif"/>
          <w:i/>
          <w:color w:val="000000"/>
          <w:sz w:val="20"/>
        </w:rPr>
      </w:pPr>
      <w:r>
        <w:rPr>
          <w:rFonts w:ascii="Ashland;sans-serif" w:hAnsi="Ashland;sans-serif"/>
          <w:i/>
          <w:color w:val="000000"/>
          <w:sz w:val="20"/>
        </w:rPr>
        <w:t>EBITDA, Adjusted EBITDA and Adjusted EBITDA Margin</w:t>
      </w:r>
    </w:p>
    <w:p>
      <w:pPr>
        <w:pStyle w:val="TextBody"/>
        <w:bidi w:val="0"/>
        <w:spacing w:before="120" w:after="120"/>
        <w:jc w:val="both"/>
        <w:rPr>
          <w:rFonts w:ascii="Ashland;sans-serif" w:hAnsi="Ashland;sans-serif"/>
          <w:color w:val="000000"/>
          <w:sz w:val="20"/>
        </w:rPr>
      </w:pPr>
      <w:r>
        <w:rPr>
          <w:rFonts w:ascii="Ashland;sans-serif" w:hAnsi="Ashland;sans-serif"/>
          <w:color w:val="000000"/>
          <w:sz w:val="20"/>
        </w:rPr>
        <w:t>EBITDA is defined as net income (loss), plus income tax expense (benefit), net interest and other (income) expense, and depreciation and amortization. Adjusted EBITDA is EBITDA adjusted for discontinued operations and key items. Adjusted EBITDA margin is Adjusted EBITDA divided by sales.</w:t>
      </w:r>
    </w:p>
    <w:p>
      <w:pPr>
        <w:pStyle w:val="TextBody"/>
        <w:bidi w:val="0"/>
        <w:spacing w:before="0" w:after="120"/>
        <w:jc w:val="both"/>
        <w:rPr>
          <w:rFonts w:ascii="Times New Roman" w:hAnsi="Times New Roman"/>
          <w:sz w:val="20"/>
        </w:rPr>
      </w:pPr>
      <w:r>
        <w:rPr>
          <w:rFonts w:ascii="Ashland;sans-serif" w:hAnsi="Ashland;sans-serif"/>
          <w:color w:val="000000"/>
          <w:sz w:val="20"/>
        </w:rPr>
        <w:t>Management believes the use of EBITDA and Adjusted EBITDA measures on a consolidated and reportable segment basis assists investors in understanding the ongoing operating performance by presenting comparable financial results between periods. Ashland believes that by removing the impact of depreciation and amortization and excluding certain non-cash charges, amounts spent on interest and taxes and certain other charges that are highly variable from year to year, EBITDA and Adjusted EBITDA provide Ashland’s investors with performance measures that reflect the impact to operations from trends in changes in sales,</w:t>
      </w:r>
      <w:r>
        <w:rPr>
          <w:rFonts w:ascii="Times New Roman" w:hAnsi="Times New Roman"/>
          <w:color w:val="000000"/>
          <w:sz w:val="20"/>
        </w:rPr>
        <w:t xml:space="preserve"> </w:t>
      </w:r>
    </w:p>
    <w:p>
      <w:pPr>
        <w:pStyle w:val="TextBody"/>
        <w:bidi w:val="0"/>
        <w:spacing w:before="120" w:after="283"/>
        <w:jc w:val="center"/>
        <w:rPr>
          <w:rFonts w:ascii="Ashland;sans-serif" w:hAnsi="Ashland;sans-serif"/>
          <w:color w:val="000000"/>
          <w:sz w:val="20"/>
        </w:rPr>
      </w:pPr>
      <w:r>
        <w:rPr>
          <w:rFonts w:ascii="Ashland;sans-serif" w:hAnsi="Ashland;sans-serif"/>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Ashland;sans-serif" w:hAnsi="Ashland;sans-serif"/>
          <w:color w:val="000000"/>
          <w:sz w:val="20"/>
        </w:rPr>
      </w:pPr>
      <w:r>
        <w:rPr>
          <w:rFonts w:ascii="Ashland;sans-serif" w:hAnsi="Ashland;sans-serif"/>
          <w:color w:val="000000"/>
          <w:sz w:val="20"/>
        </w:rPr>
        <w:t>margin and operating expenses, providing a perspective not immediately apparent from net income (loss) and operating income (loss). The adjustments Ashland makes to derive the non-GAAP financial measures of EBITDA and Adjusted EBITDA exclude items which may cause short-term fluctuations in net income (loss) and operating income (loss) and which Ashland does not consider to be the fundamental attributes or primary drivers of its business. EBITDA and Adjusted EBITDA provide disclosure on the same basis as that used by Ashland’s management to evaluate financial performance on a consolidated and reportable segment basis and provide consistency in our financial reporting, facilitate internal and external comparisons of Ashland’s historical operating performance and its segments and provide continuity to investors for comparability purposes.</w:t>
      </w:r>
    </w:p>
    <w:p>
      <w:pPr>
        <w:pStyle w:val="TextBody"/>
        <w:bidi w:val="0"/>
        <w:jc w:val="both"/>
        <w:rPr>
          <w:rFonts w:ascii="Ashland;sans-serif" w:hAnsi="Ashland;sans-serif"/>
          <w:i/>
          <w:color w:val="000000"/>
          <w:sz w:val="20"/>
        </w:rPr>
      </w:pPr>
      <w:r>
        <w:rPr>
          <w:rFonts w:ascii="Ashland;sans-serif" w:hAnsi="Ashland;sans-serif"/>
          <w:i/>
          <w:color w:val="000000"/>
          <w:sz w:val="20"/>
        </w:rPr>
        <w:t>Adjusted Diluted Earnings Per Share (EPS)</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Adjusted Diluted EPS is defined as loss from continuing operations, adjusted for key items, net of tax, divided by the average outstanding diluted shares for the applicable period. The Adjusted Diluted EPS metric enables Ashland to demonstrate what effect key items have on an earnings per diluted share basis by taking loss from continuing operations, adjusted for key items after tax that have been identified in the Adjusted EBITDA table, and dividing by the average outstanding diluted shares for the applicable period. Ashland’s management believes this presentation is helpful to illustrate how the key items have impacted this metric during the applicable period.</w:t>
      </w:r>
    </w:p>
    <w:p>
      <w:pPr>
        <w:pStyle w:val="TextBody"/>
        <w:bidi w:val="0"/>
        <w:spacing w:before="120" w:after="283"/>
        <w:jc w:val="both"/>
        <w:rPr>
          <w:rFonts w:ascii="Ashland;sans-serif" w:hAnsi="Ashland;sans-serif"/>
          <w:i/>
          <w:color w:val="000000"/>
          <w:sz w:val="20"/>
        </w:rPr>
      </w:pPr>
      <w:r>
        <w:rPr>
          <w:rFonts w:ascii="Ashland;sans-serif" w:hAnsi="Ashland;sans-serif"/>
          <w:i/>
          <w:color w:val="000000"/>
          <w:sz w:val="20"/>
        </w:rPr>
        <w:t>Adjusted Diluted Earnings Per Share (EPS) Excluding Intangibles Amortization Expense</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The Adjusted Diluted EPS Excluding Intangibles Amortization Expense is adjusted earnings per share adjusted for intangibles amortization expense net of tax, divided by the average outstanding diluted shares for the applicable period. The Adjusted Diluted EPS, Excluding Intangibles Amortization Expense metric enables Ashland to demonstrate the impact of non-cash intangibles amortization expense on EPS, in addition to the key items previously mentioned. Ashland’s management believes this presentation is helpful to illustrate how previous acquisitions impact applicable period results.</w:t>
      </w:r>
    </w:p>
    <w:p>
      <w:pPr>
        <w:pStyle w:val="TextBody"/>
        <w:bidi w:val="0"/>
        <w:spacing w:before="120" w:after="283"/>
        <w:jc w:val="both"/>
        <w:rPr>
          <w:rFonts w:ascii="Ashland;sans-serif" w:hAnsi="Ashland;sans-serif"/>
          <w:i/>
          <w:color w:val="000000"/>
          <w:sz w:val="20"/>
        </w:rPr>
      </w:pPr>
      <w:r>
        <w:rPr>
          <w:rFonts w:ascii="Ashland;sans-serif" w:hAnsi="Ashland;sans-serif"/>
          <w:i/>
          <w:color w:val="000000"/>
          <w:sz w:val="20"/>
        </w:rPr>
        <w:t>Free Cash Flow, Ongoing Free Cash Flow and Ongoing Free Cash Flow Conversion</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Free Cash Flow is defined as operating cash flows less capital expenditures while Ongoing Free Cash Flow is operating cash flows less capital expenditures and certain other adjustments as applicable. Ongoing Free Cash Flow Conversion is Ongoing Free Cash flow divided by Adjusted EBITDA. These free cash flow metrics enable Ashland to provide a better indication of the ongoing cash being generated that is ultimately available for both debt and equity holders as well as other investment opportunities. Unlike cash flow provided by operating activities, Free Cash Flow and Ongoing Free Cash Flow include the impact of capital expenditures from continuing operations and other significant items impacting cash flow, providing a more complete picture of current and future cash generation. Free Cash Flow, Ongoing Free Cash Flow, and Free Cash Flow Conversion are non-GAAP liquidity measures that Ashland believes provide useful information to management and investors about Ashland's ability to convert Adjusted EBITDA to Ongoing Free Cash Flow. These liquidity measures are used regularly by Ashland's stakeholders and industry peers to measure the efficiency at providing cash from regular business activity. Free Cash Flow, Ongoing Free Cash Flow, and Free Cash Flow Conversion have certain limitations, including that they do not reflect adjustments for certain non-discretionary cash flows such as mandatory debt repayments. The amount of mandatory versus discretionary expenditures can vary significantly between periods.</w:t>
      </w:r>
    </w:p>
    <w:p>
      <w:pPr>
        <w:pStyle w:val="TextBody"/>
        <w:bidi w:val="0"/>
        <w:spacing w:before="120" w:after="283"/>
        <w:jc w:val="both"/>
        <w:rPr>
          <w:rFonts w:ascii="Ashland;sans-serif" w:hAnsi="Ashland;sans-serif"/>
          <w:i/>
          <w:color w:val="000000"/>
          <w:sz w:val="20"/>
        </w:rPr>
      </w:pPr>
      <w:r>
        <w:rPr>
          <w:rFonts w:ascii="Ashland;sans-serif" w:hAnsi="Ashland;sans-serif"/>
          <w:i/>
          <w:color w:val="000000"/>
          <w:sz w:val="20"/>
        </w:rPr>
        <w:t>Other disclosures on non-GAAP financial measures</w:t>
      </w:r>
    </w:p>
    <w:p>
      <w:pPr>
        <w:pStyle w:val="TextBody"/>
        <w:bidi w:val="0"/>
        <w:spacing w:before="120" w:after="283"/>
        <w:jc w:val="both"/>
        <w:rPr>
          <w:rFonts w:ascii="Times New Roman" w:hAnsi="Times New Roman"/>
          <w:sz w:val="20"/>
        </w:rPr>
      </w:pPr>
      <w:r>
        <w:rPr>
          <w:rFonts w:ascii="Ashland;sans-serif" w:hAnsi="Ashland;sans-serif"/>
          <w:color w:val="000000"/>
          <w:sz w:val="20"/>
        </w:rPr>
        <w:t>Although Ashland may provide forward-looking guidance for Adjusted EBITDA, Adjusted diluted EPS and Ongoing Free Cash Flow, Ashland is not reaffirming or providing forward-looking guidance for U.S. GAAP-reported financial measures or a reconciliation of forward-looking non-GAAP financial measures to the most directly comparable U.S. GAAP measure because it is unable to predict with reasonable certainty the ultimate outcome of certain significant items that affect these metrics such as domestic and international economic, political, legislative, regulatory and legal actions. In addition, certain economic conditions, such as</w:t>
      </w:r>
      <w:r>
        <w:rPr>
          <w:rFonts w:ascii="Times New Roman" w:hAnsi="Times New Roman"/>
          <w:color w:val="000000"/>
          <w:sz w:val="20"/>
        </w:rPr>
        <w:t xml:space="preserve"> </w:t>
      </w:r>
    </w:p>
    <w:p>
      <w:pPr>
        <w:pStyle w:val="TextBody"/>
        <w:bidi w:val="0"/>
        <w:spacing w:before="120" w:after="283"/>
        <w:jc w:val="center"/>
        <w:rPr>
          <w:rFonts w:ascii="Ashland;sans-serif" w:hAnsi="Ashland;sans-serif"/>
          <w:color w:val="000000"/>
          <w:sz w:val="20"/>
        </w:rPr>
      </w:pPr>
      <w:r>
        <w:rPr>
          <w:rFonts w:ascii="Ashland;sans-serif" w:hAnsi="Ashland;sans-serif"/>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recessionary trends, inflation, interest and monetary exchange rates, government fiscal policies and changes in the prices of certain key raw materials, can have a significant effect on operations and are difficult to predict with certainty.</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These non-GAAP financial measures should be considered supplemental in nature and should not be construed as more significant than comparable measures defined by U.S. GAAP. Limitations associated with the use of these non-GAAP financial measures include that these measures do not present all of the amounts associated with our results as determined in accordance with U.S. GAAP. The non-GAAP financial measures provided are used by Ashland management and may not be determined in a manner consistent with the methodologies used by other companies. EBITDA and Adjusted EBITDA provide a supplemental presentation of Ashland’s operating performance on a consolidated and reportable segment basis. Adjusted EBITDA generally includes adjustments for items that impact comparability between periods. In addition, certain financial covenants related to Ashland’s 2026 Credit Agreement are based on similar non-GAAP financial measures and are defined further in the sections that reference this metric.</w:t>
      </w:r>
    </w:p>
    <w:p>
      <w:pPr>
        <w:pStyle w:val="TextBody"/>
        <w:bidi w:val="0"/>
        <w:spacing w:before="120" w:after="120"/>
        <w:jc w:val="both"/>
        <w:rPr>
          <w:rFonts w:ascii="Ashland;sans-serif" w:hAnsi="Ashland;sans-serif"/>
          <w:i/>
          <w:color w:val="000000"/>
          <w:sz w:val="20"/>
        </w:rPr>
      </w:pPr>
      <w:r>
        <w:rPr>
          <w:rFonts w:ascii="Ashland;sans-serif" w:hAnsi="Ashland;sans-serif"/>
          <w:i/>
          <w:color w:val="000000"/>
          <w:sz w:val="20"/>
        </w:rPr>
        <w:t>EBITDA and Adjusted EBITDA</w:t>
      </w:r>
    </w:p>
    <w:p>
      <w:pPr>
        <w:pStyle w:val="TextBody"/>
        <w:bidi w:val="0"/>
        <w:spacing w:before="0" w:after="120"/>
        <w:jc w:val="both"/>
        <w:rPr>
          <w:rFonts w:ascii="Ashland;sans-serif" w:hAnsi="Ashland;sans-serif"/>
          <w:color w:val="000000"/>
          <w:sz w:val="20"/>
        </w:rPr>
      </w:pPr>
      <w:r>
        <w:rPr>
          <w:rFonts w:ascii="Ashland;sans-serif" w:hAnsi="Ashland;sans-serif"/>
          <w:color w:val="000000"/>
          <w:sz w:val="20"/>
        </w:rPr>
        <w:t>EBITDA totaled $69 million and loss of $683 million for the three months ended June 30, 2026 and 2025, respectively, and income of $193 million and loss of $713 million for the nine months ended June 30, 2026 and 2025, respectively. EBITDA and Adjusted EBITDA results in the table below have been prepared to illustrate the ongoing effects of Ashland’s operations, which exclude certain key items previously described. Management believes the use of such non-GAAP measures on a consolidated and reportable segment basis assists investors in understanding the ongoing operating performance by presenting the financial results between periods on a more comparable basis.</w:t>
      </w:r>
    </w:p>
    <w:p>
      <w:pPr>
        <w:pStyle w:val="TextBody"/>
        <w:bidi w:val="0"/>
        <w:spacing w:before="0" w:after="120"/>
        <w:jc w:val="both"/>
        <w:rPr>
          <w:rFonts w:ascii="Ashland;sans-serif" w:hAnsi="Ashland;sans-serif"/>
          <w:color w:val="000000"/>
          <w:sz w:val="20"/>
        </w:rPr>
      </w:pPr>
      <w:r>
        <w:rPr>
          <w:rFonts w:ascii="Ashland;sans-serif" w:hAnsi="Ashland;sans-serif"/>
          <w:color w:val="000000"/>
          <w:sz w:val="20"/>
        </w:rPr>
        <w:t>These operating key items for the applicable periods are summarized as follows:</w:t>
      </w:r>
    </w:p>
    <w:p>
      <w:pPr>
        <w:pStyle w:val="TextBody"/>
        <w:bidi w:val="0"/>
        <w:spacing w:before="0" w:after="0"/>
        <w:jc w:val="both"/>
        <w:rPr>
          <w:color w:val="000000"/>
        </w:rPr>
      </w:pPr>
      <w:r>
        <w:rPr>
          <w:color w:val="000000"/>
        </w:rPr>
        <w:t>•</w:t>
      </w:r>
    </w:p>
    <w:p>
      <w:pPr>
        <w:pStyle w:val="TextBody"/>
        <w:bidi w:val="0"/>
        <w:spacing w:before="0" w:after="0"/>
        <w:jc w:val="both"/>
        <w:rPr>
          <w:rFonts w:ascii="Ashland;sans-serif" w:hAnsi="Ashland;sans-serif"/>
          <w:color w:val="000000"/>
          <w:sz w:val="20"/>
        </w:rPr>
      </w:pPr>
      <w:r>
        <w:rPr>
          <w:rFonts w:ascii="Ashland;sans-serif" w:hAnsi="Ashland;sans-serif"/>
          <w:color w:val="000000"/>
          <w:sz w:val="20"/>
        </w:rPr>
        <w:t>Environmental reserve adjustments – Ashland is subject to various federal, state and local environmental laws and regulations that require environmental assessment or remediation efforts (collectively environmental remediation) at multiple locations. As a result of these activities, Ashland recorded adjustments during each year to its environmental remediation reserves and receivables primarily related to previously divested businesses or non-operational sites. See Note L of the Notes to Condensed Consolidated Financial Statements for more information;</w:t>
      </w:r>
    </w:p>
    <w:p>
      <w:pPr>
        <w:pStyle w:val="TextBody"/>
        <w:bidi w:val="0"/>
        <w:spacing w:before="120" w:after="120"/>
        <w:jc w:val="both"/>
        <w:rPr>
          <w:color w:val="000000"/>
        </w:rPr>
      </w:pPr>
      <w:r>
        <w:rPr>
          <w:color w:val="000000"/>
        </w:rPr>
        <w:t>•</w:t>
      </w:r>
    </w:p>
    <w:p>
      <w:pPr>
        <w:pStyle w:val="TextBody"/>
        <w:bidi w:val="0"/>
        <w:spacing w:before="120" w:after="120"/>
        <w:jc w:val="both"/>
        <w:rPr>
          <w:rFonts w:ascii="Ashland;sans-serif" w:hAnsi="Ashland;sans-serif"/>
          <w:color w:val="000000"/>
          <w:sz w:val="20"/>
        </w:rPr>
      </w:pPr>
      <w:r>
        <w:rPr>
          <w:rFonts w:ascii="Ashland;sans-serif" w:hAnsi="Ashland;sans-serif"/>
          <w:color w:val="000000"/>
          <w:sz w:val="20"/>
        </w:rPr>
        <w:t>Other plant optimization costs – Ashland incurred inventory adjustments and production costs associated with product line optimization actions;</w:t>
      </w:r>
    </w:p>
    <w:p>
      <w:pPr>
        <w:pStyle w:val="TextBody"/>
        <w:bidi w:val="0"/>
        <w:spacing w:before="0" w:after="120"/>
        <w:jc w:val="both"/>
        <w:rPr>
          <w:color w:val="000000"/>
        </w:rPr>
      </w:pPr>
      <w:r>
        <w:rPr>
          <w:color w:val="000000"/>
        </w:rPr>
        <w:t>•</w:t>
      </w:r>
    </w:p>
    <w:p>
      <w:pPr>
        <w:pStyle w:val="TextBody"/>
        <w:bidi w:val="0"/>
        <w:spacing w:before="0" w:after="120"/>
        <w:jc w:val="both"/>
        <w:rPr>
          <w:rFonts w:ascii="Ashland;sans-serif" w:hAnsi="Ashland;sans-serif"/>
          <w:color w:val="000000"/>
          <w:sz w:val="20"/>
        </w:rPr>
      </w:pPr>
      <w:r>
        <w:rPr>
          <w:rFonts w:ascii="Ashland;sans-serif" w:hAnsi="Ashland;sans-serif"/>
          <w:color w:val="000000"/>
          <w:sz w:val="20"/>
        </w:rPr>
        <w:t>Restructuring, separation and other costs – Ashland periodically implements company-wide and targeted cost reduction programs related to acquisitions, divestitures and other cost reduction programs in order to enhance profitability through streamlined operations and an improved overall cost structure. Ashland often incurs severance, facility and integration costs associated with these programs. See Note D of the Notes to Condensed Consolidated Financial Statements for further information;</w:t>
      </w:r>
    </w:p>
    <w:p>
      <w:pPr>
        <w:pStyle w:val="TextBody"/>
        <w:bidi w:val="0"/>
        <w:spacing w:before="0" w:after="0"/>
        <w:jc w:val="both"/>
        <w:rPr>
          <w:color w:val="000000"/>
        </w:rPr>
      </w:pPr>
      <w:r>
        <w:rPr>
          <w:color w:val="000000"/>
        </w:rPr>
        <w:t>•</w:t>
      </w:r>
    </w:p>
    <w:p>
      <w:pPr>
        <w:pStyle w:val="TextBody"/>
        <w:bidi w:val="0"/>
        <w:spacing w:before="0" w:after="0"/>
        <w:jc w:val="both"/>
        <w:rPr>
          <w:rFonts w:ascii="Ashland;sans-serif" w:hAnsi="Ashland;sans-serif"/>
          <w:color w:val="000000"/>
          <w:sz w:val="20"/>
        </w:rPr>
      </w:pPr>
      <w:r>
        <w:rPr>
          <w:rFonts w:ascii="Ashland;sans-serif" w:hAnsi="Ashland;sans-serif"/>
          <w:color w:val="000000"/>
          <w:sz w:val="20"/>
        </w:rPr>
        <w:t>Accelerated depreciation – As a result of product line optimization activities at manufacturing facilities within the Life Sciences and Specialty Additives reportable segments and unallocated and other, Ashland recorded accelerated depreciation due to changes in the expected useful life of certain property, plant and equipment during the three and nine months ended June 30, 2026 and during the three and nine months ended June 30, 2025. See Note D of the Notes to Condensed Consolidated Financial Statements for more information;</w:t>
      </w:r>
    </w:p>
    <w:p>
      <w:pPr>
        <w:pStyle w:val="TextBody"/>
        <w:bidi w:val="0"/>
        <w:spacing w:before="120" w:after="283"/>
        <w:jc w:val="both"/>
        <w:rPr>
          <w:color w:val="000000"/>
        </w:rPr>
      </w:pPr>
      <w:r>
        <w:rPr>
          <w:color w:val="000000"/>
        </w:rPr>
        <w:t>•</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Goodwill impairment – Ashland recorded a non-cash goodwill impairment charge of $706 million within the goodwill impairment caption of the Statements of Condensed Consolidated Comprehensive Income (Loss) for the three and nine months ended June 30, 2025. See Note G of the Notes to Condensed Consolidated Financial Statements for more information;</w:t>
      </w:r>
    </w:p>
    <w:p>
      <w:pPr>
        <w:pStyle w:val="TextBody"/>
        <w:bidi w:val="0"/>
        <w:spacing w:before="120" w:after="283"/>
        <w:jc w:val="center"/>
        <w:rPr>
          <w:rFonts w:ascii="Ashland;sans-serif" w:hAnsi="Ashland;sans-serif"/>
          <w:color w:val="000000"/>
          <w:sz w:val="20"/>
        </w:rPr>
      </w:pPr>
      <w:r>
        <w:rPr>
          <w:rFonts w:ascii="Ashland;sans-serif" w:hAnsi="Ashland;sans-serif"/>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 xml:space="preserve">Avoca business impairment and sale – During March 2025, Ashland sold substantially all of the net assets of its Avoca business. As a result, Ashland recorded an impairment charge and a gain on sale within the income (loss) on divestitures, net caption of the Statement of Condensed Consolidated Comprehensive Income (Loss) for the nine months ended June 30, 2025. See Note B of the Notes to Condensed Consolidated Financial Statements for more information; </w:t>
      </w:r>
    </w:p>
    <w:p>
      <w:pPr>
        <w:pStyle w:val="TextBody"/>
        <w:bidi w:val="0"/>
        <w:spacing w:before="120" w:after="283"/>
        <w:jc w:val="both"/>
        <w:rPr>
          <w:color w:val="000000"/>
        </w:rPr>
      </w:pPr>
      <w:r>
        <w:rPr>
          <w:color w:val="000000"/>
        </w:rPr>
        <w:t>•</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Held for sale depreciation and amortization – Represents the depreciation and amortization for the Avoca business assets during the nine months ended June 30, 2025. See Note B of the Notes to Condensed Consolidated Financial Statements for more information;</w:t>
      </w:r>
    </w:p>
    <w:p>
      <w:pPr>
        <w:pStyle w:val="TextBody"/>
        <w:bidi w:val="0"/>
        <w:spacing w:before="120" w:after="283"/>
        <w:jc w:val="both"/>
        <w:rPr>
          <w:color w:val="000000"/>
        </w:rPr>
      </w:pPr>
      <w:r>
        <w:rPr>
          <w:color w:val="000000"/>
        </w:rPr>
        <w:t>•</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Income on divestitures, net – During the nine months ended June 30, 2026 and 2025, Ashland recorded income relating to the pre-tax gains in connection with the sale of excess corporate properties. See Note B of the Notes to Condensed Consolidated Financial Statements for more information; and</w:t>
      </w:r>
    </w:p>
    <w:p>
      <w:pPr>
        <w:pStyle w:val="TextBody"/>
        <w:bidi w:val="0"/>
        <w:spacing w:before="120" w:after="283"/>
        <w:jc w:val="both"/>
        <w:rPr>
          <w:color w:val="000000"/>
        </w:rPr>
      </w:pPr>
      <w:r>
        <w:rPr>
          <w:color w:val="000000"/>
        </w:rPr>
        <w:t>•</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Tax credit – During the three and nine months ended June 30, 2026, Ashland recorded a $8 million benefit related to domestic tax credits;</w:t>
      </w:r>
    </w:p>
    <w:p>
      <w:pPr>
        <w:pStyle w:val="TextBody"/>
        <w:bidi w:val="0"/>
        <w:spacing w:before="120" w:after="120"/>
        <w:jc w:val="both"/>
        <w:rPr>
          <w:rFonts w:ascii="Ashland;sans-serif" w:hAnsi="Ashland;sans-serif"/>
          <w:i/>
          <w:color w:val="000000"/>
          <w:sz w:val="20"/>
        </w:rPr>
      </w:pPr>
      <w:r>
        <w:rPr>
          <w:rFonts w:ascii="Ashland;sans-serif" w:hAnsi="Ashland;sans-serif"/>
          <w:i/>
          <w:color w:val="000000"/>
          <w:sz w:val="20"/>
        </w:rPr>
        <w:t>Non-operating key items affecting EBITDA</w:t>
      </w:r>
    </w:p>
    <w:p>
      <w:pPr>
        <w:pStyle w:val="TextBody"/>
        <w:bidi w:val="0"/>
        <w:spacing w:before="0" w:after="120"/>
        <w:jc w:val="both"/>
        <w:rPr>
          <w:rFonts w:ascii="Ashland;sans-serif" w:hAnsi="Ashland;sans-serif"/>
          <w:color w:val="000000"/>
          <w:sz w:val="20"/>
        </w:rPr>
      </w:pPr>
      <w:r>
        <w:rPr>
          <w:rFonts w:ascii="Ashland;sans-serif" w:hAnsi="Ashland;sans-serif"/>
          <w:color w:val="000000"/>
          <w:sz w:val="20"/>
        </w:rPr>
        <w:t>During the current and prior years, there were certain key items that were not included in operating income (loss) but were excluded to arrive at Adjusted EBITDA. These non-operating key items for the applicable periods are summarized as follows:</w:t>
      </w:r>
    </w:p>
    <w:p>
      <w:pPr>
        <w:pStyle w:val="TextBody"/>
        <w:bidi w:val="0"/>
        <w:spacing w:before="0" w:after="120"/>
        <w:jc w:val="both"/>
        <w:rPr>
          <w:color w:val="000000"/>
        </w:rPr>
      </w:pPr>
      <w:r>
        <w:rPr>
          <w:color w:val="000000"/>
        </w:rPr>
        <w:t>•</w:t>
      </w:r>
    </w:p>
    <w:p>
      <w:pPr>
        <w:pStyle w:val="TextBody"/>
        <w:bidi w:val="0"/>
        <w:spacing w:before="0" w:after="120"/>
        <w:jc w:val="both"/>
        <w:rPr>
          <w:rFonts w:ascii="Ashland;sans-serif" w:hAnsi="Ashland;sans-serif"/>
          <w:color w:val="000000"/>
          <w:sz w:val="20"/>
        </w:rPr>
      </w:pPr>
      <w:r>
        <w:rPr>
          <w:rFonts w:ascii="Ashland;sans-serif" w:hAnsi="Ashland;sans-serif"/>
          <w:color w:val="000000"/>
          <w:sz w:val="20"/>
        </w:rPr>
        <w:t>(Gain) loss on pension plan remeasurements – During the three and nine months ended June 30, 2026, Ashland recognized a settlement gain and a gain for pension plan remeasurement from a buy-out transaction affecting certain defined benefit pension plans. During the nine months ended June 30, 2025, Ashland recognized a curtailment loss for pension plan remeasurement for a defined benefit pension plan. See Note K of the Notes to Condensed Consolidated Financial Statements for more information.</w:t>
      </w:r>
    </w:p>
    <w:p>
      <w:pPr>
        <w:pStyle w:val="TextBody"/>
        <w:bidi w:val="0"/>
        <w:spacing w:before="120" w:after="283"/>
        <w:jc w:val="center"/>
        <w:rPr>
          <w:rFonts w:ascii="Ashland;sans-serif" w:hAnsi="Ashland;sans-serif"/>
          <w:color w:val="000000"/>
          <w:sz w:val="20"/>
        </w:rPr>
      </w:pPr>
      <w:r>
        <w:rPr>
          <w:rFonts w:ascii="Ashland;sans-serif" w:hAnsi="Ashland;sans-serif"/>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050"/>
        <w:gridCol w:w="446"/>
        <w:gridCol w:w="249"/>
        <w:gridCol w:w="515"/>
        <w:gridCol w:w="200"/>
        <w:gridCol w:w="161"/>
        <w:gridCol w:w="249"/>
        <w:gridCol w:w="598"/>
        <w:gridCol w:w="181"/>
        <w:gridCol w:w="146"/>
        <w:gridCol w:w="237"/>
        <w:gridCol w:w="490"/>
        <w:gridCol w:w="190"/>
        <w:gridCol w:w="153"/>
        <w:gridCol w:w="237"/>
        <w:gridCol w:w="569"/>
        <w:gridCol w:w="534"/>
      </w:tblGrid>
      <w:tr>
        <w:trPr/>
        <w:tc>
          <w:tcPr>
            <w:tcW w:w="505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505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4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72"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Three months ended</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76"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Nine months ended</w:t>
            </w:r>
          </w:p>
        </w:tc>
        <w:tc>
          <w:tcPr>
            <w:tcW w:w="53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50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w:t>
            </w:r>
          </w:p>
        </w:tc>
        <w:tc>
          <w:tcPr>
            <w:tcW w:w="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2026</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2026</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2025</w:t>
            </w:r>
          </w:p>
        </w:tc>
        <w:tc>
          <w:tcPr>
            <w:tcW w:w="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050"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Net income (loss)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16</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(742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(877</w:t>
            </w:r>
          </w:p>
        </w:tc>
        <w:tc>
          <w:tcPr>
            <w:tcW w:w="5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w:t>
            </w:r>
          </w:p>
        </w:tc>
      </w:tr>
      <w:tr>
        <w:trPr/>
        <w:tc>
          <w:tcPr>
            <w:tcW w:w="50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Income tax expense (benefit)</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15</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18</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(19</w:t>
            </w:r>
          </w:p>
        </w:tc>
        <w:tc>
          <w:tcPr>
            <w:tcW w:w="5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w:t>
            </w:r>
          </w:p>
        </w:tc>
      </w:tr>
      <w:tr>
        <w:trPr/>
        <w:tc>
          <w:tcPr>
            <w:tcW w:w="50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Net interest and other (income) expense</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(8</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19</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34</w:t>
            </w:r>
          </w:p>
        </w:tc>
        <w:tc>
          <w:tcPr>
            <w:tcW w:w="5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Ashland;sans-serif" w:hAnsi="Ashland;sans-serif"/>
                <w:color w:val="000000"/>
                <w:sz w:val="18"/>
              </w:rPr>
              <w:t>Depreciation and amortization</w:t>
            </w:r>
            <w:r>
              <w:rPr>
                <w:rFonts w:ascii="Ashland;sans-serif" w:hAnsi="Ashland;sans-serif"/>
                <w:color w:val="000000"/>
                <w:sz w:val="12"/>
              </w:rPr>
              <w:t>(a)</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46</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136</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149</w:t>
            </w:r>
          </w:p>
        </w:tc>
        <w:tc>
          <w:tcPr>
            <w:tcW w:w="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50"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EBITDA</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69</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(683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193</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(713</w:t>
            </w:r>
          </w:p>
        </w:tc>
        <w:tc>
          <w:tcPr>
            <w:tcW w:w="5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w:t>
            </w:r>
          </w:p>
        </w:tc>
      </w:tr>
      <w:tr>
        <w:trPr/>
        <w:tc>
          <w:tcPr>
            <w:tcW w:w="50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Loss from discontinued operations, net of income taxes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25</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22</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22</w:t>
            </w:r>
          </w:p>
        </w:tc>
        <w:tc>
          <w:tcPr>
            <w:tcW w:w="5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Key items included in EBITDA:</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6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05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shland;sans-serif" w:hAnsi="Ashland;sans-serif"/>
                <w:color w:val="000000"/>
                <w:sz w:val="18"/>
              </w:rPr>
            </w:pPr>
            <w:r>
              <w:rPr>
                <w:rFonts w:ascii="Ashland;sans-serif" w:hAnsi="Ashland;sans-serif"/>
                <w:color w:val="000000"/>
                <w:sz w:val="18"/>
              </w:rPr>
              <w:t>Environmental reserve adjustments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17</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28</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33</w:t>
            </w:r>
          </w:p>
        </w:tc>
        <w:tc>
          <w:tcPr>
            <w:tcW w:w="53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050"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Ashland;sans-serif" w:hAnsi="Ashland;sans-serif"/>
                <w:color w:val="000000"/>
                <w:sz w:val="18"/>
              </w:rPr>
            </w:pPr>
            <w:r>
              <w:rPr>
                <w:rFonts w:ascii="Ashland;sans-serif" w:hAnsi="Ashland;sans-serif"/>
                <w:color w:val="000000"/>
                <w:sz w:val="18"/>
              </w:rPr>
              <w:t>Other plant optimization costs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18</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12</w:t>
            </w:r>
          </w:p>
        </w:tc>
        <w:tc>
          <w:tcPr>
            <w:tcW w:w="53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05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shland;sans-serif" w:hAnsi="Ashland;sans-serif"/>
                <w:color w:val="000000"/>
                <w:sz w:val="18"/>
              </w:rPr>
            </w:pPr>
            <w:r>
              <w:rPr>
                <w:rFonts w:ascii="Ashland;sans-serif" w:hAnsi="Ashland;sans-serif"/>
                <w:color w:val="000000"/>
                <w:sz w:val="18"/>
              </w:rPr>
              <w:t>Restructuring, separation and other costs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14</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18</w:t>
            </w:r>
          </w:p>
        </w:tc>
        <w:tc>
          <w:tcPr>
            <w:tcW w:w="53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050"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Ashland;sans-serif" w:hAnsi="Ashland;sans-serif"/>
                <w:color w:val="000000"/>
                <w:sz w:val="18"/>
              </w:rPr>
            </w:pPr>
            <w:r>
              <w:rPr>
                <w:rFonts w:ascii="Ashland;sans-serif" w:hAnsi="Ashland;sans-serif"/>
                <w:color w:val="000000"/>
                <w:sz w:val="18"/>
              </w:rPr>
              <w:t>Accelerated depreciation</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40</w:t>
            </w:r>
          </w:p>
        </w:tc>
        <w:tc>
          <w:tcPr>
            <w:tcW w:w="53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05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shland;sans-serif" w:hAnsi="Ashland;sans-serif"/>
                <w:color w:val="000000"/>
                <w:sz w:val="18"/>
              </w:rPr>
            </w:pPr>
            <w:r>
              <w:rPr>
                <w:rFonts w:ascii="Ashland;sans-serif" w:hAnsi="Ashland;sans-serif"/>
                <w:color w:val="000000"/>
                <w:sz w:val="18"/>
              </w:rPr>
              <w:t>Goodwill impairment</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706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706</w:t>
            </w:r>
          </w:p>
        </w:tc>
        <w:tc>
          <w:tcPr>
            <w:tcW w:w="53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050"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Ashland;sans-serif" w:hAnsi="Ashland;sans-serif"/>
                <w:color w:val="000000"/>
                <w:sz w:val="18"/>
              </w:rPr>
            </w:pPr>
            <w:r>
              <w:rPr>
                <w:rFonts w:ascii="Ashland;sans-serif" w:hAnsi="Ashland;sans-serif"/>
                <w:color w:val="000000"/>
                <w:sz w:val="18"/>
              </w:rPr>
              <w:t>Avoca business impairment and sale</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175</w:t>
            </w:r>
          </w:p>
        </w:tc>
        <w:tc>
          <w:tcPr>
            <w:tcW w:w="53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05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shland;sans-serif" w:hAnsi="Ashland;sans-serif"/>
                <w:color w:val="000000"/>
                <w:sz w:val="18"/>
              </w:rPr>
            </w:pPr>
            <w:r>
              <w:rPr>
                <w:rFonts w:ascii="Ashland;sans-serif" w:hAnsi="Ashland;sans-serif"/>
                <w:color w:val="000000"/>
                <w:sz w:val="18"/>
              </w:rPr>
              <w:t>Held for sale depreciation and amortization</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53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shland;sans-serif" w:hAnsi="Ashland;sans-serif"/>
                <w:color w:val="000000"/>
                <w:sz w:val="18"/>
              </w:rPr>
            </w:pPr>
            <w:r>
              <w:rPr>
                <w:rFonts w:ascii="Ashland;sans-serif" w:hAnsi="Ashland;sans-serif"/>
                <w:color w:val="000000"/>
                <w:sz w:val="18"/>
              </w:rPr>
              <w:t>)</w:t>
            </w:r>
          </w:p>
        </w:tc>
      </w:tr>
      <w:tr>
        <w:trPr/>
        <w:tc>
          <w:tcPr>
            <w:tcW w:w="5050"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Ashland;sans-serif" w:hAnsi="Ashland;sans-serif"/>
                <w:color w:val="000000"/>
                <w:sz w:val="18"/>
              </w:rPr>
            </w:pPr>
            <w:r>
              <w:rPr>
                <w:rFonts w:ascii="Ashland;sans-serif" w:hAnsi="Ashland;sans-serif"/>
                <w:color w:val="000000"/>
                <w:sz w:val="18"/>
              </w:rPr>
              <w:t>Income on divestitures, net</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(10</w:t>
            </w:r>
          </w:p>
        </w:tc>
        <w:tc>
          <w:tcPr>
            <w:tcW w:w="53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Ashland;sans-serif" w:hAnsi="Ashland;sans-serif"/>
                <w:color w:val="000000"/>
                <w:sz w:val="18"/>
              </w:rPr>
            </w:pPr>
            <w:r>
              <w:rPr>
                <w:rFonts w:ascii="Ashland;sans-serif" w:hAnsi="Ashland;sans-serif"/>
                <w:color w:val="000000"/>
                <w:sz w:val="18"/>
              </w:rPr>
              <w:t>)</w:t>
            </w:r>
          </w:p>
        </w:tc>
      </w:tr>
      <w:tr>
        <w:trPr/>
        <w:tc>
          <w:tcPr>
            <w:tcW w:w="505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shland;sans-serif" w:hAnsi="Ashland;sans-serif"/>
                <w:color w:val="000000"/>
                <w:sz w:val="18"/>
              </w:rPr>
            </w:pPr>
            <w:r>
              <w:rPr>
                <w:rFonts w:ascii="Ashland;sans-serif" w:hAnsi="Ashland;sans-serif"/>
                <w:color w:val="000000"/>
                <w:sz w:val="18"/>
              </w:rPr>
              <w:t>Tax credit</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(8</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(8</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3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050"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Ashland;sans-serif" w:hAnsi="Ashland;sans-serif"/>
                <w:color w:val="000000"/>
                <w:sz w:val="18"/>
              </w:rPr>
            </w:pPr>
            <w:r>
              <w:rPr>
                <w:rFonts w:ascii="Ashland;sans-serif" w:hAnsi="Ashland;sans-serif"/>
                <w:color w:val="000000"/>
                <w:sz w:val="18"/>
              </w:rPr>
              <w:t>(Gain) loss on pension plan remeasurements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53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0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Total key items included in EBITDA</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15</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773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50</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973</w:t>
            </w:r>
          </w:p>
        </w:tc>
        <w:tc>
          <w:tcPr>
            <w:tcW w:w="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50"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Adjusted EBITDA</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109</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113</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265</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282</w:t>
            </w:r>
          </w:p>
        </w:tc>
        <w:tc>
          <w:tcPr>
            <w:tcW w:w="5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0"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Total key items included in EBITDA</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15</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773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50</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973</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0"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Unrealized gains on securities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(18</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w:t>
            </w:r>
          </w:p>
        </w:tc>
        <w:tc>
          <w:tcPr>
            <w:tcW w:w="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5050"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Total key items, before tax</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754</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32</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968</w:t>
            </w:r>
          </w:p>
        </w:tc>
        <w:tc>
          <w:tcPr>
            <w:tcW w:w="5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Ashland;sans-serif" w:hAnsi="Ashland;sans-serif"/>
          <w:color w:val="000000"/>
          <w:sz w:val="14"/>
        </w:rPr>
      </w:pPr>
      <w:r>
        <w:rPr>
          <w:rFonts w:ascii="Ashland;sans-serif" w:hAnsi="Ashland;sans-serif"/>
          <w:color w:val="000000"/>
          <w:sz w:val="14"/>
        </w:rPr>
        <w:t>(a)</w:t>
      </w:r>
    </w:p>
    <w:p>
      <w:pPr>
        <w:pStyle w:val="TextBody"/>
        <w:bidi w:val="0"/>
        <w:spacing w:before="120" w:after="283"/>
        <w:jc w:val="both"/>
        <w:rPr>
          <w:rFonts w:ascii="Ashland;sans-serif" w:hAnsi="Ashland;sans-serif"/>
          <w:color w:val="000000"/>
          <w:sz w:val="14"/>
        </w:rPr>
      </w:pPr>
      <w:r>
        <w:rPr>
          <w:rFonts w:ascii="Ashland;sans-serif" w:hAnsi="Ashland;sans-serif"/>
          <w:color w:val="000000"/>
          <w:sz w:val="14"/>
        </w:rPr>
        <w:t>Depreciation and amortization excludes accelerated depreciation of $1 million for Unallocated and other for both the three months and nine months ended June 30, 2026, respectively, $3 million for Specialty Additives reportable segment for the nine months ended June 30, 2026, $1 million for Personal Care reportable segment for the nine months ended June 30, 2026, $19 million for Specialty Additives for both the three and nine months ended June 30, 2025, and $8 million and $21 million for Life Sciences for the three and nine months ended June 30, 2025, respectively, which are included as a key item within this table as a component of Adjusted EBITDA. Depreciation and amortization includes $2 million for Personal Care associated with the Avoca business for the nine months ended June 30, 2025, which is included as a key item within this table as a component of Adjusted EBITDA.</w:t>
      </w:r>
    </w:p>
    <w:p>
      <w:pPr>
        <w:pStyle w:val="TextBody"/>
        <w:bidi w:val="0"/>
        <w:spacing w:before="120" w:after="283"/>
        <w:jc w:val="both"/>
        <w:rPr>
          <w:rFonts w:ascii="Ashland;sans-serif" w:hAnsi="Ashland;sans-serif"/>
          <w:i/>
          <w:color w:val="000000"/>
          <w:sz w:val="20"/>
        </w:rPr>
      </w:pPr>
      <w:r>
        <w:rPr>
          <w:rFonts w:ascii="Ashland;sans-serif" w:hAnsi="Ashland;sans-serif"/>
          <w:i/>
          <w:color w:val="000000"/>
          <w:sz w:val="20"/>
        </w:rPr>
        <w:t>Diluted EPS and Adjusted Diluted EPS</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The following table reflects the U.S. GAAP calculation for the income (loss) from continuing operations adjusted for the cumulative diluted EPS effect for key items after tax that have been identified in the Adjusted EBITDA table in the previous section. Key items are defined as the financial effects from significant transactions that may have caused short-term fluctuations in net income (loss) and/or operating income (loss) which Ashland believes do not accurately reflect Ashland’s underlying business performance and trends. The Adjusted Diluted EPS for the income (loss) from continuing operations in the following table has been prepared to illustrate the ongoing effects of Ashland’s operations. Management believes investors and analysts use this financial measure in assessing Ashland's business performance and that presenting this non-GAAP financial measure on a consolidated basis assists investors in better understanding Ashland’s ongoing business performance and enhances their ability to compare period-to-period financial results.</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In addition to the operating key items previously described, additional non-operating key items for the applicable periods are summarized as follows:</w:t>
      </w:r>
    </w:p>
    <w:p>
      <w:pPr>
        <w:pStyle w:val="TextBody"/>
        <w:bidi w:val="0"/>
        <w:spacing w:before="100" w:after="283"/>
        <w:jc w:val="both"/>
        <w:rPr>
          <w:color w:val="000000"/>
        </w:rPr>
      </w:pPr>
      <w:r>
        <w:rPr>
          <w:color w:val="000000"/>
        </w:rPr>
        <w:t>•</w:t>
      </w:r>
    </w:p>
    <w:p>
      <w:pPr>
        <w:pStyle w:val="TextBody"/>
        <w:bidi w:val="0"/>
        <w:spacing w:before="100" w:after="283"/>
        <w:jc w:val="both"/>
        <w:rPr>
          <w:rFonts w:ascii="Ashland;sans-serif" w:hAnsi="Ashland;sans-serif"/>
          <w:color w:val="000000"/>
          <w:sz w:val="20"/>
        </w:rPr>
      </w:pPr>
      <w:r>
        <w:rPr>
          <w:rFonts w:ascii="Ashland;sans-serif" w:hAnsi="Ashland;sans-serif"/>
          <w:color w:val="000000"/>
          <w:sz w:val="20"/>
        </w:rPr>
        <w:t xml:space="preserve">Unrealized gains on securities – represents gains recognized on restricted investments related to the Asbestos trust and Environmental trust for each period. See Note E of the Notes to Condensed Consolidated Financial Statements for more information; </w:t>
      </w:r>
    </w:p>
    <w:p>
      <w:pPr>
        <w:pStyle w:val="TextBody"/>
        <w:bidi w:val="0"/>
        <w:spacing w:before="120" w:after="283"/>
        <w:jc w:val="center"/>
        <w:rPr>
          <w:rFonts w:ascii="Ashland;sans-serif" w:hAnsi="Ashland;sans-serif"/>
          <w:color w:val="000000"/>
          <w:sz w:val="20"/>
        </w:rPr>
      </w:pPr>
      <w:r>
        <w:rPr>
          <w:rFonts w:ascii="Ashland;sans-serif" w:hAnsi="Ashland;sans-serif"/>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00" w:after="283"/>
        <w:jc w:val="both"/>
        <w:rPr>
          <w:color w:val="000000"/>
        </w:rPr>
      </w:pPr>
      <w:r>
        <w:rPr>
          <w:color w:val="000000"/>
        </w:rPr>
        <w:t>•</w:t>
      </w:r>
    </w:p>
    <w:p>
      <w:pPr>
        <w:pStyle w:val="TextBody"/>
        <w:bidi w:val="0"/>
        <w:spacing w:before="100" w:after="283"/>
        <w:jc w:val="both"/>
        <w:rPr>
          <w:rFonts w:ascii="Ashland;sans-serif" w:hAnsi="Ashland;sans-serif"/>
          <w:color w:val="000000"/>
          <w:sz w:val="20"/>
        </w:rPr>
      </w:pPr>
      <w:r>
        <w:rPr>
          <w:rFonts w:ascii="Ashland;sans-serif" w:hAnsi="Ashland;sans-serif"/>
          <w:color w:val="000000"/>
          <w:sz w:val="20"/>
        </w:rPr>
        <w:t>Uncertain tax positions – represents the impact from the settlement of uncertain tax positions with various tax authorities for the three and nine months ended June 30, 2025; and</w:t>
      </w:r>
    </w:p>
    <w:p>
      <w:pPr>
        <w:pStyle w:val="TextBody"/>
        <w:bidi w:val="0"/>
        <w:spacing w:before="100" w:after="120"/>
        <w:jc w:val="both"/>
        <w:rPr>
          <w:color w:val="000000"/>
        </w:rPr>
      </w:pPr>
      <w:r>
        <w:rPr>
          <w:color w:val="000000"/>
        </w:rPr>
        <w:t>•</w:t>
      </w:r>
    </w:p>
    <w:p>
      <w:pPr>
        <w:pStyle w:val="TextBody"/>
        <w:bidi w:val="0"/>
        <w:spacing w:before="100" w:after="120"/>
        <w:jc w:val="both"/>
        <w:rPr>
          <w:rFonts w:ascii="Ashland;sans-serif" w:hAnsi="Ashland;sans-serif"/>
          <w:color w:val="000000"/>
          <w:sz w:val="20"/>
        </w:rPr>
      </w:pPr>
      <w:r>
        <w:rPr>
          <w:rFonts w:ascii="Ashland;sans-serif" w:hAnsi="Ashland;sans-serif"/>
          <w:color w:val="000000"/>
          <w:sz w:val="20"/>
        </w:rPr>
        <w:t>Other and tax reform related activity – primarily represents tax specific key items associated with final tax regulations and tax reform related activity for the three and nine months ended June 30, 2025.</w:t>
      </w:r>
    </w:p>
    <w:tbl>
      <w:tblPr>
        <w:tblW w:w="10205" w:type="dxa"/>
        <w:jc w:val="left"/>
        <w:tblInd w:w="0" w:type="dxa"/>
        <w:tblLayout w:type="fixed"/>
        <w:tblCellMar>
          <w:top w:w="28" w:type="dxa"/>
          <w:left w:w="28" w:type="dxa"/>
          <w:bottom w:w="28" w:type="dxa"/>
          <w:right w:w="28" w:type="dxa"/>
        </w:tblCellMar>
      </w:tblPr>
      <w:tblGrid>
        <w:gridCol w:w="5104"/>
        <w:gridCol w:w="146"/>
        <w:gridCol w:w="226"/>
        <w:gridCol w:w="601"/>
        <w:gridCol w:w="181"/>
        <w:gridCol w:w="146"/>
        <w:gridCol w:w="226"/>
        <w:gridCol w:w="721"/>
        <w:gridCol w:w="181"/>
        <w:gridCol w:w="146"/>
        <w:gridCol w:w="226"/>
        <w:gridCol w:w="601"/>
        <w:gridCol w:w="181"/>
        <w:gridCol w:w="146"/>
        <w:gridCol w:w="226"/>
        <w:gridCol w:w="721"/>
        <w:gridCol w:w="426"/>
      </w:tblGrid>
      <w:tr>
        <w:trPr/>
        <w:tc>
          <w:tcPr>
            <w:tcW w:w="51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510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01"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Three months ended</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01"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Nine months ended</w:t>
            </w:r>
          </w:p>
        </w:tc>
        <w:tc>
          <w:tcPr>
            <w:tcW w:w="42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51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2025</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104"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Diluted EPS from continuing operations (as reported)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0.89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(15.70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0.91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(18.39</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5104"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Key items, before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Environmental reserve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0.36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0.65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0.61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0.71</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Other plant optimization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0.07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0.07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0.40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0.26</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Restructuring, separation and other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0.14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0.15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0.30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0.38</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Accelerated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0.02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0.59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0.10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0.85</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Goodwill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15.41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15.19</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Avoca business impairment and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3.73</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Held for sale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(0.04</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w:t>
            </w:r>
          </w:p>
        </w:tc>
      </w:tr>
      <w:tr>
        <w:trPr/>
        <w:tc>
          <w:tcPr>
            <w:tcW w:w="51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Income on divestitures,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(0.04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(0.21</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w:t>
            </w:r>
          </w:p>
        </w:tc>
      </w:tr>
      <w:tr>
        <w:trPr/>
        <w:tc>
          <w:tcPr>
            <w:tcW w:w="51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Tax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(0.17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(0.17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(Gain) loss on pension plan remeasurements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(0.11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(0.11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0.02</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Unrealized gains on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(0.43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(0.41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(0.40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(0.10</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5104"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Key items, before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(0.12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16.46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0.69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20.79</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shland;sans-serif" w:hAnsi="Ashland;sans-serif"/>
                <w:color w:val="000000"/>
                <w:sz w:val="18"/>
              </w:rPr>
              <w:t>Tax effect of key items</w:t>
            </w:r>
            <w:r>
              <w:rPr>
                <w:rFonts w:ascii="Ashland;sans-serif" w:hAnsi="Ashland;sans-serif"/>
                <w:color w:val="000000"/>
                <w:sz w:val="12"/>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(0.02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(0.26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(0.21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(1.36</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5104"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Key items, after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(0.14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16.20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0.48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19.43</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4"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Tax specific key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Uncertain tax positions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0.11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0.03</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Other and tax reform related activity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0.17</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0.40</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shland;sans-serif" w:hAnsi="Ashland;sans-serif"/>
                <w:color w:val="000000"/>
                <w:sz w:val="18"/>
              </w:rPr>
              <w:t>Tax specific key items</w:t>
            </w:r>
            <w:r>
              <w:rPr>
                <w:rFonts w:ascii="Ashland;sans-serif" w:hAnsi="Ashland;sans-serif"/>
                <w:color w:val="000000"/>
                <w:sz w:val="12"/>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0.28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0.43</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04"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Total key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(0.14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16.48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0.48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19.86</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04"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Adjusted Diluted EPS from Continuing Operations (non-GAAP)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0.75</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0.78</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1.39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1.47</w:t>
            </w:r>
          </w:p>
        </w:tc>
        <w:tc>
          <w:tcPr>
            <w:tcW w:w="4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shland;sans-serif" w:hAnsi="Ashland;sans-serif"/>
                <w:color w:val="000000"/>
                <w:sz w:val="18"/>
              </w:rPr>
              <w:t>Amortization expense adjustment (net of tax)</w:t>
            </w:r>
            <w:r>
              <w:rPr>
                <w:rFonts w:ascii="Ashland;sans-serif" w:hAnsi="Ashland;sans-serif"/>
                <w:color w:val="000000"/>
                <w:sz w:val="12"/>
              </w:rPr>
              <w:t>(c)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0.27</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0.26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0.80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0.83</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04"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Adjusted Diluted EPS from Continuing Operations (non-GAAP) Excluding Intangibles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1.02</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1.04</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2.19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2.30</w:t>
            </w:r>
          </w:p>
        </w:tc>
        <w:tc>
          <w:tcPr>
            <w:tcW w:w="4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Ashland;sans-serif" w:hAnsi="Ashland;sans-serif"/>
          <w:color w:val="000000"/>
          <w:sz w:val="14"/>
        </w:rPr>
      </w:pPr>
      <w:r>
        <w:rPr>
          <w:rFonts w:ascii="Ashland;sans-serif" w:hAnsi="Ashland;sans-serif"/>
          <w:color w:val="000000"/>
          <w:sz w:val="14"/>
        </w:rPr>
        <w:t>(a)</w:t>
      </w:r>
    </w:p>
    <w:p>
      <w:pPr>
        <w:pStyle w:val="TextBody"/>
        <w:bidi w:val="0"/>
        <w:spacing w:before="120" w:after="283"/>
        <w:jc w:val="both"/>
        <w:rPr>
          <w:rFonts w:ascii="Ashland;sans-serif" w:hAnsi="Ashland;sans-serif"/>
          <w:color w:val="000000"/>
          <w:sz w:val="14"/>
        </w:rPr>
      </w:pPr>
      <w:r>
        <w:rPr>
          <w:rFonts w:ascii="Ashland;sans-serif" w:hAnsi="Ashland;sans-serif"/>
          <w:color w:val="000000"/>
          <w:sz w:val="14"/>
        </w:rPr>
        <w:t>Represents the diluted EPS impact from the tax effect of the key items that are identified above.</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(b)</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Represents the diluted EPS impact from tax specific financial transactions, tax law changes or other matters that fall within the definition of tax specific key items. For additional explanation of these tax specific key items, see the income tax expense (benefit) discussion within the Statements of Condensed Consolidated Comprehensive Income (Loss) caption review section above.</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(c)</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Amortization expense adjustment (net of tax) tax rates were 20% for both the three and nine months ended June 30, 2026, and 20% and 21% for the three and nine months ended June 30, 2025, respectively.</w:t>
      </w:r>
    </w:p>
    <w:p>
      <w:pPr>
        <w:pStyle w:val="TextBody"/>
        <w:bidi w:val="0"/>
        <w:spacing w:before="120" w:after="283"/>
        <w:jc w:val="center"/>
        <w:rPr>
          <w:rFonts w:ascii="Ashland;sans-serif" w:hAnsi="Ashland;sans-serif"/>
          <w:color w:val="000000"/>
          <w:sz w:val="20"/>
        </w:rPr>
      </w:pPr>
      <w:r>
        <w:rPr>
          <w:rFonts w:ascii="Ashland;sans-serif" w:hAnsi="Ashland;sans-serif"/>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shland;sans-serif" w:hAnsi="Ashland;sans-serif"/>
          <w:b/>
          <w:color w:val="000000"/>
          <w:sz w:val="20"/>
        </w:rPr>
      </w:pPr>
      <w:r>
        <w:rPr>
          <w:rFonts w:ascii="Ashland;sans-serif" w:hAnsi="Ashland;sans-serif"/>
          <w:b/>
          <w:color w:val="000000"/>
          <w:sz w:val="20"/>
        </w:rPr>
        <w:t>RESULTS OF OPERATIONS – REPORTABLE SEGMENT REVIEW</w:t>
      </w:r>
    </w:p>
    <w:p>
      <w:pPr>
        <w:pStyle w:val="TextBody"/>
        <w:bidi w:val="0"/>
        <w:spacing w:before="120" w:after="120"/>
        <w:jc w:val="both"/>
        <w:rPr>
          <w:rFonts w:ascii="Ashland;sans-serif" w:hAnsi="Ashland;sans-serif"/>
          <w:color w:val="000000"/>
          <w:sz w:val="20"/>
        </w:rPr>
      </w:pPr>
      <w:r>
        <w:rPr>
          <w:rFonts w:ascii="Ashland;sans-serif" w:hAnsi="Ashland;sans-serif"/>
          <w:color w:val="000000"/>
          <w:sz w:val="20"/>
        </w:rPr>
        <w:t>Ashland’s reportable segments include Life Sciences, Personal Care, Specialty Additives, and Intermediates. Unallocated and other includes corporate governance activities and certain legacy matters.</w:t>
      </w:r>
    </w:p>
    <w:p>
      <w:pPr>
        <w:pStyle w:val="TextBody"/>
        <w:bidi w:val="0"/>
        <w:spacing w:before="0" w:after="120"/>
        <w:jc w:val="both"/>
        <w:rPr>
          <w:rFonts w:ascii="Ashland;sans-serif" w:hAnsi="Ashland;sans-serif"/>
          <w:color w:val="000000"/>
          <w:sz w:val="20"/>
        </w:rPr>
      </w:pPr>
      <w:r>
        <w:rPr>
          <w:rFonts w:ascii="Ashland;sans-serif" w:hAnsi="Ashland;sans-serif"/>
          <w:color w:val="000000"/>
          <w:sz w:val="20"/>
        </w:rPr>
        <w:t>Results of Ashland’s reportable segments are presented based on its management and internal accounting structure. The structure is specific to Ashland; therefore, the financial results of Ashland’s reportable segments are not necessarily comparable with similar information for other companies. Ashland allocates all significant costs to its reportable segments except for certain significant company-wide restructuring activities, certain corporate governance costs and other costs or activities that relate to former businesses that Ashland no longer operates. The service cost component of pension and other postretirement benefits costs is allocated to each reportable segment on a ratable basis; while the remaining components of pension and other postretirement benefits costs are recorded within the other net periodic benefit (income) loss caption on the Statements of Condensed Consolidated Comprehensive Income (Loss). Ashland refines its expense allocation methodologies to the reportable segments from time to time as internal accounting practices are improved, more refined information becomes available and the industry or market changes. Significant revisions to Ashland’s methodologies are adjusted for all segments on a retrospective basis. There were no material changes in methodology for the three and nine months ended June 30, 2026 or 2025.</w:t>
      </w:r>
    </w:p>
    <w:p>
      <w:pPr>
        <w:pStyle w:val="TextBody"/>
        <w:bidi w:val="0"/>
        <w:spacing w:before="0" w:after="120"/>
        <w:jc w:val="both"/>
        <w:rPr>
          <w:rFonts w:ascii="Ashland;sans-serif" w:hAnsi="Ashland;sans-serif"/>
          <w:color w:val="000000"/>
          <w:sz w:val="20"/>
        </w:rPr>
      </w:pPr>
      <w:r>
        <w:rPr>
          <w:rFonts w:ascii="Ashland;sans-serif" w:hAnsi="Ashland;sans-serif"/>
          <w:color w:val="000000"/>
          <w:sz w:val="20"/>
        </w:rPr>
        <w:t>The following table discloses sales, operating income (loss), depreciation and amortization and EBITDA by reportable segment:</w:t>
      </w:r>
    </w:p>
    <w:p>
      <w:pPr>
        <w:pStyle w:val="TextBody"/>
        <w:bidi w:val="0"/>
        <w:spacing w:before="120" w:after="283"/>
        <w:jc w:val="center"/>
        <w:rPr>
          <w:rFonts w:ascii="Ashland;sans-serif" w:hAnsi="Ashland;sans-serif"/>
          <w:color w:val="000000"/>
          <w:sz w:val="20"/>
        </w:rPr>
      </w:pPr>
      <w:r>
        <w:rPr>
          <w:rFonts w:ascii="Ashland;sans-serif" w:hAnsi="Ashland;sans-serif"/>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03"/>
        <w:gridCol w:w="346"/>
        <w:gridCol w:w="226"/>
        <w:gridCol w:w="466"/>
        <w:gridCol w:w="181"/>
        <w:gridCol w:w="146"/>
        <w:gridCol w:w="226"/>
        <w:gridCol w:w="541"/>
        <w:gridCol w:w="181"/>
        <w:gridCol w:w="146"/>
        <w:gridCol w:w="259"/>
        <w:gridCol w:w="537"/>
        <w:gridCol w:w="381"/>
        <w:gridCol w:w="346"/>
        <w:gridCol w:w="226"/>
        <w:gridCol w:w="646"/>
        <w:gridCol w:w="181"/>
        <w:gridCol w:w="146"/>
        <w:gridCol w:w="226"/>
        <w:gridCol w:w="646"/>
        <w:gridCol w:w="181"/>
        <w:gridCol w:w="146"/>
        <w:gridCol w:w="259"/>
        <w:gridCol w:w="537"/>
        <w:gridCol w:w="426"/>
      </w:tblGrid>
      <w:tr>
        <w:trPr/>
        <w:tc>
          <w:tcPr>
            <w:tcW w:w="260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260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909" w:type="dxa"/>
            <w:gridSpan w:val="10"/>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Three months ended</w:t>
            </w:r>
          </w:p>
        </w:tc>
        <w:tc>
          <w:tcPr>
            <w:tcW w:w="3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194" w:type="dxa"/>
            <w:gridSpan w:val="10"/>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Nine months ended</w:t>
            </w:r>
          </w:p>
        </w:tc>
        <w:tc>
          <w:tcPr>
            <w:tcW w:w="42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6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9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 - unaudited)</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Change</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Change</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03"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SALES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i/>
                <w:color w:val="000000"/>
                <w:sz w:val="18"/>
              </w:rPr>
            </w:pPr>
            <w:r>
              <w:rPr>
                <w:rFonts w:ascii="Ashland;sans-serif" w:hAnsi="Ashland;sans-serif"/>
                <w:i/>
                <w:color w:val="000000"/>
                <w:sz w:val="18"/>
              </w:rPr>
              <w:t>Life Sciences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180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162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18</w:t>
            </w:r>
          </w:p>
        </w:tc>
        <w:tc>
          <w:tcPr>
            <w:tcW w:w="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491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468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23</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i/>
                <w:color w:val="000000"/>
                <w:sz w:val="18"/>
              </w:rPr>
            </w:pPr>
            <w:r>
              <w:rPr>
                <w:rFonts w:ascii="Ashland;sans-serif" w:hAnsi="Ashland;sans-serif"/>
                <w:i/>
                <w:color w:val="000000"/>
                <w:sz w:val="18"/>
              </w:rPr>
              <w:t>Personal Care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155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147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8</w:t>
            </w:r>
          </w:p>
        </w:tc>
        <w:tc>
          <w:tcPr>
            <w:tcW w:w="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428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426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i/>
                <w:color w:val="000000"/>
                <w:sz w:val="18"/>
              </w:rPr>
            </w:pPr>
            <w:r>
              <w:rPr>
                <w:rFonts w:ascii="Ashland;sans-serif" w:hAnsi="Ashland;sans-serif"/>
                <w:i/>
                <w:color w:val="000000"/>
                <w:sz w:val="18"/>
              </w:rPr>
              <w:t>Specialty Additives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136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131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w:t>
            </w:r>
          </w:p>
        </w:tc>
        <w:tc>
          <w:tcPr>
            <w:tcW w:w="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372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380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(8</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w:t>
            </w:r>
          </w:p>
        </w:tc>
      </w:tr>
      <w:tr>
        <w:trPr/>
        <w:tc>
          <w:tcPr>
            <w:tcW w:w="26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i/>
                <w:color w:val="000000"/>
                <w:sz w:val="18"/>
              </w:rPr>
            </w:pPr>
            <w:r>
              <w:rPr>
                <w:rFonts w:ascii="Ashland;sans-serif" w:hAnsi="Ashland;sans-serif"/>
                <w:i/>
                <w:color w:val="000000"/>
                <w:sz w:val="18"/>
              </w:rPr>
              <w:t>Intermediates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w:t>
            </w:r>
          </w:p>
        </w:tc>
        <w:tc>
          <w:tcPr>
            <w:tcW w:w="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103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104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w:t>
            </w:r>
          </w:p>
        </w:tc>
      </w:tr>
      <w:tr>
        <w:trPr/>
        <w:tc>
          <w:tcPr>
            <w:tcW w:w="26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Ashland;sans-serif" w:hAnsi="Ashland;sans-serif"/>
                <w:i/>
                <w:color w:val="000000"/>
                <w:sz w:val="18"/>
              </w:rPr>
              <w:t>Intersegment sales</w:t>
            </w:r>
            <w:r>
              <w:rPr>
                <w:rFonts w:ascii="Ashland;sans-serif" w:hAnsi="Ashland;sans-serif"/>
                <w:color w:val="000000"/>
                <w:sz w:val="12"/>
              </w:rPr>
              <w:t>(a)</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0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497</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463</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34</w:t>
            </w:r>
          </w:p>
        </w:tc>
        <w:tc>
          <w:tcPr>
            <w:tcW w:w="3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1,365</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1,347</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18</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03"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OPERATING INCOME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Ashland;sans-serif" w:hAnsi="Ashland;sans-serif"/>
                <w:i/>
                <w:color w:val="000000"/>
                <w:sz w:val="18"/>
              </w:rPr>
              <w:t>Life Sciences</w:t>
            </w:r>
            <w:r>
              <w:rPr>
                <w:rFonts w:ascii="Ashland;sans-serif" w:hAnsi="Ashland;sans-serif"/>
                <w:i/>
                <w:color w:val="000000"/>
                <w:sz w:val="12"/>
              </w:rPr>
              <w:t>(b)</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(343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388</w:t>
            </w:r>
          </w:p>
        </w:tc>
        <w:tc>
          <w:tcPr>
            <w:tcW w:w="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97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(301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398</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i/>
                <w:color w:val="000000"/>
                <w:sz w:val="18"/>
              </w:rPr>
            </w:pPr>
            <w:r>
              <w:rPr>
                <w:rFonts w:ascii="Ashland;sans-serif" w:hAnsi="Ashland;sans-serif"/>
                <w:i/>
                <w:color w:val="000000"/>
                <w:sz w:val="18"/>
              </w:rPr>
              <w:t>Personal Care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w:t>
            </w:r>
          </w:p>
        </w:tc>
        <w:tc>
          <w:tcPr>
            <w:tcW w:w="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Ashland;sans-serif" w:hAnsi="Ashland;sans-serif"/>
                <w:i/>
                <w:color w:val="000000"/>
                <w:sz w:val="18"/>
              </w:rPr>
              <w:t>Specialty Additives</w:t>
            </w:r>
            <w:r>
              <w:rPr>
                <w:rFonts w:ascii="Ashland;sans-serif" w:hAnsi="Ashland;sans-serif"/>
                <w:i/>
                <w:color w:val="000000"/>
                <w:sz w:val="12"/>
              </w:rPr>
              <w:t>(c)</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(345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348</w:t>
            </w:r>
          </w:p>
        </w:tc>
        <w:tc>
          <w:tcPr>
            <w:tcW w:w="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(343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331</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i/>
                <w:color w:val="000000"/>
                <w:sz w:val="18"/>
              </w:rPr>
            </w:pPr>
            <w:r>
              <w:rPr>
                <w:rFonts w:ascii="Ashland;sans-serif" w:hAnsi="Ashland;sans-serif"/>
                <w:i/>
                <w:color w:val="000000"/>
                <w:sz w:val="18"/>
              </w:rPr>
              <w:t>Intermediates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Ashland;sans-serif" w:hAnsi="Ashland;sans-serif"/>
                <w:i/>
                <w:color w:val="000000"/>
                <w:sz w:val="18"/>
              </w:rPr>
              <w:t>Unallocated and other</w:t>
            </w:r>
            <w:r>
              <w:rPr>
                <w:rFonts w:ascii="Ashland;sans-serif" w:hAnsi="Ashland;sans-serif"/>
                <w:i/>
                <w:color w:val="000000"/>
                <w:sz w:val="12"/>
              </w:rPr>
              <w:t>(d)</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(37</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12</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(82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(262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180</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(708</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751</w:t>
            </w:r>
          </w:p>
        </w:tc>
        <w:tc>
          <w:tcPr>
            <w:tcW w:w="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(836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912</w:t>
            </w:r>
          </w:p>
        </w:tc>
        <w:tc>
          <w:tcPr>
            <w:tcW w:w="4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03"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DEPRECIATION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Ashland;sans-serif" w:hAnsi="Ashland;sans-serif"/>
                <w:i/>
                <w:color w:val="000000"/>
                <w:sz w:val="18"/>
              </w:rPr>
              <w:t>Life Sciences</w:t>
            </w:r>
            <w:r>
              <w:rPr>
                <w:rFonts w:ascii="Ashland;sans-serif" w:hAnsi="Ashland;sans-serif"/>
                <w:i/>
                <w:color w:val="000000"/>
                <w:sz w:val="12"/>
              </w:rPr>
              <w:t>(e)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w:t>
            </w:r>
          </w:p>
        </w:tc>
        <w:tc>
          <w:tcPr>
            <w:tcW w:w="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(19</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w:t>
            </w:r>
          </w:p>
        </w:tc>
      </w:tr>
      <w:tr>
        <w:trPr/>
        <w:tc>
          <w:tcPr>
            <w:tcW w:w="26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Ashland;sans-serif" w:hAnsi="Ashland;sans-serif"/>
                <w:i/>
                <w:color w:val="000000"/>
                <w:sz w:val="18"/>
              </w:rPr>
              <w:t xml:space="preserve">Personal Care </w:t>
            </w:r>
            <w:r>
              <w:rPr>
                <w:rFonts w:ascii="Ashland;sans-serif" w:hAnsi="Ashland;sans-serif"/>
                <w:i/>
                <w:color w:val="000000"/>
                <w:sz w:val="12"/>
              </w:rPr>
              <w:t>(f)</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w:t>
            </w:r>
          </w:p>
        </w:tc>
      </w:tr>
      <w:tr>
        <w:trPr/>
        <w:tc>
          <w:tcPr>
            <w:tcW w:w="26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Ashland;sans-serif" w:hAnsi="Ashland;sans-serif"/>
                <w:i/>
                <w:color w:val="000000"/>
                <w:sz w:val="18"/>
              </w:rPr>
              <w:t>Specialty Additives</w:t>
            </w:r>
            <w:r>
              <w:rPr>
                <w:rFonts w:ascii="Ashland;sans-serif" w:hAnsi="Ashland;sans-serif"/>
                <w:i/>
                <w:color w:val="000000"/>
                <w:sz w:val="12"/>
              </w:rPr>
              <w:t>(f)</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(21</w:t>
            </w:r>
          </w:p>
        </w:tc>
        <w:tc>
          <w:tcPr>
            <w:tcW w:w="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w:t>
            </w:r>
          </w:p>
        </w:tc>
      </w:tr>
      <w:tr>
        <w:trPr/>
        <w:tc>
          <w:tcPr>
            <w:tcW w:w="26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i/>
                <w:color w:val="000000"/>
                <w:sz w:val="18"/>
              </w:rPr>
            </w:pPr>
            <w:r>
              <w:rPr>
                <w:rFonts w:ascii="Ashland;sans-serif" w:hAnsi="Ashland;sans-serif"/>
                <w:i/>
                <w:color w:val="000000"/>
                <w:sz w:val="18"/>
              </w:rPr>
              <w:t>Intermediates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w:t>
            </w:r>
          </w:p>
        </w:tc>
      </w:tr>
      <w:tr>
        <w:trPr/>
        <w:tc>
          <w:tcPr>
            <w:tcW w:w="26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Ashland;sans-serif" w:hAnsi="Ashland;sans-serif"/>
                <w:i/>
                <w:color w:val="000000"/>
                <w:sz w:val="18"/>
              </w:rPr>
              <w:t>Unallocated and other</w:t>
            </w:r>
            <w:r>
              <w:rPr>
                <w:rFonts w:ascii="Ashland;sans-serif" w:hAnsi="Ashland;sans-serif"/>
                <w:i/>
                <w:color w:val="000000"/>
                <w:sz w:val="12"/>
              </w:rPr>
              <w:t>(g)</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32</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61</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(29</w:t>
            </w:r>
          </w:p>
        </w:tc>
        <w:tc>
          <w:tcPr>
            <w:tcW w:w="3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95</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140</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(45</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2603"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AMORTIZATION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i/>
                <w:color w:val="000000"/>
                <w:sz w:val="18"/>
              </w:rPr>
            </w:pPr>
            <w:r>
              <w:rPr>
                <w:rFonts w:ascii="Ashland;sans-serif" w:hAnsi="Ashland;sans-serif"/>
                <w:i/>
                <w:color w:val="000000"/>
                <w:sz w:val="18"/>
              </w:rPr>
              <w:t>Life Sciences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i/>
                <w:color w:val="000000"/>
                <w:sz w:val="18"/>
              </w:rPr>
            </w:pPr>
            <w:r>
              <w:rPr>
                <w:rFonts w:ascii="Ashland;sans-serif" w:hAnsi="Ashland;sans-serif"/>
                <w:i/>
                <w:color w:val="000000"/>
                <w:sz w:val="18"/>
              </w:rPr>
              <w:t>Personal Care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w:t>
            </w:r>
          </w:p>
        </w:tc>
      </w:tr>
      <w:tr>
        <w:trPr/>
        <w:tc>
          <w:tcPr>
            <w:tcW w:w="26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i/>
                <w:color w:val="000000"/>
                <w:sz w:val="18"/>
              </w:rPr>
            </w:pPr>
            <w:r>
              <w:rPr>
                <w:rFonts w:ascii="Ashland;sans-serif" w:hAnsi="Ashland;sans-serif"/>
                <w:i/>
                <w:color w:val="000000"/>
                <w:sz w:val="18"/>
              </w:rPr>
              <w:t>Specialty Additives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i/>
                <w:color w:val="000000"/>
                <w:sz w:val="18"/>
              </w:rPr>
            </w:pPr>
            <w:r>
              <w:rPr>
                <w:rFonts w:ascii="Ashland;sans-serif" w:hAnsi="Ashland;sans-serif"/>
                <w:i/>
                <w:color w:val="000000"/>
                <w:sz w:val="18"/>
              </w:rPr>
              <w:t>Intermediates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26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15</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15</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46</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47</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26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shland;sans-serif" w:hAnsi="Ashland;sans-serif"/>
                <w:b/>
                <w:color w:val="000000"/>
                <w:sz w:val="18"/>
              </w:rPr>
              <w:t>EBITDA</w:t>
            </w:r>
            <w:r>
              <w:rPr>
                <w:rFonts w:ascii="Ashland;sans-serif" w:hAnsi="Ashland;sans-serif"/>
                <w:color w:val="000000"/>
                <w:sz w:val="12"/>
              </w:rPr>
              <w:t>(h)</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i/>
                <w:color w:val="000000"/>
                <w:sz w:val="18"/>
              </w:rPr>
            </w:pPr>
            <w:r>
              <w:rPr>
                <w:rFonts w:ascii="Ashland;sans-serif" w:hAnsi="Ashland;sans-serif"/>
                <w:i/>
                <w:color w:val="000000"/>
                <w:sz w:val="18"/>
              </w:rPr>
              <w:t>Life Sciences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(321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381</w:t>
            </w:r>
          </w:p>
        </w:tc>
        <w:tc>
          <w:tcPr>
            <w:tcW w:w="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140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(240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380</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i/>
                <w:color w:val="000000"/>
                <w:sz w:val="18"/>
              </w:rPr>
            </w:pPr>
            <w:r>
              <w:rPr>
                <w:rFonts w:ascii="Ashland;sans-serif" w:hAnsi="Ashland;sans-serif"/>
                <w:i/>
                <w:color w:val="000000"/>
                <w:sz w:val="18"/>
              </w:rPr>
              <w:t>Personal Care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w:t>
            </w:r>
          </w:p>
        </w:tc>
        <w:tc>
          <w:tcPr>
            <w:tcW w:w="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113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113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i/>
                <w:color w:val="000000"/>
                <w:sz w:val="18"/>
              </w:rPr>
            </w:pPr>
            <w:r>
              <w:rPr>
                <w:rFonts w:ascii="Ashland;sans-serif" w:hAnsi="Ashland;sans-serif"/>
                <w:i/>
                <w:color w:val="000000"/>
                <w:sz w:val="18"/>
              </w:rPr>
              <w:t>Specialty Additives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(309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327</w:t>
            </w:r>
          </w:p>
        </w:tc>
        <w:tc>
          <w:tcPr>
            <w:tcW w:w="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(276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311</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i/>
                <w:color w:val="000000"/>
                <w:sz w:val="18"/>
              </w:rPr>
            </w:pPr>
            <w:r>
              <w:rPr>
                <w:rFonts w:ascii="Ashland;sans-serif" w:hAnsi="Ashland;sans-serif"/>
                <w:i/>
                <w:color w:val="000000"/>
                <w:sz w:val="18"/>
              </w:rPr>
              <w:t>Intermediates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w:t>
            </w:r>
          </w:p>
        </w:tc>
      </w:tr>
      <w:tr>
        <w:trPr/>
        <w:tc>
          <w:tcPr>
            <w:tcW w:w="26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i/>
                <w:color w:val="000000"/>
                <w:sz w:val="18"/>
              </w:rPr>
            </w:pPr>
            <w:r>
              <w:rPr>
                <w:rFonts w:ascii="Ashland;sans-serif" w:hAnsi="Ashland;sans-serif"/>
                <w:i/>
                <w:color w:val="000000"/>
                <w:sz w:val="18"/>
              </w:rPr>
              <w:t>Unallocated and other</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13</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(81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(262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181</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90</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(632</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722</w:t>
            </w:r>
          </w:p>
        </w:tc>
        <w:tc>
          <w:tcPr>
            <w:tcW w:w="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217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(649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866</w:t>
            </w:r>
          </w:p>
        </w:tc>
        <w:tc>
          <w:tcPr>
            <w:tcW w:w="4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60" w:after="283"/>
        <w:jc w:val="both"/>
        <w:rPr>
          <w:rFonts w:ascii="Ashland;sans-serif" w:hAnsi="Ashland;sans-serif"/>
          <w:color w:val="000000"/>
          <w:sz w:val="14"/>
        </w:rPr>
      </w:pPr>
      <w:r>
        <w:rPr>
          <w:rFonts w:ascii="Ashland;sans-serif" w:hAnsi="Ashland;sans-serif"/>
          <w:color w:val="000000"/>
          <w:sz w:val="14"/>
        </w:rPr>
        <w:t>(a)</w:t>
      </w:r>
    </w:p>
    <w:p>
      <w:pPr>
        <w:pStyle w:val="TextBody"/>
        <w:bidi w:val="0"/>
        <w:spacing w:before="60" w:after="283"/>
        <w:jc w:val="both"/>
        <w:rPr>
          <w:rFonts w:ascii="Ashland;sans-serif" w:hAnsi="Ashland;sans-serif"/>
          <w:color w:val="000000"/>
          <w:sz w:val="14"/>
        </w:rPr>
      </w:pPr>
      <w:r>
        <w:rPr>
          <w:rFonts w:ascii="Ashland;sans-serif" w:hAnsi="Ashland;sans-serif"/>
          <w:color w:val="000000"/>
          <w:sz w:val="14"/>
        </w:rPr>
        <w:t>Intersegment sales from Intermediates are accounted for at prices that approximate market value. All other intersegment sales are accounted for at cost.</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(b)</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Includes goodwill impairment of $375 million for Life Sciences for both the three and nine months ended June 30, 2025.</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(c)</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Includes goodwill impairment of $331 million for Specialty Additives for both the three and nine months ended June 30, 2025.</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(d)</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Includes a $2 million gain for post-closing adjustments related to the Avoca business sale, a $2 million gain on sale of excess corporate property for the nine months ended June 30, 2026, a $8 million gain on sale and a $183 million impairment charge related to the Avoca business for the nine months ended June 30, 2025, within the income (loss) on divestitures, net caption of the Statements of Condensed Consolidated Income (Loss).</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(e)</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Depreciation includes accelerated depreciation of $8 million and $21 million for Life Sciences for the three and nine months ended June 30, 2025, respectively.</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(f)</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Depreciation includes accelerated depreciation of $1 million for Personal Care and $3 million for Specialty Additives for the nine months ended June 30, 2026, and $19 million for both the three and nine months ended June 30, 2025.</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(g)</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Depreciation includes accelerated depreciation of $1 million for Unallocated and other for both the three and nine months ended June 30, 2026.</w:t>
      </w:r>
    </w:p>
    <w:p>
      <w:pPr>
        <w:pStyle w:val="TextBody"/>
        <w:bidi w:val="0"/>
        <w:spacing w:before="20" w:after="283"/>
        <w:jc w:val="both"/>
        <w:rPr>
          <w:rFonts w:ascii="Ashland;sans-serif" w:hAnsi="Ashland;sans-serif"/>
          <w:color w:val="000000"/>
          <w:sz w:val="14"/>
        </w:rPr>
      </w:pPr>
      <w:r>
        <w:rPr>
          <w:rFonts w:ascii="Ashland;sans-serif" w:hAnsi="Ashland;sans-serif"/>
          <w:color w:val="000000"/>
          <w:sz w:val="14"/>
        </w:rPr>
        <w:t>(h)</w:t>
      </w:r>
    </w:p>
    <w:p>
      <w:pPr>
        <w:pStyle w:val="TextBody"/>
        <w:bidi w:val="0"/>
        <w:spacing w:before="20" w:after="283"/>
        <w:jc w:val="both"/>
        <w:rPr>
          <w:rFonts w:ascii="Ashland;sans-serif" w:hAnsi="Ashland;sans-serif"/>
          <w:color w:val="000000"/>
          <w:sz w:val="14"/>
        </w:rPr>
      </w:pPr>
      <w:r>
        <w:rPr>
          <w:rFonts w:ascii="Ashland;sans-serif" w:hAnsi="Ashland;sans-serif"/>
          <w:color w:val="000000"/>
          <w:sz w:val="14"/>
        </w:rPr>
        <w:t>Excludes loss from discontinued operations, net of income taxes and other net periodic benefit (income) loss. See the Statements of Condensed Consolidated Comprehensive Income (Loss) for applicable amounts excluded.</w:t>
      </w:r>
    </w:p>
    <w:p>
      <w:pPr>
        <w:pStyle w:val="TextBody"/>
        <w:bidi w:val="0"/>
        <w:spacing w:before="120" w:after="283"/>
        <w:jc w:val="center"/>
        <w:rPr>
          <w:rFonts w:ascii="Ashland;sans-serif" w:hAnsi="Ashland;sans-serif"/>
          <w:color w:val="000000"/>
          <w:sz w:val="20"/>
        </w:rPr>
      </w:pPr>
      <w:r>
        <w:rPr>
          <w:rFonts w:ascii="Ashland;sans-serif" w:hAnsi="Ashland;sans-serif"/>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sz w:val="20"/>
        </w:rPr>
      </w:pPr>
      <w:r>
        <w:rPr>
          <w:rFonts w:ascii="Ashland;sans-serif" w:hAnsi="Ashland;sans-serif"/>
          <w:b/>
          <w:color w:val="000000"/>
          <w:sz w:val="20"/>
        </w:rPr>
        <w:t>Life Sciences</w:t>
      </w:r>
      <w:r>
        <w:rPr>
          <w:rFonts w:ascii="Times New Roman" w:hAnsi="Times New Roman"/>
          <w:color w:val="000000"/>
          <w:sz w:val="20"/>
        </w:rPr>
        <w:t xml:space="preserve"> </w:t>
      </w:r>
    </w:p>
    <w:p>
      <w:pPr>
        <w:pStyle w:val="TextBody"/>
        <w:bidi w:val="0"/>
        <w:spacing w:before="0" w:after="120"/>
        <w:jc w:val="both"/>
        <w:rPr>
          <w:rFonts w:ascii="Ashland;sans-serif" w:hAnsi="Ashland;sans-serif"/>
          <w:color w:val="000000"/>
          <w:sz w:val="20"/>
        </w:rPr>
      </w:pPr>
      <w:r>
        <w:rPr>
          <w:rFonts w:ascii="Ashland;sans-serif" w:hAnsi="Ashland;sans-serif"/>
          <w:color w:val="000000"/>
          <w:sz w:val="20"/>
        </w:rPr>
        <w:t>Life Sciences is comprised of pharmaceuticals, nutrition, agricultural chemicals, diagnostic films (formerly known as advanced materials) and fine chemicals. Pharmaceutical solutions include controlled release polymers, disintegrants, tablet coatings, thickeners, solubilizers and tablet binders. Nutrition solutions include thickeners, stabilizers, emulsifiers and additives for enhancing mouthfeel, controlling moisture migration, reducing oil uptake and binding structured foods. Customers include pharmaceutical, food, beverage, hospitals and radiologists manufacturers.</w:t>
      </w:r>
    </w:p>
    <w:p>
      <w:pPr>
        <w:pStyle w:val="TextBody"/>
        <w:bidi w:val="0"/>
        <w:spacing w:before="0" w:after="120"/>
        <w:jc w:val="both"/>
        <w:rPr>
          <w:rFonts w:ascii="Ashland;sans-serif" w:hAnsi="Ashland;sans-serif"/>
          <w:color w:val="000000"/>
          <w:sz w:val="20"/>
        </w:rPr>
      </w:pPr>
      <w:r>
        <w:rPr>
          <w:rFonts w:ascii="Ashland;sans-serif" w:hAnsi="Ashland;sans-serif"/>
          <w:color w:val="000000"/>
          <w:sz w:val="20"/>
        </w:rPr>
        <w:t>The following table provides a reconciliation of the change in sales for the Life Sciences reportable segment.</w:t>
      </w:r>
    </w:p>
    <w:tbl>
      <w:tblPr>
        <w:tblW w:w="8160" w:type="dxa"/>
        <w:jc w:val="left"/>
        <w:tblInd w:w="0" w:type="dxa"/>
        <w:tblLayout w:type="fixed"/>
        <w:tblCellMar>
          <w:top w:w="28" w:type="dxa"/>
          <w:left w:w="28" w:type="dxa"/>
          <w:bottom w:w="28" w:type="dxa"/>
          <w:right w:w="28" w:type="dxa"/>
        </w:tblCellMar>
      </w:tblPr>
      <w:tblGrid>
        <w:gridCol w:w="2811"/>
        <w:gridCol w:w="346"/>
        <w:gridCol w:w="787"/>
        <w:gridCol w:w="1208"/>
        <w:gridCol w:w="346"/>
        <w:gridCol w:w="346"/>
        <w:gridCol w:w="745"/>
        <w:gridCol w:w="1145"/>
        <w:gridCol w:w="426"/>
      </w:tblGrid>
      <w:tr>
        <w:trPr/>
        <w:tc>
          <w:tcPr>
            <w:tcW w:w="28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28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95"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Three months ended</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90"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Nine months ended</w:t>
            </w:r>
          </w:p>
        </w:tc>
        <w:tc>
          <w:tcPr>
            <w:tcW w:w="42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 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 2026</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1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Sales change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Volume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15</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145"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16</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Price/mix</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w:t>
            </w:r>
          </w:p>
        </w:tc>
      </w:tr>
      <w:tr>
        <w:trPr/>
        <w:tc>
          <w:tcPr>
            <w:tcW w:w="2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Foreign currency exchange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9</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18</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1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23</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Ashland;sans-serif" w:hAnsi="Ashland;sans-serif"/>
          <w:color w:val="000000"/>
          <w:sz w:val="20"/>
        </w:rPr>
      </w:pPr>
      <w:r>
        <w:rPr>
          <w:rFonts w:ascii="Ashland;sans-serif" w:hAnsi="Ashland;sans-serif"/>
          <w:color w:val="000000"/>
          <w:sz w:val="20"/>
        </w:rPr>
        <w:t>The following table provides a reconciliation of the change in operating income for the Life Sciences reportable segment.</w:t>
      </w:r>
    </w:p>
    <w:tbl>
      <w:tblPr>
        <w:tblW w:w="8675" w:type="dxa"/>
        <w:jc w:val="left"/>
        <w:tblInd w:w="0" w:type="dxa"/>
        <w:tblLayout w:type="fixed"/>
        <w:tblCellMar>
          <w:top w:w="28" w:type="dxa"/>
          <w:left w:w="28" w:type="dxa"/>
          <w:bottom w:w="28" w:type="dxa"/>
          <w:right w:w="28" w:type="dxa"/>
        </w:tblCellMar>
      </w:tblPr>
      <w:tblGrid>
        <w:gridCol w:w="3361"/>
        <w:gridCol w:w="346"/>
        <w:gridCol w:w="649"/>
        <w:gridCol w:w="1346"/>
        <w:gridCol w:w="346"/>
        <w:gridCol w:w="346"/>
        <w:gridCol w:w="615"/>
        <w:gridCol w:w="1275"/>
        <w:gridCol w:w="391"/>
      </w:tblGrid>
      <w:tr>
        <w:trPr/>
        <w:tc>
          <w:tcPr>
            <w:tcW w:w="33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6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95"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Three months ended</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90"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Nine months ended</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 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Operating income (loss) change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Goodwill impairment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3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375</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275"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375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Volume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8</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Price/mix</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Cost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Foreign currency exchange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388</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398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Ashland;sans-serif" w:hAnsi="Ashland;sans-serif"/>
          <w:i/>
          <w:color w:val="000000"/>
          <w:sz w:val="20"/>
        </w:rPr>
      </w:pPr>
      <w:r>
        <w:rPr>
          <w:rFonts w:ascii="Ashland;sans-serif" w:hAnsi="Ashland;sans-serif"/>
          <w:i/>
          <w:color w:val="000000"/>
          <w:sz w:val="20"/>
        </w:rPr>
        <w:t>EBITDA and Adjusted EBITDA reconciliation</w:t>
      </w:r>
    </w:p>
    <w:p>
      <w:pPr>
        <w:pStyle w:val="TextBody"/>
        <w:bidi w:val="0"/>
        <w:spacing w:before="0" w:after="120"/>
        <w:jc w:val="both"/>
        <w:rPr>
          <w:rFonts w:ascii="Ashland;sans-serif" w:hAnsi="Ashland;sans-serif"/>
          <w:color w:val="000000"/>
          <w:sz w:val="20"/>
        </w:rPr>
      </w:pPr>
      <w:r>
        <w:rPr>
          <w:rFonts w:ascii="Ashland;sans-serif" w:hAnsi="Ashland;sans-serif"/>
          <w:color w:val="000000"/>
          <w:sz w:val="20"/>
        </w:rPr>
        <w:t>The following EBITDA presentation is provided as a means to enhance the understanding of financial measurements that Ashland has internally determined to be relevant measures of comparison for the results of each reportable segment. Life Sciences, Personal Care and Specialty Additives had key items in the three and nine months ended June 30, 2026 and 2025. These items are listed below and described within the "Use of Non-GAAP Financial Measures" section above.</w:t>
      </w:r>
    </w:p>
    <w:p>
      <w:pPr>
        <w:pStyle w:val="TextBody"/>
        <w:bidi w:val="0"/>
        <w:spacing w:before="120" w:after="283"/>
        <w:jc w:val="center"/>
        <w:rPr>
          <w:rFonts w:ascii="Ashland;sans-serif" w:hAnsi="Ashland;sans-serif"/>
          <w:color w:val="000000"/>
          <w:sz w:val="20"/>
        </w:rPr>
      </w:pPr>
      <w:r>
        <w:rPr>
          <w:rFonts w:ascii="Ashland;sans-serif" w:hAnsi="Ashland;sans-serif"/>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17"/>
        <w:gridCol w:w="146"/>
        <w:gridCol w:w="226"/>
        <w:gridCol w:w="526"/>
        <w:gridCol w:w="271"/>
        <w:gridCol w:w="146"/>
        <w:gridCol w:w="226"/>
        <w:gridCol w:w="706"/>
        <w:gridCol w:w="271"/>
        <w:gridCol w:w="146"/>
        <w:gridCol w:w="363"/>
        <w:gridCol w:w="872"/>
        <w:gridCol w:w="181"/>
        <w:gridCol w:w="146"/>
        <w:gridCol w:w="226"/>
        <w:gridCol w:w="526"/>
        <w:gridCol w:w="271"/>
        <w:gridCol w:w="146"/>
        <w:gridCol w:w="226"/>
        <w:gridCol w:w="586"/>
        <w:gridCol w:w="271"/>
        <w:gridCol w:w="146"/>
        <w:gridCol w:w="363"/>
        <w:gridCol w:w="872"/>
        <w:gridCol w:w="229"/>
      </w:tblGrid>
      <w:tr>
        <w:trPr/>
        <w:tc>
          <w:tcPr>
            <w:tcW w:w="21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11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713" w:type="dxa"/>
            <w:gridSpan w:val="2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Life Sciences</w:t>
            </w:r>
          </w:p>
        </w:tc>
        <w:tc>
          <w:tcPr>
            <w:tcW w:w="22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1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Three months ended 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3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Nine months ended June 30</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Change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Change</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117"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(343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388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97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398</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shland;sans-serif" w:hAnsi="Ashland;sans-serif"/>
                <w:color w:val="000000"/>
                <w:sz w:val="18"/>
              </w:rPr>
              <w:t>Depreciation and amortization</w:t>
            </w:r>
            <w:r>
              <w:rPr>
                <w:rFonts w:ascii="Ashland;sans-serif" w:hAnsi="Ashland;sans-serif"/>
                <w:color w:val="000000"/>
                <w:sz w:val="12"/>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17"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(329</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389</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140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(261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401</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17"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Goodwill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375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(375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375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(375</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2117"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Accelerated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(21</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2117"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Other plant optimization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2117"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54</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141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137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17"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Operating income as a percent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-211.7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Not meaningful</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19.8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-64.3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Not meaningful</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17"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Adjusted EBITDA as a percent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33.3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33.3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 bps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28.7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29.3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-60 bps</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Ashland;sans-serif" w:hAnsi="Ashland;sans-serif"/>
          <w:color w:val="000000"/>
          <w:sz w:val="14"/>
        </w:rPr>
      </w:pPr>
      <w:r>
        <w:rPr>
          <w:rFonts w:ascii="Ashland;sans-serif" w:hAnsi="Ashland;sans-serif"/>
          <w:color w:val="000000"/>
          <w:sz w:val="14"/>
        </w:rPr>
        <w:t>(a)</w:t>
      </w:r>
    </w:p>
    <w:p>
      <w:pPr>
        <w:pStyle w:val="TextBody"/>
        <w:bidi w:val="0"/>
        <w:spacing w:before="120" w:after="283"/>
        <w:jc w:val="both"/>
        <w:rPr>
          <w:rFonts w:ascii="Ashland;sans-serif" w:hAnsi="Ashland;sans-serif"/>
          <w:color w:val="000000"/>
          <w:sz w:val="14"/>
        </w:rPr>
      </w:pPr>
      <w:r>
        <w:rPr>
          <w:rFonts w:ascii="Ashland;sans-serif" w:hAnsi="Ashland;sans-serif"/>
          <w:color w:val="000000"/>
          <w:sz w:val="14"/>
        </w:rPr>
        <w:t>Depreciation and amortization for Life Sciences excludes accelerated depreciation of $8 million and $21 million for the three and nine months ended June 30, 2025, respectively, which is included as a key item within this table as a component of Adjusted EBITDA.</w:t>
      </w:r>
    </w:p>
    <w:p>
      <w:pPr>
        <w:pStyle w:val="TextBody"/>
        <w:bidi w:val="0"/>
        <w:spacing w:before="120" w:after="120"/>
        <w:jc w:val="both"/>
        <w:rPr>
          <w:rFonts w:ascii="Ashland;sans-serif" w:hAnsi="Ashland;sans-serif"/>
          <w:i/>
          <w:color w:val="000000"/>
          <w:sz w:val="20"/>
        </w:rPr>
      </w:pPr>
      <w:r>
        <w:rPr>
          <w:rFonts w:ascii="Ashland;sans-serif" w:hAnsi="Ashland;sans-serif"/>
          <w:i/>
          <w:color w:val="000000"/>
          <w:sz w:val="20"/>
        </w:rPr>
        <w:t>Three months ended June 30, 2026 compared to three months ended June 30, 2025</w:t>
      </w:r>
    </w:p>
    <w:p>
      <w:pPr>
        <w:pStyle w:val="TextBody"/>
        <w:bidi w:val="0"/>
        <w:spacing w:before="0" w:after="120"/>
        <w:jc w:val="both"/>
        <w:rPr>
          <w:rFonts w:ascii="Ashland;sans-serif" w:hAnsi="Ashland;sans-serif"/>
          <w:color w:val="000000"/>
          <w:sz w:val="20"/>
        </w:rPr>
      </w:pPr>
      <w:r>
        <w:rPr>
          <w:rFonts w:ascii="Ashland;sans-serif" w:hAnsi="Ashland;sans-serif"/>
          <w:color w:val="000000"/>
          <w:sz w:val="20"/>
        </w:rPr>
        <w:t>Life Sciences sales for the current quarter increased as a result of higher volume and favorable price/mix. Operating income (loss) and Adjusted EBITDA increased in the current quarter as a result of the prior period goodwill impairment, higher volume and favorable price/mix.</w:t>
      </w:r>
    </w:p>
    <w:p>
      <w:pPr>
        <w:pStyle w:val="TextBody"/>
        <w:bidi w:val="0"/>
        <w:spacing w:before="0" w:after="120"/>
        <w:jc w:val="both"/>
        <w:rPr>
          <w:rFonts w:ascii="Ashland;sans-serif" w:hAnsi="Ashland;sans-serif"/>
          <w:i/>
          <w:color w:val="000000"/>
          <w:sz w:val="20"/>
        </w:rPr>
      </w:pPr>
      <w:r>
        <w:rPr>
          <w:rFonts w:ascii="Ashland;sans-serif" w:hAnsi="Ashland;sans-serif"/>
          <w:i/>
          <w:color w:val="000000"/>
          <w:sz w:val="20"/>
        </w:rPr>
        <w:t>Nine months ended June 30, 2026 compared to nine months ended June 30, 2025</w:t>
      </w:r>
    </w:p>
    <w:p>
      <w:pPr>
        <w:pStyle w:val="TextBody"/>
        <w:bidi w:val="0"/>
        <w:spacing w:before="0" w:after="120"/>
        <w:jc w:val="both"/>
        <w:rPr>
          <w:rFonts w:ascii="Ashland;sans-serif" w:hAnsi="Ashland;sans-serif"/>
          <w:color w:val="000000"/>
          <w:sz w:val="20"/>
        </w:rPr>
      </w:pPr>
      <w:r>
        <w:rPr>
          <w:rFonts w:ascii="Ashland;sans-serif" w:hAnsi="Ashland;sans-serif"/>
          <w:color w:val="000000"/>
          <w:sz w:val="20"/>
        </w:rPr>
        <w:t>Life Sciences' sales increased in the current period due to higher volume and favorable foreign currency exchange, partially offset by unfavorable price/mix. Operating income (loss) and Adjusted EBITDA for the current period increased as a result of the prior period goodwill impairment, higher volume, lower cost, favorable foreign currency exchange and favorable price/mix.</w:t>
      </w:r>
    </w:p>
    <w:p>
      <w:pPr>
        <w:pStyle w:val="TextBody"/>
        <w:bidi w:val="0"/>
        <w:spacing w:before="0" w:after="120"/>
        <w:jc w:val="both"/>
        <w:rPr>
          <w:rFonts w:ascii="Times New Roman" w:hAnsi="Times New Roman"/>
          <w:sz w:val="20"/>
        </w:rPr>
      </w:pPr>
      <w:r>
        <w:rPr>
          <w:rFonts w:ascii="Ashland;sans-serif" w:hAnsi="Ashland;sans-serif"/>
          <w:b/>
          <w:color w:val="000000"/>
          <w:sz w:val="20"/>
        </w:rPr>
        <w:t>Personal Care</w:t>
      </w:r>
      <w:r>
        <w:rPr>
          <w:rFonts w:ascii="Times New Roman" w:hAnsi="Times New Roman"/>
          <w:color w:val="000000"/>
          <w:sz w:val="20"/>
        </w:rPr>
        <w:t xml:space="preserve"> </w:t>
      </w:r>
    </w:p>
    <w:p>
      <w:pPr>
        <w:pStyle w:val="TextBody"/>
        <w:bidi w:val="0"/>
        <w:spacing w:before="0" w:after="120"/>
        <w:jc w:val="both"/>
        <w:rPr>
          <w:rFonts w:ascii="Ashland;sans-serif" w:hAnsi="Ashland;sans-serif"/>
          <w:color w:val="000000"/>
          <w:sz w:val="20"/>
        </w:rPr>
      </w:pPr>
      <w:r>
        <w:rPr>
          <w:rFonts w:ascii="Ashland;sans-serif" w:hAnsi="Ashland;sans-serif"/>
          <w:color w:val="000000"/>
          <w:sz w:val="20"/>
        </w:rPr>
        <w:t>Personal Care is comprised of biofunctionals, microbial protectants (preservatives), skin care, sun care, oral care, hair care and household solutions. These businesses have a broad range of natural, nature-derived, biodegradable, and high-performance ingredients for customer driven solutions to help protect, renew, moisturize and revitalize skin and hair, and provide solutions for toothpastes, mouth washes and rinses, denture cleaning and care for teeth. Personal Care supplies nature-derived rheology ingredients, biodegradable surface wetting agents, performance encapsulates, and specialty polymers for household, industrial and institutional cleaning products. Customers include formulators at large multinational branded consumer products companies and smaller, independent boutique companies. The Avoca business was sold in March 2025.</w:t>
      </w:r>
    </w:p>
    <w:p>
      <w:pPr>
        <w:pStyle w:val="TextBody"/>
        <w:bidi w:val="0"/>
        <w:spacing w:before="0" w:after="120"/>
        <w:jc w:val="both"/>
        <w:rPr>
          <w:rFonts w:ascii="Ashland;sans-serif" w:hAnsi="Ashland;sans-serif"/>
          <w:color w:val="000000"/>
          <w:sz w:val="20"/>
        </w:rPr>
      </w:pPr>
      <w:r>
        <w:rPr>
          <w:rFonts w:ascii="Ashland;sans-serif" w:hAnsi="Ashland;sans-serif"/>
          <w:color w:val="000000"/>
          <w:sz w:val="20"/>
        </w:rPr>
        <w:t>The following table provides a reconciliation of the change in sales for the Personal Care reportable segment.</w:t>
      </w:r>
    </w:p>
    <w:tbl>
      <w:tblPr>
        <w:tblW w:w="8195" w:type="dxa"/>
        <w:jc w:val="left"/>
        <w:tblInd w:w="0" w:type="dxa"/>
        <w:tblLayout w:type="fixed"/>
        <w:tblCellMar>
          <w:top w:w="28" w:type="dxa"/>
          <w:left w:w="28" w:type="dxa"/>
          <w:bottom w:w="28" w:type="dxa"/>
          <w:right w:w="28" w:type="dxa"/>
        </w:tblCellMar>
      </w:tblPr>
      <w:tblGrid>
        <w:gridCol w:w="2811"/>
        <w:gridCol w:w="346"/>
        <w:gridCol w:w="787"/>
        <w:gridCol w:w="1208"/>
        <w:gridCol w:w="381"/>
        <w:gridCol w:w="346"/>
        <w:gridCol w:w="660"/>
        <w:gridCol w:w="1230"/>
        <w:gridCol w:w="426"/>
      </w:tblGrid>
      <w:tr>
        <w:trPr/>
        <w:tc>
          <w:tcPr>
            <w:tcW w:w="28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28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95"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Three months ended</w:t>
            </w:r>
          </w:p>
        </w:tc>
        <w:tc>
          <w:tcPr>
            <w:tcW w:w="3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90"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Nine months ended</w:t>
            </w:r>
          </w:p>
        </w:tc>
        <w:tc>
          <w:tcPr>
            <w:tcW w:w="42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 2026</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 2026</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1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Sales change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Volume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9</w:t>
            </w:r>
          </w:p>
        </w:tc>
        <w:tc>
          <w:tcPr>
            <w:tcW w:w="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11</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Foreign currency exchange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10</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Price/mix</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(8</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w:t>
            </w:r>
          </w:p>
        </w:tc>
      </w:tr>
      <w:tr>
        <w:trPr/>
        <w:tc>
          <w:tcPr>
            <w:tcW w:w="2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Avoca business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6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(11</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2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8</w:t>
            </w:r>
          </w:p>
        </w:tc>
        <w:tc>
          <w:tcPr>
            <w:tcW w:w="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4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Ashland;sans-serif" w:hAnsi="Ashland;sans-serif"/>
          <w:color w:val="000000"/>
          <w:sz w:val="20"/>
        </w:rPr>
      </w:pPr>
      <w:r>
        <w:rPr>
          <w:rFonts w:ascii="Ashland;sans-serif" w:hAnsi="Ashland;sans-serif"/>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Ashland;sans-serif" w:hAnsi="Ashland;sans-serif"/>
          <w:color w:val="000000"/>
          <w:sz w:val="20"/>
        </w:rPr>
      </w:pPr>
      <w:r>
        <w:rPr>
          <w:rFonts w:ascii="Ashland;sans-serif" w:hAnsi="Ashland;sans-serif"/>
          <w:color w:val="000000"/>
          <w:sz w:val="20"/>
        </w:rPr>
        <w:t>The following table provides a reconciliation of the change in operating income for the Personal Care reportable segment.</w:t>
      </w:r>
    </w:p>
    <w:tbl>
      <w:tblPr>
        <w:tblW w:w="8195" w:type="dxa"/>
        <w:jc w:val="left"/>
        <w:tblInd w:w="0" w:type="dxa"/>
        <w:tblLayout w:type="fixed"/>
        <w:tblCellMar>
          <w:top w:w="28" w:type="dxa"/>
          <w:left w:w="28" w:type="dxa"/>
          <w:bottom w:w="28" w:type="dxa"/>
          <w:right w:w="28" w:type="dxa"/>
        </w:tblCellMar>
      </w:tblPr>
      <w:tblGrid>
        <w:gridCol w:w="2811"/>
        <w:gridCol w:w="346"/>
        <w:gridCol w:w="787"/>
        <w:gridCol w:w="1208"/>
        <w:gridCol w:w="381"/>
        <w:gridCol w:w="346"/>
        <w:gridCol w:w="745"/>
        <w:gridCol w:w="1145"/>
        <w:gridCol w:w="426"/>
      </w:tblGrid>
      <w:tr>
        <w:trPr/>
        <w:tc>
          <w:tcPr>
            <w:tcW w:w="28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28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95"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Three months ended</w:t>
            </w:r>
          </w:p>
        </w:tc>
        <w:tc>
          <w:tcPr>
            <w:tcW w:w="3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90"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Nine months ended</w:t>
            </w:r>
          </w:p>
        </w:tc>
        <w:tc>
          <w:tcPr>
            <w:tcW w:w="42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 2026</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 2026</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1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Operating income change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Price/mix</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w:t>
            </w:r>
          </w:p>
        </w:tc>
        <w:tc>
          <w:tcPr>
            <w:tcW w:w="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1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Volume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Cost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(8</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w:t>
            </w:r>
          </w:p>
        </w:tc>
      </w:tr>
      <w:tr>
        <w:trPr/>
        <w:tc>
          <w:tcPr>
            <w:tcW w:w="2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Avoca business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Foreign currency exchange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w:t>
            </w:r>
          </w:p>
        </w:tc>
        <w:tc>
          <w:tcPr>
            <w:tcW w:w="3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1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Ashland;sans-serif" w:hAnsi="Ashland;sans-serif"/>
          <w:i/>
          <w:color w:val="000000"/>
          <w:sz w:val="20"/>
        </w:rPr>
      </w:pPr>
      <w:r>
        <w:rPr>
          <w:rFonts w:ascii="Ashland;sans-serif" w:hAnsi="Ashland;sans-serif"/>
          <w:i/>
          <w:color w:val="000000"/>
          <w:sz w:val="20"/>
        </w:rPr>
        <w:t>EBITDA and Adjusted EBITDA reconciliation</w:t>
      </w:r>
    </w:p>
    <w:p>
      <w:pPr>
        <w:pStyle w:val="TextBody"/>
        <w:bidi w:val="0"/>
        <w:spacing w:before="0" w:after="120"/>
        <w:jc w:val="both"/>
        <w:rPr>
          <w:rFonts w:ascii="Ashland;sans-serif" w:hAnsi="Ashland;sans-serif"/>
          <w:color w:val="000000"/>
          <w:sz w:val="20"/>
        </w:rPr>
      </w:pPr>
      <w:r>
        <w:rPr>
          <w:rFonts w:ascii="Ashland;sans-serif" w:hAnsi="Ashland;sans-serif"/>
          <w:color w:val="000000"/>
          <w:sz w:val="20"/>
        </w:rPr>
        <w:t>The following EBITDA presentation is provided as a means to enhance the understanding of financial measurements that Ashland has internally determined to be relevant measures of comparison for the results of Personal Care. There were key items in the three and nine months ended June 30, 2026 and 2025. These items are listed below and described within the "Use of Non-GAAP Financial Measures" section above.</w:t>
      </w:r>
    </w:p>
    <w:tbl>
      <w:tblPr>
        <w:tblW w:w="10205" w:type="dxa"/>
        <w:jc w:val="left"/>
        <w:tblInd w:w="0" w:type="dxa"/>
        <w:tblLayout w:type="fixed"/>
        <w:tblCellMar>
          <w:top w:w="28" w:type="dxa"/>
          <w:left w:w="28" w:type="dxa"/>
          <w:bottom w:w="28" w:type="dxa"/>
          <w:right w:w="28" w:type="dxa"/>
        </w:tblCellMar>
      </w:tblPr>
      <w:tblGrid>
        <w:gridCol w:w="3232"/>
        <w:gridCol w:w="146"/>
        <w:gridCol w:w="226"/>
        <w:gridCol w:w="526"/>
        <w:gridCol w:w="271"/>
        <w:gridCol w:w="146"/>
        <w:gridCol w:w="226"/>
        <w:gridCol w:w="526"/>
        <w:gridCol w:w="271"/>
        <w:gridCol w:w="146"/>
        <w:gridCol w:w="329"/>
        <w:gridCol w:w="506"/>
        <w:gridCol w:w="146"/>
        <w:gridCol w:w="146"/>
        <w:gridCol w:w="226"/>
        <w:gridCol w:w="526"/>
        <w:gridCol w:w="271"/>
        <w:gridCol w:w="146"/>
        <w:gridCol w:w="226"/>
        <w:gridCol w:w="526"/>
        <w:gridCol w:w="271"/>
        <w:gridCol w:w="146"/>
        <w:gridCol w:w="341"/>
        <w:gridCol w:w="455"/>
        <w:gridCol w:w="228"/>
      </w:tblGrid>
      <w:tr>
        <w:trPr/>
        <w:tc>
          <w:tcPr>
            <w:tcW w:w="32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23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6599" w:type="dxa"/>
            <w:gridSpan w:val="2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Personal Care</w:t>
            </w:r>
          </w:p>
        </w:tc>
        <w:tc>
          <w:tcPr>
            <w:tcW w:w="22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3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Nine months ended June 30</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Change</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32"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shland;sans-serif" w:hAnsi="Ashland;sans-serif"/>
                <w:color w:val="000000"/>
                <w:sz w:val="18"/>
              </w:rPr>
              <w:t>Depreciation and amortization</w:t>
            </w:r>
            <w:r>
              <w:rPr>
                <w:rFonts w:ascii="Ashland;sans-serif" w:hAnsi="Ashland;sans-serif"/>
                <w:color w:val="000000"/>
                <w:sz w:val="12"/>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3232"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44</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112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115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3232"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Held for sale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32"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Other plant optimization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3232"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114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116</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3232"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Operating income as a percent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18.7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17.0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170 bps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15.7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15.0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70 bps</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32"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Adjusted EBITDA as a percent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27.9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110 bps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26.6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27.2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-60 bps</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Ashland;sans-serif" w:hAnsi="Ashland;sans-serif"/>
          <w:color w:val="000000"/>
          <w:sz w:val="14"/>
        </w:rPr>
      </w:pPr>
      <w:r>
        <w:rPr>
          <w:rFonts w:ascii="Ashland;sans-serif" w:hAnsi="Ashland;sans-serif"/>
          <w:color w:val="000000"/>
          <w:sz w:val="14"/>
        </w:rPr>
        <w:t>(a)</w:t>
      </w:r>
    </w:p>
    <w:p>
      <w:pPr>
        <w:pStyle w:val="TextBody"/>
        <w:bidi w:val="0"/>
        <w:spacing w:before="120" w:after="283"/>
        <w:jc w:val="both"/>
        <w:rPr>
          <w:rFonts w:ascii="Ashland;sans-serif" w:hAnsi="Ashland;sans-serif"/>
          <w:color w:val="000000"/>
          <w:sz w:val="14"/>
        </w:rPr>
      </w:pPr>
      <w:r>
        <w:rPr>
          <w:rFonts w:ascii="Ashland;sans-serif" w:hAnsi="Ashland;sans-serif"/>
          <w:color w:val="000000"/>
          <w:sz w:val="14"/>
        </w:rPr>
        <w:t>Depreciation and amortization includes $1 million and $2 million for Personal Care associated with the Avoca business assets for the nine months ended June 30, 2026 and 2025, respectively, which is included as a key item within this table as a component of Adjusted EBITDA.</w:t>
      </w:r>
    </w:p>
    <w:p>
      <w:pPr>
        <w:pStyle w:val="TextBody"/>
        <w:bidi w:val="0"/>
        <w:spacing w:before="120" w:after="283"/>
        <w:jc w:val="both"/>
        <w:rPr>
          <w:rFonts w:ascii="Ashland;sans-serif" w:hAnsi="Ashland;sans-serif"/>
          <w:i/>
          <w:color w:val="000000"/>
          <w:sz w:val="20"/>
        </w:rPr>
      </w:pPr>
      <w:r>
        <w:rPr>
          <w:rFonts w:ascii="Ashland;sans-serif" w:hAnsi="Ashland;sans-serif"/>
          <w:i/>
          <w:color w:val="000000"/>
          <w:sz w:val="20"/>
        </w:rPr>
        <w:t>Three months ended June 30, 2026 compared to three months ended June 30, 2025</w:t>
      </w:r>
    </w:p>
    <w:p>
      <w:pPr>
        <w:pStyle w:val="TextBody"/>
        <w:bidi w:val="0"/>
        <w:spacing w:before="120" w:after="120"/>
        <w:jc w:val="both"/>
        <w:rPr>
          <w:rFonts w:ascii="Ashland;sans-serif" w:hAnsi="Ashland;sans-serif"/>
          <w:color w:val="000000"/>
          <w:sz w:val="20"/>
        </w:rPr>
      </w:pPr>
      <w:r>
        <w:rPr>
          <w:rFonts w:ascii="Ashland;sans-serif" w:hAnsi="Ashland;sans-serif"/>
          <w:color w:val="000000"/>
          <w:sz w:val="20"/>
        </w:rPr>
        <w:t>Personal Care's sales increased as a result of higher volume and favorable foreign currency exchange, partially offset by unfavorable price/mix. Operating income and Adjusted EBITDA for the current quarter increased primarily as a result higher volume, favorable price/mix partially offset by higher costs.</w:t>
      </w:r>
    </w:p>
    <w:p>
      <w:pPr>
        <w:pStyle w:val="TextBody"/>
        <w:bidi w:val="0"/>
        <w:spacing w:before="0" w:after="120"/>
        <w:jc w:val="both"/>
        <w:rPr>
          <w:rFonts w:ascii="Ashland;sans-serif" w:hAnsi="Ashland;sans-serif"/>
          <w:i/>
          <w:color w:val="000000"/>
          <w:sz w:val="20"/>
        </w:rPr>
      </w:pPr>
      <w:r>
        <w:rPr>
          <w:rFonts w:ascii="Ashland;sans-serif" w:hAnsi="Ashland;sans-serif"/>
          <w:i/>
          <w:color w:val="000000"/>
          <w:sz w:val="20"/>
        </w:rPr>
        <w:t>Nine months ended June 30, 2026 compared to nine months ended June 30, 2025</w:t>
      </w:r>
    </w:p>
    <w:p>
      <w:pPr>
        <w:pStyle w:val="TextBody"/>
        <w:bidi w:val="0"/>
        <w:spacing w:before="0" w:after="120"/>
        <w:jc w:val="both"/>
        <w:rPr>
          <w:rFonts w:ascii="Times New Roman" w:hAnsi="Times New Roman"/>
          <w:sz w:val="20"/>
        </w:rPr>
      </w:pPr>
      <w:r>
        <w:rPr>
          <w:rFonts w:ascii="Ashland;sans-serif" w:hAnsi="Ashland;sans-serif"/>
          <w:color w:val="000000"/>
          <w:sz w:val="20"/>
        </w:rPr>
        <w:t>Personal Care's sales increased as a result of higher volume and favorable foreign currency exchange, partially offset by unfavorable price/mix and the impact of the Avoca divestiture. Operating income for the current period increased primarily due to higher volume and favorable foreign currency exchange and the impact of the Avoca divestiture, partially offset by higher costs. Adjusted EBITDA decreased primarily due to higher operating costs, partially offset by higher volume, the positive impact of the Avoca divestiture and favorable foreign exchange currency.</w:t>
      </w:r>
      <w:r>
        <w:rPr>
          <w:rFonts w:ascii="Times New Roman" w:hAnsi="Times New Roman"/>
          <w:color w:val="000000"/>
          <w:sz w:val="20"/>
        </w:rPr>
        <w:t xml:space="preserve"> </w:t>
      </w:r>
    </w:p>
    <w:p>
      <w:pPr>
        <w:pStyle w:val="TextBody"/>
        <w:bidi w:val="0"/>
        <w:spacing w:before="0" w:after="120"/>
        <w:jc w:val="both"/>
        <w:rPr>
          <w:rFonts w:ascii="Ashland;sans-serif" w:hAnsi="Ashland;sans-serif"/>
          <w:b/>
          <w:color w:val="000000"/>
          <w:sz w:val="20"/>
        </w:rPr>
      </w:pPr>
      <w:r>
        <w:rPr>
          <w:rFonts w:ascii="Ashland;sans-serif" w:hAnsi="Ashland;sans-serif"/>
          <w:b/>
          <w:color w:val="000000"/>
          <w:sz w:val="20"/>
        </w:rPr>
        <w:t>Specialty Additives</w:t>
      </w:r>
    </w:p>
    <w:p>
      <w:pPr>
        <w:pStyle w:val="TextBody"/>
        <w:bidi w:val="0"/>
        <w:jc w:val="both"/>
        <w:rPr>
          <w:rFonts w:ascii="Times New Roman" w:hAnsi="Times New Roman"/>
          <w:sz w:val="20"/>
        </w:rPr>
      </w:pPr>
      <w:r>
        <w:rPr>
          <w:rFonts w:ascii="Ashland;sans-serif" w:hAnsi="Ashland;sans-serif"/>
          <w:color w:val="000000"/>
          <w:sz w:val="20"/>
        </w:rPr>
        <w:t>Specialty Additives is comprised of rheology and performance-enhancing additives serving the architectural coatings, construction, energy, automotive and various industrial markets. Solutions include coatings additives</w:t>
      </w:r>
      <w:r>
        <w:rPr>
          <w:rFonts w:ascii="Times New Roman" w:hAnsi="Times New Roman"/>
          <w:color w:val="000000"/>
          <w:sz w:val="20"/>
        </w:rPr>
        <w:t xml:space="preserve"> </w:t>
      </w:r>
    </w:p>
    <w:p>
      <w:pPr>
        <w:pStyle w:val="TextBody"/>
        <w:bidi w:val="0"/>
        <w:spacing w:before="120" w:after="283"/>
        <w:jc w:val="center"/>
        <w:rPr>
          <w:rFonts w:ascii="Ashland;sans-serif" w:hAnsi="Ashland;sans-serif"/>
          <w:color w:val="000000"/>
          <w:sz w:val="20"/>
        </w:rPr>
      </w:pPr>
      <w:r>
        <w:rPr>
          <w:rFonts w:ascii="Ashland;sans-serif" w:hAnsi="Ashland;sans-serif"/>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for architectural paints, finishes and lacquers, cement- and gypsum-based dry mortars, ready-mixed joint compounds, synthetic plasters for commercial and residential construction, and specialty materials for industrial applications. Products include rheology modifiers (cellulosic and associative thickeners), foam control agents, surfactants and wetting agents, pH neutralizers, advanced ceramics used in catalytic converters, and environmental filters, ingredients that aid the manufacturing process of ceramic capacitors, plasma display panels and solar cells, ingredients for textile printing, thermoplastic metals and alloys for welding. Products help improve desired functional outcomes through rheology modification and control, water retention, workability, adhesive strength, binding power, film formation, deposition and suspension and emulsification. Customers include, but are not limited to, global paint manufacturers, electronics and automotive manufacturers, textile mills, the construction industry and welders.</w:t>
      </w:r>
    </w:p>
    <w:p>
      <w:pPr>
        <w:pStyle w:val="TextBody"/>
        <w:bidi w:val="0"/>
        <w:spacing w:before="120" w:after="120"/>
        <w:jc w:val="both"/>
        <w:rPr>
          <w:rFonts w:ascii="Ashland;sans-serif" w:hAnsi="Ashland;sans-serif"/>
          <w:color w:val="000000"/>
          <w:sz w:val="20"/>
        </w:rPr>
      </w:pPr>
      <w:r>
        <w:rPr>
          <w:rFonts w:ascii="Ashland;sans-serif" w:hAnsi="Ashland;sans-serif"/>
          <w:color w:val="000000"/>
          <w:sz w:val="20"/>
        </w:rPr>
        <w:t>The following table provides a reconciliation of the change in sales for the Specialty Additives reportable segment.</w:t>
      </w:r>
    </w:p>
    <w:tbl>
      <w:tblPr>
        <w:tblW w:w="8160" w:type="dxa"/>
        <w:jc w:val="left"/>
        <w:tblInd w:w="0" w:type="dxa"/>
        <w:tblLayout w:type="fixed"/>
        <w:tblCellMar>
          <w:top w:w="28" w:type="dxa"/>
          <w:left w:w="28" w:type="dxa"/>
          <w:bottom w:w="28" w:type="dxa"/>
          <w:right w:w="28" w:type="dxa"/>
        </w:tblCellMar>
      </w:tblPr>
      <w:tblGrid>
        <w:gridCol w:w="2811"/>
        <w:gridCol w:w="346"/>
        <w:gridCol w:w="787"/>
        <w:gridCol w:w="1208"/>
        <w:gridCol w:w="346"/>
        <w:gridCol w:w="346"/>
        <w:gridCol w:w="660"/>
        <w:gridCol w:w="1230"/>
        <w:gridCol w:w="426"/>
      </w:tblGrid>
      <w:tr>
        <w:trPr/>
        <w:tc>
          <w:tcPr>
            <w:tcW w:w="28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28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95"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Three months ended</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90"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Nine months ended</w:t>
            </w:r>
          </w:p>
        </w:tc>
        <w:tc>
          <w:tcPr>
            <w:tcW w:w="42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 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 2026</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1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Sales change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Price/mix</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w:t>
            </w:r>
          </w:p>
        </w:tc>
      </w:tr>
      <w:tr>
        <w:trPr/>
        <w:tc>
          <w:tcPr>
            <w:tcW w:w="2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Volume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(12</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w:t>
            </w:r>
          </w:p>
        </w:tc>
      </w:tr>
      <w:tr>
        <w:trPr/>
        <w:tc>
          <w:tcPr>
            <w:tcW w:w="2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Foreign currency exchange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(8</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2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Ashland;sans-serif" w:hAnsi="Ashland;sans-serif"/>
          <w:color w:val="000000"/>
          <w:sz w:val="20"/>
        </w:rPr>
      </w:pPr>
      <w:r>
        <w:rPr>
          <w:rFonts w:ascii="Ashland;sans-serif" w:hAnsi="Ashland;sans-serif"/>
          <w:color w:val="000000"/>
          <w:sz w:val="20"/>
        </w:rPr>
        <w:t>The following table provides a reconciliation of the change in operating income (loss) for the Specialty Additives reportable segment.</w:t>
      </w:r>
    </w:p>
    <w:tbl>
      <w:tblPr>
        <w:tblW w:w="8675" w:type="dxa"/>
        <w:jc w:val="left"/>
        <w:tblInd w:w="0" w:type="dxa"/>
        <w:tblLayout w:type="fixed"/>
        <w:tblCellMar>
          <w:top w:w="28" w:type="dxa"/>
          <w:left w:w="28" w:type="dxa"/>
          <w:bottom w:w="28" w:type="dxa"/>
          <w:right w:w="28" w:type="dxa"/>
        </w:tblCellMar>
      </w:tblPr>
      <w:tblGrid>
        <w:gridCol w:w="3361"/>
        <w:gridCol w:w="346"/>
        <w:gridCol w:w="649"/>
        <w:gridCol w:w="1346"/>
        <w:gridCol w:w="346"/>
        <w:gridCol w:w="346"/>
        <w:gridCol w:w="615"/>
        <w:gridCol w:w="1275"/>
        <w:gridCol w:w="391"/>
      </w:tblGrid>
      <w:tr>
        <w:trPr/>
        <w:tc>
          <w:tcPr>
            <w:tcW w:w="33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6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95"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Three months ended</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90"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Nine months ended</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 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Operating income (loss) change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Goodwill impairment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3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331</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275"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331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Costs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10</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Price/mix</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Volume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Foreign currency exchange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348</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331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Ashland;sans-serif" w:hAnsi="Ashland;sans-serif"/>
          <w:i/>
          <w:color w:val="000000"/>
          <w:sz w:val="20"/>
        </w:rPr>
      </w:pPr>
      <w:r>
        <w:rPr>
          <w:rFonts w:ascii="Ashland;sans-serif" w:hAnsi="Ashland;sans-serif"/>
          <w:i/>
          <w:color w:val="000000"/>
          <w:sz w:val="20"/>
        </w:rPr>
        <w:t>EBITDA and Adjusted EBITDA reconciliation</w:t>
      </w:r>
    </w:p>
    <w:p>
      <w:pPr>
        <w:pStyle w:val="TextBody"/>
        <w:bidi w:val="0"/>
        <w:spacing w:before="0" w:after="120"/>
        <w:jc w:val="both"/>
        <w:rPr>
          <w:rFonts w:ascii="Ashland;sans-serif" w:hAnsi="Ashland;sans-serif"/>
          <w:color w:val="000000"/>
          <w:sz w:val="20"/>
        </w:rPr>
      </w:pPr>
      <w:r>
        <w:rPr>
          <w:rFonts w:ascii="Ashland;sans-serif" w:hAnsi="Ashland;sans-serif"/>
          <w:color w:val="000000"/>
          <w:sz w:val="20"/>
        </w:rPr>
        <w:t>The following EBITDA presentation is provided as a means to enhance the understanding of financial measurements that Ashland has internally determined to be relevant measures of comparison for the results of Specialty Additives. There were key items in the three and nine months ended June 30, 2026 and 2025. These items are listed below and described within the "Use of Non-GAAP Financial Measures" section above.</w:t>
      </w:r>
    </w:p>
    <w:p>
      <w:pPr>
        <w:pStyle w:val="TextBody"/>
        <w:bidi w:val="0"/>
        <w:spacing w:before="120" w:after="283"/>
        <w:jc w:val="center"/>
        <w:rPr>
          <w:rFonts w:ascii="Ashland;sans-serif" w:hAnsi="Ashland;sans-serif"/>
          <w:color w:val="000000"/>
          <w:sz w:val="20"/>
        </w:rPr>
      </w:pPr>
      <w:r>
        <w:rPr>
          <w:rFonts w:ascii="Ashland;sans-serif" w:hAnsi="Ashland;sans-serif"/>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70"/>
        <w:gridCol w:w="146"/>
        <w:gridCol w:w="226"/>
        <w:gridCol w:w="526"/>
        <w:gridCol w:w="271"/>
        <w:gridCol w:w="146"/>
        <w:gridCol w:w="226"/>
        <w:gridCol w:w="706"/>
        <w:gridCol w:w="271"/>
        <w:gridCol w:w="146"/>
        <w:gridCol w:w="355"/>
        <w:gridCol w:w="854"/>
        <w:gridCol w:w="181"/>
        <w:gridCol w:w="146"/>
        <w:gridCol w:w="226"/>
        <w:gridCol w:w="526"/>
        <w:gridCol w:w="271"/>
        <w:gridCol w:w="146"/>
        <w:gridCol w:w="226"/>
        <w:gridCol w:w="586"/>
        <w:gridCol w:w="271"/>
        <w:gridCol w:w="146"/>
        <w:gridCol w:w="355"/>
        <w:gridCol w:w="854"/>
        <w:gridCol w:w="228"/>
      </w:tblGrid>
      <w:tr>
        <w:trPr/>
        <w:tc>
          <w:tcPr>
            <w:tcW w:w="21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17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661" w:type="dxa"/>
            <w:gridSpan w:val="2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Specialty Additives</w:t>
            </w:r>
          </w:p>
        </w:tc>
        <w:tc>
          <w:tcPr>
            <w:tcW w:w="22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Three months ended 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0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Nine months ended June 30</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Change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Change</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170"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Operating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(345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348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(343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331</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shland;sans-serif" w:hAnsi="Ashland;sans-serif"/>
                <w:color w:val="000000"/>
                <w:sz w:val="18"/>
              </w:rPr>
              <w:t>Depreciation and amortization</w:t>
            </w:r>
            <w:r>
              <w:rPr>
                <w:rFonts w:ascii="Ashland;sans-serif" w:hAnsi="Ashland;sans-serif"/>
                <w:color w:val="000000"/>
                <w:sz w:val="12"/>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2170"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18</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(328</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346</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(295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327</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70"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Goodwill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(331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(331</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2170"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Accelerated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(16</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2170"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Environmental reserve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2170"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Other plant optimization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9</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70"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26</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8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8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(13</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2170"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Operating income (loss) as a percent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-263.4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Not meaningful</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-90.3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Not meaningful</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70"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Adjusted EBITDA as a percent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14.7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19.8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-510 bps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16.8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-310 bps</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spacing w:before="120" w:after="283"/>
        <w:jc w:val="both"/>
        <w:rPr>
          <w:rFonts w:ascii="Ashland;sans-serif" w:hAnsi="Ashland;sans-serif"/>
          <w:color w:val="000000"/>
          <w:sz w:val="14"/>
        </w:rPr>
      </w:pPr>
      <w:r>
        <w:rPr>
          <w:rFonts w:ascii="Ashland;sans-serif" w:hAnsi="Ashland;sans-serif"/>
          <w:color w:val="000000"/>
          <w:sz w:val="14"/>
        </w:rPr>
        <w:t>(a)</w:t>
      </w:r>
    </w:p>
    <w:p>
      <w:pPr>
        <w:pStyle w:val="TextBody"/>
        <w:bidi w:val="0"/>
        <w:spacing w:before="120" w:after="283"/>
        <w:jc w:val="both"/>
        <w:rPr>
          <w:rFonts w:ascii="Ashland;sans-serif" w:hAnsi="Ashland;sans-serif"/>
          <w:color w:val="000000"/>
          <w:sz w:val="14"/>
        </w:rPr>
      </w:pPr>
      <w:r>
        <w:rPr>
          <w:rFonts w:ascii="Ashland;sans-serif" w:hAnsi="Ashland;sans-serif"/>
          <w:color w:val="000000"/>
          <w:sz w:val="14"/>
        </w:rPr>
        <w:t>Depreciation and amortization for Specialty Additives excludes accelerated depreciation of $3 million for the nine months ended June 30, 2026, and $19 million for both the three and nine months ended June 30, 2025 which is included as a key item within this table as a component of Adjusted EBITDA.</w:t>
      </w:r>
    </w:p>
    <w:p>
      <w:pPr>
        <w:pStyle w:val="TextBody"/>
        <w:bidi w:val="0"/>
        <w:spacing w:before="120" w:after="120"/>
        <w:jc w:val="both"/>
        <w:rPr>
          <w:rFonts w:ascii="Ashland;sans-serif" w:hAnsi="Ashland;sans-serif"/>
          <w:i/>
          <w:color w:val="000000"/>
          <w:sz w:val="20"/>
        </w:rPr>
      </w:pPr>
      <w:r>
        <w:rPr>
          <w:rFonts w:ascii="Ashland;sans-serif" w:hAnsi="Ashland;sans-serif"/>
          <w:i/>
          <w:color w:val="000000"/>
          <w:sz w:val="20"/>
        </w:rPr>
        <w:t>Three months ended June 30, 2026 compared to three months ended June 30, 2025</w:t>
      </w:r>
    </w:p>
    <w:p>
      <w:pPr>
        <w:pStyle w:val="TextBody"/>
        <w:bidi w:val="0"/>
        <w:spacing w:before="0" w:after="120"/>
        <w:jc w:val="both"/>
        <w:rPr>
          <w:rFonts w:ascii="Ashland;sans-serif" w:hAnsi="Ashland;sans-serif"/>
          <w:color w:val="000000"/>
          <w:sz w:val="20"/>
        </w:rPr>
      </w:pPr>
      <w:r>
        <w:rPr>
          <w:rFonts w:ascii="Ashland;sans-serif" w:hAnsi="Ashland;sans-serif"/>
          <w:color w:val="000000"/>
          <w:sz w:val="20"/>
        </w:rPr>
        <w:t>Specialty Additives' sales increased as a result of favorable price/mix and higher volume. Operating income (loss) increased in the current quarter due to the prior period goodwill impairment, lower costs, including accelerated depreciation and other plant optimization costs, favorable price/mix and higher volume. Adjusted EBITDA decreased as a result of higher costs, excluding accelerated depreciation and other plant optimization costs, partially offset by higher volume and favorable price/mix.</w:t>
      </w:r>
    </w:p>
    <w:p>
      <w:pPr>
        <w:pStyle w:val="TextBody"/>
        <w:bidi w:val="0"/>
        <w:spacing w:before="0" w:after="120"/>
        <w:jc w:val="both"/>
        <w:rPr>
          <w:rFonts w:ascii="Ashland;sans-serif" w:hAnsi="Ashland;sans-serif"/>
          <w:i/>
          <w:color w:val="000000"/>
          <w:sz w:val="20"/>
        </w:rPr>
      </w:pPr>
      <w:r>
        <w:rPr>
          <w:rFonts w:ascii="Ashland;sans-serif" w:hAnsi="Ashland;sans-serif"/>
          <w:i/>
          <w:color w:val="000000"/>
          <w:sz w:val="20"/>
        </w:rPr>
        <w:t>Nine months ended June 30, 2026 compared to nine months ended June 30, 2025</w:t>
      </w:r>
    </w:p>
    <w:p>
      <w:pPr>
        <w:pStyle w:val="TextBody"/>
        <w:bidi w:val="0"/>
        <w:spacing w:before="0" w:after="120"/>
        <w:jc w:val="both"/>
        <w:rPr>
          <w:rFonts w:ascii="Times New Roman" w:hAnsi="Times New Roman"/>
          <w:sz w:val="20"/>
        </w:rPr>
      </w:pPr>
      <w:r>
        <w:rPr>
          <w:rFonts w:ascii="Ashland;sans-serif" w:hAnsi="Ashland;sans-serif"/>
          <w:color w:val="000000"/>
          <w:sz w:val="20"/>
        </w:rPr>
        <w:t>Specialty Additives sales decreased as a result of lower volume, unfavorable price/mix, partially offset by favorable foreign currency exchange. Operating income (loss) remained constant excluding the impact of the prior period goodwill impairment charge. Adjusted EBITDA decreased in the current period primarily due to higher costs, lower volume and unfavorable price mix, partially offset by favorable foreign currency exchange.</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Ashland;sans-serif" w:hAnsi="Ashland;sans-serif"/>
          <w:b/>
          <w:color w:val="000000"/>
          <w:sz w:val="20"/>
        </w:rPr>
        <w:t>Intermediates</w:t>
      </w:r>
      <w:r>
        <w:rPr>
          <w:rFonts w:ascii="Times New Roman" w:hAnsi="Times New Roman"/>
          <w:color w:val="000000"/>
          <w:sz w:val="20"/>
        </w:rPr>
        <w:t xml:space="preserve"> </w:t>
      </w:r>
    </w:p>
    <w:p>
      <w:pPr>
        <w:pStyle w:val="TextBody"/>
        <w:bidi w:val="0"/>
        <w:spacing w:before="0" w:after="120"/>
        <w:jc w:val="both"/>
        <w:rPr>
          <w:rFonts w:ascii="Ashland;sans-serif" w:hAnsi="Ashland;sans-serif"/>
          <w:color w:val="000000"/>
          <w:sz w:val="20"/>
        </w:rPr>
      </w:pPr>
      <w:r>
        <w:rPr>
          <w:rFonts w:ascii="Ashland;sans-serif" w:hAnsi="Ashland;sans-serif"/>
          <w:color w:val="000000"/>
          <w:sz w:val="20"/>
        </w:rPr>
        <w:t>Intermediates is comprised of the production of 1,4 butanediol (BDO) and related derivatives, including nmethylpyrrolidone. These products are used as chemical intermediates in the production of engineering polymers and polyurethanes, and as specialty process solvents in a wide array of applications including electronics, pharmaceuticals, water filtration membranes and more. BDO is also supplied to Life Sciences, Personal Care, and Specialty Additives for use as a raw material.</w:t>
      </w:r>
    </w:p>
    <w:p>
      <w:pPr>
        <w:pStyle w:val="TextBody"/>
        <w:bidi w:val="0"/>
        <w:spacing w:before="0" w:after="120"/>
        <w:jc w:val="both"/>
        <w:rPr>
          <w:rFonts w:ascii="Ashland;sans-serif" w:hAnsi="Ashland;sans-serif"/>
          <w:color w:val="000000"/>
          <w:sz w:val="20"/>
        </w:rPr>
      </w:pPr>
      <w:r>
        <w:rPr>
          <w:rFonts w:ascii="Ashland;sans-serif" w:hAnsi="Ashland;sans-serif"/>
          <w:color w:val="000000"/>
          <w:sz w:val="20"/>
        </w:rPr>
        <w:t>The following table provides a reconciliation of the change in sales for the Intermediates reportable segment.</w:t>
      </w:r>
    </w:p>
    <w:tbl>
      <w:tblPr>
        <w:tblW w:w="8160" w:type="dxa"/>
        <w:jc w:val="left"/>
        <w:tblInd w:w="0" w:type="dxa"/>
        <w:tblLayout w:type="fixed"/>
        <w:tblCellMar>
          <w:top w:w="28" w:type="dxa"/>
          <w:left w:w="28" w:type="dxa"/>
          <w:bottom w:w="28" w:type="dxa"/>
          <w:right w:w="28" w:type="dxa"/>
        </w:tblCellMar>
      </w:tblPr>
      <w:tblGrid>
        <w:gridCol w:w="2811"/>
        <w:gridCol w:w="346"/>
        <w:gridCol w:w="787"/>
        <w:gridCol w:w="1208"/>
        <w:gridCol w:w="346"/>
        <w:gridCol w:w="346"/>
        <w:gridCol w:w="810"/>
        <w:gridCol w:w="1080"/>
        <w:gridCol w:w="426"/>
      </w:tblGrid>
      <w:tr>
        <w:trPr/>
        <w:tc>
          <w:tcPr>
            <w:tcW w:w="28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28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95"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Three months ended</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90"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Nine months ended</w:t>
            </w:r>
          </w:p>
        </w:tc>
        <w:tc>
          <w:tcPr>
            <w:tcW w:w="42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 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 2026</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1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Sales change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Volume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w:t>
            </w:r>
          </w:p>
        </w:tc>
      </w:tr>
      <w:tr>
        <w:trPr/>
        <w:tc>
          <w:tcPr>
            <w:tcW w:w="2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Foreign currency exchange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Price/mix</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w:t>
            </w:r>
          </w:p>
        </w:tc>
      </w:tr>
      <w:tr>
        <w:trPr/>
        <w:tc>
          <w:tcPr>
            <w:tcW w:w="2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8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0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2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Ashland;sans-serif" w:hAnsi="Ashland;sans-serif"/>
          <w:color w:val="000000"/>
          <w:sz w:val="20"/>
        </w:rPr>
      </w:pPr>
      <w:r>
        <w:rPr>
          <w:rFonts w:ascii="Ashland;sans-serif" w:hAnsi="Ashland;sans-serif"/>
          <w:color w:val="000000"/>
          <w:sz w:val="20"/>
        </w:rPr>
        <w:t>The following table provides a reconciliation of the change in operating income for the Intermediates reportable segment.</w:t>
      </w:r>
    </w:p>
    <w:p>
      <w:pPr>
        <w:pStyle w:val="TextBody"/>
        <w:bidi w:val="0"/>
        <w:spacing w:before="120" w:after="283"/>
        <w:jc w:val="center"/>
        <w:rPr>
          <w:rFonts w:ascii="Ashland;sans-serif" w:hAnsi="Ashland;sans-serif"/>
          <w:color w:val="000000"/>
          <w:sz w:val="20"/>
        </w:rPr>
      </w:pPr>
      <w:r>
        <w:rPr>
          <w:rFonts w:ascii="Ashland;sans-serif" w:hAnsi="Ashland;sans-serif"/>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745" w:type="dxa"/>
        <w:jc w:val="left"/>
        <w:tblInd w:w="0" w:type="dxa"/>
        <w:tblLayout w:type="fixed"/>
        <w:tblCellMar>
          <w:top w:w="28" w:type="dxa"/>
          <w:left w:w="28" w:type="dxa"/>
          <w:bottom w:w="28" w:type="dxa"/>
          <w:right w:w="28" w:type="dxa"/>
        </w:tblCellMar>
      </w:tblPr>
      <w:tblGrid>
        <w:gridCol w:w="3361"/>
        <w:gridCol w:w="346"/>
        <w:gridCol w:w="787"/>
        <w:gridCol w:w="1208"/>
        <w:gridCol w:w="381"/>
        <w:gridCol w:w="346"/>
        <w:gridCol w:w="745"/>
        <w:gridCol w:w="1145"/>
        <w:gridCol w:w="426"/>
      </w:tblGrid>
      <w:tr>
        <w:trPr/>
        <w:tc>
          <w:tcPr>
            <w:tcW w:w="33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336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95"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Three months ended</w:t>
            </w:r>
          </w:p>
        </w:tc>
        <w:tc>
          <w:tcPr>
            <w:tcW w:w="3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90"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Nine months ended</w:t>
            </w:r>
          </w:p>
        </w:tc>
        <w:tc>
          <w:tcPr>
            <w:tcW w:w="42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 2026</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 2026</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Operating income (loss) change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Volume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145"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Costs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Price/mix</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Foreign currency exchange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1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Ashland;sans-serif" w:hAnsi="Ashland;sans-serif"/>
          <w:i/>
          <w:color w:val="000000"/>
          <w:sz w:val="20"/>
        </w:rPr>
      </w:pPr>
      <w:r>
        <w:rPr>
          <w:rFonts w:ascii="Ashland;sans-serif" w:hAnsi="Ashland;sans-serif"/>
          <w:i/>
          <w:color w:val="000000"/>
          <w:sz w:val="20"/>
        </w:rPr>
        <w:t>EBITDA and Adjusted EBITDA reconciliation</w:t>
      </w:r>
    </w:p>
    <w:p>
      <w:pPr>
        <w:pStyle w:val="TextBody"/>
        <w:bidi w:val="0"/>
        <w:spacing w:before="0" w:after="120"/>
        <w:jc w:val="both"/>
        <w:rPr>
          <w:rFonts w:ascii="Ashland;sans-serif" w:hAnsi="Ashland;sans-serif"/>
          <w:color w:val="000000"/>
          <w:sz w:val="20"/>
        </w:rPr>
      </w:pPr>
      <w:r>
        <w:rPr>
          <w:rFonts w:ascii="Ashland;sans-serif" w:hAnsi="Ashland;sans-serif"/>
          <w:color w:val="000000"/>
          <w:sz w:val="20"/>
        </w:rPr>
        <w:t>The following EBITDA presentation is provided as a means to enhance the understanding of financial measurements that Ashland has internally determined to be relevant measures of comparison for the results of Intermediates. Intermediates had no key items for the three and nine months ended June 30, 2026 or 2025.</w:t>
      </w:r>
    </w:p>
    <w:tbl>
      <w:tblPr>
        <w:tblW w:w="10205" w:type="dxa"/>
        <w:jc w:val="left"/>
        <w:tblInd w:w="0" w:type="dxa"/>
        <w:tblLayout w:type="fixed"/>
        <w:tblCellMar>
          <w:top w:w="28" w:type="dxa"/>
          <w:left w:w="28" w:type="dxa"/>
          <w:bottom w:w="28" w:type="dxa"/>
          <w:right w:w="28" w:type="dxa"/>
        </w:tblCellMar>
      </w:tblPr>
      <w:tblGrid>
        <w:gridCol w:w="3122"/>
        <w:gridCol w:w="146"/>
        <w:gridCol w:w="226"/>
        <w:gridCol w:w="526"/>
        <w:gridCol w:w="271"/>
        <w:gridCol w:w="146"/>
        <w:gridCol w:w="226"/>
        <w:gridCol w:w="526"/>
        <w:gridCol w:w="271"/>
        <w:gridCol w:w="146"/>
        <w:gridCol w:w="407"/>
        <w:gridCol w:w="544"/>
        <w:gridCol w:w="181"/>
        <w:gridCol w:w="146"/>
        <w:gridCol w:w="226"/>
        <w:gridCol w:w="406"/>
        <w:gridCol w:w="271"/>
        <w:gridCol w:w="146"/>
        <w:gridCol w:w="226"/>
        <w:gridCol w:w="526"/>
        <w:gridCol w:w="271"/>
        <w:gridCol w:w="146"/>
        <w:gridCol w:w="344"/>
        <w:gridCol w:w="529"/>
        <w:gridCol w:w="230"/>
      </w:tblGrid>
      <w:tr>
        <w:trPr/>
        <w:tc>
          <w:tcPr>
            <w:tcW w:w="31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312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6707" w:type="dxa"/>
            <w:gridSpan w:val="2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Intermediates</w:t>
            </w:r>
          </w:p>
        </w:tc>
        <w:tc>
          <w:tcPr>
            <w:tcW w:w="23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1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Three months ended 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9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Nine months ended June 30</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Change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Change</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122"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2"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3122"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16</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3122"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Operating income as a percent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8.1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12.1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-400 bps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0 bps</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22"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EBITDA as a percent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10.8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-1040 bps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9.7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15.4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-570 bps</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Ashland;sans-serif" w:hAnsi="Ashland;sans-serif"/>
          <w:i/>
          <w:color w:val="000000"/>
          <w:sz w:val="20"/>
        </w:rPr>
      </w:pPr>
      <w:r>
        <w:rPr>
          <w:rFonts w:ascii="Ashland;sans-serif" w:hAnsi="Ashland;sans-serif"/>
          <w:i/>
          <w:color w:val="000000"/>
          <w:sz w:val="20"/>
        </w:rPr>
        <w:t>Three months ended June 30, 2026 compared to three months ended June 30, 2025</w:t>
      </w:r>
    </w:p>
    <w:p>
      <w:pPr>
        <w:pStyle w:val="TextBody"/>
        <w:bidi w:val="0"/>
        <w:spacing w:before="0" w:after="120"/>
        <w:jc w:val="both"/>
        <w:rPr>
          <w:rFonts w:ascii="Ashland;sans-serif" w:hAnsi="Ashland;sans-serif"/>
          <w:color w:val="000000"/>
          <w:sz w:val="20"/>
        </w:rPr>
      </w:pPr>
      <w:r>
        <w:rPr>
          <w:rFonts w:ascii="Ashland;sans-serif" w:hAnsi="Ashland;sans-serif"/>
          <w:color w:val="000000"/>
          <w:sz w:val="20"/>
        </w:rPr>
        <w:t>Intermediates' sales increased in the current quarter primarily due to higher volume while operating income and EBITDA decreased primarily due to higher costs.</w:t>
      </w:r>
    </w:p>
    <w:p>
      <w:pPr>
        <w:pStyle w:val="TextBody"/>
        <w:bidi w:val="0"/>
        <w:spacing w:before="0" w:after="120"/>
        <w:jc w:val="both"/>
        <w:rPr>
          <w:rFonts w:ascii="Ashland;sans-serif" w:hAnsi="Ashland;sans-serif"/>
          <w:i/>
          <w:color w:val="000000"/>
          <w:sz w:val="20"/>
        </w:rPr>
      </w:pPr>
      <w:r>
        <w:rPr>
          <w:rFonts w:ascii="Ashland;sans-serif" w:hAnsi="Ashland;sans-serif"/>
          <w:i/>
          <w:color w:val="000000"/>
          <w:sz w:val="20"/>
        </w:rPr>
        <w:t>Nine months ended June 30, 2026 compared to nine months ended June 30, 2025</w:t>
      </w:r>
    </w:p>
    <w:p>
      <w:pPr>
        <w:pStyle w:val="TextBody"/>
        <w:bidi w:val="0"/>
        <w:spacing w:before="0" w:after="120"/>
        <w:jc w:val="both"/>
        <w:rPr>
          <w:rFonts w:ascii="Ashland;sans-serif" w:hAnsi="Ashland;sans-serif"/>
          <w:color w:val="000000"/>
          <w:sz w:val="20"/>
        </w:rPr>
      </w:pPr>
      <w:r>
        <w:rPr>
          <w:rFonts w:ascii="Ashland;sans-serif" w:hAnsi="Ashland;sans-serif"/>
          <w:color w:val="000000"/>
          <w:sz w:val="20"/>
        </w:rPr>
        <w:t>Intermediates' sales decreased due to lower volume and unfavorable price/mix partially offset by favorable foreign currency exchange. Operating income remained consistent while EBITDA decreased in the current period primarily due to lower volume and higher costs partially offset by favorable foreign currency exchange.</w:t>
      </w:r>
    </w:p>
    <w:p>
      <w:pPr>
        <w:pStyle w:val="TextBody"/>
        <w:bidi w:val="0"/>
        <w:jc w:val="left"/>
        <w:rPr>
          <w:rFonts w:ascii="Ashland;sans-serif" w:hAnsi="Ashland;sans-serif"/>
          <w:b/>
          <w:color w:val="000000"/>
          <w:sz w:val="20"/>
        </w:rPr>
      </w:pPr>
      <w:r>
        <w:rPr>
          <w:rFonts w:ascii="Ashland;sans-serif" w:hAnsi="Ashland;sans-serif"/>
          <w:b/>
          <w:color w:val="000000"/>
          <w:sz w:val="20"/>
        </w:rPr>
        <w:t>Unallocated and other</w:t>
      </w:r>
    </w:p>
    <w:p>
      <w:pPr>
        <w:pStyle w:val="TextBody"/>
        <w:bidi w:val="0"/>
        <w:spacing w:before="120" w:after="120"/>
        <w:jc w:val="both"/>
        <w:rPr>
          <w:rFonts w:ascii="Ashland;sans-serif" w:hAnsi="Ashland;sans-serif"/>
          <w:color w:val="000000"/>
          <w:sz w:val="20"/>
        </w:rPr>
      </w:pPr>
      <w:r>
        <w:rPr>
          <w:rFonts w:ascii="Ashland;sans-serif" w:hAnsi="Ashland;sans-serif"/>
          <w:color w:val="000000"/>
          <w:sz w:val="20"/>
        </w:rPr>
        <w:t>The following table summarizes the key components of the Unallocated and other’s operating loss.</w:t>
      </w:r>
    </w:p>
    <w:tbl>
      <w:tblPr>
        <w:tblW w:w="10205" w:type="dxa"/>
        <w:jc w:val="left"/>
        <w:tblInd w:w="0" w:type="dxa"/>
        <w:tblLayout w:type="fixed"/>
        <w:tblCellMar>
          <w:top w:w="28" w:type="dxa"/>
          <w:left w:w="28" w:type="dxa"/>
          <w:bottom w:w="28" w:type="dxa"/>
          <w:right w:w="28" w:type="dxa"/>
        </w:tblCellMar>
      </w:tblPr>
      <w:tblGrid>
        <w:gridCol w:w="3795"/>
        <w:gridCol w:w="146"/>
        <w:gridCol w:w="237"/>
        <w:gridCol w:w="443"/>
        <w:gridCol w:w="190"/>
        <w:gridCol w:w="153"/>
        <w:gridCol w:w="237"/>
        <w:gridCol w:w="443"/>
        <w:gridCol w:w="190"/>
        <w:gridCol w:w="153"/>
        <w:gridCol w:w="314"/>
        <w:gridCol w:w="482"/>
        <w:gridCol w:w="181"/>
        <w:gridCol w:w="146"/>
        <w:gridCol w:w="226"/>
        <w:gridCol w:w="421"/>
        <w:gridCol w:w="181"/>
        <w:gridCol w:w="146"/>
        <w:gridCol w:w="226"/>
        <w:gridCol w:w="541"/>
        <w:gridCol w:w="181"/>
        <w:gridCol w:w="146"/>
        <w:gridCol w:w="259"/>
        <w:gridCol w:w="537"/>
        <w:gridCol w:w="231"/>
      </w:tblGrid>
      <w:tr>
        <w:trPr/>
        <w:tc>
          <w:tcPr>
            <w:tcW w:w="37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379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6033" w:type="dxa"/>
            <w:gridSpan w:val="2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Unallocated and other</w:t>
            </w:r>
          </w:p>
        </w:tc>
        <w:tc>
          <w:tcPr>
            <w:tcW w:w="23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7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Three months ended 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Nine months ended June 30</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2026</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2025</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Change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Change</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795"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Restructuring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5"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Environmental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(17</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(28</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5"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Accelerated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3795"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Tax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8</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8</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5"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Income (loss) on divestitures,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(165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168</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5"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Other expenses (primarily governance and legacy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(21</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(14</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3795"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Total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(37</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(49</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12</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(82</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(262</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180</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Ashland;sans-serif" w:hAnsi="Ashland;sans-serif"/>
          <w:i/>
          <w:color w:val="000000"/>
          <w:sz w:val="20"/>
        </w:rPr>
      </w:pPr>
      <w:r>
        <w:rPr>
          <w:rFonts w:ascii="Ashland;sans-serif" w:hAnsi="Ashland;sans-serif"/>
          <w:i/>
          <w:color w:val="000000"/>
          <w:sz w:val="20"/>
        </w:rPr>
        <w:t>Three months ended June 30, 2026 compared to three months ended June 30, 2025</w:t>
      </w:r>
    </w:p>
    <w:p>
      <w:pPr>
        <w:pStyle w:val="TextBody"/>
        <w:bidi w:val="0"/>
        <w:spacing w:before="120" w:after="283"/>
        <w:jc w:val="center"/>
        <w:rPr>
          <w:rFonts w:ascii="Ashland;sans-serif" w:hAnsi="Ashland;sans-serif"/>
          <w:color w:val="000000"/>
          <w:sz w:val="20"/>
        </w:rPr>
      </w:pPr>
      <w:r>
        <w:rPr>
          <w:rFonts w:ascii="Ashland;sans-serif" w:hAnsi="Ashland;sans-serif"/>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The current and prior year quarter both included expense of $7 million for restructuring activities mainly comprised of severance, lease abandonment and other restructuring costs related to company-wide cost reduction programs.</w:t>
      </w:r>
    </w:p>
    <w:p>
      <w:pPr>
        <w:pStyle w:val="TextBody"/>
        <w:bidi w:val="0"/>
        <w:spacing w:before="120" w:after="283"/>
        <w:jc w:val="both"/>
        <w:rPr>
          <w:rFonts w:ascii="Times New Roman" w:hAnsi="Times New Roman"/>
          <w:sz w:val="20"/>
        </w:rPr>
      </w:pPr>
      <w:r>
        <w:rPr>
          <w:rFonts w:ascii="Ashland;sans-serif" w:hAnsi="Ashland;sans-serif"/>
          <w:color w:val="000000"/>
          <w:sz w:val="20"/>
        </w:rPr>
        <w:t>The current and prior year quarter included $17 million and $28 million for environmental expenses, respectively.</w:t>
      </w:r>
      <w:r>
        <w:rPr>
          <w:rFonts w:ascii="Times New Roman" w:hAnsi="Times New Roman"/>
          <w:color w:val="000000"/>
          <w:sz w:val="20"/>
        </w:rPr>
        <w:t xml:space="preserve"> </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Other items in the current quarter included accelerated depreciation of $1 million and a tax credit of $8 million.</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Other expenses between quarters were driven by changes in governance and legacy expenses primarily associated with fluctuations in foreign currency, deferred compensation, company-owned life insurance contracts and variable incentive compensation, including stock compensation in the current period.</w:t>
      </w:r>
    </w:p>
    <w:p>
      <w:pPr>
        <w:pStyle w:val="TextBody"/>
        <w:bidi w:val="0"/>
        <w:spacing w:before="120" w:after="120"/>
        <w:jc w:val="both"/>
        <w:rPr>
          <w:rFonts w:ascii="Ashland;sans-serif" w:hAnsi="Ashland;sans-serif"/>
          <w:i/>
          <w:color w:val="000000"/>
          <w:sz w:val="20"/>
        </w:rPr>
      </w:pPr>
      <w:r>
        <w:rPr>
          <w:rFonts w:ascii="Ashland;sans-serif" w:hAnsi="Ashland;sans-serif"/>
          <w:i/>
          <w:color w:val="000000"/>
          <w:sz w:val="20"/>
        </w:rPr>
        <w:t>Nine months ended June 30, 2026 compared to nine months ended June 30, 2025</w:t>
      </w:r>
    </w:p>
    <w:p>
      <w:pPr>
        <w:pStyle w:val="TextBody"/>
        <w:bidi w:val="0"/>
        <w:jc w:val="both"/>
        <w:rPr>
          <w:rFonts w:ascii="Ashland;sans-serif" w:hAnsi="Ashland;sans-serif"/>
          <w:color w:val="000000"/>
          <w:sz w:val="20"/>
        </w:rPr>
      </w:pPr>
      <w:r>
        <w:rPr>
          <w:rFonts w:ascii="Ashland;sans-serif" w:hAnsi="Ashland;sans-serif"/>
          <w:color w:val="000000"/>
          <w:sz w:val="20"/>
        </w:rPr>
        <w:t>The current and prior year period included expense of $14 million and $18 million, respectively, for restructuring activities mainly comprised of severance, lease abandonment and other restructuring costs related to company-wide cost reduction programs.</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The current and prior year period included $28 million and $31 million for environmental expenses, respectively.</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Other items in the current year period included accelerated depreciation of $1 million, a tax credit of $8 million, and a $3 million income related to excess corporate real estate sales. See Note B of the Notes to Condensed Consolidated Financial Statements for more information.</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The prior year period included a loss on divestiture of $165 million, primarily related to the $183 million impairment of the Avoca business, $8 million pre-tax gain on the final sale of the Avoca business, and $11 million gain on the sale of a property. See Note B of the Notes to Condensed Consolidated Financial Statements for more information.</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Other expenses between periods were driven by changes in governance and legacy expenses primarily associated with fluctuations in foreign currency, deferred compensation, company-owned life insurance contracts and variable incentive compensation, including stock compensation expense in the current period.</w:t>
      </w:r>
    </w:p>
    <w:p>
      <w:pPr>
        <w:pStyle w:val="TextBody"/>
        <w:bidi w:val="0"/>
        <w:spacing w:before="120" w:after="283"/>
        <w:jc w:val="both"/>
        <w:rPr>
          <w:rFonts w:ascii="Ashland;sans-serif" w:hAnsi="Ashland;sans-serif"/>
          <w:b/>
          <w:color w:val="000000"/>
          <w:sz w:val="20"/>
        </w:rPr>
      </w:pPr>
      <w:r>
        <w:rPr>
          <w:rFonts w:ascii="Ashland;sans-serif" w:hAnsi="Ashland;sans-serif"/>
          <w:b/>
          <w:color w:val="000000"/>
          <w:sz w:val="20"/>
        </w:rPr>
        <w:t>FINANCIAL POSITION</w:t>
      </w:r>
    </w:p>
    <w:p>
      <w:pPr>
        <w:pStyle w:val="TextBody"/>
        <w:bidi w:val="0"/>
        <w:spacing w:before="120" w:after="283"/>
        <w:jc w:val="both"/>
        <w:rPr>
          <w:rFonts w:ascii="Ashland;sans-serif" w:hAnsi="Ashland;sans-serif"/>
          <w:b/>
          <w:color w:val="000000"/>
          <w:sz w:val="20"/>
        </w:rPr>
      </w:pPr>
      <w:r>
        <w:rPr>
          <w:rFonts w:ascii="Ashland;sans-serif" w:hAnsi="Ashland;sans-serif"/>
          <w:b/>
          <w:color w:val="000000"/>
          <w:sz w:val="20"/>
        </w:rPr>
        <w:t>Liquidity</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Ashland believes that cash flow from operations, availability under existing credit facilities and arrangements, current cash and investment balances and the ability to obtain other financing, if necessary, will provide adequate cash funds for Ashland’s foreseeable working capital needs, capital expenditures at existing facilities, dividend payments and debt service obligations. Ashland’s cash requirements are subject to change as business conditions warrant and opportunities arise. The timing and size of any new business ventures or acquisitions that the Company may complete may also impact its cash requirements.</w:t>
      </w:r>
    </w:p>
    <w:p>
      <w:pPr>
        <w:pStyle w:val="TextBody"/>
        <w:bidi w:val="0"/>
        <w:spacing w:before="120" w:after="283"/>
        <w:jc w:val="both"/>
        <w:rPr>
          <w:rFonts w:ascii="Times New Roman" w:hAnsi="Times New Roman"/>
          <w:sz w:val="20"/>
        </w:rPr>
      </w:pPr>
      <w:r>
        <w:rPr>
          <w:rFonts w:ascii="Ashland;sans-serif" w:hAnsi="Ashland;sans-serif"/>
          <w:color w:val="000000"/>
          <w:sz w:val="20"/>
        </w:rPr>
        <w:t>During May 2026, Ashland entered into a Second Amended and Restated Credit Agreement (the "2026 Credit Agreement"). The 2026 Credit Agreement provides for a $500 million five-year revolving credit facility (including a $125 million letter of credit sublimit) (the “Revolving Credit Facility”). Proceeds of borrowings under the 2026 Revolving Credit Facility are intended to provide ongoing working capital and for other general corporate purposes. See Note H of the Notes to Condensed Consolidated Financial Statements for more information.</w:t>
      </w:r>
      <w:r>
        <w:rPr>
          <w:rFonts w:ascii="Times New Roman" w:hAnsi="Times New Roman"/>
          <w:color w:val="000000"/>
          <w:sz w:val="20"/>
        </w:rPr>
        <w:t xml:space="preserve"> </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During April 2024, Ashland authorized a financing program offered through JP Morgan and Taulia Alliance. Under this program, JP Morgan and its affiliates may purchase certain confirmed receivables directly from suppliers pursuant to the terms of a separate arrangement entered into between JPMorgan and Taulia Alliance and such suppliers. There were no changes to Ashland's standard payment terms with its suppliers in connection with this program. Ashland provides no guarantees to JP Morgan and Taulia Alliance under this program. There were $6 million and $16 million, respectively, of confirmed invoices, of which $6 million and $11 million, respectively, were paid during the three and nine months ended June 30, 2026, respectively. There were $5 million and less than $1 million of confirmed invoices remaining under this program at June 30, 2026 and September 30, 2025, respectively.</w:t>
      </w:r>
    </w:p>
    <w:p>
      <w:pPr>
        <w:pStyle w:val="TextBody"/>
        <w:bidi w:val="0"/>
        <w:spacing w:before="120" w:after="283"/>
        <w:jc w:val="center"/>
        <w:rPr>
          <w:rFonts w:ascii="Ashland;sans-serif" w:hAnsi="Ashland;sans-serif"/>
          <w:color w:val="000000"/>
          <w:sz w:val="20"/>
        </w:rPr>
      </w:pPr>
      <w:r>
        <w:rPr>
          <w:rFonts w:ascii="Ashland;sans-serif" w:hAnsi="Ashland;sans-serif"/>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shland;sans-serif" w:hAnsi="Ashland;sans-serif"/>
          <w:i/>
          <w:color w:val="000000"/>
          <w:sz w:val="20"/>
        </w:rPr>
      </w:pPr>
      <w:r>
        <w:rPr>
          <w:rFonts w:ascii="Ashland;sans-serif" w:hAnsi="Ashland;sans-serif"/>
          <w:i/>
          <w:color w:val="000000"/>
          <w:sz w:val="20"/>
        </w:rPr>
        <w:t>Cash flows</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Ashland’s cash flows from operating, investing and financing activities, as reflected in the Statements of Condensed Consolidated Cash Flows, are summarized as follows:</w:t>
      </w:r>
    </w:p>
    <w:p>
      <w:pPr>
        <w:pStyle w:val="TextBody"/>
        <w:bidi w:val="0"/>
        <w:jc w:val="both"/>
        <w:rPr/>
      </w:pPr>
      <w:r>
        <w:rPr/>
        <w:t> </w:t>
      </w:r>
    </w:p>
    <w:tbl>
      <w:tblPr>
        <w:tblW w:w="9501" w:type="dxa"/>
        <w:jc w:val="left"/>
        <w:tblInd w:w="0" w:type="dxa"/>
        <w:tblLayout w:type="fixed"/>
        <w:tblCellMar>
          <w:top w:w="28" w:type="dxa"/>
          <w:left w:w="28" w:type="dxa"/>
          <w:bottom w:w="28" w:type="dxa"/>
          <w:right w:w="28" w:type="dxa"/>
        </w:tblCellMar>
      </w:tblPr>
      <w:tblGrid>
        <w:gridCol w:w="7041"/>
        <w:gridCol w:w="146"/>
        <w:gridCol w:w="239"/>
        <w:gridCol w:w="493"/>
        <w:gridCol w:w="191"/>
        <w:gridCol w:w="154"/>
        <w:gridCol w:w="239"/>
        <w:gridCol w:w="572"/>
        <w:gridCol w:w="426"/>
      </w:tblGrid>
      <w:tr>
        <w:trPr/>
        <w:tc>
          <w:tcPr>
            <w:tcW w:w="7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704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88"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Nine months ended</w:t>
            </w:r>
          </w:p>
        </w:tc>
        <w:tc>
          <w:tcPr>
            <w:tcW w:w="42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7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2025</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4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Cash provided (used) by: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Operating activities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295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94</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Investing activities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Financing activities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(161</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w:t>
            </w:r>
          </w:p>
        </w:tc>
      </w:tr>
      <w:tr>
        <w:trPr/>
        <w:tc>
          <w:tcPr>
            <w:tcW w:w="7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(27</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w:t>
            </w:r>
          </w:p>
        </w:tc>
      </w:tr>
      <w:tr>
        <w:trPr/>
        <w:tc>
          <w:tcPr>
            <w:tcW w:w="7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Ashland;sans-serif" w:hAnsi="Ashland;sans-serif"/>
                <w:color w:val="000000"/>
                <w:sz w:val="18"/>
              </w:rPr>
              <w:t>Effect of currency exchange rate changes on cash and cash equivalents</w:t>
            </w:r>
            <w:r>
              <w:rPr>
                <w:rFonts w:ascii="Ashland;sans-serif" w:hAnsi="Ashland;sans-serif"/>
                <w:color w:val="000000"/>
                <w:sz w:val="12"/>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4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Net 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225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(93</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7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(a)</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Zero denotes less than $1 million of activity.</w:t>
      </w:r>
    </w:p>
    <w:p>
      <w:pPr>
        <w:pStyle w:val="TextBody"/>
        <w:bidi w:val="0"/>
        <w:spacing w:before="120" w:after="120"/>
        <w:jc w:val="both"/>
        <w:rPr>
          <w:rFonts w:ascii="Ashland;sans-serif" w:hAnsi="Ashland;sans-serif"/>
          <w:color w:val="000000"/>
          <w:sz w:val="20"/>
        </w:rPr>
      </w:pPr>
      <w:r>
        <w:rPr>
          <w:rFonts w:ascii="Ashland;sans-serif" w:hAnsi="Ashland;sans-serif"/>
          <w:color w:val="000000"/>
          <w:sz w:val="20"/>
        </w:rPr>
        <w:t>Cash and cash equivalents increased $225 million for the nine months ended June 30, 2026 and decreased $93 million for the nine months ended June 30, 2025.</w:t>
      </w:r>
    </w:p>
    <w:p>
      <w:pPr>
        <w:pStyle w:val="TextBody"/>
        <w:bidi w:val="0"/>
        <w:spacing w:before="0" w:after="120"/>
        <w:jc w:val="both"/>
        <w:rPr>
          <w:rFonts w:ascii="Times New Roman" w:hAnsi="Times New Roman"/>
          <w:sz w:val="20"/>
        </w:rPr>
      </w:pPr>
      <w:r>
        <w:rPr>
          <w:rFonts w:ascii="Ashland;sans-serif" w:hAnsi="Ashland;sans-serif"/>
          <w:color w:val="000000"/>
          <w:sz w:val="20"/>
        </w:rPr>
        <w:t>The $225 million increase for the nine months ended June 30, 2026, was primarily driven by favorable changes in working capital (fluctuations within accounts receivable, inventory, trade payables and accrued expenses) and other operating cash flows from continuing operations which amounted to inflows of $295 million. The current period was also affected by inflows of $25 million for the settlement of company-owned life insurance policies and $52 million of reimbursements from restricted investments. These inflows were partially offset from outflows from payment of cash dividends, additions to property, plant and equipment and discontinued operations primarily related to retained liabilities for asbestos and environmental claims of $57 million, $51 million and $31 million, respectively.</w:t>
      </w:r>
      <w:r>
        <w:rPr>
          <w:rFonts w:ascii="Times New Roman" w:hAnsi="Times New Roman"/>
          <w:color w:val="000000"/>
          <w:sz w:val="20"/>
        </w:rPr>
        <w:t xml:space="preserve"> </w:t>
      </w:r>
    </w:p>
    <w:p>
      <w:pPr>
        <w:pStyle w:val="TextBody"/>
        <w:bidi w:val="0"/>
        <w:spacing w:before="0" w:after="120"/>
        <w:jc w:val="both"/>
        <w:rPr>
          <w:rFonts w:ascii="Ashland;sans-serif" w:hAnsi="Ashland;sans-serif"/>
          <w:color w:val="000000"/>
          <w:sz w:val="20"/>
        </w:rPr>
      </w:pPr>
      <w:r>
        <w:rPr>
          <w:rFonts w:ascii="Ashland;sans-serif" w:hAnsi="Ashland;sans-serif"/>
          <w:color w:val="000000"/>
          <w:sz w:val="20"/>
        </w:rPr>
        <w:t>The $93 million decrease for the nine months ended June 30, 2025 was primarily driven by payment of cash dividends, additions to property, plant and equipment and stock repurchase activity of $57 million, $64 million and $100 million, respectively, while discontinued operations cash flows were outflows of $27 million. These outflows were partially offset by inflows from operating activities from continuing operations, proceeds from the sale of Avoca and proceeds from the sale of a land property of $94 million, $16 million and $11 million, respectively.</w:t>
      </w:r>
    </w:p>
    <w:p>
      <w:pPr>
        <w:pStyle w:val="TextBody"/>
        <w:bidi w:val="0"/>
        <w:spacing w:before="0" w:after="120"/>
        <w:jc w:val="both"/>
        <w:rPr>
          <w:rFonts w:ascii="Ashland;sans-serif" w:hAnsi="Ashland;sans-serif"/>
          <w:color w:val="000000"/>
          <w:sz w:val="20"/>
        </w:rPr>
      </w:pPr>
      <w:r>
        <w:rPr>
          <w:rFonts w:ascii="Ashland;sans-serif" w:hAnsi="Ashland;sans-serif"/>
          <w:color w:val="000000"/>
          <w:sz w:val="20"/>
        </w:rPr>
        <w:t>The change in cash flows from operating activities from continuing operations was primarily driven by favorable working capital, including the favorable impact between periods of the U.S. and Foreign Accounts Receivable Sales Program activity.</w:t>
      </w:r>
    </w:p>
    <w:p>
      <w:pPr>
        <w:pStyle w:val="TextBody"/>
        <w:bidi w:val="0"/>
        <w:spacing w:before="0" w:after="120"/>
        <w:jc w:val="both"/>
        <w:rPr>
          <w:rFonts w:ascii="Ashland;sans-serif" w:hAnsi="Ashland;sans-serif"/>
          <w:color w:val="000000"/>
          <w:sz w:val="20"/>
        </w:rPr>
      </w:pPr>
      <w:r>
        <w:rPr>
          <w:rFonts w:ascii="Ashland;sans-serif" w:hAnsi="Ashland;sans-serif"/>
          <w:color w:val="000000"/>
          <w:sz w:val="20"/>
        </w:rPr>
        <w:t>See the Statements of Condensed Consolidated Cash Flows for additional information.</w:t>
      </w:r>
    </w:p>
    <w:p>
      <w:pPr>
        <w:pStyle w:val="TextBody"/>
        <w:bidi w:val="0"/>
        <w:spacing w:before="120" w:after="283"/>
        <w:jc w:val="center"/>
        <w:rPr>
          <w:rFonts w:ascii="Ashland;sans-serif" w:hAnsi="Ashland;sans-serif"/>
          <w:color w:val="000000"/>
          <w:sz w:val="20"/>
        </w:rPr>
      </w:pPr>
      <w:r>
        <w:rPr>
          <w:rFonts w:ascii="Ashland;sans-serif" w:hAnsi="Ashland;sans-serif"/>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Ashland;sans-serif" w:hAnsi="Ashland;sans-serif"/>
          <w:i/>
          <w:color w:val="000000"/>
          <w:sz w:val="20"/>
        </w:rPr>
      </w:pPr>
      <w:r>
        <w:rPr>
          <w:rFonts w:ascii="Ashland;sans-serif" w:hAnsi="Ashland;sans-serif"/>
          <w:i/>
          <w:color w:val="000000"/>
          <w:sz w:val="20"/>
        </w:rPr>
        <w:t>Free Cash Flow and other liquidity resources</w:t>
      </w:r>
    </w:p>
    <w:p>
      <w:pPr>
        <w:pStyle w:val="TextBody"/>
        <w:bidi w:val="0"/>
        <w:spacing w:before="0" w:after="120"/>
        <w:jc w:val="both"/>
        <w:rPr>
          <w:rFonts w:ascii="Ashland;sans-serif" w:hAnsi="Ashland;sans-serif"/>
          <w:color w:val="000000"/>
          <w:sz w:val="20"/>
        </w:rPr>
      </w:pPr>
      <w:r>
        <w:rPr>
          <w:rFonts w:ascii="Ashland;sans-serif" w:hAnsi="Ashland;sans-serif"/>
          <w:color w:val="000000"/>
          <w:sz w:val="20"/>
        </w:rPr>
        <w:t>The following represents Ashland’s calculation of Free Cash Flow and Ongoing Free Cash Flow for the disclosed periods. Free Cash Flow does not reflect adjustments for certain non-discretionary cash flows such as mandatory debt repayments.</w:t>
      </w:r>
    </w:p>
    <w:tbl>
      <w:tblPr>
        <w:tblW w:w="10205" w:type="dxa"/>
        <w:jc w:val="left"/>
        <w:tblInd w:w="0" w:type="dxa"/>
        <w:tblLayout w:type="fixed"/>
        <w:tblCellMar>
          <w:top w:w="28" w:type="dxa"/>
          <w:left w:w="28" w:type="dxa"/>
          <w:bottom w:w="28" w:type="dxa"/>
          <w:right w:w="28" w:type="dxa"/>
        </w:tblCellMar>
      </w:tblPr>
      <w:tblGrid>
        <w:gridCol w:w="6943"/>
        <w:gridCol w:w="146"/>
        <w:gridCol w:w="226"/>
        <w:gridCol w:w="586"/>
        <w:gridCol w:w="271"/>
        <w:gridCol w:w="146"/>
        <w:gridCol w:w="439"/>
        <w:gridCol w:w="1055"/>
        <w:gridCol w:w="393"/>
      </w:tblGrid>
      <w:tr>
        <w:trPr/>
        <w:tc>
          <w:tcPr>
            <w:tcW w:w="69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694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723"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Nine months ended</w:t>
            </w:r>
          </w:p>
        </w:tc>
        <w:tc>
          <w:tcPr>
            <w:tcW w:w="39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69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2025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943"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Total cash flows provided by operating activities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295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94</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43"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8"/>
              </w:rPr>
            </w:pPr>
            <w:r>
              <w:rPr>
                <w:rFonts w:ascii="Ashland;sans-serif" w:hAnsi="Ashland;sans-serif"/>
                <w:color w:val="000000"/>
                <w:sz w:val="18"/>
              </w:rPr>
              <w:t>Additions to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(64</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6943"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Free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244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30</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shland;sans-serif" w:hAnsi="Ashland;sans-serif"/>
                <w:color w:val="000000"/>
                <w:sz w:val="18"/>
              </w:rPr>
              <w:t>Tax refund</w:t>
            </w:r>
            <w:r>
              <w:rPr>
                <w:rFonts w:ascii="Ashland;sans-serif" w:hAnsi="Ashland;sans-serif"/>
                <w:color w:val="000000"/>
                <w:sz w:val="12"/>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(103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shland;sans-serif" w:hAnsi="Ashland;sans-serif"/>
                <w:color w:val="000000"/>
                <w:sz w:val="18"/>
              </w:rPr>
              <w:t>Cash (inflows) outflows from U.S. Accounts Receivable Sales Program</w:t>
            </w:r>
            <w:r>
              <w:rPr>
                <w:rFonts w:ascii="Ashland;sans-serif" w:hAnsi="Ashland;sans-serif"/>
                <w:color w:val="000000"/>
                <w:sz w:val="12"/>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11</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shland;sans-serif" w:hAnsi="Ashland;sans-serif"/>
                <w:color w:val="000000"/>
                <w:sz w:val="18"/>
              </w:rPr>
              <w:t>Cash outflows from Foreign Accounts Receivable Sales Program</w:t>
            </w:r>
            <w:r>
              <w:rPr>
                <w:rFonts w:ascii="Ashland;sans-serif" w:hAnsi="Ashland;sans-serif"/>
                <w:color w:val="000000"/>
                <w:sz w:val="12"/>
              </w:rPr>
              <w:t>(c)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(13</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69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shland;sans-serif" w:hAnsi="Ashland;sans-serif"/>
                <w:color w:val="000000"/>
                <w:sz w:val="18"/>
              </w:rPr>
              <w:t>Restructuring-related payments</w:t>
            </w:r>
            <w:r>
              <w:rPr>
                <w:rFonts w:ascii="Ashland;sans-serif" w:hAnsi="Ashland;sans-serif"/>
                <w:color w:val="000000"/>
                <w:sz w:val="12"/>
              </w:rPr>
              <w: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23</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shland;sans-serif" w:hAnsi="Ashland;sans-serif"/>
                <w:color w:val="000000"/>
                <w:sz w:val="18"/>
              </w:rPr>
              <w:t>Environmental and related litigation payments</w:t>
            </w:r>
            <w:r>
              <w:rPr>
                <w:rFonts w:ascii="Ashland;sans-serif" w:hAnsi="Ashland;sans-serif"/>
                <w:color w:val="000000"/>
                <w:sz w:val="12"/>
              </w:rPr>
              <w: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24</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43"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Ongoing Free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159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0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75</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43"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(877</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69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shland;sans-serif" w:hAnsi="Ashland;sans-serif"/>
                <w:color w:val="000000"/>
                <w:sz w:val="18"/>
              </w:rPr>
              <w:t>Adjusted EBITDA</w:t>
            </w:r>
            <w:r>
              <w:rPr>
                <w:rFonts w:ascii="Ashland;sans-serif" w:hAnsi="Ashland;sans-serif"/>
                <w:color w:val="000000"/>
                <w:sz w:val="12"/>
              </w:rPr>
              <w:t>(f)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265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282</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shland;sans-serif" w:hAnsi="Ashland;sans-serif"/>
                <w:color w:val="000000"/>
                <w:sz w:val="18"/>
              </w:rPr>
              <w:t>Operating Cash Flow Conversion</w:t>
            </w:r>
            <w:r>
              <w:rPr>
                <w:rFonts w:ascii="Ashland;sans-serif" w:hAnsi="Ashland;sans-serif"/>
                <w:color w:val="000000"/>
                <w:sz w:val="12"/>
              </w:rPr>
              <w:t>(g)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1475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Not meaningful</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shland;sans-serif" w:hAnsi="Ashland;sans-serif"/>
                <w:color w:val="000000"/>
                <w:sz w:val="18"/>
              </w:rPr>
              <w:t>Ongoing Free Cash Flow Conversion</w:t>
            </w:r>
            <w:r>
              <w:rPr>
                <w:rFonts w:ascii="Ashland;sans-serif" w:hAnsi="Ashland;sans-serif"/>
                <w:color w:val="000000"/>
                <w:sz w:val="12"/>
              </w:rPr>
              <w: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27</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r>
      <w:tr>
        <w:trPr/>
        <w:tc>
          <w:tcPr>
            <w:tcW w:w="69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(a)</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 xml:space="preserve">Represents receipt of tax refund related to the capital loss carryback from the Nutraceutical business divestiture. </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(b)</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Represents activity associated with the U.S. Accounts Receivable Sales Program impacting each period presented.</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(c)</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Represents activity associated with the Foreign Accounts Receivable Sales Program impacting each period presented.</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(d)</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Restructuring payments incurred during each period.</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(e)</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Represents cash outflows associated with environmental and related litigation payments which will be reimbursed by the environmental trust.</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(f)</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See Adjusted EBITDA reconciliation.</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(g)</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Operating Cash Flow Conversion is defined as Cash flows provided (used) by operating activities from continuing operations divided by net income (loss).</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(h)</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Ongoing Free Cash Flow Conversion is defined as Ongoing Free Cash Flow divided by Adjusted EBITDA.</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Working capital (current assets minus current liabilities, excluding long-term debt due within one year) amounted to $868 million and $782 million as of June 30, 2026 and September 30, 2025, respectively. Liquid assets (cash and cash equivalents and accounts receivable) amounted to 164% and 108% of current liabilities as of June 30, 2026 and September 30, 2025, respectively. The increase in Ongoing Free Cash Flows was primarily a result of favorable working capital, lower additions to property, plant and equipment and lower variable compensation payouts between periods.</w:t>
      </w:r>
    </w:p>
    <w:p>
      <w:pPr>
        <w:pStyle w:val="TextBody"/>
        <w:bidi w:val="0"/>
        <w:spacing w:before="120" w:after="283"/>
        <w:jc w:val="center"/>
        <w:rPr>
          <w:rFonts w:ascii="Ashland;sans-serif" w:hAnsi="Ashland;sans-serif"/>
          <w:color w:val="000000"/>
          <w:sz w:val="20"/>
        </w:rPr>
      </w:pPr>
      <w:r>
        <w:rPr>
          <w:rFonts w:ascii="Ashland;sans-serif" w:hAnsi="Ashland;sans-serif"/>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The following summary reflects Ashland’s cash and cash equivalents, unused borrowing capacity and liquidity as of:</w:t>
      </w:r>
    </w:p>
    <w:p>
      <w:pPr>
        <w:pStyle w:val="TextBody"/>
        <w:bidi w:val="0"/>
        <w:jc w:val="both"/>
        <w:rPr/>
      </w:pPr>
      <w:r>
        <w:rPr/>
        <w:t> </w:t>
      </w:r>
    </w:p>
    <w:tbl>
      <w:tblPr>
        <w:tblW w:w="7140" w:type="dxa"/>
        <w:jc w:val="left"/>
        <w:tblInd w:w="0" w:type="dxa"/>
        <w:tblLayout w:type="fixed"/>
        <w:tblCellMar>
          <w:top w:w="28" w:type="dxa"/>
          <w:left w:w="28" w:type="dxa"/>
          <w:bottom w:w="28" w:type="dxa"/>
          <w:right w:w="28" w:type="dxa"/>
        </w:tblCellMar>
      </w:tblPr>
      <w:tblGrid>
        <w:gridCol w:w="4291"/>
        <w:gridCol w:w="146"/>
        <w:gridCol w:w="264"/>
        <w:gridCol w:w="546"/>
        <w:gridCol w:w="146"/>
        <w:gridCol w:w="146"/>
        <w:gridCol w:w="459"/>
        <w:gridCol w:w="951"/>
        <w:gridCol w:w="191"/>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10"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10"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September 30</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Cash and investment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215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shland;sans-serif" w:hAnsi="Ashland;sans-serif"/>
                <w:color w:val="000000"/>
                <w:sz w:val="18"/>
              </w:rPr>
              <w:t>Restricted investments</w:t>
            </w:r>
            <w:r>
              <w:rPr>
                <w:rFonts w:ascii="Ashland;sans-serif" w:hAnsi="Ashland;sans-serif"/>
                <w:color w:val="000000"/>
                <w:sz w:val="12"/>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347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8"/>
              </w:rPr>
            </w:pPr>
            <w:r>
              <w:rPr>
                <w:rFonts w:ascii="Ashland;sans-serif" w:hAnsi="Ashland;sans-serif"/>
                <w:b/>
                <w:color w:val="000000"/>
                <w:sz w:val="18"/>
              </w:rPr>
              <w:t>Unused borrowing capacity and liquidity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496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U.S. Accounts Receivable Sales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Foreign Accounts Receivable Sales Program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120"/>
        <w:jc w:val="both"/>
        <w:rPr>
          <w:rFonts w:ascii="Ashland;sans-serif" w:hAnsi="Ashland;sans-serif"/>
          <w:color w:val="000000"/>
          <w:sz w:val="14"/>
        </w:rPr>
      </w:pPr>
      <w:r>
        <w:rPr>
          <w:rFonts w:ascii="Ashland;sans-serif" w:hAnsi="Ashland;sans-serif"/>
          <w:color w:val="000000"/>
          <w:sz w:val="14"/>
        </w:rPr>
        <w:t>(a)</w:t>
      </w:r>
    </w:p>
    <w:p>
      <w:pPr>
        <w:pStyle w:val="TextBody"/>
        <w:bidi w:val="0"/>
        <w:spacing w:before="40" w:after="120"/>
        <w:jc w:val="both"/>
        <w:rPr>
          <w:rFonts w:ascii="Ashland;sans-serif" w:hAnsi="Ashland;sans-serif"/>
          <w:color w:val="000000"/>
          <w:sz w:val="14"/>
        </w:rPr>
      </w:pPr>
      <w:r>
        <w:rPr>
          <w:rFonts w:ascii="Ashland;sans-serif" w:hAnsi="Ashland;sans-serif"/>
          <w:color w:val="000000"/>
          <w:sz w:val="14"/>
        </w:rPr>
        <w:t>Includes $220 million and $231 million related to the Asbestos trust and $112 million and $116 million related to the Environmental trust as of June 30, 2026 and September 30, 2025, respectively.</w:t>
      </w:r>
    </w:p>
    <w:p>
      <w:pPr>
        <w:pStyle w:val="TextBody"/>
        <w:bidi w:val="0"/>
        <w:jc w:val="both"/>
        <w:rPr>
          <w:rFonts w:ascii="Ashland;sans-serif" w:hAnsi="Ashland;sans-serif"/>
          <w:color w:val="000000"/>
          <w:sz w:val="20"/>
        </w:rPr>
      </w:pPr>
      <w:r>
        <w:rPr>
          <w:rFonts w:ascii="Ashland;sans-serif" w:hAnsi="Ashland;sans-serif"/>
          <w:color w:val="000000"/>
          <w:sz w:val="20"/>
        </w:rPr>
        <w:t>The borrowing capacity remaining under the 2026 Credit Agreement was $496 million, which reflects the full $500 million revolving credit facility less a reduction of $4 million for letters of credit outstanding at June 30, 2026. In total, Ashland’s available liquidity position, which includes cash and cash equivalents and the revolving credit facility, was $936 million at June 30, 2026, compared to $811 million at September 30, 2025. Ashland had no available liquidity under the U.S. and Foreign Accounts Receivable Sales Programs as of June 30, 2026. Ashland also maintained $332 million of restricted investments at June 30, 2026, to pay for future asbestos claims and environmental remediation and related litigation.</w:t>
      </w:r>
    </w:p>
    <w:p>
      <w:pPr>
        <w:pStyle w:val="TextBody"/>
        <w:bidi w:val="0"/>
        <w:spacing w:before="120" w:after="283"/>
        <w:jc w:val="both"/>
        <w:rPr>
          <w:rFonts w:ascii="Ashland;sans-serif" w:hAnsi="Ashland;sans-serif"/>
          <w:b/>
          <w:color w:val="000000"/>
          <w:sz w:val="20"/>
        </w:rPr>
      </w:pPr>
      <w:r>
        <w:rPr>
          <w:rFonts w:ascii="Ashland;sans-serif" w:hAnsi="Ashland;sans-serif"/>
          <w:b/>
          <w:color w:val="000000"/>
          <w:sz w:val="20"/>
        </w:rPr>
        <w:t>Capital resources</w:t>
      </w:r>
    </w:p>
    <w:p>
      <w:pPr>
        <w:pStyle w:val="TextBody"/>
        <w:bidi w:val="0"/>
        <w:spacing w:before="120" w:after="283"/>
        <w:jc w:val="both"/>
        <w:rPr>
          <w:rFonts w:ascii="Ashland;sans-serif" w:hAnsi="Ashland;sans-serif"/>
          <w:i/>
          <w:color w:val="000000"/>
          <w:sz w:val="20"/>
        </w:rPr>
      </w:pPr>
      <w:r>
        <w:rPr>
          <w:rFonts w:ascii="Ashland;sans-serif" w:hAnsi="Ashland;sans-serif"/>
          <w:i/>
          <w:color w:val="000000"/>
          <w:sz w:val="20"/>
        </w:rPr>
        <w:t>Debt</w:t>
      </w:r>
    </w:p>
    <w:p>
      <w:pPr>
        <w:pStyle w:val="TextBody"/>
        <w:bidi w:val="0"/>
        <w:spacing w:before="120" w:after="120"/>
        <w:jc w:val="both"/>
        <w:rPr>
          <w:rFonts w:ascii="Ashland;sans-serif" w:hAnsi="Ashland;sans-serif"/>
          <w:color w:val="000000"/>
          <w:sz w:val="20"/>
        </w:rPr>
      </w:pPr>
      <w:r>
        <w:rPr>
          <w:rFonts w:ascii="Ashland;sans-serif" w:hAnsi="Ashland;sans-serif"/>
          <w:color w:val="000000"/>
          <w:sz w:val="20"/>
        </w:rPr>
        <w:t>The following summary reflects Ashland’s debt as of:</w:t>
      </w:r>
    </w:p>
    <w:tbl>
      <w:tblPr>
        <w:tblW w:w="7847" w:type="dxa"/>
        <w:jc w:val="left"/>
        <w:tblInd w:w="0" w:type="dxa"/>
        <w:tblLayout w:type="fixed"/>
        <w:tblCellMar>
          <w:top w:w="28" w:type="dxa"/>
          <w:left w:w="28" w:type="dxa"/>
          <w:bottom w:w="28" w:type="dxa"/>
          <w:right w:w="28" w:type="dxa"/>
        </w:tblCellMar>
      </w:tblPr>
      <w:tblGrid>
        <w:gridCol w:w="4936"/>
        <w:gridCol w:w="146"/>
        <w:gridCol w:w="226"/>
        <w:gridCol w:w="646"/>
        <w:gridCol w:w="146"/>
        <w:gridCol w:w="146"/>
        <w:gridCol w:w="364"/>
        <w:gridCol w:w="1046"/>
        <w:gridCol w:w="191"/>
      </w:tblGrid>
      <w:tr>
        <w:trPr/>
        <w:tc>
          <w:tcPr>
            <w:tcW w:w="4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93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7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10"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September 30</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3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Short-term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shland;sans-serif" w:hAnsi="Ashland;sans-serif"/>
                <w:color w:val="000000"/>
                <w:sz w:val="18"/>
              </w:rPr>
              <w:t>Long-term debt (less debt issuance cost discounts)</w:t>
            </w:r>
            <w:r>
              <w:rPr>
                <w:rFonts w:ascii="Ashland;sans-serif" w:hAnsi="Ashland;sans-serif"/>
                <w:color w:val="000000"/>
                <w:sz w:val="12"/>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1,374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1,384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3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Total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1,374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0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1,384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(a)</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Includes $9 million and $10 million of debt issuance cost discounts as of June 30, 2026 and September 30, 2025, respectively.</w:t>
      </w:r>
    </w:p>
    <w:p>
      <w:pPr>
        <w:pStyle w:val="TextBody"/>
        <w:bidi w:val="0"/>
        <w:spacing w:before="120" w:after="120"/>
        <w:jc w:val="both"/>
        <w:rPr>
          <w:rFonts w:ascii="Ashland;sans-serif" w:hAnsi="Ashland;sans-serif"/>
          <w:color w:val="000000"/>
          <w:sz w:val="20"/>
        </w:rPr>
      </w:pPr>
      <w:r>
        <w:rPr>
          <w:rFonts w:ascii="Ashland;sans-serif" w:hAnsi="Ashland;sans-serif"/>
          <w:color w:val="000000"/>
          <w:sz w:val="20"/>
        </w:rPr>
        <w:t>Debt as a percent of capital employed was 42% at both June 30, 2026 and September 30, 2025. At June 30, 2026, Ashland’s total debt had an outstanding principal balance of $1,403 million, discounts of $20 million, and debt issuance costs of $9 million. Ashland has no long-term debt (excluding debt issuance costs) maturing within 2026, $4 million in 2027, $571 million due in fiscal 2028, $97 million due in 2029, zero in 2030, and $450 million in 2031.</w:t>
      </w:r>
    </w:p>
    <w:p>
      <w:pPr>
        <w:pStyle w:val="TextBody"/>
        <w:bidi w:val="0"/>
        <w:spacing w:before="120" w:after="283"/>
        <w:jc w:val="center"/>
        <w:rPr>
          <w:rFonts w:ascii="Ashland;sans-serif" w:hAnsi="Ashland;sans-serif"/>
          <w:color w:val="000000"/>
          <w:sz w:val="20"/>
        </w:rPr>
      </w:pPr>
      <w:r>
        <w:rPr>
          <w:rFonts w:ascii="Ashland;sans-serif" w:hAnsi="Ashland;sans-serif"/>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Ashland;sans-serif" w:hAnsi="Ashland;sans-serif"/>
          <w:i/>
          <w:color w:val="000000"/>
          <w:sz w:val="20"/>
        </w:rPr>
      </w:pPr>
      <w:r>
        <w:rPr>
          <w:rFonts w:ascii="Ashland;sans-serif" w:hAnsi="Ashland;sans-serif"/>
          <w:i/>
          <w:color w:val="000000"/>
          <w:sz w:val="20"/>
        </w:rPr>
        <w:t>Ashland credit ratings</w:t>
      </w:r>
    </w:p>
    <w:p>
      <w:pPr>
        <w:pStyle w:val="TextBody"/>
        <w:bidi w:val="0"/>
        <w:spacing w:before="0" w:after="120"/>
        <w:jc w:val="both"/>
        <w:rPr>
          <w:rFonts w:ascii="Ashland;sans-serif" w:hAnsi="Ashland;sans-serif"/>
          <w:color w:val="000000"/>
          <w:sz w:val="20"/>
        </w:rPr>
      </w:pPr>
      <w:r>
        <w:rPr>
          <w:rFonts w:ascii="Ashland;sans-serif" w:hAnsi="Ashland;sans-serif"/>
          <w:color w:val="000000"/>
          <w:sz w:val="20"/>
        </w:rPr>
        <w:t>Ashland’s corporate credit rating by Standard &amp; Poor’s was downgraded to BB during the nine months ended June 30, 2026, and Moody’s Investor Services was downgraded to Ba2 during the nine months ended June 30, 2026. As of June 30, 2026, both Moody’s Investor Services and Standard &amp; Poor's outlook remained at stable. Subsequent changes to these ratings or outlook may have an effect on Ashland’s borrowing rate or ability to access capital markets in the future.</w:t>
      </w:r>
    </w:p>
    <w:p>
      <w:pPr>
        <w:pStyle w:val="TextBody"/>
        <w:bidi w:val="0"/>
        <w:spacing w:before="0" w:after="120"/>
        <w:jc w:val="both"/>
        <w:rPr>
          <w:rFonts w:ascii="Ashland;sans-serif" w:hAnsi="Ashland;sans-serif"/>
          <w:i/>
          <w:color w:val="000000"/>
          <w:sz w:val="20"/>
        </w:rPr>
      </w:pPr>
      <w:r>
        <w:rPr>
          <w:rFonts w:ascii="Ashland;sans-serif" w:hAnsi="Ashland;sans-serif"/>
          <w:i/>
          <w:color w:val="000000"/>
          <w:sz w:val="20"/>
        </w:rPr>
        <w:t>Ashland debt covenant restrictions</w:t>
      </w:r>
    </w:p>
    <w:p>
      <w:pPr>
        <w:pStyle w:val="TextBody"/>
        <w:bidi w:val="0"/>
        <w:spacing w:before="0" w:after="120"/>
        <w:jc w:val="both"/>
        <w:rPr>
          <w:rFonts w:ascii="Ashland;sans-serif" w:hAnsi="Ashland;sans-serif"/>
          <w:color w:val="000000"/>
          <w:sz w:val="20"/>
        </w:rPr>
      </w:pPr>
      <w:r>
        <w:rPr>
          <w:rFonts w:ascii="Ashland;sans-serif" w:hAnsi="Ashland;sans-serif"/>
          <w:color w:val="000000"/>
          <w:sz w:val="20"/>
        </w:rPr>
        <w:t>Ashland's 2026 Credit Agreement contains usual and customary representations, warranties and affirmative and negative covenants, including financial covenants for leverage and interest coverage ratios, limitations on liens, additional subsidiary indebtedness, restrictions on subsidiary distributions, investments, mergers, sale of assets and restricted payments and other customary limitations. As of June 30, 2026, Ashland is in compliance with all debt agreement covenant restrictions under the 2026 Credit Agreement.</w:t>
      </w:r>
    </w:p>
    <w:p>
      <w:pPr>
        <w:pStyle w:val="TextBody"/>
        <w:bidi w:val="0"/>
        <w:spacing w:before="0" w:after="120"/>
        <w:jc w:val="both"/>
        <w:rPr>
          <w:rFonts w:ascii="Ashland;sans-serif" w:hAnsi="Ashland;sans-serif"/>
          <w:color w:val="000000"/>
          <w:sz w:val="20"/>
        </w:rPr>
      </w:pPr>
      <w:r>
        <w:rPr>
          <w:rFonts w:ascii="Ashland;sans-serif" w:hAnsi="Ashland;sans-serif"/>
          <w:color w:val="000000"/>
          <w:sz w:val="20"/>
        </w:rPr>
        <w:t>The maximum consolidated net leverage ratio permitted under the 2026 Credit Agreement is 4.0. The 2026 Credit Agreement defines the consolidated net leverage ratio as the ratio of consolidated indebtedness minus unrestricted cash and cash equivalents to consolidated EBITDA (Covenant Adjusted EBITDA) for any measurement period. In general, the 2026 Credit Agreement defines Covenant Adjusted EBITDA as net income (loss) plus consolidated interest charges, taxes, depreciation and amortization expense, fees and expenses related to capital market transactions and proposed or actual acquisitions and divestitures, restructuring and integration charges, noncash stock and equity compensation expense, and any other nonrecurring expenses or losses that do not represent a cash item in such period or any future period; less any noncash gains or other items increasing net income (loss). The computation of Covenant Adjusted EBITDA differs from the calculation of EBITDA and Adjusted EBITDA, which have been reconciled above in the “consolidated review” section. In general, consolidated indebtedness includes debt plus all purchase money indebtedness, banker’s acceptances and bank guaranties, deferred purchase price of property or services, attributable indebtedness and guarantees. At June 30, 2026, Ashland’s calculation of the consolidated net leverage ratio was 2.3.</w:t>
      </w:r>
    </w:p>
    <w:p>
      <w:pPr>
        <w:pStyle w:val="TextBody"/>
        <w:bidi w:val="0"/>
        <w:spacing w:before="0" w:after="120"/>
        <w:jc w:val="both"/>
        <w:rPr>
          <w:rFonts w:ascii="Ashland;sans-serif" w:hAnsi="Ashland;sans-serif"/>
          <w:color w:val="000000"/>
          <w:sz w:val="20"/>
        </w:rPr>
      </w:pPr>
      <w:r>
        <w:rPr>
          <w:rFonts w:ascii="Ashland;sans-serif" w:hAnsi="Ashland;sans-serif"/>
          <w:color w:val="000000"/>
          <w:sz w:val="20"/>
        </w:rPr>
        <w:t>The minimum required consolidated interest coverage ratio under the 2026 Credit Agreement is 3.0. The 2026 Credit Agreement defines the consolidated interest coverage ratio as the ratio of Covenant Adjusted EBITDA to consolidated interest charges for any measurement period. At June 30, 2026, Ashland’s calculation of the consolidated interest coverage ratio was 6.9.</w:t>
      </w:r>
    </w:p>
    <w:p>
      <w:pPr>
        <w:pStyle w:val="TextBody"/>
        <w:bidi w:val="0"/>
        <w:spacing w:before="0" w:after="120"/>
        <w:jc w:val="both"/>
        <w:rPr>
          <w:rFonts w:ascii="Ashland;sans-serif" w:hAnsi="Ashland;sans-serif"/>
          <w:color w:val="000000"/>
          <w:sz w:val="20"/>
        </w:rPr>
      </w:pPr>
      <w:r>
        <w:rPr>
          <w:rFonts w:ascii="Ashland;sans-serif" w:hAnsi="Ashland;sans-serif"/>
          <w:color w:val="000000"/>
          <w:sz w:val="20"/>
        </w:rPr>
        <w:t>Any change in Covenant Adjusted EBITDA of $100 million would have an approximate 0.5x effect on the consolidated net leverage ratio and a 1.7x effect on the consolidated interest coverage ratio. The change in consolidated indebtedness of $100 million would affect the consolidated leverage ratio by approximately 0.2x.</w:t>
      </w:r>
    </w:p>
    <w:p>
      <w:pPr>
        <w:pStyle w:val="TextBody"/>
        <w:bidi w:val="0"/>
        <w:spacing w:before="0" w:after="120"/>
        <w:jc w:val="both"/>
        <w:rPr>
          <w:rFonts w:ascii="Ashland;sans-serif" w:hAnsi="Ashland;sans-serif"/>
          <w:b/>
          <w:color w:val="000000"/>
          <w:sz w:val="20"/>
        </w:rPr>
      </w:pPr>
      <w:r>
        <w:rPr>
          <w:rFonts w:ascii="Ashland;sans-serif" w:hAnsi="Ashland;sans-serif"/>
          <w:b/>
          <w:color w:val="000000"/>
          <w:sz w:val="20"/>
        </w:rPr>
        <w:t>Additional capital resources</w:t>
      </w:r>
    </w:p>
    <w:p>
      <w:pPr>
        <w:pStyle w:val="TextBody"/>
        <w:bidi w:val="0"/>
        <w:jc w:val="both"/>
        <w:rPr>
          <w:rFonts w:ascii="Ashland;sans-serif" w:hAnsi="Ashland;sans-serif"/>
          <w:i/>
          <w:color w:val="000000"/>
          <w:sz w:val="20"/>
        </w:rPr>
      </w:pPr>
      <w:r>
        <w:rPr>
          <w:rFonts w:ascii="Ashland;sans-serif" w:hAnsi="Ashland;sans-serif"/>
          <w:i/>
          <w:color w:val="000000"/>
          <w:sz w:val="20"/>
        </w:rPr>
        <w:t>Total equity</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Total equity decreased by $34 million since September 30, 2025 to $1,870 million at June 30, 2026. The decrease of $34 million was due to dividends of $57 million, $6 million of translation losses and $2 million for unrealized losses on commodity hedges partially offset by $11 million of common stock issued and $20 million of net income.</w:t>
      </w:r>
    </w:p>
    <w:p>
      <w:pPr>
        <w:pStyle w:val="TextBody"/>
        <w:bidi w:val="0"/>
        <w:spacing w:before="120" w:after="283"/>
        <w:jc w:val="both"/>
        <w:rPr>
          <w:rFonts w:ascii="Ashland;sans-serif" w:hAnsi="Ashland;sans-serif"/>
          <w:i/>
          <w:color w:val="000000"/>
          <w:sz w:val="20"/>
        </w:rPr>
      </w:pPr>
      <w:r>
        <w:rPr>
          <w:rFonts w:ascii="Ashland;sans-serif" w:hAnsi="Ashland;sans-serif"/>
          <w:i/>
          <w:color w:val="000000"/>
          <w:sz w:val="20"/>
        </w:rPr>
        <w:t>2023 Stock Repurchase program</w:t>
      </w:r>
    </w:p>
    <w:p>
      <w:pPr>
        <w:pStyle w:val="TextBody"/>
        <w:bidi w:val="0"/>
        <w:spacing w:before="120" w:after="120"/>
        <w:jc w:val="both"/>
        <w:rPr>
          <w:rFonts w:ascii="Ashland;sans-serif" w:hAnsi="Ashland;sans-serif"/>
          <w:color w:val="000000"/>
          <w:sz w:val="20"/>
        </w:rPr>
      </w:pPr>
      <w:r>
        <w:rPr>
          <w:rFonts w:ascii="Ashland;sans-serif" w:hAnsi="Ashland;sans-serif"/>
          <w:color w:val="000000"/>
          <w:sz w:val="20"/>
        </w:rPr>
        <w:t>On June 28, 2023, Ashland's board of directors authorized a new evergreen $1 billion common share repurchase program ("2023 Stock Repurchase Program"). As of June 30, 2026, $520 million remained available for repurchase under the 2023 Stock Repurchase Program.</w:t>
      </w:r>
    </w:p>
    <w:p>
      <w:pPr>
        <w:pStyle w:val="TextBody"/>
        <w:bidi w:val="0"/>
        <w:spacing w:before="0" w:after="40"/>
        <w:jc w:val="both"/>
        <w:rPr>
          <w:rFonts w:ascii="Ashland;sans-serif" w:hAnsi="Ashland;sans-serif"/>
          <w:i/>
          <w:color w:val="000000"/>
          <w:sz w:val="20"/>
        </w:rPr>
      </w:pPr>
      <w:r>
        <w:rPr>
          <w:rFonts w:ascii="Ashland;sans-serif" w:hAnsi="Ashland;sans-serif"/>
          <w:i/>
          <w:color w:val="000000"/>
          <w:sz w:val="20"/>
        </w:rPr>
        <w:t>Stock repurchase program agreements</w:t>
      </w:r>
    </w:p>
    <w:p>
      <w:pPr>
        <w:pStyle w:val="TextBody"/>
        <w:bidi w:val="0"/>
        <w:spacing w:before="120" w:after="283"/>
        <w:jc w:val="center"/>
        <w:rPr>
          <w:rFonts w:ascii="Ashland;sans-serif" w:hAnsi="Ashland;sans-serif"/>
          <w:color w:val="000000"/>
          <w:sz w:val="20"/>
        </w:rPr>
      </w:pPr>
      <w:r>
        <w:rPr>
          <w:rFonts w:ascii="Ashland;sans-serif" w:hAnsi="Ashland;sans-serif"/>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Ashland;sans-serif" w:hAnsi="Ashland;sans-serif"/>
          <w:color w:val="000000"/>
          <w:sz w:val="20"/>
        </w:rPr>
      </w:pPr>
      <w:r>
        <w:rPr>
          <w:rFonts w:ascii="Ashland;sans-serif" w:hAnsi="Ashland;sans-serif"/>
          <w:color w:val="000000"/>
          <w:sz w:val="20"/>
        </w:rPr>
        <w:t>The following table provides the common stock repurchase activity:</w:t>
      </w:r>
    </w:p>
    <w:tbl>
      <w:tblPr>
        <w:tblW w:w="7871" w:type="dxa"/>
        <w:jc w:val="left"/>
        <w:tblInd w:w="0" w:type="dxa"/>
        <w:tblLayout w:type="fixed"/>
        <w:tblCellMar>
          <w:top w:w="28" w:type="dxa"/>
          <w:left w:w="28" w:type="dxa"/>
          <w:bottom w:w="28" w:type="dxa"/>
          <w:right w:w="28" w:type="dxa"/>
        </w:tblCellMar>
      </w:tblPr>
      <w:tblGrid>
        <w:gridCol w:w="3361"/>
        <w:gridCol w:w="146"/>
        <w:gridCol w:w="314"/>
        <w:gridCol w:w="480"/>
        <w:gridCol w:w="202"/>
        <w:gridCol w:w="202"/>
        <w:gridCol w:w="314"/>
        <w:gridCol w:w="480"/>
        <w:gridCol w:w="146"/>
        <w:gridCol w:w="146"/>
        <w:gridCol w:w="246"/>
        <w:gridCol w:w="376"/>
        <w:gridCol w:w="159"/>
        <w:gridCol w:w="159"/>
        <w:gridCol w:w="246"/>
        <w:gridCol w:w="703"/>
        <w:gridCol w:w="191"/>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6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92"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Three months ended</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89"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Nine months ended</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(In millions, except per share data)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2026</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2026</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Number of shares repurchased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shland;sans-serif" w:hAnsi="Ashland;sans-serif"/>
                <w:color w:val="000000"/>
                <w:sz w:val="18"/>
              </w:rPr>
              <w:t>Weighted-average price per share</w:t>
            </w:r>
            <w:r>
              <w:rPr>
                <w:rFonts w:ascii="Ashland;sans-serif" w:hAnsi="Ashland;sans-serif"/>
                <w:color w:val="000000"/>
                <w:sz w:val="12"/>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64.90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shland;sans-serif" w:hAnsi="Ashland;sans-serif"/>
                <w:color w:val="000000"/>
                <w:sz w:val="18"/>
              </w:rPr>
              <w:t>Aggregate purchase price</w:t>
            </w:r>
            <w:r>
              <w:rPr>
                <w:rFonts w:ascii="Ashland;sans-serif" w:hAnsi="Ashland;sans-serif"/>
                <w:color w:val="000000"/>
                <w:sz w:val="12"/>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100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(a)</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Includes transaction costs.</w:t>
      </w:r>
    </w:p>
    <w:p>
      <w:pPr>
        <w:pStyle w:val="TextBody"/>
        <w:bidi w:val="0"/>
        <w:spacing w:before="120" w:after="283"/>
        <w:jc w:val="both"/>
        <w:rPr>
          <w:rFonts w:ascii="Ashland;sans-serif" w:hAnsi="Ashland;sans-serif"/>
          <w:i/>
          <w:color w:val="000000"/>
          <w:sz w:val="20"/>
        </w:rPr>
      </w:pPr>
      <w:r>
        <w:rPr>
          <w:rFonts w:ascii="Ashland;sans-serif" w:hAnsi="Ashland;sans-serif"/>
          <w:i/>
          <w:color w:val="000000"/>
          <w:sz w:val="20"/>
        </w:rPr>
        <w:t>Stockholder dividends</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On May 5, 2026, Ashland's Board declared a quarterly cash dividend of 42.0 cents per share on the company's common stock representing a 1% increase from the previous quarter. The dividend was paid in the third quarter of fiscal 2026. Dividends of 41.5 cents per share were paid in the first and second quarters of fiscal 2026, and the third and fourth quarters of fiscal 2025. Dividends of 40.5 cents per share were paid in both the first and second quarters of fiscal 2025.</w:t>
      </w:r>
    </w:p>
    <w:p>
      <w:pPr>
        <w:pStyle w:val="TextBody"/>
        <w:bidi w:val="0"/>
        <w:spacing w:before="120" w:after="283"/>
        <w:jc w:val="both"/>
        <w:rPr>
          <w:rFonts w:ascii="Times New Roman" w:hAnsi="Times New Roman"/>
          <w:sz w:val="20"/>
        </w:rPr>
      </w:pPr>
      <w:r>
        <w:rPr>
          <w:rFonts w:ascii="Ashland;sans-serif" w:hAnsi="Ashland;sans-serif"/>
          <w:i/>
          <w:color w:val="000000"/>
          <w:sz w:val="20"/>
        </w:rPr>
        <w:t>Capital</w:t>
      </w:r>
      <w:r>
        <w:rPr>
          <w:rFonts w:ascii="Times New Roman" w:hAnsi="Times New Roman"/>
          <w:color w:val="000000"/>
          <w:sz w:val="20"/>
        </w:rPr>
        <w:t xml:space="preserve"> </w:t>
      </w:r>
      <w:r>
        <w:rPr>
          <w:rFonts w:ascii="Ashland;sans-serif" w:hAnsi="Ashland;sans-serif"/>
          <w:i/>
          <w:color w:val="000000"/>
          <w:sz w:val="20"/>
        </w:rPr>
        <w:t>expenditures</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Capital expenditures were $51 million for the nine months ended June 30, 2026, compared to $64 million for the nine months ended June 30, 2025.</w:t>
      </w:r>
    </w:p>
    <w:p>
      <w:pPr>
        <w:pStyle w:val="TextBody"/>
        <w:bidi w:val="0"/>
        <w:spacing w:before="120" w:after="283"/>
        <w:jc w:val="both"/>
        <w:rPr>
          <w:rFonts w:ascii="Ashland;sans-serif" w:hAnsi="Ashland;sans-serif"/>
          <w:b/>
          <w:color w:val="000000"/>
          <w:sz w:val="20"/>
        </w:rPr>
      </w:pPr>
      <w:r>
        <w:rPr>
          <w:rFonts w:ascii="Ashland;sans-serif" w:hAnsi="Ashland;sans-serif"/>
          <w:b/>
          <w:color w:val="000000"/>
          <w:sz w:val="20"/>
        </w:rPr>
        <w:t>CRITICAL ACCOUNTING POLICIES</w:t>
      </w:r>
    </w:p>
    <w:p>
      <w:pPr>
        <w:pStyle w:val="TextBody"/>
        <w:bidi w:val="0"/>
        <w:spacing w:before="120" w:after="120"/>
        <w:jc w:val="both"/>
        <w:rPr>
          <w:rFonts w:ascii="Ashland;sans-serif" w:hAnsi="Ashland;sans-serif"/>
          <w:color w:val="000000"/>
          <w:sz w:val="20"/>
        </w:rPr>
      </w:pPr>
      <w:r>
        <w:rPr>
          <w:rFonts w:ascii="Ashland;sans-serif" w:hAnsi="Ashland;sans-serif"/>
          <w:color w:val="000000"/>
          <w:sz w:val="20"/>
        </w:rPr>
        <w:t>The preparation of Ashland’s Condensed Consolidated Financial Statements in conformity with U.S. GAAP requires management to make estimates and assumptions that affect the reported amounts of assets, liabilities, sales and expenses, and the disclosures of contingent assets and liabilities. Significant items that are subject to such estimates and assumptions include, but are not limited to, environmental remediation, asbestos litigation, the accounting for goodwill and other indefinite-lived intangible assets and income taxes. These accounting policies are discussed in detail in “Management’s Discussion and Analysis – Critical Accounting Policies” in Ashland’s Annual Report on Form 10-K for the fiscal year ended September 30, 2025. Although management bases its estimates on historical experience and various other assumptions that are believed to be reasonable under the circumstances, actual results could differ significantly from the estimates under different assumptions or conditions. Management has reviewed the estimates affecting these items with the Audit Committee of Ashland’s Board of Directors. No material changes have been made to the valuation techniques during the three and nine months ended June 30, 2026.</w:t>
      </w:r>
    </w:p>
    <w:p>
      <w:pPr>
        <w:pStyle w:val="TextBody"/>
        <w:bidi w:val="0"/>
        <w:spacing w:before="0" w:after="120"/>
        <w:jc w:val="both"/>
        <w:rPr>
          <w:rFonts w:ascii="Ashland;sans-serif" w:hAnsi="Ashland;sans-serif"/>
          <w:b/>
          <w:color w:val="000000"/>
          <w:sz w:val="20"/>
        </w:rPr>
      </w:pPr>
      <w:r>
        <w:rPr>
          <w:rFonts w:ascii="Ashland;sans-serif" w:hAnsi="Ashland;sans-serif"/>
          <w:b/>
          <w:color w:val="000000"/>
          <w:sz w:val="20"/>
        </w:rPr>
        <w:t>OUTLOOK</w:t>
      </w:r>
    </w:p>
    <w:p>
      <w:pPr>
        <w:pStyle w:val="TextBody"/>
        <w:bidi w:val="0"/>
        <w:spacing w:before="0" w:after="120"/>
        <w:jc w:val="both"/>
        <w:rPr>
          <w:rFonts w:ascii="Ashland;sans-serif" w:hAnsi="Ashland;sans-serif"/>
          <w:color w:val="000000"/>
          <w:sz w:val="20"/>
        </w:rPr>
      </w:pPr>
      <w:r>
        <w:rPr>
          <w:rFonts w:ascii="Ashland;sans-serif" w:hAnsi="Ashland;sans-serif"/>
          <w:color w:val="000000"/>
          <w:sz w:val="20"/>
        </w:rPr>
        <w:t>Ashland is reaffirming its full year fiscal 2026 sales guidance of $1,835 to $1,870 million and its Adjusted EBITDA guidance of $385 to $400 million. Ashland is also revising its adjusted EPS outlook to low-to-mid-single digit growth from mid-to-high-single digit growth, reflecting a higher tax rate associated with unfavorable discrete items. The outlook reflects continued growth across the portfolio, ongoing momentum in higher value applications, increasing realization of recent pricing actions and strong cash generation.</w:t>
      </w:r>
    </w:p>
    <w:p>
      <w:pPr>
        <w:pStyle w:val="TextBody"/>
        <w:bidi w:val="0"/>
        <w:spacing w:before="0" w:after="120"/>
        <w:jc w:val="both"/>
        <w:rPr>
          <w:rFonts w:ascii="Ashland;sans-serif" w:hAnsi="Ashland;sans-serif"/>
          <w:color w:val="000000"/>
          <w:sz w:val="20"/>
        </w:rPr>
      </w:pPr>
      <w:r>
        <w:rPr>
          <w:rFonts w:ascii="Ashland;sans-serif" w:hAnsi="Ashland;sans-serif"/>
          <w:color w:val="000000"/>
          <w:sz w:val="20"/>
        </w:rPr>
        <w:t>Despite a mixed macroeconomic backdrop, Ashland’s core Life Sciences and Personal Care end markets continue to demonstrate resilient demand, supported by stable fundamentals, continued innovation adoption from customers and strong commercial execution. Specialty Additives trends continue to improve, driven by share gains in coatings and performance specialties.</w:t>
      </w:r>
    </w:p>
    <w:p>
      <w:pPr>
        <w:pStyle w:val="TextBody"/>
        <w:bidi w:val="0"/>
        <w:spacing w:before="0" w:after="120"/>
        <w:jc w:val="both"/>
        <w:rPr>
          <w:rFonts w:ascii="Times New Roman" w:hAnsi="Times New Roman"/>
          <w:sz w:val="20"/>
        </w:rPr>
      </w:pPr>
      <w:r>
        <w:rPr>
          <w:rFonts w:ascii="Ashland;sans-serif" w:hAnsi="Ashland;sans-serif"/>
          <w:color w:val="000000"/>
          <w:sz w:val="20"/>
        </w:rPr>
        <w:t>Ashland continues to benefit from growth in differentiated, higher value applications, including biofunctional actives, microbial protection, injectables and tablet coatings. Recent pricing actions are contributing to results and are expected to provide greater benefit in the fourth quarter as realization increases. Raw material and</w:t>
      </w:r>
      <w:r>
        <w:rPr>
          <w:rFonts w:ascii="Times New Roman" w:hAnsi="Times New Roman"/>
          <w:color w:val="000000"/>
          <w:sz w:val="20"/>
        </w:rPr>
        <w:t xml:space="preserve"> </w:t>
      </w:r>
    </w:p>
    <w:p>
      <w:pPr>
        <w:pStyle w:val="TextBody"/>
        <w:bidi w:val="0"/>
        <w:spacing w:before="120" w:after="283"/>
        <w:jc w:val="center"/>
        <w:rPr>
          <w:rFonts w:ascii="Ashland;sans-serif" w:hAnsi="Ashland;sans-serif"/>
          <w:color w:val="000000"/>
          <w:sz w:val="20"/>
        </w:rPr>
      </w:pPr>
      <w:r>
        <w:rPr>
          <w:rFonts w:ascii="Ashland;sans-serif" w:hAnsi="Ashland;sans-serif"/>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Ashland;sans-serif" w:hAnsi="Ashland;sans-serif"/>
          <w:color w:val="000000"/>
          <w:sz w:val="20"/>
        </w:rPr>
      </w:pPr>
      <w:r>
        <w:rPr>
          <w:rFonts w:ascii="Ashland;sans-serif" w:hAnsi="Ashland;sans-serif"/>
          <w:color w:val="000000"/>
          <w:sz w:val="20"/>
        </w:rPr>
        <w:t>freight costs are expected to remain elevated amid geopolitical supply pressures, although Ashland expects pricing actions to offset these impacts over time.</w:t>
      </w:r>
    </w:p>
    <w:p>
      <w:pPr>
        <w:pStyle w:val="TextBody"/>
        <w:bidi w:val="0"/>
        <w:spacing w:before="0" w:after="120"/>
        <w:jc w:val="both"/>
        <w:rPr>
          <w:rFonts w:ascii="Ashland;sans-serif" w:hAnsi="Ashland;sans-serif"/>
          <w:b/>
          <w:color w:val="000000"/>
          <w:sz w:val="20"/>
        </w:rPr>
      </w:pPr>
      <w:r>
        <w:rPr>
          <w:rFonts w:ascii="Ashland;sans-serif" w:hAnsi="Ashland;sans-serif"/>
          <w:b/>
          <w:color w:val="000000"/>
          <w:sz w:val="20"/>
        </w:rPr>
        <w:t>Updated guidance</w:t>
      </w:r>
    </w:p>
    <w:p>
      <w:pPr>
        <w:pStyle w:val="TextBody"/>
        <w:bidi w:val="0"/>
        <w:spacing w:before="0" w:after="0"/>
        <w:jc w:val="both"/>
        <w:rPr>
          <w:color w:val="000000"/>
        </w:rPr>
      </w:pPr>
      <w:r>
        <w:rPr>
          <w:color w:val="000000"/>
        </w:rPr>
        <w:t>•</w:t>
      </w:r>
    </w:p>
    <w:p>
      <w:pPr>
        <w:pStyle w:val="TextBody"/>
        <w:bidi w:val="0"/>
        <w:spacing w:before="0" w:after="0"/>
        <w:jc w:val="both"/>
        <w:rPr/>
      </w:pPr>
      <w:r>
        <w:rPr>
          <w:rFonts w:ascii="Ashland;sans-serif" w:hAnsi="Ashland;sans-serif"/>
          <w:b/>
          <w:color w:val="000000"/>
          <w:sz w:val="20"/>
        </w:rPr>
        <w:t>Sales:</w:t>
      </w:r>
      <w:r>
        <w:rPr>
          <w:color w:val="000000"/>
        </w:rPr>
        <w:t xml:space="preserve"> </w:t>
      </w:r>
      <w:r>
        <w:rPr>
          <w:rFonts w:ascii="Ashland;sans-serif" w:hAnsi="Ashland;sans-serif"/>
          <w:color w:val="000000"/>
          <w:sz w:val="20"/>
        </w:rPr>
        <w:t>$1,835 to $1,870 million (no change)</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shland;sans-serif" w:hAnsi="Ashland;sans-serif"/>
          <w:b/>
          <w:color w:val="000000"/>
          <w:sz w:val="20"/>
        </w:rPr>
        <w:t>Adjusted EBITDA:</w:t>
      </w:r>
      <w:r>
        <w:rPr>
          <w:color w:val="000000"/>
        </w:rPr>
        <w:t xml:space="preserve"> </w:t>
      </w:r>
      <w:r>
        <w:rPr>
          <w:rFonts w:ascii="Ashland;sans-serif" w:hAnsi="Ashland;sans-serif"/>
          <w:color w:val="000000"/>
          <w:sz w:val="20"/>
        </w:rPr>
        <w:t>$385 million to $400 million (no change)</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shland;sans-serif" w:hAnsi="Ashland;sans-serif"/>
          <w:b/>
          <w:color w:val="000000"/>
          <w:sz w:val="20"/>
        </w:rPr>
        <w:t>Adjusted Diluted Earnings Per Share Excluding Intangibles Amortization:</w:t>
      </w:r>
      <w:r>
        <w:rPr>
          <w:color w:val="000000"/>
        </w:rPr>
        <w:t xml:space="preserve"> </w:t>
      </w:r>
      <w:r>
        <w:rPr>
          <w:rFonts w:ascii="Ashland;sans-serif" w:hAnsi="Ashland;sans-serif"/>
          <w:color w:val="000000"/>
          <w:sz w:val="20"/>
        </w:rPr>
        <w:t>low-to-mid single-digit growth</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shland;sans-serif" w:hAnsi="Ashland;sans-serif"/>
          <w:b/>
          <w:color w:val="000000"/>
          <w:sz w:val="20"/>
        </w:rPr>
        <w:t>Ongoing Free Cash Flow Conversion:</w:t>
      </w:r>
      <w:r>
        <w:rPr>
          <w:color w:val="000000"/>
        </w:rPr>
        <w:t xml:space="preserve"> </w:t>
      </w:r>
      <w:r>
        <w:rPr>
          <w:rFonts w:ascii="Ashland;sans-serif" w:hAnsi="Ashland;sans-serif"/>
          <w:color w:val="000000"/>
          <w:sz w:val="20"/>
        </w:rPr>
        <w:t>greater than 50 percent of Adjusted EBITDA with capital expenditures of approximately $~90 million</w:t>
      </w:r>
    </w:p>
    <w:p>
      <w:pPr>
        <w:pStyle w:val="TextBody"/>
        <w:bidi w:val="0"/>
        <w:spacing w:before="120" w:after="283"/>
        <w:jc w:val="center"/>
        <w:rPr>
          <w:rFonts w:ascii="Ashland;sans-serif" w:hAnsi="Ashland;sans-serif"/>
          <w:color w:val="000000"/>
          <w:sz w:val="20"/>
        </w:rPr>
      </w:pPr>
      <w:r>
        <w:rPr>
          <w:rFonts w:ascii="Ashland;sans-serif" w:hAnsi="Ashland;sans-serif"/>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shland;sans-serif" w:hAnsi="Ashland;sans-serif"/>
          <w:b/>
          <w:color w:val="000000"/>
          <w:sz w:val="20"/>
        </w:rPr>
      </w:pPr>
      <w:r>
        <w:rPr>
          <w:rFonts w:ascii="Ashland;sans-serif" w:hAnsi="Ashland;sans-serif"/>
          <w:b/>
          <w:color w:val="000000"/>
          <w:sz w:val="20"/>
        </w:rPr>
        <w:t>ITEM 3. QUANTITATIVE AND QUALITATIVE DISCLOSURES ABOUT MARKET RISK</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Ashland’s market risk exposure at June 30, 2026 is generally consistent with the types of market risk exposures presented in Ashland’s Annual Report on Form 10-K for the fiscal year ended September 30, 2025.</w:t>
      </w:r>
    </w:p>
    <w:p>
      <w:pPr>
        <w:pStyle w:val="TextBody"/>
        <w:bidi w:val="0"/>
        <w:spacing w:before="120" w:after="283"/>
        <w:jc w:val="both"/>
        <w:rPr>
          <w:rFonts w:ascii="Ashland;sans-serif" w:hAnsi="Ashland;sans-serif"/>
          <w:b/>
          <w:color w:val="000000"/>
          <w:sz w:val="20"/>
        </w:rPr>
      </w:pPr>
      <w:r>
        <w:rPr>
          <w:rFonts w:ascii="Ashland;sans-serif" w:hAnsi="Ashland;sans-serif"/>
          <w:b/>
          <w:color w:val="000000"/>
          <w:sz w:val="20"/>
        </w:rPr>
        <w:t>ITEM 4. CONTROLS AND PROCEDURES</w:t>
      </w:r>
    </w:p>
    <w:p>
      <w:pPr>
        <w:pStyle w:val="TextBody"/>
        <w:bidi w:val="0"/>
        <w:spacing w:before="120" w:after="283"/>
        <w:jc w:val="both"/>
        <w:rPr>
          <w:rFonts w:ascii="Times New Roman" w:hAnsi="Times New Roman"/>
          <w:sz w:val="20"/>
        </w:rPr>
      </w:pPr>
      <w:r>
        <w:rPr>
          <w:rFonts w:ascii="Ashland;sans-serif" w:hAnsi="Ashland;sans-serif"/>
          <w:i/>
          <w:color w:val="000000"/>
          <w:sz w:val="20"/>
        </w:rPr>
        <w:t xml:space="preserve">Disclosure Controls and Procedures </w:t>
      </w:r>
      <w:r>
        <w:rPr>
          <w:rFonts w:ascii="Ashland;sans-serif" w:hAnsi="Ashland;sans-serif"/>
          <w:color w:val="000000"/>
          <w:sz w:val="20"/>
        </w:rPr>
        <w:t>- As of the end of the period covered by this quarterly report, Ashland, under the supervision and with the participation of its management, including Ashland’s Chief Executive Officer and its Chief Financial Officer, evaluated the effectiveness of Ashland’s disclosure controls and procedures pursuant to Rule 13a-15(b) and 15d-15(b) promulgated under the Securities Exchange Act of 1934, as amended. Based upon that evaluation, the Chief Executive Officer and Chief Financial Officer concluded that the disclosure controls and procedures were effective as of June 30, 2026.</w:t>
      </w:r>
    </w:p>
    <w:p>
      <w:pPr>
        <w:pStyle w:val="TextBody"/>
        <w:bidi w:val="0"/>
        <w:spacing w:before="120" w:after="283"/>
        <w:jc w:val="both"/>
        <w:rPr>
          <w:rFonts w:ascii="Times New Roman" w:hAnsi="Times New Roman"/>
          <w:sz w:val="20"/>
        </w:rPr>
      </w:pPr>
      <w:r>
        <w:rPr>
          <w:rFonts w:ascii="Ashland;sans-serif" w:hAnsi="Ashland;sans-serif"/>
          <w:i/>
          <w:color w:val="000000"/>
          <w:sz w:val="20"/>
        </w:rPr>
        <w:t xml:space="preserve">Changes in Internal Control over Financial Reporting </w:t>
      </w:r>
      <w:r>
        <w:rPr>
          <w:rFonts w:ascii="Ashland;sans-serif" w:hAnsi="Ashland;sans-serif"/>
          <w:color w:val="000000"/>
          <w:sz w:val="20"/>
        </w:rPr>
        <w:t>- During the nine months ended June 30, 2026, there were no significant changes in Ashland's internal control over financial reporting, or in other factors, that occurred during the period covered by this quarterly report that have materially affected, or are reasonably likely to materially affect, Ashland's internal control over financial reporting.</w:t>
      </w:r>
    </w:p>
    <w:p>
      <w:pPr>
        <w:pStyle w:val="TextBody"/>
        <w:bidi w:val="0"/>
        <w:spacing w:before="120" w:after="283"/>
        <w:jc w:val="center"/>
        <w:rPr>
          <w:rFonts w:ascii="Ashland;sans-serif" w:hAnsi="Ashland;sans-serif"/>
          <w:color w:val="000000"/>
          <w:sz w:val="20"/>
        </w:rPr>
      </w:pPr>
      <w:r>
        <w:rPr>
          <w:rFonts w:ascii="Ashland;sans-serif" w:hAnsi="Ashland;sans-serif"/>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shland;sans-serif" w:hAnsi="Ashland;sans-serif"/>
          <w:b/>
          <w:color w:val="000000"/>
          <w:sz w:val="22"/>
        </w:rPr>
      </w:pPr>
      <w:r>
        <w:rPr>
          <w:rFonts w:ascii="Ashland;sans-serif" w:hAnsi="Ashland;sans-serif"/>
          <w:b/>
          <w:color w:val="000000"/>
          <w:sz w:val="22"/>
        </w:rPr>
        <w:t>PART II – OTHER INFORMATION</w:t>
      </w:r>
    </w:p>
    <w:p>
      <w:pPr>
        <w:pStyle w:val="TextBody"/>
        <w:bidi w:val="0"/>
        <w:spacing w:before="120" w:after="283"/>
        <w:jc w:val="both"/>
        <w:rPr>
          <w:rFonts w:ascii="Ashland;sans-serif" w:hAnsi="Ashland;sans-serif"/>
          <w:b/>
          <w:color w:val="000000"/>
          <w:sz w:val="20"/>
        </w:rPr>
      </w:pPr>
      <w:r>
        <w:rPr>
          <w:rFonts w:ascii="Ashland;sans-serif" w:hAnsi="Ashland;sans-serif"/>
          <w:b/>
          <w:color w:val="000000"/>
          <w:sz w:val="20"/>
        </w:rPr>
        <w:t>ITEM 1. LEGAL PROCEEDINGS</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The following is a description of Ashland’s material legal proceedings. Ashland’s threshold for disclosing material environmental legal proceedings involving a governmental authority where potential monetary sanctions are involved is $1 million.</w:t>
      </w:r>
    </w:p>
    <w:p>
      <w:pPr>
        <w:pStyle w:val="TextBody"/>
        <w:bidi w:val="0"/>
        <w:spacing w:before="120" w:after="283"/>
        <w:jc w:val="both"/>
        <w:rPr>
          <w:rFonts w:ascii="Ashland;sans-serif" w:hAnsi="Ashland;sans-serif"/>
          <w:b/>
          <w:i/>
          <w:color w:val="000000"/>
          <w:sz w:val="20"/>
        </w:rPr>
      </w:pPr>
      <w:r>
        <w:rPr>
          <w:rFonts w:ascii="Ashland;sans-serif" w:hAnsi="Ashland;sans-serif"/>
          <w:b/>
          <w:i/>
          <w:color w:val="000000"/>
          <w:sz w:val="20"/>
        </w:rPr>
        <w:t>Asbestos-Related Litigation</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Ashland is subject to liabilities from claims alleging personal injury caused by exposure to asbestos. Such claims result primarily from indemnification obligations undertaken in 1990 in connection with the sale of Riley Stoker Corporation (Riley), a former subsidiary. Although Riley was neither a producer nor a manufacturer of asbestos, its industrial boilers contained some asbestos-containing components provided by other companies.</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Hercules LLC (formerly Hercules Incorporated), an indirect wholly-owned subsidiary of Ashland, is also subject to liabilities from asbestos-related personal injury lawsuits involving claims which typically arise from alleged exposure to asbestos fibers from resin encapsulated pipe and tank products which were sold by one of Hercules’ former subsidiaries to a limited industrial market.</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Ashland and Hercules are also defendants in lawsuits alleging exposure to asbestos at facilities formerly or presently owned or operated by Ashland or Hercules.</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For additional detailed information regarding liabilities arising from asbestos-related litigation, see Note L of the Notes to Condensed Consolidated Financial Statements in this quarterly report on Form 10-Q.</w:t>
      </w:r>
    </w:p>
    <w:p>
      <w:pPr>
        <w:pStyle w:val="TextBody"/>
        <w:bidi w:val="0"/>
        <w:spacing w:before="120" w:after="283"/>
        <w:jc w:val="both"/>
        <w:rPr>
          <w:rFonts w:ascii="Ashland;sans-serif" w:hAnsi="Ashland;sans-serif"/>
          <w:b/>
          <w:i/>
          <w:color w:val="000000"/>
          <w:sz w:val="20"/>
        </w:rPr>
      </w:pPr>
      <w:r>
        <w:rPr>
          <w:rFonts w:ascii="Ashland;sans-serif" w:hAnsi="Ashland;sans-serif"/>
          <w:b/>
          <w:i/>
          <w:color w:val="000000"/>
          <w:sz w:val="20"/>
        </w:rPr>
        <w:t>Environmental Proceedings</w:t>
      </w:r>
    </w:p>
    <w:p>
      <w:pPr>
        <w:pStyle w:val="TextBody"/>
        <w:bidi w:val="0"/>
        <w:spacing w:before="120" w:after="283"/>
        <w:jc w:val="both"/>
        <w:rPr>
          <w:rFonts w:ascii="Times New Roman" w:hAnsi="Times New Roman"/>
          <w:sz w:val="20"/>
        </w:rPr>
      </w:pPr>
      <w:r>
        <w:rPr>
          <w:rFonts w:ascii="Ashland;sans-serif" w:hAnsi="Ashland;sans-serif"/>
          <w:i/>
          <w:color w:val="000000"/>
          <w:sz w:val="20"/>
        </w:rPr>
        <w:t>(a) CERCLA and Similar State Law Sites -</w:t>
      </w:r>
      <w:r>
        <w:rPr>
          <w:rFonts w:ascii="Times New Roman" w:hAnsi="Times New Roman"/>
          <w:color w:val="000000"/>
          <w:sz w:val="20"/>
        </w:rPr>
        <w:t xml:space="preserve"> </w:t>
      </w:r>
      <w:r>
        <w:rPr>
          <w:rFonts w:ascii="Ashland;sans-serif" w:hAnsi="Ashland;sans-serif"/>
          <w:color w:val="000000"/>
          <w:sz w:val="20"/>
        </w:rPr>
        <w:t>Under the Comprehensive Environmental Response, Compensation and Liability Act of 1980 and similar state laws, Ashland and its subsidiaries may be subject to joint and several liability for cleanup costs in connection with alleged releases of hazardous substances at sites where it has been identified as a “potentially responsible party” (PRP). As of June 30, 2026, Ashland and its subsidiaries have been identified as a PRP by U.S. federal and state authorities, or by private parties seeking contribution, for the cost of environmental investigation and/or cleanup at 52 sites. These sites are currently subject to ongoing investigation and remedial activities, overseen by the United States Environmental Protection Agency (USEPA) or a state agency, in which Ashland or its subsidiaries are typically participating as a member of a PRP group. Generally, the types of relief sought include remediation of contaminated soil and/or groundwater, reimbursement for past costs of site cleanup and administrative oversight and/or long-term monitoring of environmental conditions at the sites. The ultimate costs are not predictable with assurance.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shland;sans-serif" w:hAnsi="Ashland;sans-serif"/>
          <w:i/>
          <w:color w:val="000000"/>
          <w:sz w:val="20"/>
        </w:rPr>
        <w:t>(b) Lower Passaic River, New Jersey Matters -</w:t>
      </w:r>
      <w:r>
        <w:rPr>
          <w:rFonts w:ascii="Times New Roman" w:hAnsi="Times New Roman"/>
          <w:color w:val="000000"/>
          <w:sz w:val="20"/>
        </w:rPr>
        <w:t xml:space="preserve"> </w:t>
      </w:r>
      <w:r>
        <w:rPr>
          <w:rFonts w:ascii="Ashland;sans-serif" w:hAnsi="Ashland;sans-serif"/>
          <w:color w:val="000000"/>
          <w:sz w:val="20"/>
        </w:rPr>
        <w:t>Ashland, through two formerly owned facilities, and ISP, through a now-closed facility, have been identified as PRPs, along with approximately 70 other companies (the Cooperating Parties Group or the CPG), in a May 2007 Administrative Order of Consent (AOOC) with the USEPA. The parties are required to perform a remedial investigation and feasibility study (RI/FS) of the entire 17 miles of the Passaic River. In June 2007, the USEPA separately commenced a Focused Feasibility Study (FFS) as an interim measure. In accordance with the 2007 AOOC, in June 2012 the CPG voluntarily entered into another AOOC for an interim removal action focused solely at mile 10.9 of the Passaic River. The allocations for the 2007 AOOC and the 2012 removal action are based on interim allocations, are immaterial and have been accrued. In April 2014, the USEPA released the FFS. The CPG submitted the Draft RI/FS Report on April 30, 2015. The USEPA has released the FFS Record of Decision for the lower 8 miles and reached an agreement with another chemical company to conduct and pay for the remedial design. This chemical company has sued Ashland, ISP and numerous other defendants to recover past and future costs pursuant to the CERCLA. Ashland and ISP participated in an USEPA allocation process that resulted in a partial settlement with the EPA. Possible future allocation proceedings are not expected to have a significant impact to Ashland.</w:t>
      </w:r>
    </w:p>
    <w:p>
      <w:pPr>
        <w:pStyle w:val="TextBody"/>
        <w:bidi w:val="0"/>
        <w:spacing w:before="120" w:after="283"/>
        <w:jc w:val="center"/>
        <w:rPr>
          <w:rFonts w:ascii="Ashland;sans-serif" w:hAnsi="Ashland;sans-serif"/>
          <w:color w:val="000000"/>
          <w:sz w:val="20"/>
        </w:rPr>
      </w:pPr>
      <w:r>
        <w:rPr>
          <w:rFonts w:ascii="Ashland;sans-serif" w:hAnsi="Ashland;sans-serif"/>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For additional information regarding environmental matters and reserves, see Note L of the Notes to Condensed Consolidated Financial Statements in this quarterly report on Form 10-Q.</w:t>
      </w:r>
    </w:p>
    <w:p>
      <w:pPr>
        <w:pStyle w:val="TextBody"/>
        <w:bidi w:val="0"/>
        <w:spacing w:before="120" w:after="283"/>
        <w:jc w:val="both"/>
        <w:rPr>
          <w:rFonts w:ascii="Ashland;sans-serif" w:hAnsi="Ashland;sans-serif"/>
          <w:b/>
          <w:i/>
          <w:color w:val="000000"/>
          <w:sz w:val="20"/>
        </w:rPr>
      </w:pPr>
      <w:r>
        <w:rPr>
          <w:rFonts w:ascii="Ashland;sans-serif" w:hAnsi="Ashland;sans-serif"/>
          <w:b/>
          <w:i/>
          <w:color w:val="000000"/>
          <w:sz w:val="20"/>
        </w:rPr>
        <w:t>Other Pending Legal Proceedings</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In addition to the matters described above, there are other various claims, lawsuits and administrative proceedings pending or threatened against Ashland and its current and former subsidiaries. Such actions are with respect to commercial matters, product liability, toxic tort liability and other environmental matters which seek remedies or damages, some of which are for substantial amounts. While Ashland cannot predict with certainty the outcome of such actions, it believes that adequate reserves have been recorded as of June 30, 2026. There is a reasonable possibility that a loss exceeding amounts already recognized may be incurred related to these actions; however, Ashland believes that such potential losses were immaterial as of June 30, 2026.</w:t>
      </w:r>
    </w:p>
    <w:p>
      <w:pPr>
        <w:pStyle w:val="TextBody"/>
        <w:bidi w:val="0"/>
        <w:spacing w:before="120" w:after="283"/>
        <w:jc w:val="both"/>
        <w:rPr>
          <w:rFonts w:ascii="Ashland;sans-serif" w:hAnsi="Ashland;sans-serif"/>
          <w:b/>
          <w:color w:val="000000"/>
          <w:sz w:val="20"/>
        </w:rPr>
      </w:pPr>
      <w:r>
        <w:rPr>
          <w:rFonts w:ascii="Ashland;sans-serif" w:hAnsi="Ashland;sans-serif"/>
          <w:b/>
          <w:color w:val="000000"/>
          <w:sz w:val="20"/>
        </w:rPr>
        <w:t>ITEM 1A. RISK FACTORS</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During the period covered by this report, there were no material changes from the risk factors previously disclosed in Ashland’s Annual Report on Form 10-K for the fiscal year ended September 30, 2025.</w:t>
      </w:r>
    </w:p>
    <w:p>
      <w:pPr>
        <w:pStyle w:val="TextBody"/>
        <w:bidi w:val="0"/>
        <w:spacing w:before="120" w:after="283"/>
        <w:jc w:val="both"/>
        <w:rPr>
          <w:rFonts w:ascii="Ashland;sans-serif" w:hAnsi="Ashland;sans-serif"/>
          <w:b/>
          <w:color w:val="000000"/>
          <w:sz w:val="20"/>
        </w:rPr>
      </w:pPr>
      <w:r>
        <w:rPr>
          <w:rFonts w:ascii="Ashland;sans-serif" w:hAnsi="Ashland;sans-serif"/>
          <w:b/>
          <w:color w:val="000000"/>
          <w:sz w:val="20"/>
        </w:rPr>
        <w:t>ITEM 2. UNREGISTERED SALES OF EQUITY SECURITIES AND USE OF PROCEEDS</w:t>
      </w:r>
    </w:p>
    <w:p>
      <w:pPr>
        <w:pStyle w:val="TextBody"/>
        <w:bidi w:val="0"/>
        <w:spacing w:before="120" w:after="283"/>
        <w:jc w:val="both"/>
        <w:rPr>
          <w:rFonts w:ascii="Ashland;sans-serif" w:hAnsi="Ashland;sans-serif"/>
          <w:color w:val="000000"/>
          <w:sz w:val="20"/>
        </w:rPr>
      </w:pPr>
      <w:r>
        <w:rPr>
          <w:rFonts w:ascii="Ashland;sans-serif" w:hAnsi="Ashland;sans-serif"/>
          <w:color w:val="000000"/>
          <w:sz w:val="20"/>
        </w:rPr>
        <w:t>Share repurchase activity during the three months ended June 30, 2026 was as follow:</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830"/>
        <w:gridCol w:w="146"/>
        <w:gridCol w:w="391"/>
        <w:gridCol w:w="931"/>
        <w:gridCol w:w="146"/>
        <w:gridCol w:w="146"/>
        <w:gridCol w:w="575"/>
        <w:gridCol w:w="882"/>
        <w:gridCol w:w="146"/>
        <w:gridCol w:w="146"/>
        <w:gridCol w:w="422"/>
        <w:gridCol w:w="1005"/>
        <w:gridCol w:w="146"/>
        <w:gridCol w:w="146"/>
        <w:gridCol w:w="506"/>
        <w:gridCol w:w="1046"/>
        <w:gridCol w:w="595"/>
      </w:tblGrid>
      <w:tr>
        <w:trPr/>
        <w:tc>
          <w:tcPr>
            <w:tcW w:w="28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9610" w:type="dxa"/>
            <w:gridSpan w:val="1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Issuer Purchases of Equity Securities</w:t>
            </w:r>
          </w:p>
        </w:tc>
        <w:tc>
          <w:tcPr>
            <w:tcW w:w="59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Q3 Fiscal Periods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Total Number</w:t>
              <w:br/>
              <w:t>of Shares</w:t>
              <w:br/>
              <w:t>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Average Price</w:t>
              <w:br/>
              <w:t>Paid Per Share,</w:t>
              <w:br/>
              <w:t>including</w:t>
              <w:br/>
              <w:t>commission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8"/>
              </w:rPr>
            </w:pPr>
            <w:r>
              <w:rPr>
                <w:rFonts w:ascii="Ashland;sans-serif" w:hAnsi="Ashland;sans-serif"/>
                <w:color w:val="000000"/>
                <w:sz w:val="18"/>
              </w:rPr>
              <w:t>Total Number</w:t>
              <w:br/>
              <w:t>of Shares</w:t>
              <w:br/>
              <w:t>Purchased as</w:t>
              <w:br/>
              <w:t>Part of Publicly</w:t>
              <w:br/>
              <w:t>Announced</w:t>
              <w:br/>
              <w:t>Plans or</w:t>
              <w:br/>
              <w:t>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Ashland;sans-serif" w:hAnsi="Ashland;sans-serif"/>
                <w:color w:val="000000"/>
                <w:sz w:val="18"/>
              </w:rPr>
              <w:t>Dollar Value of</w:t>
              <w:br/>
              <w:t>Shares that May</w:t>
              <w:br/>
              <w:t>Be Purchased</w:t>
              <w:br/>
              <w:t>Under the Plans</w:t>
              <w:br/>
              <w:t>or Programs</w:t>
              <w:br/>
              <w:t>(in millions)</w:t>
            </w:r>
            <w:r>
              <w:rPr>
                <w:rFonts w:ascii="Ashland;sans-serif" w:hAnsi="Ashland;sans-serif"/>
                <w:color w:val="000000"/>
                <w:sz w:val="12"/>
              </w:rPr>
              <w:t>(a)</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0"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April 1, 2026 to April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520</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0"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May 1, 2026 to May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520</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0" w:type="dxa"/>
            <w:tcBorders/>
            <w:shd w:fill="CFF0FC"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June 1, 2026 to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520</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3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shland;sans-serif" w:hAnsi="Ashland;sans-serif"/>
                <w:color w:val="000000"/>
                <w:sz w:val="18"/>
              </w:rPr>
            </w:pPr>
            <w:r>
              <w:rPr>
                <w:rFonts w:ascii="Ashland;sans-serif" w:hAnsi="Ashland;sans-serif"/>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8"/>
              </w:rPr>
            </w:pPr>
            <w:r>
              <w:rPr>
                <w:rFonts w:ascii="Ashland;sans-serif" w:hAnsi="Ashland;sans-serif"/>
                <w:color w:val="000000"/>
                <w:sz w:val="18"/>
              </w:rPr>
              <w:t>$</w:t>
            </w:r>
          </w:p>
        </w:tc>
        <w:tc>
          <w:tcPr>
            <w:tcW w:w="10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8"/>
              </w:rPr>
            </w:pPr>
            <w:r>
              <w:rPr>
                <w:rFonts w:ascii="Ashland;sans-serif" w:hAnsi="Ashland;sans-serif"/>
                <w:color w:val="000000"/>
                <w:sz w:val="18"/>
              </w:rPr>
              <w:t>520</w:t>
            </w:r>
          </w:p>
        </w:tc>
        <w:tc>
          <w:tcPr>
            <w:tcW w:w="5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Ashland;sans-serif" w:hAnsi="Ashland;sans-serif"/>
          <w:color w:val="000000"/>
          <w:sz w:val="14"/>
        </w:rPr>
      </w:pPr>
      <w:r>
        <w:rPr>
          <w:rFonts w:ascii="Ashland;sans-serif" w:hAnsi="Ashland;sans-serif"/>
          <w:color w:val="000000"/>
          <w:sz w:val="14"/>
        </w:rPr>
        <w:t>(a)</w:t>
      </w:r>
    </w:p>
    <w:p>
      <w:pPr>
        <w:pStyle w:val="TextBody"/>
        <w:bidi w:val="0"/>
        <w:jc w:val="both"/>
        <w:rPr>
          <w:rFonts w:ascii="Ashland;sans-serif" w:hAnsi="Ashland;sans-serif"/>
          <w:color w:val="000000"/>
          <w:sz w:val="14"/>
        </w:rPr>
      </w:pPr>
      <w:r>
        <w:rPr>
          <w:rFonts w:ascii="Ashland;sans-serif" w:hAnsi="Ashland;sans-serif"/>
          <w:color w:val="000000"/>
          <w:sz w:val="14"/>
        </w:rPr>
        <w:t>On June 28, 2023, Ashland's board of directors authorized a new evergreen $1 billion common share repurchase program (2023 Stock Repurchase Program). The new authorization terminated and replaced the 2022 Stock Repurchase Program, which had $200 million outstanding at the date of termination. As of June 30, 2026, $520 million remained available for repurchase under this authorization.</w:t>
      </w:r>
    </w:p>
    <w:p>
      <w:pPr>
        <w:pStyle w:val="TextBody"/>
        <w:bidi w:val="0"/>
        <w:spacing w:before="120" w:after="283"/>
        <w:jc w:val="both"/>
        <w:rPr>
          <w:rFonts w:ascii="Ashland;sans-serif" w:hAnsi="Ashland;sans-serif"/>
          <w:b/>
          <w:color w:val="000000"/>
          <w:sz w:val="20"/>
        </w:rPr>
      </w:pPr>
      <w:r>
        <w:rPr>
          <w:rFonts w:ascii="Ashland;sans-serif" w:hAnsi="Ashland;sans-serif"/>
          <w:b/>
          <w:color w:val="000000"/>
          <w:sz w:val="20"/>
        </w:rPr>
        <w:t>ITEM 5. OTHER INFORMATION</w:t>
      </w:r>
    </w:p>
    <w:p>
      <w:pPr>
        <w:pStyle w:val="TextBody"/>
        <w:bidi w:val="0"/>
        <w:spacing w:before="120" w:after="120"/>
        <w:jc w:val="both"/>
        <w:rPr>
          <w:rFonts w:ascii="Ashland;sans-serif" w:hAnsi="Ashland;sans-serif"/>
          <w:b/>
          <w:color w:val="000000"/>
          <w:sz w:val="20"/>
        </w:rPr>
      </w:pPr>
      <w:r>
        <w:rPr>
          <w:rFonts w:ascii="Ashland;sans-serif" w:hAnsi="Ashland;sans-serif"/>
          <w:b/>
          <w:color w:val="000000"/>
          <w:sz w:val="20"/>
        </w:rPr>
        <w:t>Securities Trading Plans of Directors and Executive Officers</w:t>
      </w:r>
    </w:p>
    <w:p>
      <w:pPr>
        <w:pStyle w:val="TextBody"/>
        <w:bidi w:val="0"/>
        <w:jc w:val="both"/>
        <w:rPr>
          <w:rFonts w:ascii="Times New Roman" w:hAnsi="Times New Roman"/>
          <w:sz w:val="20"/>
        </w:rPr>
      </w:pPr>
      <w:r>
        <w:rPr>
          <w:rFonts w:ascii="Ashland;sans-serif" w:hAnsi="Ashland;sans-serif"/>
          <w:color w:val="000000"/>
          <w:sz w:val="20"/>
        </w:rPr>
        <w:t>On February 26, 2026, Dr. Osama M. Musa, Ashland’s Senior Vice President and Chief Technology Officer, entered</w:t>
      </w:r>
      <w:r>
        <w:rPr>
          <w:rFonts w:ascii="Times New Roman" w:hAnsi="Times New Roman"/>
          <w:color w:val="000000"/>
          <w:sz w:val="20"/>
        </w:rPr>
        <w:t xml:space="preserve"> </w:t>
      </w:r>
      <w:r>
        <w:rPr>
          <w:rFonts w:ascii="Ashland;sans-serif" w:hAnsi="Ashland;sans-serif"/>
          <w:color w:val="000000"/>
          <w:sz w:val="20"/>
        </w:rPr>
        <w:t>into a Rule 10b5-1 trading arrangement, to exercise up to an aggregate of 18,443</w:t>
      </w:r>
      <w:r>
        <w:rPr>
          <w:rFonts w:ascii="Times New Roman" w:hAnsi="Times New Roman"/>
          <w:color w:val="000000"/>
          <w:sz w:val="20"/>
        </w:rPr>
        <w:t xml:space="preserve"> </w:t>
      </w:r>
      <w:r>
        <w:rPr>
          <w:rFonts w:ascii="Ashland;sans-serif" w:hAnsi="Ashland;sans-serif"/>
          <w:color w:val="000000"/>
          <w:sz w:val="20"/>
        </w:rPr>
        <w:t>stock appreciation rights related to Ashland’s common stock and the corresponding sale of the resulting shares. The duration of the trading arrangement</w:t>
      </w:r>
      <w:r>
        <w:rPr>
          <w:rFonts w:ascii="Times New Roman" w:hAnsi="Times New Roman"/>
          <w:color w:val="000000"/>
          <w:sz w:val="20"/>
        </w:rPr>
        <w:t xml:space="preserve"> </w:t>
      </w:r>
      <w:r>
        <w:rPr>
          <w:rFonts w:ascii="Ashland;sans-serif" w:hAnsi="Ashland;sans-serif"/>
          <w:color w:val="000000"/>
          <w:sz w:val="20"/>
        </w:rPr>
        <w:t>is until the earlier of (1) December 31, 2026, (2) the date on which all transactions under the trading arrangement are completed, or (3) at such time as the trading arrangement is otherwise terminated or expires according to its terms.</w:t>
      </w:r>
    </w:p>
    <w:p>
      <w:pPr>
        <w:pStyle w:val="TextBody"/>
        <w:bidi w:val="0"/>
        <w:spacing w:before="120" w:after="283"/>
        <w:jc w:val="center"/>
        <w:rPr>
          <w:rFonts w:ascii="Ashland;sans-serif" w:hAnsi="Ashland;sans-serif"/>
          <w:color w:val="000000"/>
          <w:sz w:val="20"/>
        </w:rPr>
      </w:pPr>
      <w:r>
        <w:rPr>
          <w:rFonts w:ascii="Ashland;sans-serif" w:hAnsi="Ashland;sans-serif"/>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shland;sans-serif" w:hAnsi="Ashland;sans-serif"/>
          <w:b/>
          <w:color w:val="000000"/>
          <w:sz w:val="20"/>
        </w:rPr>
      </w:pPr>
      <w:r>
        <w:rPr>
          <w:rFonts w:ascii="Ashland;sans-serif" w:hAnsi="Ashland;sans-serif"/>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9"/>
        <w:gridCol w:w="9556"/>
      </w:tblGrid>
      <w:tr>
        <w:trPr/>
        <w:tc>
          <w:tcPr>
            <w:tcW w:w="649" w:type="dxa"/>
            <w:tcBorders/>
            <w:vAlign w:val="center"/>
          </w:tcPr>
          <w:p>
            <w:pPr>
              <w:pStyle w:val="TableContents"/>
              <w:bidi w:val="0"/>
              <w:spacing w:before="0" w:after="283"/>
              <w:jc w:val="left"/>
              <w:rPr>
                <w:sz w:val="4"/>
                <w:szCs w:val="4"/>
              </w:rPr>
            </w:pPr>
            <w:r>
              <w:rPr>
                <w:sz w:val="4"/>
                <w:szCs w:val="4"/>
              </w:rPr>
            </w:r>
          </w:p>
        </w:tc>
        <w:tc>
          <w:tcPr>
            <w:tcW w:w="9556" w:type="dxa"/>
            <w:tcBorders/>
            <w:vAlign w:val="center"/>
          </w:tcPr>
          <w:p>
            <w:pPr>
              <w:pStyle w:val="TableContents"/>
              <w:bidi w:val="0"/>
              <w:spacing w:before="0" w:after="283"/>
              <w:jc w:val="left"/>
              <w:rPr>
                <w:sz w:val="4"/>
                <w:szCs w:val="4"/>
              </w:rPr>
            </w:pPr>
            <w:r>
              <w:rPr>
                <w:sz w:val="4"/>
                <w:szCs w:val="4"/>
              </w:rPr>
            </w:r>
          </w:p>
        </w:tc>
      </w:tr>
      <w:tr>
        <w:trPr/>
        <w:tc>
          <w:tcPr>
            <w:tcW w:w="649" w:type="dxa"/>
            <w:tcBorders/>
            <w:tcMar>
              <w:top w:w="0" w:type="dxa"/>
              <w:left w:w="0" w:type="dxa"/>
              <w:bottom w:w="0" w:type="dxa"/>
              <w:right w:w="0" w:type="dxa"/>
            </w:tcMar>
            <w:vAlign w:val="center"/>
          </w:tcPr>
          <w:p>
            <w:pPr>
              <w:pStyle w:val="TableContents"/>
              <w:bidi w:val="0"/>
              <w:spacing w:before="0" w:after="283"/>
              <w:jc w:val="both"/>
              <w:rPr>
                <w:rFonts w:ascii="Ashland;sans-serif" w:hAnsi="Ashland;sans-serif"/>
                <w:color w:val="000000"/>
                <w:sz w:val="20"/>
              </w:rPr>
            </w:pPr>
            <w:r>
              <w:rPr>
                <w:rFonts w:ascii="Ashland;sans-serif" w:hAnsi="Ashland;sans-serif"/>
                <w:color w:val="000000"/>
                <w:sz w:val="20"/>
              </w:rPr>
              <w:t>(a) Exhibits</w:t>
            </w:r>
          </w:p>
        </w:tc>
        <w:tc>
          <w:tcPr>
            <w:tcW w:w="955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49" w:type="dxa"/>
            <w:tcBorders/>
            <w:tcMar>
              <w:top w:w="0" w:type="dxa"/>
              <w:left w:w="0" w:type="dxa"/>
              <w:bottom w:w="0" w:type="dxa"/>
              <w:right w:w="0" w:type="dxa"/>
            </w:tcMar>
            <w:vAlign w:val="center"/>
          </w:tcPr>
          <w:p>
            <w:pPr>
              <w:pStyle w:val="TableContents"/>
              <w:bidi w:val="0"/>
              <w:spacing w:before="0" w:after="283"/>
              <w:jc w:val="both"/>
              <w:rPr/>
            </w:pPr>
            <w:r>
              <w:rPr/>
              <w:t> </w:t>
            </w:r>
          </w:p>
        </w:tc>
        <w:tc>
          <w:tcPr>
            <w:tcW w:w="955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49" w:type="dxa"/>
            <w:tcBorders/>
            <w:tcMar>
              <w:top w:w="0" w:type="dxa"/>
              <w:left w:w="0" w:type="dxa"/>
              <w:bottom w:w="0" w:type="dxa"/>
              <w:right w:w="0" w:type="dxa"/>
            </w:tcMar>
            <w:vAlign w:val="center"/>
          </w:tcPr>
          <w:p>
            <w:pPr>
              <w:pStyle w:val="TableContents"/>
              <w:bidi w:val="0"/>
              <w:spacing w:before="0" w:after="283"/>
              <w:jc w:val="both"/>
              <w:rPr>
                <w:rFonts w:ascii="Ashland;sans-serif" w:hAnsi="Ashland;sans-serif"/>
                <w:color w:val="000000"/>
                <w:sz w:val="20"/>
              </w:rPr>
            </w:pPr>
            <w:r>
              <w:rPr>
                <w:rFonts w:ascii="Ashland;sans-serif" w:hAnsi="Ashland;sans-serif"/>
                <w:color w:val="000000"/>
                <w:sz w:val="20"/>
              </w:rPr>
              <w:t>3.1</w:t>
            </w:r>
          </w:p>
        </w:tc>
        <w:tc>
          <w:tcPr>
            <w:tcW w:w="9556" w:type="dxa"/>
            <w:tcBorders/>
            <w:tcMar>
              <w:top w:w="0" w:type="dxa"/>
              <w:left w:w="0" w:type="dxa"/>
              <w:bottom w:w="0" w:type="dxa"/>
              <w:right w:w="0" w:type="dxa"/>
            </w:tcMar>
            <w:vAlign w:val="center"/>
          </w:tcPr>
          <w:p>
            <w:pPr>
              <w:pStyle w:val="TableContents"/>
              <w:bidi w:val="0"/>
              <w:spacing w:before="0" w:after="283"/>
              <w:jc w:val="both"/>
              <w:rPr/>
            </w:pPr>
            <w:hyperlink r:id="rId2">
              <w:r>
                <w:rPr>
                  <w:rStyle w:val="InternetLink"/>
                  <w:rFonts w:ascii="Ashland;sans-serif" w:hAnsi="Ashland;sans-serif"/>
                  <w:color w:val="0000FF"/>
                  <w:sz w:val="20"/>
                  <w:u w:val="single"/>
                </w:rPr>
                <w:t>Amended and Restated Articles of Incorporation of Ashland Global Holdings Inc. (filed as Exhibit 3.1 to Ashland’s Form 8-K filed on September 20, 2016 (SEC File No. 001-32532)) and incorporated by reference herein).</w:t>
              </w:r>
            </w:hyperlink>
          </w:p>
        </w:tc>
      </w:tr>
      <w:tr>
        <w:trPr/>
        <w:tc>
          <w:tcPr>
            <w:tcW w:w="649" w:type="dxa"/>
            <w:tcBorders/>
            <w:tcMar>
              <w:top w:w="0" w:type="dxa"/>
              <w:left w:w="0" w:type="dxa"/>
              <w:bottom w:w="0" w:type="dxa"/>
              <w:right w:w="0" w:type="dxa"/>
            </w:tcMar>
            <w:vAlign w:val="center"/>
          </w:tcPr>
          <w:p>
            <w:pPr>
              <w:pStyle w:val="TableContents"/>
              <w:bidi w:val="0"/>
              <w:spacing w:before="0" w:after="283"/>
              <w:jc w:val="both"/>
              <w:rPr/>
            </w:pPr>
            <w:r>
              <w:rPr/>
              <w:t> </w:t>
            </w:r>
          </w:p>
        </w:tc>
        <w:tc>
          <w:tcPr>
            <w:tcW w:w="955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49" w:type="dxa"/>
            <w:tcBorders/>
            <w:tcMar>
              <w:top w:w="0" w:type="dxa"/>
              <w:left w:w="0" w:type="dxa"/>
              <w:bottom w:w="0" w:type="dxa"/>
              <w:right w:w="0" w:type="dxa"/>
            </w:tcMar>
            <w:vAlign w:val="center"/>
          </w:tcPr>
          <w:p>
            <w:pPr>
              <w:pStyle w:val="TableContents"/>
              <w:bidi w:val="0"/>
              <w:spacing w:before="0" w:after="283"/>
              <w:jc w:val="both"/>
              <w:rPr>
                <w:rFonts w:ascii="Ashland;sans-serif" w:hAnsi="Ashland;sans-serif"/>
                <w:color w:val="000000"/>
                <w:sz w:val="20"/>
              </w:rPr>
            </w:pPr>
            <w:r>
              <w:rPr>
                <w:rFonts w:ascii="Ashland;sans-serif" w:hAnsi="Ashland;sans-serif"/>
                <w:color w:val="000000"/>
                <w:sz w:val="20"/>
              </w:rPr>
              <w:t>3.2</w:t>
            </w:r>
          </w:p>
        </w:tc>
        <w:tc>
          <w:tcPr>
            <w:tcW w:w="9556" w:type="dxa"/>
            <w:tcBorders/>
            <w:tcMar>
              <w:top w:w="0" w:type="dxa"/>
              <w:left w:w="0" w:type="dxa"/>
              <w:bottom w:w="0" w:type="dxa"/>
              <w:right w:w="0" w:type="dxa"/>
            </w:tcMar>
            <w:vAlign w:val="center"/>
          </w:tcPr>
          <w:p>
            <w:pPr>
              <w:pStyle w:val="TableContents"/>
              <w:bidi w:val="0"/>
              <w:spacing w:before="0" w:after="283"/>
              <w:jc w:val="both"/>
              <w:rPr/>
            </w:pPr>
            <w:hyperlink r:id="rId3">
              <w:r>
                <w:rPr>
                  <w:rStyle w:val="InternetLink"/>
                  <w:rFonts w:ascii="Ashland;sans-serif" w:hAnsi="Ashland;sans-serif"/>
                  <w:color w:val="0000FF"/>
                  <w:sz w:val="20"/>
                  <w:u w:val="single"/>
                </w:rPr>
                <w:t>Certificate of Ownership &amp; Merger, amending the Company’s Amended and Restated Certificate of Incorporation (filed as Exhibit 3.1 to Ashland’s Form 8-K filed on August 1, 2022 (SEC File No. 001-32532) and incorporated by reference herein).</w:t>
              </w:r>
            </w:hyperlink>
          </w:p>
        </w:tc>
      </w:tr>
      <w:tr>
        <w:trPr/>
        <w:tc>
          <w:tcPr>
            <w:tcW w:w="649" w:type="dxa"/>
            <w:tcBorders/>
            <w:tcMar>
              <w:top w:w="0" w:type="dxa"/>
              <w:left w:w="0" w:type="dxa"/>
              <w:bottom w:w="0" w:type="dxa"/>
              <w:right w:w="0" w:type="dxa"/>
            </w:tcMar>
            <w:vAlign w:val="center"/>
          </w:tcPr>
          <w:p>
            <w:pPr>
              <w:pStyle w:val="TableContents"/>
              <w:bidi w:val="0"/>
              <w:spacing w:before="0" w:after="283"/>
              <w:jc w:val="both"/>
              <w:rPr/>
            </w:pPr>
            <w:r>
              <w:rPr/>
              <w:t> </w:t>
            </w:r>
          </w:p>
        </w:tc>
        <w:tc>
          <w:tcPr>
            <w:tcW w:w="955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49" w:type="dxa"/>
            <w:tcBorders/>
            <w:tcMar>
              <w:top w:w="0" w:type="dxa"/>
              <w:left w:w="0" w:type="dxa"/>
              <w:bottom w:w="0" w:type="dxa"/>
              <w:right w:w="0" w:type="dxa"/>
            </w:tcMar>
            <w:vAlign w:val="center"/>
          </w:tcPr>
          <w:p>
            <w:pPr>
              <w:pStyle w:val="TableContents"/>
              <w:bidi w:val="0"/>
              <w:spacing w:before="0" w:after="283"/>
              <w:jc w:val="both"/>
              <w:rPr>
                <w:rFonts w:ascii="Ashland;sans-serif" w:hAnsi="Ashland;sans-serif"/>
                <w:color w:val="000000"/>
                <w:sz w:val="20"/>
              </w:rPr>
            </w:pPr>
            <w:r>
              <w:rPr>
                <w:rFonts w:ascii="Ashland;sans-serif" w:hAnsi="Ashland;sans-serif"/>
                <w:color w:val="000000"/>
                <w:sz w:val="20"/>
              </w:rPr>
              <w:t>3.3</w:t>
            </w:r>
          </w:p>
        </w:tc>
        <w:tc>
          <w:tcPr>
            <w:tcW w:w="9556" w:type="dxa"/>
            <w:tcBorders/>
            <w:tcMar>
              <w:top w:w="0" w:type="dxa"/>
              <w:left w:w="0" w:type="dxa"/>
              <w:bottom w:w="0" w:type="dxa"/>
              <w:right w:w="0" w:type="dxa"/>
            </w:tcMar>
            <w:vAlign w:val="center"/>
          </w:tcPr>
          <w:p>
            <w:pPr>
              <w:pStyle w:val="TableContents"/>
              <w:bidi w:val="0"/>
              <w:spacing w:before="0" w:after="283"/>
              <w:jc w:val="both"/>
              <w:rPr/>
            </w:pPr>
            <w:hyperlink r:id="rId4">
              <w:r>
                <w:rPr>
                  <w:rStyle w:val="InternetLink"/>
                  <w:rFonts w:ascii="Ashland;sans-serif" w:hAnsi="Ashland;sans-serif"/>
                  <w:color w:val="0000FF"/>
                  <w:sz w:val="20"/>
                  <w:u w:val="single"/>
                </w:rPr>
                <w:t>By-laws of Ashland Inc. (Amended and Restated as of September 20, 2022) (filed as Exhibit 3.1 to Ashland’s Form 8-K filed on September 20, 2022 (SEC File No. 333-211719) and incorporated by reference herein).</w:t>
              </w:r>
            </w:hyperlink>
          </w:p>
        </w:tc>
      </w:tr>
      <w:tr>
        <w:trPr/>
        <w:tc>
          <w:tcPr>
            <w:tcW w:w="649" w:type="dxa"/>
            <w:tcBorders/>
            <w:tcMar>
              <w:top w:w="0" w:type="dxa"/>
              <w:left w:w="0" w:type="dxa"/>
              <w:bottom w:w="0" w:type="dxa"/>
              <w:right w:w="0" w:type="dxa"/>
            </w:tcMar>
            <w:vAlign w:val="center"/>
          </w:tcPr>
          <w:p>
            <w:pPr>
              <w:pStyle w:val="TableContents"/>
              <w:bidi w:val="0"/>
              <w:spacing w:before="0" w:after="283"/>
              <w:jc w:val="both"/>
              <w:rPr/>
            </w:pPr>
            <w:r>
              <w:rPr/>
              <w:t> </w:t>
            </w:r>
          </w:p>
        </w:tc>
        <w:tc>
          <w:tcPr>
            <w:tcW w:w="955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49" w:type="dxa"/>
            <w:tcBorders/>
            <w:tcMar>
              <w:top w:w="0" w:type="dxa"/>
              <w:left w:w="0" w:type="dxa"/>
              <w:bottom w:w="0" w:type="dxa"/>
              <w:right w:w="0" w:type="dxa"/>
            </w:tcMar>
            <w:vAlign w:val="center"/>
          </w:tcPr>
          <w:p>
            <w:pPr>
              <w:pStyle w:val="TableContents"/>
              <w:bidi w:val="0"/>
              <w:spacing w:before="0" w:after="283"/>
              <w:jc w:val="both"/>
              <w:rPr>
                <w:rFonts w:ascii="Ashland;sans-serif" w:hAnsi="Ashland;sans-serif"/>
                <w:color w:val="000000"/>
                <w:sz w:val="20"/>
              </w:rPr>
            </w:pPr>
            <w:r>
              <w:rPr>
                <w:rFonts w:ascii="Ashland;sans-serif" w:hAnsi="Ashland;sans-serif"/>
                <w:color w:val="000000"/>
                <w:sz w:val="20"/>
              </w:rPr>
              <w:t>10.1</w:t>
            </w:r>
          </w:p>
        </w:tc>
        <w:tc>
          <w:tcPr>
            <w:tcW w:w="9556" w:type="dxa"/>
            <w:tcBorders/>
            <w:tcMar>
              <w:top w:w="0" w:type="dxa"/>
              <w:left w:w="0" w:type="dxa"/>
              <w:bottom w:w="0" w:type="dxa"/>
              <w:right w:w="0" w:type="dxa"/>
            </w:tcMar>
            <w:vAlign w:val="center"/>
          </w:tcPr>
          <w:p>
            <w:pPr>
              <w:pStyle w:val="TableContents"/>
              <w:bidi w:val="0"/>
              <w:spacing w:before="0" w:after="283"/>
              <w:jc w:val="both"/>
              <w:rPr/>
            </w:pPr>
            <w:hyperlink r:id="rId5">
              <w:r>
                <w:rPr>
                  <w:rStyle w:val="InternetLink"/>
                  <w:rFonts w:ascii="Ashland;sans-serif" w:hAnsi="Ashland;sans-serif"/>
                  <w:color w:val="0000FF"/>
                  <w:sz w:val="20"/>
                  <w:u w:val="single"/>
                </w:rPr>
                <w:t>Second Amended and Restated Credit Agreement dated as of May 28, 2026, among Ashland Inc., Ashland Industries Europe GmbH, each lender from time to time party thereto, The Bank of Nova Scotia, Houston Branch, as administrative agent, swing line lender and a letter of credit issuer, each other letter of credit issuer from time to time party thereto and Citibank, N.A., as syndication agent, filed as Exhibit 10.1 to Ashland’s Form 8-K filed on May 29, 2026 (SEC File No. 333-211719) and incorporated by reference herein).</w:t>
              </w:r>
            </w:hyperlink>
          </w:p>
        </w:tc>
      </w:tr>
      <w:tr>
        <w:trPr/>
        <w:tc>
          <w:tcPr>
            <w:tcW w:w="649" w:type="dxa"/>
            <w:tcBorders/>
            <w:tcMar>
              <w:top w:w="0" w:type="dxa"/>
              <w:left w:w="0" w:type="dxa"/>
              <w:bottom w:w="0" w:type="dxa"/>
              <w:right w:w="0" w:type="dxa"/>
            </w:tcMar>
            <w:vAlign w:val="center"/>
          </w:tcPr>
          <w:p>
            <w:pPr>
              <w:pStyle w:val="TableContents"/>
              <w:bidi w:val="0"/>
              <w:spacing w:before="0" w:after="283"/>
              <w:jc w:val="both"/>
              <w:rPr/>
            </w:pPr>
            <w:r>
              <w:rPr/>
              <w:t> </w:t>
            </w:r>
          </w:p>
        </w:tc>
        <w:tc>
          <w:tcPr>
            <w:tcW w:w="955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49" w:type="dxa"/>
            <w:tcBorders/>
            <w:tcMar>
              <w:top w:w="0" w:type="dxa"/>
              <w:left w:w="0" w:type="dxa"/>
              <w:bottom w:w="0" w:type="dxa"/>
              <w:right w:w="0" w:type="dxa"/>
            </w:tcMar>
            <w:vAlign w:val="center"/>
          </w:tcPr>
          <w:p>
            <w:pPr>
              <w:pStyle w:val="TableContents"/>
              <w:bidi w:val="0"/>
              <w:spacing w:before="0" w:after="283"/>
              <w:jc w:val="both"/>
              <w:rPr>
                <w:rFonts w:ascii="Ashland;sans-serif" w:hAnsi="Ashland;sans-serif"/>
                <w:color w:val="000000"/>
                <w:sz w:val="20"/>
              </w:rPr>
            </w:pPr>
            <w:r>
              <w:rPr>
                <w:rFonts w:ascii="Ashland;sans-serif" w:hAnsi="Ashland;sans-serif"/>
                <w:color w:val="000000"/>
                <w:sz w:val="20"/>
              </w:rPr>
              <w:t>31.1*</w:t>
            </w:r>
          </w:p>
        </w:tc>
        <w:tc>
          <w:tcPr>
            <w:tcW w:w="9556" w:type="dxa"/>
            <w:tcBorders/>
            <w:tcMar>
              <w:top w:w="0" w:type="dxa"/>
              <w:left w:w="0" w:type="dxa"/>
              <w:bottom w:w="0" w:type="dxa"/>
              <w:right w:w="0" w:type="dxa"/>
            </w:tcMar>
            <w:vAlign w:val="center"/>
          </w:tcPr>
          <w:p>
            <w:pPr>
              <w:pStyle w:val="TableContents"/>
              <w:bidi w:val="0"/>
              <w:spacing w:before="0" w:after="283"/>
              <w:jc w:val="both"/>
              <w:rPr/>
            </w:pPr>
            <w:hyperlink w:anchor="ash-ex31_1.htm">
              <w:r>
                <w:rPr>
                  <w:rStyle w:val="InternetLink"/>
                  <w:rFonts w:ascii="Ashland;sans-serif" w:hAnsi="Ashland;sans-serif"/>
                  <w:color w:val="0000FF"/>
                  <w:sz w:val="20"/>
                  <w:u w:val="single"/>
                </w:rPr>
                <w:t>Certificate of Guillermo Novo, Chief Executive Officer of Ashland pursuant to Section 302 of the Sarbanes-Oxley Act of 2002.</w:t>
              </w:r>
            </w:hyperlink>
          </w:p>
        </w:tc>
      </w:tr>
      <w:tr>
        <w:trPr/>
        <w:tc>
          <w:tcPr>
            <w:tcW w:w="649" w:type="dxa"/>
            <w:tcBorders/>
            <w:tcMar>
              <w:top w:w="0" w:type="dxa"/>
              <w:left w:w="0" w:type="dxa"/>
              <w:bottom w:w="0" w:type="dxa"/>
              <w:right w:w="0" w:type="dxa"/>
            </w:tcMar>
            <w:vAlign w:val="center"/>
          </w:tcPr>
          <w:p>
            <w:pPr>
              <w:pStyle w:val="TableContents"/>
              <w:bidi w:val="0"/>
              <w:spacing w:before="0" w:after="283"/>
              <w:jc w:val="both"/>
              <w:rPr/>
            </w:pPr>
            <w:r>
              <w:rPr/>
              <w:t> </w:t>
            </w:r>
          </w:p>
        </w:tc>
        <w:tc>
          <w:tcPr>
            <w:tcW w:w="955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49" w:type="dxa"/>
            <w:tcBorders/>
            <w:tcMar>
              <w:top w:w="0" w:type="dxa"/>
              <w:left w:w="0" w:type="dxa"/>
              <w:bottom w:w="0" w:type="dxa"/>
              <w:right w:w="0" w:type="dxa"/>
            </w:tcMar>
            <w:vAlign w:val="center"/>
          </w:tcPr>
          <w:p>
            <w:pPr>
              <w:pStyle w:val="TableContents"/>
              <w:bidi w:val="0"/>
              <w:spacing w:before="0" w:after="283"/>
              <w:jc w:val="both"/>
              <w:rPr>
                <w:rFonts w:ascii="Ashland;sans-serif" w:hAnsi="Ashland;sans-serif"/>
                <w:color w:val="000000"/>
                <w:sz w:val="20"/>
              </w:rPr>
            </w:pPr>
            <w:r>
              <w:rPr>
                <w:rFonts w:ascii="Ashland;sans-serif" w:hAnsi="Ashland;sans-serif"/>
                <w:color w:val="000000"/>
                <w:sz w:val="20"/>
              </w:rPr>
              <w:t>31.2*</w:t>
            </w:r>
          </w:p>
        </w:tc>
        <w:tc>
          <w:tcPr>
            <w:tcW w:w="9556" w:type="dxa"/>
            <w:tcBorders/>
            <w:tcMar>
              <w:top w:w="0" w:type="dxa"/>
              <w:left w:w="0" w:type="dxa"/>
              <w:bottom w:w="0" w:type="dxa"/>
              <w:right w:w="0" w:type="dxa"/>
            </w:tcMar>
            <w:vAlign w:val="center"/>
          </w:tcPr>
          <w:p>
            <w:pPr>
              <w:pStyle w:val="TableContents"/>
              <w:bidi w:val="0"/>
              <w:spacing w:before="0" w:after="283"/>
              <w:jc w:val="both"/>
              <w:rPr/>
            </w:pPr>
            <w:hyperlink w:anchor="ash-ex31_2.htm">
              <w:r>
                <w:rPr>
                  <w:rStyle w:val="InternetLink"/>
                  <w:rFonts w:ascii="Ashland;sans-serif" w:hAnsi="Ashland;sans-serif"/>
                  <w:color w:val="0000FF"/>
                  <w:sz w:val="20"/>
                  <w:u w:val="single"/>
                </w:rPr>
                <w:t>Certificate of William C. Whitaker, Chief Financial Officer of Ashland pursuant to Section 302 of the Sarbanes-Oxley Act of 2002.</w:t>
              </w:r>
            </w:hyperlink>
          </w:p>
        </w:tc>
      </w:tr>
      <w:tr>
        <w:trPr/>
        <w:tc>
          <w:tcPr>
            <w:tcW w:w="649" w:type="dxa"/>
            <w:tcBorders/>
            <w:tcMar>
              <w:top w:w="0" w:type="dxa"/>
              <w:left w:w="0" w:type="dxa"/>
              <w:bottom w:w="0" w:type="dxa"/>
              <w:right w:w="0" w:type="dxa"/>
            </w:tcMar>
            <w:vAlign w:val="center"/>
          </w:tcPr>
          <w:p>
            <w:pPr>
              <w:pStyle w:val="TableContents"/>
              <w:bidi w:val="0"/>
              <w:spacing w:before="0" w:after="283"/>
              <w:jc w:val="both"/>
              <w:rPr/>
            </w:pPr>
            <w:r>
              <w:rPr/>
              <w:t> </w:t>
            </w:r>
          </w:p>
        </w:tc>
        <w:tc>
          <w:tcPr>
            <w:tcW w:w="955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49" w:type="dxa"/>
            <w:tcBorders/>
            <w:tcMar>
              <w:top w:w="0" w:type="dxa"/>
              <w:left w:w="0" w:type="dxa"/>
              <w:bottom w:w="0" w:type="dxa"/>
              <w:right w:w="0" w:type="dxa"/>
            </w:tcMar>
            <w:vAlign w:val="center"/>
          </w:tcPr>
          <w:p>
            <w:pPr>
              <w:pStyle w:val="TableContents"/>
              <w:bidi w:val="0"/>
              <w:spacing w:before="0" w:after="283"/>
              <w:jc w:val="both"/>
              <w:rPr>
                <w:rFonts w:ascii="Ashland;sans-serif" w:hAnsi="Ashland;sans-serif"/>
                <w:color w:val="000000"/>
                <w:sz w:val="20"/>
              </w:rPr>
            </w:pPr>
            <w:r>
              <w:rPr>
                <w:rFonts w:ascii="Ashland;sans-serif" w:hAnsi="Ashland;sans-serif"/>
                <w:color w:val="000000"/>
                <w:sz w:val="20"/>
              </w:rPr>
              <w:t>32*</w:t>
            </w:r>
          </w:p>
        </w:tc>
        <w:tc>
          <w:tcPr>
            <w:tcW w:w="9556" w:type="dxa"/>
            <w:tcBorders/>
            <w:tcMar>
              <w:top w:w="0" w:type="dxa"/>
              <w:left w:w="0" w:type="dxa"/>
              <w:bottom w:w="0" w:type="dxa"/>
              <w:right w:w="0" w:type="dxa"/>
            </w:tcMar>
            <w:vAlign w:val="center"/>
          </w:tcPr>
          <w:p>
            <w:pPr>
              <w:pStyle w:val="TableContents"/>
              <w:bidi w:val="0"/>
              <w:spacing w:before="0" w:after="283"/>
              <w:jc w:val="both"/>
              <w:rPr/>
            </w:pPr>
            <w:hyperlink w:anchor="ash-ex32.htm">
              <w:r>
                <w:rPr>
                  <w:rStyle w:val="InternetLink"/>
                  <w:rFonts w:ascii="Ashland;sans-serif" w:hAnsi="Ashland;sans-serif"/>
                  <w:color w:val="0000FF"/>
                  <w:sz w:val="20"/>
                  <w:u w:val="single"/>
                </w:rPr>
                <w:t>Certificate of Guillermo Novo, Chief Executive Officer of Ashland, and William C. Whitaker, Chief Financial Officer of Ashland pursuant to Section 906 of the Sarbanes-Oxley Act of 2002.</w:t>
              </w:r>
            </w:hyperlink>
          </w:p>
        </w:tc>
      </w:tr>
      <w:tr>
        <w:trPr/>
        <w:tc>
          <w:tcPr>
            <w:tcW w:w="649" w:type="dxa"/>
            <w:tcBorders/>
            <w:tcMar>
              <w:top w:w="0" w:type="dxa"/>
              <w:left w:w="0" w:type="dxa"/>
              <w:bottom w:w="0" w:type="dxa"/>
              <w:right w:w="0" w:type="dxa"/>
            </w:tcMar>
            <w:vAlign w:val="center"/>
          </w:tcPr>
          <w:p>
            <w:pPr>
              <w:pStyle w:val="TableContents"/>
              <w:bidi w:val="0"/>
              <w:spacing w:before="0" w:after="283"/>
              <w:jc w:val="both"/>
              <w:rPr/>
            </w:pPr>
            <w:r>
              <w:rPr/>
              <w:t> </w:t>
            </w:r>
          </w:p>
        </w:tc>
        <w:tc>
          <w:tcPr>
            <w:tcW w:w="955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49" w:type="dxa"/>
            <w:tcBorders/>
            <w:tcMar>
              <w:top w:w="0" w:type="dxa"/>
              <w:left w:w="0" w:type="dxa"/>
              <w:bottom w:w="0" w:type="dxa"/>
              <w:right w:w="0" w:type="dxa"/>
            </w:tcMar>
            <w:vAlign w:val="center"/>
          </w:tcPr>
          <w:p>
            <w:pPr>
              <w:pStyle w:val="TableContents"/>
              <w:bidi w:val="0"/>
              <w:spacing w:before="0" w:after="283"/>
              <w:jc w:val="both"/>
              <w:rPr>
                <w:rFonts w:ascii="Ashland;sans-serif" w:hAnsi="Ashland;sans-serif"/>
                <w:color w:val="000000"/>
                <w:sz w:val="20"/>
              </w:rPr>
            </w:pPr>
            <w:r>
              <w:rPr>
                <w:rFonts w:ascii="Ashland;sans-serif" w:hAnsi="Ashland;sans-serif"/>
                <w:color w:val="000000"/>
                <w:sz w:val="20"/>
              </w:rPr>
              <w:t>101.INS**</w:t>
            </w:r>
          </w:p>
        </w:tc>
        <w:tc>
          <w:tcPr>
            <w:tcW w:w="9556" w:type="dxa"/>
            <w:tcBorders/>
            <w:tcMar>
              <w:top w:w="0" w:type="dxa"/>
              <w:left w:w="0" w:type="dxa"/>
              <w:bottom w:w="0" w:type="dxa"/>
              <w:right w:w="0" w:type="dxa"/>
            </w:tcMar>
            <w:vAlign w:val="center"/>
          </w:tcPr>
          <w:p>
            <w:pPr>
              <w:pStyle w:val="TableContents"/>
              <w:bidi w:val="0"/>
              <w:spacing w:before="0" w:after="283"/>
              <w:jc w:val="both"/>
              <w:rPr>
                <w:rFonts w:ascii="Ashland;sans-serif" w:hAnsi="Ashland;sans-serif"/>
                <w:color w:val="000000"/>
                <w:sz w:val="20"/>
              </w:rPr>
            </w:pPr>
            <w:r>
              <w:rPr>
                <w:rFonts w:ascii="Ashland;sans-serif" w:hAnsi="Ashland;sans-serif"/>
                <w:color w:val="000000"/>
                <w:sz w:val="20"/>
              </w:rPr>
              <w:t>Inline XBRL Instance Document.</w:t>
            </w:r>
          </w:p>
        </w:tc>
      </w:tr>
      <w:tr>
        <w:trPr/>
        <w:tc>
          <w:tcPr>
            <w:tcW w:w="649" w:type="dxa"/>
            <w:tcBorders/>
            <w:tcMar>
              <w:top w:w="0" w:type="dxa"/>
              <w:left w:w="0" w:type="dxa"/>
              <w:bottom w:w="0" w:type="dxa"/>
              <w:right w:w="0" w:type="dxa"/>
            </w:tcMar>
            <w:vAlign w:val="center"/>
          </w:tcPr>
          <w:p>
            <w:pPr>
              <w:pStyle w:val="TableContents"/>
              <w:bidi w:val="0"/>
              <w:spacing w:before="0" w:after="283"/>
              <w:jc w:val="both"/>
              <w:rPr/>
            </w:pPr>
            <w:r>
              <w:rPr/>
              <w:t> </w:t>
            </w:r>
          </w:p>
        </w:tc>
        <w:tc>
          <w:tcPr>
            <w:tcW w:w="955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49" w:type="dxa"/>
            <w:tcBorders/>
            <w:tcMar>
              <w:top w:w="0" w:type="dxa"/>
              <w:left w:w="0" w:type="dxa"/>
              <w:bottom w:w="0" w:type="dxa"/>
              <w:right w:w="0" w:type="dxa"/>
            </w:tcMar>
            <w:vAlign w:val="center"/>
          </w:tcPr>
          <w:p>
            <w:pPr>
              <w:pStyle w:val="TableContents"/>
              <w:bidi w:val="0"/>
              <w:spacing w:before="0" w:after="283"/>
              <w:jc w:val="both"/>
              <w:rPr>
                <w:rFonts w:ascii="Ashland;sans-serif" w:hAnsi="Ashland;sans-serif"/>
                <w:color w:val="000000"/>
                <w:sz w:val="20"/>
              </w:rPr>
            </w:pPr>
            <w:r>
              <w:rPr>
                <w:rFonts w:ascii="Ashland;sans-serif" w:hAnsi="Ashland;sans-serif"/>
                <w:color w:val="000000"/>
                <w:sz w:val="20"/>
              </w:rPr>
              <w:t>101.SCH**</w:t>
            </w:r>
          </w:p>
        </w:tc>
        <w:tc>
          <w:tcPr>
            <w:tcW w:w="9556" w:type="dxa"/>
            <w:tcBorders/>
            <w:tcMar>
              <w:top w:w="0" w:type="dxa"/>
              <w:left w:w="0" w:type="dxa"/>
              <w:bottom w:w="0" w:type="dxa"/>
              <w:right w:w="0" w:type="dxa"/>
            </w:tcMar>
            <w:vAlign w:val="center"/>
          </w:tcPr>
          <w:p>
            <w:pPr>
              <w:pStyle w:val="TableContents"/>
              <w:bidi w:val="0"/>
              <w:spacing w:before="0" w:after="283"/>
              <w:jc w:val="both"/>
              <w:rPr>
                <w:rFonts w:ascii="Ashland;sans-serif" w:hAnsi="Ashland;sans-serif"/>
                <w:color w:val="000000"/>
                <w:sz w:val="20"/>
              </w:rPr>
            </w:pPr>
            <w:r>
              <w:rPr>
                <w:rFonts w:ascii="Ashland;sans-serif" w:hAnsi="Ashland;sans-serif"/>
                <w:color w:val="000000"/>
                <w:sz w:val="20"/>
              </w:rPr>
              <w:t>Inline XBRL Taxonomy Extension Schema With Embedded Linkbases Document.</w:t>
            </w:r>
          </w:p>
        </w:tc>
      </w:tr>
      <w:tr>
        <w:trPr/>
        <w:tc>
          <w:tcPr>
            <w:tcW w:w="649" w:type="dxa"/>
            <w:tcBorders/>
            <w:tcMar>
              <w:top w:w="0" w:type="dxa"/>
              <w:left w:w="0" w:type="dxa"/>
              <w:bottom w:w="0" w:type="dxa"/>
              <w:right w:w="0" w:type="dxa"/>
            </w:tcMar>
            <w:vAlign w:val="center"/>
          </w:tcPr>
          <w:p>
            <w:pPr>
              <w:pStyle w:val="TableContents"/>
              <w:bidi w:val="0"/>
              <w:spacing w:before="0" w:after="283"/>
              <w:jc w:val="both"/>
              <w:rPr/>
            </w:pPr>
            <w:r>
              <w:rPr/>
              <w:t> </w:t>
            </w:r>
          </w:p>
        </w:tc>
        <w:tc>
          <w:tcPr>
            <w:tcW w:w="955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49" w:type="dxa"/>
            <w:tcBorders/>
            <w:tcMar>
              <w:top w:w="0" w:type="dxa"/>
              <w:left w:w="0" w:type="dxa"/>
              <w:bottom w:w="0" w:type="dxa"/>
              <w:right w:w="0" w:type="dxa"/>
            </w:tcMar>
            <w:vAlign w:val="center"/>
          </w:tcPr>
          <w:p>
            <w:pPr>
              <w:pStyle w:val="TableContents"/>
              <w:bidi w:val="0"/>
              <w:spacing w:before="0" w:after="283"/>
              <w:jc w:val="both"/>
              <w:rPr>
                <w:rFonts w:ascii="Ashland;sans-serif" w:hAnsi="Ashland;sans-serif"/>
                <w:color w:val="000000"/>
                <w:sz w:val="20"/>
              </w:rPr>
            </w:pPr>
            <w:r>
              <w:rPr>
                <w:rFonts w:ascii="Ashland;sans-serif" w:hAnsi="Ashland;sans-serif"/>
                <w:color w:val="000000"/>
                <w:sz w:val="20"/>
              </w:rPr>
              <w:t>104</w:t>
            </w:r>
          </w:p>
        </w:tc>
        <w:tc>
          <w:tcPr>
            <w:tcW w:w="9556" w:type="dxa"/>
            <w:tcBorders/>
            <w:tcMar>
              <w:top w:w="0" w:type="dxa"/>
              <w:left w:w="0" w:type="dxa"/>
              <w:bottom w:w="0" w:type="dxa"/>
              <w:right w:w="0" w:type="dxa"/>
            </w:tcMar>
            <w:vAlign w:val="center"/>
          </w:tcPr>
          <w:p>
            <w:pPr>
              <w:pStyle w:val="TableContents"/>
              <w:bidi w:val="0"/>
              <w:spacing w:before="0" w:after="283"/>
              <w:jc w:val="both"/>
              <w:rPr>
                <w:rFonts w:ascii="Ashland;sans-serif" w:hAnsi="Ashland;sans-serif"/>
                <w:color w:val="000000"/>
                <w:sz w:val="20"/>
              </w:rPr>
            </w:pPr>
            <w:r>
              <w:rPr>
                <w:rFonts w:ascii="Ashland;sans-serif" w:hAnsi="Ashland;sans-serif"/>
                <w:color w:val="000000"/>
                <w:sz w:val="20"/>
              </w:rPr>
              <w:t>Cover Page Interactive Data File (formatted as inline XBRL and contained in Exhibit 101).</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1"/>
        <w:gridCol w:w="601"/>
        <w:gridCol w:w="9443"/>
      </w:tblGrid>
      <w:tr>
        <w:trPr/>
        <w:tc>
          <w:tcPr>
            <w:tcW w:w="16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9443"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601" w:type="dxa"/>
            <w:tcBorders/>
            <w:tcMar>
              <w:top w:w="0" w:type="dxa"/>
              <w:left w:w="0" w:type="dxa"/>
              <w:bottom w:w="0" w:type="dxa"/>
              <w:right w:w="0" w:type="dxa"/>
            </w:tcMar>
            <w:vAlign w:val="center"/>
          </w:tcPr>
          <w:p>
            <w:pPr>
              <w:pStyle w:val="TableContents"/>
              <w:bidi w:val="0"/>
              <w:spacing w:before="0" w:after="283"/>
              <w:ind w:left="0" w:right="0" w:firstLine="360"/>
              <w:jc w:val="both"/>
              <w:rPr>
                <w:rFonts w:ascii="Ashland;sans-serif" w:hAnsi="Ashland;sans-serif"/>
                <w:color w:val="000000"/>
                <w:sz w:val="14"/>
              </w:rPr>
            </w:pPr>
            <w:r>
              <w:rPr>
                <w:rFonts w:ascii="Ashland;sans-serif" w:hAnsi="Ashland;sans-serif"/>
                <w:color w:val="000000"/>
                <w:sz w:val="14"/>
              </w:rPr>
              <w:t>*</w:t>
            </w:r>
          </w:p>
        </w:tc>
        <w:tc>
          <w:tcPr>
            <w:tcW w:w="9443" w:type="dxa"/>
            <w:tcBorders/>
            <w:tcMar>
              <w:top w:w="0" w:type="dxa"/>
              <w:left w:w="0" w:type="dxa"/>
              <w:bottom w:w="0" w:type="dxa"/>
              <w:right w:w="0" w:type="dxa"/>
            </w:tcMar>
            <w:vAlign w:val="center"/>
          </w:tcPr>
          <w:p>
            <w:pPr>
              <w:pStyle w:val="TableContents"/>
              <w:bidi w:val="0"/>
              <w:spacing w:before="40" w:after="283"/>
              <w:ind w:left="0" w:right="0" w:firstLine="360"/>
              <w:jc w:val="both"/>
              <w:rPr>
                <w:rFonts w:ascii="Ashland;sans-serif" w:hAnsi="Ashland;sans-serif"/>
                <w:color w:val="000000"/>
                <w:sz w:val="14"/>
              </w:rPr>
            </w:pPr>
            <w:r>
              <w:rPr>
                <w:rFonts w:ascii="Ashland;sans-serif" w:hAnsi="Ashland;sans-serif"/>
                <w:color w:val="000000"/>
                <w:sz w:val="14"/>
              </w:rPr>
              <w:t>Filed herewith.</w:t>
            </w:r>
          </w:p>
        </w:tc>
      </w:tr>
      <w:tr>
        <w:trPr/>
        <w:tc>
          <w:tcPr>
            <w:tcW w:w="161" w:type="dxa"/>
            <w:tcBorders/>
            <w:tcMar>
              <w:top w:w="0" w:type="dxa"/>
              <w:left w:w="0" w:type="dxa"/>
              <w:bottom w:w="0" w:type="dxa"/>
              <w:right w:w="0" w:type="dxa"/>
            </w:tcMar>
            <w:vAlign w:val="center"/>
          </w:tcPr>
          <w:p>
            <w:pPr>
              <w:pStyle w:val="TableContents"/>
              <w:bidi w:val="0"/>
              <w:spacing w:before="40" w:after="283"/>
              <w:jc w:val="both"/>
              <w:rPr/>
            </w:pPr>
            <w:r>
              <w:rPr/>
              <w:t> </w:t>
            </w:r>
          </w:p>
        </w:tc>
        <w:tc>
          <w:tcPr>
            <w:tcW w:w="601" w:type="dxa"/>
            <w:tcBorders/>
            <w:tcMar>
              <w:top w:w="0" w:type="dxa"/>
              <w:left w:w="0" w:type="dxa"/>
              <w:bottom w:w="0" w:type="dxa"/>
              <w:right w:w="0" w:type="dxa"/>
            </w:tcMar>
            <w:vAlign w:val="center"/>
          </w:tcPr>
          <w:p>
            <w:pPr>
              <w:pStyle w:val="TableContents"/>
              <w:bidi w:val="0"/>
              <w:spacing w:before="40" w:after="283"/>
              <w:jc w:val="both"/>
              <w:rPr>
                <w:rFonts w:ascii="Ashland;sans-serif" w:hAnsi="Ashland;sans-serif"/>
                <w:color w:val="000000"/>
                <w:sz w:val="14"/>
              </w:rPr>
            </w:pPr>
            <w:r>
              <w:rPr>
                <w:rFonts w:ascii="Ashland;sans-serif" w:hAnsi="Ashland;sans-serif"/>
                <w:color w:val="000000"/>
                <w:sz w:val="14"/>
              </w:rPr>
              <w:t>**</w:t>
            </w:r>
          </w:p>
        </w:tc>
        <w:tc>
          <w:tcPr>
            <w:tcW w:w="9443" w:type="dxa"/>
            <w:tcBorders/>
            <w:tcMar>
              <w:top w:w="0" w:type="dxa"/>
              <w:left w:w="0" w:type="dxa"/>
              <w:bottom w:w="0" w:type="dxa"/>
              <w:right w:w="0" w:type="dxa"/>
            </w:tcMar>
            <w:vAlign w:val="center"/>
          </w:tcPr>
          <w:p>
            <w:pPr>
              <w:pStyle w:val="TableContents"/>
              <w:bidi w:val="0"/>
              <w:spacing w:before="40" w:after="283"/>
              <w:jc w:val="both"/>
              <w:rPr>
                <w:rFonts w:ascii="Ashland;sans-serif" w:hAnsi="Ashland;sans-serif"/>
                <w:color w:val="000000"/>
                <w:sz w:val="14"/>
              </w:rPr>
            </w:pPr>
            <w:r>
              <w:rPr>
                <w:rFonts w:ascii="Ashland;sans-serif" w:hAnsi="Ashland;sans-serif"/>
                <w:color w:val="000000"/>
                <w:sz w:val="14"/>
              </w:rPr>
              <w:t>Attached as Exhibit 101 to this report are the following documents formatted in XBRL (Extensible Business Reporting Language): (i) Statements of Condensed Consolidated Comprehensive Income (Loss) for the three and nine months ended June 30, 2026 and June 30, 2025; (ii) Condensed Consolidated Balance Sheets at June 30, 2026 and September 30, 2025; (iii) Statements of Condensed Consolidated Cash Flows for the nine months ended June 30, 2026 and June 30, 2025; and (iv) Notes to Condensed Consolidated Financial Statements.</w:t>
            </w:r>
          </w:p>
        </w:tc>
      </w:tr>
      <w:tr>
        <w:trPr/>
        <w:tc>
          <w:tcPr>
            <w:tcW w:w="161" w:type="dxa"/>
            <w:tcBorders/>
            <w:tcMar>
              <w:top w:w="0" w:type="dxa"/>
              <w:left w:w="0" w:type="dxa"/>
              <w:bottom w:w="0" w:type="dxa"/>
              <w:right w:w="0" w:type="dxa"/>
            </w:tcMar>
            <w:vAlign w:val="center"/>
          </w:tcPr>
          <w:p>
            <w:pPr>
              <w:pStyle w:val="TableContents"/>
              <w:bidi w:val="0"/>
              <w:spacing w:before="40" w:after="283"/>
              <w:jc w:val="both"/>
              <w:rPr/>
            </w:pPr>
            <w:r>
              <w:rPr/>
              <w:t> </w:t>
            </w:r>
          </w:p>
        </w:tc>
        <w:tc>
          <w:tcPr>
            <w:tcW w:w="601" w:type="dxa"/>
            <w:tcBorders/>
            <w:tcMar>
              <w:top w:w="0" w:type="dxa"/>
              <w:left w:w="0" w:type="dxa"/>
              <w:bottom w:w="0" w:type="dxa"/>
              <w:right w:w="0" w:type="dxa"/>
            </w:tcMar>
            <w:vAlign w:val="center"/>
          </w:tcPr>
          <w:p>
            <w:pPr>
              <w:pStyle w:val="TableContents"/>
              <w:bidi w:val="0"/>
              <w:spacing w:before="40" w:after="283"/>
              <w:ind w:left="0" w:right="0" w:firstLine="360"/>
              <w:jc w:val="both"/>
              <w:rPr>
                <w:rFonts w:ascii="Ashland;sans-serif" w:hAnsi="Ashland;sans-serif"/>
                <w:color w:val="000000"/>
                <w:sz w:val="9"/>
              </w:rPr>
            </w:pPr>
            <w:r>
              <w:rPr>
                <w:rFonts w:ascii="Ashland;sans-serif" w:hAnsi="Ashland;sans-serif"/>
                <w:color w:val="000000"/>
                <w:sz w:val="9"/>
              </w:rPr>
              <w:t>SM</w:t>
            </w:r>
          </w:p>
        </w:tc>
        <w:tc>
          <w:tcPr>
            <w:tcW w:w="9443" w:type="dxa"/>
            <w:tcBorders/>
            <w:tcMar>
              <w:top w:w="0" w:type="dxa"/>
              <w:left w:w="0" w:type="dxa"/>
              <w:bottom w:w="0" w:type="dxa"/>
              <w:right w:w="0" w:type="dxa"/>
            </w:tcMar>
            <w:vAlign w:val="center"/>
          </w:tcPr>
          <w:p>
            <w:pPr>
              <w:pStyle w:val="TableContents"/>
              <w:bidi w:val="0"/>
              <w:spacing w:before="40" w:after="283"/>
              <w:ind w:left="0" w:right="0" w:firstLine="360"/>
              <w:jc w:val="both"/>
              <w:rPr>
                <w:rFonts w:ascii="Ashland;sans-serif" w:hAnsi="Ashland;sans-serif"/>
                <w:color w:val="000000"/>
                <w:sz w:val="14"/>
              </w:rPr>
            </w:pPr>
            <w:r>
              <w:rPr>
                <w:rFonts w:ascii="Ashland;sans-serif" w:hAnsi="Ashland;sans-serif"/>
                <w:color w:val="000000"/>
                <w:sz w:val="14"/>
              </w:rPr>
              <w:t>Service mark, Ashland or its subsidiaries, registered in various countries.</w:t>
            </w:r>
          </w:p>
        </w:tc>
      </w:tr>
      <w:tr>
        <w:trPr/>
        <w:tc>
          <w:tcPr>
            <w:tcW w:w="161" w:type="dxa"/>
            <w:tcBorders/>
            <w:tcMar>
              <w:top w:w="0" w:type="dxa"/>
              <w:left w:w="0" w:type="dxa"/>
              <w:bottom w:w="0" w:type="dxa"/>
              <w:right w:w="0" w:type="dxa"/>
            </w:tcMar>
            <w:vAlign w:val="center"/>
          </w:tcPr>
          <w:p>
            <w:pPr>
              <w:pStyle w:val="TableContents"/>
              <w:bidi w:val="0"/>
              <w:spacing w:before="40" w:after="283"/>
              <w:jc w:val="both"/>
              <w:rPr/>
            </w:pPr>
            <w:r>
              <w:rPr/>
              <w:t> </w:t>
            </w:r>
          </w:p>
        </w:tc>
        <w:tc>
          <w:tcPr>
            <w:tcW w:w="601" w:type="dxa"/>
            <w:tcBorders/>
            <w:tcMar>
              <w:top w:w="0" w:type="dxa"/>
              <w:left w:w="0" w:type="dxa"/>
              <w:bottom w:w="0" w:type="dxa"/>
              <w:right w:w="0" w:type="dxa"/>
            </w:tcMar>
            <w:vAlign w:val="center"/>
          </w:tcPr>
          <w:p>
            <w:pPr>
              <w:pStyle w:val="TableContents"/>
              <w:bidi w:val="0"/>
              <w:spacing w:before="40" w:after="283"/>
              <w:ind w:left="0" w:right="0" w:firstLine="360"/>
              <w:jc w:val="both"/>
              <w:rPr>
                <w:rFonts w:ascii="Ashland;sans-serif" w:hAnsi="Ashland;sans-serif"/>
                <w:color w:val="000000"/>
                <w:sz w:val="14"/>
              </w:rPr>
            </w:pPr>
            <w:r>
              <w:rPr>
                <w:rFonts w:ascii="Ashland;sans-serif" w:hAnsi="Ashland;sans-serif"/>
                <w:color w:val="000000"/>
                <w:sz w:val="14"/>
              </w:rPr>
              <w:t></w:t>
            </w:r>
          </w:p>
        </w:tc>
        <w:tc>
          <w:tcPr>
            <w:tcW w:w="9443" w:type="dxa"/>
            <w:tcBorders/>
            <w:tcMar>
              <w:top w:w="0" w:type="dxa"/>
              <w:left w:w="0" w:type="dxa"/>
              <w:bottom w:w="0" w:type="dxa"/>
              <w:right w:w="0" w:type="dxa"/>
            </w:tcMar>
            <w:vAlign w:val="center"/>
          </w:tcPr>
          <w:p>
            <w:pPr>
              <w:pStyle w:val="TableContents"/>
              <w:bidi w:val="0"/>
              <w:spacing w:before="40" w:after="283"/>
              <w:ind w:left="0" w:right="0" w:firstLine="360"/>
              <w:jc w:val="both"/>
              <w:rPr>
                <w:rFonts w:ascii="Ashland;sans-serif" w:hAnsi="Ashland;sans-serif"/>
                <w:color w:val="000000"/>
                <w:sz w:val="14"/>
              </w:rPr>
            </w:pPr>
            <w:r>
              <w:rPr>
                <w:rFonts w:ascii="Ashland;sans-serif" w:hAnsi="Ashland;sans-serif"/>
                <w:color w:val="000000"/>
                <w:sz w:val="14"/>
              </w:rPr>
              <w:t>Trademark, Ashland or its subsidiaries, registered in various countries.</w:t>
            </w:r>
          </w:p>
        </w:tc>
      </w:tr>
    </w:tbl>
    <w:p>
      <w:pPr>
        <w:pStyle w:val="TextBody"/>
        <w:bidi w:val="0"/>
        <w:spacing w:before="40" w:after="283"/>
        <w:jc w:val="both"/>
        <w:rPr/>
      </w:pPr>
      <w:r>
        <w:rPr/>
        <w:t> </w:t>
      </w:r>
    </w:p>
    <w:p>
      <w:pPr>
        <w:pStyle w:val="TextBody"/>
        <w:bidi w:val="0"/>
        <w:spacing w:before="120" w:after="283"/>
        <w:jc w:val="center"/>
        <w:rPr>
          <w:rFonts w:ascii="Ashland;sans-serif" w:hAnsi="Ashland;sans-serif"/>
          <w:color w:val="000000"/>
          <w:sz w:val="20"/>
        </w:rPr>
      </w:pPr>
      <w:r>
        <w:rPr>
          <w:rFonts w:ascii="Ashland;sans-serif" w:hAnsi="Ashland;sans-serif"/>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shland;sans-serif" w:hAnsi="Ashland;sans-serif"/>
          <w:b/>
          <w:color w:val="000000"/>
          <w:sz w:val="20"/>
        </w:rPr>
      </w:pPr>
      <w:r>
        <w:rPr>
          <w:rFonts w:ascii="Ashland;sans-serif" w:hAnsi="Ashland;sans-serif"/>
          <w:b/>
          <w:color w:val="000000"/>
          <w:sz w:val="20"/>
        </w:rPr>
        <w:t>SIGNATURE</w:t>
      </w:r>
    </w:p>
    <w:p>
      <w:pPr>
        <w:pStyle w:val="TextBody"/>
        <w:bidi w:val="0"/>
        <w:spacing w:before="240" w:after="283"/>
        <w:jc w:val="both"/>
        <w:rPr>
          <w:rFonts w:ascii="Ashland;sans-serif" w:hAnsi="Ashland;sans-serif"/>
          <w:color w:val="000000"/>
          <w:sz w:val="20"/>
        </w:rPr>
      </w:pPr>
      <w:r>
        <w:rPr>
          <w:rFonts w:ascii="Ashland;sans-serif" w:hAnsi="Ashland;sans-serif"/>
          <w:color w:val="000000"/>
          <w:sz w:val="20"/>
        </w:rPr>
        <w:t>Pursuant to the requirements of the Securities Exchange Act of 1934, the Registrant has duly caused this report to be signed on its behalf by the undersigned thereunto duly authorized.</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191"/>
        <w:gridCol w:w="146"/>
        <w:gridCol w:w="8868"/>
      </w:tblGrid>
      <w:tr>
        <w:trPr/>
        <w:tc>
          <w:tcPr>
            <w:tcW w:w="1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8" w:type="dxa"/>
            <w:tcBorders/>
            <w:vAlign w:val="center"/>
          </w:tcPr>
          <w:p>
            <w:pPr>
              <w:pStyle w:val="TableContents"/>
              <w:bidi w:val="0"/>
              <w:spacing w:before="0" w:after="283"/>
              <w:jc w:val="left"/>
              <w:rPr>
                <w:sz w:val="4"/>
                <w:szCs w:val="4"/>
              </w:rPr>
            </w:pPr>
            <w:r>
              <w:rPr>
                <w:sz w:val="4"/>
                <w:szCs w:val="4"/>
              </w:rPr>
            </w:r>
          </w:p>
        </w:tc>
      </w:tr>
      <w:tr>
        <w:trPr/>
        <w:tc>
          <w:tcPr>
            <w:tcW w:w="11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68"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shland;sans-serif" w:hAnsi="Ashland;sans-serif"/>
                <w:color w:val="000000"/>
                <w:sz w:val="20"/>
              </w:rPr>
            </w:pPr>
            <w:r>
              <w:rPr>
                <w:rFonts w:ascii="Ashland;sans-serif" w:hAnsi="Ashland;sans-serif"/>
                <w:color w:val="000000"/>
                <w:sz w:val="20"/>
              </w:rPr>
              <w:t>Ashland Inc.</w:t>
            </w:r>
          </w:p>
        </w:tc>
      </w:tr>
      <w:tr>
        <w:trPr/>
        <w:tc>
          <w:tcPr>
            <w:tcW w:w="11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68" w:type="dxa"/>
            <w:tcBorders/>
            <w:tcMar>
              <w:top w:w="0" w:type="dxa"/>
              <w:left w:w="0" w:type="dxa"/>
              <w:bottom w:w="0" w:type="dxa"/>
              <w:right w:w="0" w:type="dxa"/>
            </w:tcMar>
            <w:vAlign w:val="center"/>
          </w:tcPr>
          <w:p>
            <w:pPr>
              <w:pStyle w:val="TableContents"/>
              <w:bidi w:val="0"/>
              <w:spacing w:before="0" w:after="283"/>
              <w:jc w:val="center"/>
              <w:rPr>
                <w:rFonts w:ascii="Ashland;sans-serif" w:hAnsi="Ashland;sans-serif"/>
                <w:color w:val="000000"/>
                <w:sz w:val="20"/>
              </w:rPr>
            </w:pPr>
            <w:r>
              <w:rPr>
                <w:rFonts w:ascii="Ashland;sans-serif" w:hAnsi="Ashland;sans-serif"/>
                <w:color w:val="000000"/>
                <w:sz w:val="20"/>
              </w:rPr>
              <w:t>(Registrant)</w:t>
            </w:r>
          </w:p>
        </w:tc>
      </w:tr>
      <w:tr>
        <w:trPr/>
        <w:tc>
          <w:tcPr>
            <w:tcW w:w="1191" w:type="dxa"/>
            <w:tcBorders/>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20"/>
              </w:rPr>
            </w:pPr>
            <w:r>
              <w:rPr>
                <w:rFonts w:ascii="Ashland;sans-serif" w:hAnsi="Ashland;sans-serif"/>
                <w:color w:val="000000"/>
                <w:sz w:val="20"/>
              </w:rPr>
              <w:t>July 29,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68" w:type="dxa"/>
            <w:tcBorders>
              <w:bottom w:val="single" w:sz="8" w:space="0" w:color="000000"/>
            </w:tcBorders>
            <w:tcMar>
              <w:top w:w="0" w:type="dxa"/>
              <w:left w:w="0" w:type="dxa"/>
              <w:right w:w="0" w:type="dxa"/>
            </w:tcMar>
            <w:vAlign w:val="center"/>
          </w:tcPr>
          <w:p>
            <w:pPr>
              <w:pStyle w:val="TableContents"/>
              <w:bidi w:val="0"/>
              <w:spacing w:before="0" w:after="283"/>
              <w:jc w:val="left"/>
              <w:rPr>
                <w:rFonts w:ascii="Ashland;sans-serif" w:hAnsi="Ashland;sans-serif"/>
                <w:color w:val="000000"/>
                <w:sz w:val="20"/>
              </w:rPr>
            </w:pPr>
            <w:r>
              <w:rPr>
                <w:rFonts w:ascii="Ashland;sans-serif" w:hAnsi="Ashland;sans-serif"/>
                <w:color w:val="000000"/>
                <w:sz w:val="20"/>
              </w:rPr>
              <w:t>/s/ William C. Whitaker</w:t>
            </w:r>
          </w:p>
        </w:tc>
      </w:tr>
      <w:tr>
        <w:trPr/>
        <w:tc>
          <w:tcPr>
            <w:tcW w:w="11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68" w:type="dxa"/>
            <w:tcBorders/>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20"/>
              </w:rPr>
            </w:pPr>
            <w:r>
              <w:rPr>
                <w:rFonts w:ascii="Ashland;sans-serif" w:hAnsi="Ashland;sans-serif"/>
                <w:color w:val="000000"/>
                <w:sz w:val="20"/>
              </w:rPr>
              <w:t>William C. Whitaker</w:t>
            </w:r>
          </w:p>
        </w:tc>
      </w:tr>
      <w:tr>
        <w:trPr/>
        <w:tc>
          <w:tcPr>
            <w:tcW w:w="11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868" w:type="dxa"/>
            <w:tcBorders/>
            <w:tcMar>
              <w:top w:w="0" w:type="dxa"/>
              <w:left w:w="0" w:type="dxa"/>
              <w:bottom w:w="0" w:type="dxa"/>
              <w:right w:w="0" w:type="dxa"/>
            </w:tcMar>
            <w:vAlign w:val="center"/>
          </w:tcPr>
          <w:p>
            <w:pPr>
              <w:pStyle w:val="TableContents"/>
              <w:bidi w:val="0"/>
              <w:spacing w:before="0" w:after="283"/>
              <w:jc w:val="both"/>
              <w:rPr>
                <w:rFonts w:ascii="Ashland;sans-serif" w:hAnsi="Ashland;sans-serif"/>
                <w:color w:val="000000"/>
                <w:sz w:val="20"/>
              </w:rPr>
            </w:pPr>
            <w:r>
              <w:rPr>
                <w:rFonts w:ascii="Ashland;sans-serif" w:hAnsi="Ashland;sans-serif"/>
                <w:color w:val="000000"/>
                <w:sz w:val="20"/>
              </w:rPr>
              <w:t>Senior Vice President and Chief Financial Officer (on behalf of the Registrant and as Principal Financial Officer)</w:t>
            </w:r>
          </w:p>
        </w:tc>
      </w:tr>
    </w:tbl>
    <w:p>
      <w:pPr>
        <w:pStyle w:val="TextBody"/>
        <w:bidi w:val="0"/>
        <w:jc w:val="left"/>
        <w:rPr/>
      </w:pPr>
      <w:r>
        <w:rPr/>
        <w:t> </w:t>
      </w:r>
    </w:p>
    <w:p>
      <w:pPr>
        <w:pStyle w:val="TextBody"/>
        <w:bidi w:val="0"/>
        <w:spacing w:before="120" w:after="283"/>
        <w:jc w:val="center"/>
        <w:rPr>
          <w:rFonts w:ascii="Ashland;sans-serif" w:hAnsi="Ashland;sans-serif"/>
          <w:color w:val="000000"/>
          <w:sz w:val="20"/>
        </w:rPr>
      </w:pPr>
      <w:r>
        <w:rPr>
          <w:rFonts w:ascii="Ashland;sans-serif" w:hAnsi="Ashland;sans-serif"/>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bookmarkStart w:id="2" w:name="ash-ex31_1.htm"/>
      <w:bookmarkStart w:id="3" w:name="ksashex31_1"/>
      <w:bookmarkEnd w:id="2"/>
      <w:bookmarkEnd w:id="3"/>
      <w:r>
        <w:rPr/>
        <w:t> </w:t>
      </w:r>
      <w:r>
        <w:br w:type="page"/>
      </w:r>
    </w:p>
    <w:p>
      <w:pPr>
        <w:pStyle w:val="TextBody"/>
        <w:bidi w:val="0"/>
        <w:jc w:val="right"/>
        <w:rPr>
          <w:rFonts w:ascii="Ashland;sans-serif" w:hAnsi="Ashland;sans-serif"/>
          <w:color w:val="000000"/>
          <w:sz w:val="22"/>
        </w:rPr>
      </w:pPr>
      <w:r>
        <w:rPr>
          <w:rFonts w:ascii="Ashland;sans-serif" w:hAnsi="Ashland;sans-serif"/>
          <w:color w:val="000000"/>
          <w:sz w:val="22"/>
        </w:rPr>
        <w:t>EXHIBIT 31.1</w:t>
      </w:r>
    </w:p>
    <w:p>
      <w:pPr>
        <w:pStyle w:val="TextBody"/>
        <w:bidi w:val="0"/>
        <w:spacing w:before="120" w:after="283"/>
        <w:jc w:val="center"/>
        <w:rPr>
          <w:rFonts w:ascii="Ashland;sans-serif" w:hAnsi="Ashland;sans-serif"/>
          <w:b/>
          <w:color w:val="000000"/>
          <w:sz w:val="22"/>
          <w:u w:val="single"/>
        </w:rPr>
      </w:pPr>
      <w:r>
        <w:rPr>
          <w:rFonts w:ascii="Ashland;sans-serif" w:hAnsi="Ashland;sans-serif"/>
          <w:b/>
          <w:color w:val="000000"/>
          <w:sz w:val="22"/>
          <w:u w:val="single"/>
        </w:rPr>
        <w:t>CERTIFICATION</w:t>
      </w:r>
    </w:p>
    <w:p>
      <w:pPr>
        <w:pStyle w:val="TextBody"/>
        <w:bidi w:val="0"/>
        <w:jc w:val="center"/>
        <w:rPr/>
      </w:pPr>
      <w:r>
        <w:rPr/>
        <w:t> </w:t>
      </w:r>
    </w:p>
    <w:p>
      <w:pPr>
        <w:pStyle w:val="TextBody"/>
        <w:bidi w:val="0"/>
        <w:jc w:val="both"/>
        <w:rPr>
          <w:rFonts w:ascii="Ashland;sans-serif" w:hAnsi="Ashland;sans-serif"/>
          <w:color w:val="000000"/>
          <w:sz w:val="22"/>
        </w:rPr>
      </w:pPr>
      <w:r>
        <w:rPr>
          <w:rFonts w:ascii="Ashland;sans-serif" w:hAnsi="Ashland;sans-serif"/>
          <w:color w:val="000000"/>
          <w:sz w:val="22"/>
        </w:rPr>
        <w:t>I, Guillermo Novo, certify that:</w:t>
      </w:r>
    </w:p>
    <w:p>
      <w:pPr>
        <w:pStyle w:val="TextBody"/>
        <w:bidi w:val="0"/>
        <w:spacing w:before="60" w:after="283"/>
        <w:jc w:val="both"/>
        <w:rPr>
          <w:rFonts w:ascii="Ashland;sans-serif" w:hAnsi="Ashland;sans-serif"/>
          <w:color w:val="000000"/>
          <w:sz w:val="22"/>
        </w:rPr>
      </w:pPr>
      <w:r>
        <w:rPr>
          <w:rFonts w:ascii="Ashland;sans-serif" w:hAnsi="Ashland;sans-serif"/>
          <w:color w:val="000000"/>
          <w:sz w:val="22"/>
        </w:rPr>
        <w:t>1.</w:t>
      </w:r>
    </w:p>
    <w:p>
      <w:pPr>
        <w:pStyle w:val="TextBody"/>
        <w:bidi w:val="0"/>
        <w:spacing w:before="60" w:after="283"/>
        <w:jc w:val="both"/>
        <w:rPr>
          <w:rFonts w:ascii="Ashland;sans-serif" w:hAnsi="Ashland;sans-serif"/>
          <w:color w:val="000000"/>
          <w:sz w:val="22"/>
        </w:rPr>
      </w:pPr>
      <w:r>
        <w:rPr>
          <w:rFonts w:ascii="Ashland;sans-serif" w:hAnsi="Ashland;sans-serif"/>
          <w:color w:val="000000"/>
          <w:sz w:val="22"/>
        </w:rPr>
        <w:t>I have reviewed this quarterly report on Form 10-Q of Ashland Inc.;</w:t>
      </w:r>
    </w:p>
    <w:p>
      <w:pPr>
        <w:pStyle w:val="TextBody"/>
        <w:bidi w:val="0"/>
        <w:spacing w:before="60" w:after="283"/>
        <w:jc w:val="both"/>
        <w:rPr>
          <w:rFonts w:ascii="Ashland;sans-serif" w:hAnsi="Ashland;sans-serif"/>
          <w:color w:val="000000"/>
          <w:sz w:val="22"/>
        </w:rPr>
      </w:pPr>
      <w:r>
        <w:rPr>
          <w:rFonts w:ascii="Ashland;sans-serif" w:hAnsi="Ashland;sans-serif"/>
          <w:color w:val="000000"/>
          <w:sz w:val="22"/>
        </w:rPr>
        <w:t>2.</w:t>
      </w:r>
    </w:p>
    <w:p>
      <w:pPr>
        <w:pStyle w:val="TextBody"/>
        <w:bidi w:val="0"/>
        <w:spacing w:before="60" w:after="283"/>
        <w:jc w:val="both"/>
        <w:rPr>
          <w:rFonts w:ascii="Ashland;sans-serif" w:hAnsi="Ashland;sans-serif"/>
          <w:color w:val="000000"/>
          <w:sz w:val="22"/>
        </w:rPr>
      </w:pPr>
      <w:r>
        <w:rPr>
          <w:rFonts w:ascii="Ashland;sans-serif" w:hAnsi="Ashland;sans-serif"/>
          <w:color w:val="000000"/>
          <w:sz w:val="22"/>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60" w:after="283"/>
        <w:jc w:val="both"/>
        <w:rPr>
          <w:rFonts w:ascii="Ashland;sans-serif" w:hAnsi="Ashland;sans-serif"/>
          <w:color w:val="000000"/>
          <w:sz w:val="22"/>
        </w:rPr>
      </w:pPr>
      <w:r>
        <w:rPr>
          <w:rFonts w:ascii="Ashland;sans-serif" w:hAnsi="Ashland;sans-serif"/>
          <w:color w:val="000000"/>
          <w:sz w:val="22"/>
        </w:rPr>
        <w:t>3.</w:t>
      </w:r>
    </w:p>
    <w:p>
      <w:pPr>
        <w:pStyle w:val="TextBody"/>
        <w:bidi w:val="0"/>
        <w:spacing w:before="60" w:after="283"/>
        <w:jc w:val="both"/>
        <w:rPr>
          <w:rFonts w:ascii="Ashland;sans-serif" w:hAnsi="Ashland;sans-serif"/>
          <w:color w:val="000000"/>
          <w:sz w:val="22"/>
        </w:rPr>
      </w:pPr>
      <w:r>
        <w:rPr>
          <w:rFonts w:ascii="Ashland;sans-serif" w:hAnsi="Ashland;sans-serif"/>
          <w:color w:val="000000"/>
          <w:sz w:val="22"/>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60" w:after="283"/>
        <w:jc w:val="both"/>
        <w:rPr>
          <w:rFonts w:ascii="Ashland;sans-serif" w:hAnsi="Ashland;sans-serif"/>
          <w:color w:val="000000"/>
          <w:sz w:val="22"/>
        </w:rPr>
      </w:pPr>
      <w:r>
        <w:rPr>
          <w:rFonts w:ascii="Ashland;sans-serif" w:hAnsi="Ashland;sans-serif"/>
          <w:color w:val="000000"/>
          <w:sz w:val="22"/>
        </w:rPr>
        <w:t>4.</w:t>
      </w:r>
    </w:p>
    <w:p>
      <w:pPr>
        <w:pStyle w:val="TextBody"/>
        <w:bidi w:val="0"/>
        <w:spacing w:before="60" w:after="283"/>
        <w:jc w:val="both"/>
        <w:rPr>
          <w:rFonts w:ascii="Ashland;sans-serif" w:hAnsi="Ashland;sans-serif"/>
          <w:color w:val="000000"/>
          <w:sz w:val="22"/>
        </w:rPr>
      </w:pPr>
      <w:r>
        <w:rPr>
          <w:rFonts w:ascii="Ashland;sans-serif" w:hAnsi="Ashland;sans-serif"/>
          <w:color w:val="000000"/>
          <w:sz w:val="22"/>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60" w:after="283"/>
        <w:jc w:val="both"/>
        <w:rPr>
          <w:rFonts w:ascii="Ashland;sans-serif" w:hAnsi="Ashland;sans-serif"/>
          <w:color w:val="000000"/>
          <w:sz w:val="22"/>
        </w:rPr>
      </w:pPr>
      <w:r>
        <w:rPr>
          <w:rFonts w:ascii="Ashland;sans-serif" w:hAnsi="Ashland;sans-serif"/>
          <w:color w:val="000000"/>
          <w:sz w:val="22"/>
        </w:rPr>
        <w:t>a.</w:t>
      </w:r>
    </w:p>
    <w:p>
      <w:pPr>
        <w:pStyle w:val="TextBody"/>
        <w:bidi w:val="0"/>
        <w:spacing w:before="60" w:after="283"/>
        <w:jc w:val="both"/>
        <w:rPr>
          <w:rFonts w:ascii="Ashland;sans-serif" w:hAnsi="Ashland;sans-serif"/>
          <w:color w:val="000000"/>
          <w:sz w:val="22"/>
        </w:rPr>
      </w:pPr>
      <w:r>
        <w:rPr>
          <w:rFonts w:ascii="Ashland;sans-serif" w:hAnsi="Ashland;sans-serif"/>
          <w:color w:val="000000"/>
          <w:sz w:val="22"/>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60" w:after="283"/>
        <w:jc w:val="both"/>
        <w:rPr>
          <w:rFonts w:ascii="Ashland;sans-serif" w:hAnsi="Ashland;sans-serif"/>
          <w:color w:val="000000"/>
          <w:sz w:val="22"/>
        </w:rPr>
      </w:pPr>
      <w:r>
        <w:rPr>
          <w:rFonts w:ascii="Ashland;sans-serif" w:hAnsi="Ashland;sans-serif"/>
          <w:color w:val="000000"/>
          <w:sz w:val="22"/>
        </w:rPr>
        <w:t>b.</w:t>
      </w:r>
    </w:p>
    <w:p>
      <w:pPr>
        <w:pStyle w:val="TextBody"/>
        <w:bidi w:val="0"/>
        <w:spacing w:before="60" w:after="283"/>
        <w:jc w:val="both"/>
        <w:rPr>
          <w:rFonts w:ascii="Ashland;sans-serif" w:hAnsi="Ashland;sans-serif"/>
          <w:color w:val="000000"/>
          <w:sz w:val="22"/>
        </w:rPr>
      </w:pPr>
      <w:r>
        <w:rPr>
          <w:rFonts w:ascii="Ashland;sans-serif" w:hAnsi="Ashland;sans-serif"/>
          <w:color w:val="000000"/>
          <w:sz w:val="22"/>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60" w:after="283"/>
        <w:jc w:val="both"/>
        <w:rPr>
          <w:rFonts w:ascii="Ashland;sans-serif" w:hAnsi="Ashland;sans-serif"/>
          <w:color w:val="000000"/>
          <w:sz w:val="22"/>
        </w:rPr>
      </w:pPr>
      <w:r>
        <w:rPr>
          <w:rFonts w:ascii="Ashland;sans-serif" w:hAnsi="Ashland;sans-serif"/>
          <w:color w:val="000000"/>
          <w:sz w:val="22"/>
        </w:rPr>
        <w:t>c.</w:t>
      </w:r>
    </w:p>
    <w:p>
      <w:pPr>
        <w:pStyle w:val="TextBody"/>
        <w:bidi w:val="0"/>
        <w:spacing w:before="60" w:after="283"/>
        <w:jc w:val="both"/>
        <w:rPr>
          <w:rFonts w:ascii="Ashland;sans-serif" w:hAnsi="Ashland;sans-serif"/>
          <w:color w:val="000000"/>
          <w:sz w:val="22"/>
        </w:rPr>
      </w:pPr>
      <w:r>
        <w:rPr>
          <w:rFonts w:ascii="Ashland;sans-serif" w:hAnsi="Ashland;sans-serif"/>
          <w:color w:val="000000"/>
          <w:sz w:val="22"/>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60" w:after="283"/>
        <w:jc w:val="both"/>
        <w:rPr>
          <w:rFonts w:ascii="Ashland;sans-serif" w:hAnsi="Ashland;sans-serif"/>
          <w:color w:val="000000"/>
          <w:sz w:val="22"/>
        </w:rPr>
      </w:pPr>
      <w:r>
        <w:rPr>
          <w:rFonts w:ascii="Ashland;sans-serif" w:hAnsi="Ashland;sans-serif"/>
          <w:color w:val="000000"/>
          <w:sz w:val="22"/>
        </w:rPr>
        <w:t>d.</w:t>
      </w:r>
    </w:p>
    <w:p>
      <w:pPr>
        <w:pStyle w:val="TextBody"/>
        <w:bidi w:val="0"/>
        <w:spacing w:before="60" w:after="283"/>
        <w:jc w:val="both"/>
        <w:rPr>
          <w:rFonts w:ascii="Ashland;sans-serif" w:hAnsi="Ashland;sans-serif"/>
          <w:color w:val="000000"/>
          <w:sz w:val="22"/>
        </w:rPr>
      </w:pPr>
      <w:r>
        <w:rPr>
          <w:rFonts w:ascii="Ashland;sans-serif" w:hAnsi="Ashland;sans-serif"/>
          <w:color w:val="000000"/>
          <w:sz w:val="22"/>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60" w:after="283"/>
        <w:jc w:val="both"/>
        <w:rPr>
          <w:rFonts w:ascii="Ashland;sans-serif" w:hAnsi="Ashland;sans-serif"/>
          <w:color w:val="000000"/>
          <w:sz w:val="22"/>
        </w:rPr>
      </w:pPr>
      <w:r>
        <w:rPr>
          <w:rFonts w:ascii="Ashland;sans-serif" w:hAnsi="Ashland;sans-serif"/>
          <w:color w:val="000000"/>
          <w:sz w:val="22"/>
        </w:rPr>
        <w:t>5.</w:t>
      </w:r>
    </w:p>
    <w:p>
      <w:pPr>
        <w:pStyle w:val="TextBody"/>
        <w:bidi w:val="0"/>
        <w:spacing w:before="60" w:after="283"/>
        <w:jc w:val="both"/>
        <w:rPr>
          <w:rFonts w:ascii="Ashland;sans-serif" w:hAnsi="Ashland;sans-serif"/>
          <w:color w:val="000000"/>
          <w:sz w:val="22"/>
        </w:rPr>
      </w:pPr>
      <w:r>
        <w:rPr>
          <w:rFonts w:ascii="Ashland;sans-serif" w:hAnsi="Ashland;sans-serif"/>
          <w:color w:val="000000"/>
          <w:sz w:val="22"/>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60" w:after="283"/>
        <w:jc w:val="both"/>
        <w:rPr>
          <w:rFonts w:ascii="Ashland;sans-serif" w:hAnsi="Ashland;sans-serif"/>
          <w:color w:val="000000"/>
          <w:sz w:val="22"/>
        </w:rPr>
      </w:pPr>
      <w:r>
        <w:rPr>
          <w:rFonts w:ascii="Ashland;sans-serif" w:hAnsi="Ashland;sans-serif"/>
          <w:color w:val="000000"/>
          <w:sz w:val="22"/>
        </w:rPr>
        <w:t>a.</w:t>
      </w:r>
    </w:p>
    <w:p>
      <w:pPr>
        <w:pStyle w:val="TextBody"/>
        <w:bidi w:val="0"/>
        <w:spacing w:before="60" w:after="283"/>
        <w:jc w:val="both"/>
        <w:rPr>
          <w:rFonts w:ascii="Ashland;sans-serif" w:hAnsi="Ashland;sans-serif"/>
          <w:color w:val="000000"/>
          <w:sz w:val="22"/>
        </w:rPr>
      </w:pPr>
      <w:r>
        <w:rPr>
          <w:rFonts w:ascii="Ashland;sans-serif" w:hAnsi="Ashland;sans-serif"/>
          <w:color w:val="000000"/>
          <w:sz w:val="22"/>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60" w:after="283"/>
        <w:jc w:val="both"/>
        <w:rPr>
          <w:rFonts w:ascii="Ashland;sans-serif" w:hAnsi="Ashland;sans-serif"/>
          <w:color w:val="000000"/>
          <w:sz w:val="22"/>
        </w:rPr>
      </w:pPr>
      <w:r>
        <w:rPr>
          <w:rFonts w:ascii="Ashland;sans-serif" w:hAnsi="Ashland;sans-serif"/>
          <w:color w:val="000000"/>
          <w:sz w:val="22"/>
        </w:rPr>
        <w:t>b.</w:t>
      </w:r>
    </w:p>
    <w:p>
      <w:pPr>
        <w:pStyle w:val="TextBody"/>
        <w:bidi w:val="0"/>
        <w:spacing w:before="60" w:after="283"/>
        <w:jc w:val="both"/>
        <w:rPr>
          <w:rFonts w:ascii="Ashland;sans-serif" w:hAnsi="Ashland;sans-serif"/>
          <w:color w:val="000000"/>
          <w:sz w:val="22"/>
        </w:rPr>
      </w:pPr>
      <w:r>
        <w:rPr>
          <w:rFonts w:ascii="Ashland;sans-serif" w:hAnsi="Ashland;sans-serif"/>
          <w:color w:val="000000"/>
          <w:sz w:val="22"/>
        </w:rPr>
        <w:t>Any fraud, whether or not material, that involves management or other employees who have a significant role in the registrant’s internal control over financial reporting.</w:t>
      </w:r>
    </w:p>
    <w:p>
      <w:pPr>
        <w:pStyle w:val="TextBody"/>
        <w:bidi w:val="0"/>
        <w:jc w:val="both"/>
        <w:rPr/>
      </w:pPr>
      <w:r>
        <w:rPr/>
        <w:t> </w:t>
      </w:r>
    </w:p>
    <w:p>
      <w:pPr>
        <w:pStyle w:val="TextBody"/>
        <w:bidi w:val="0"/>
        <w:spacing w:before="0" w:after="60"/>
        <w:jc w:val="both"/>
        <w:rPr>
          <w:rFonts w:ascii="Ashland;sans-serif" w:hAnsi="Ashland;sans-serif"/>
          <w:color w:val="000000"/>
          <w:sz w:val="22"/>
        </w:rPr>
      </w:pPr>
      <w:r>
        <w:rPr>
          <w:rFonts w:ascii="Ashland;sans-serif" w:hAnsi="Ashland;sans-serif"/>
          <w:color w:val="000000"/>
          <w:sz w:val="22"/>
        </w:rPr>
        <w:t>Date: July 29, 2026</w:t>
      </w:r>
    </w:p>
    <w:tbl>
      <w:tblPr>
        <w:tblW w:w="4047" w:type="dxa"/>
        <w:jc w:val="left"/>
        <w:tblInd w:w="0" w:type="dxa"/>
        <w:tblLayout w:type="fixed"/>
        <w:tblCellMar>
          <w:top w:w="28" w:type="dxa"/>
          <w:left w:w="28" w:type="dxa"/>
          <w:bottom w:w="28" w:type="dxa"/>
          <w:right w:w="28" w:type="dxa"/>
        </w:tblCellMar>
      </w:tblPr>
      <w:tblGrid>
        <w:gridCol w:w="161"/>
        <w:gridCol w:w="3886"/>
      </w:tblGrid>
      <w:tr>
        <w:trPr/>
        <w:tc>
          <w:tcPr>
            <w:tcW w:w="161" w:type="dxa"/>
            <w:tcBorders/>
            <w:vAlign w:val="center"/>
          </w:tcPr>
          <w:p>
            <w:pPr>
              <w:pStyle w:val="TableContents"/>
              <w:bidi w:val="0"/>
              <w:spacing w:before="0" w:after="283"/>
              <w:jc w:val="left"/>
              <w:rPr>
                <w:sz w:val="4"/>
                <w:szCs w:val="4"/>
              </w:rPr>
            </w:pPr>
            <w:r>
              <w:rPr>
                <w:sz w:val="4"/>
                <w:szCs w:val="4"/>
              </w:rPr>
            </w:r>
          </w:p>
        </w:tc>
        <w:tc>
          <w:tcPr>
            <w:tcW w:w="388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Ashland;sans-serif" w:hAnsi="Ashland;sans-serif"/>
                <w:color w:val="000000"/>
                <w:sz w:val="22"/>
              </w:rPr>
            </w:pPr>
            <w:r>
              <w:rPr>
                <w:rFonts w:ascii="Ashland;sans-serif" w:hAnsi="Ashland;sans-serif"/>
                <w:color w:val="000000"/>
                <w:sz w:val="22"/>
              </w:rPr>
              <w:t>/s/ Guillermo Novo</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22"/>
              </w:rPr>
            </w:pPr>
            <w:r>
              <w:rPr>
                <w:rFonts w:ascii="Ashland;sans-serif" w:hAnsi="Ashland;sans-serif"/>
                <w:color w:val="000000"/>
                <w:sz w:val="22"/>
              </w:rPr>
              <w:t>Guillermo Novo</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22"/>
              </w:rPr>
            </w:pPr>
            <w:r>
              <w:rPr>
                <w:rFonts w:ascii="Ashland;sans-serif" w:hAnsi="Ashland;sans-serif"/>
                <w:color w:val="000000"/>
                <w:sz w:val="22"/>
              </w:rPr>
              <w:t>Chair and Chief Executive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22"/>
              </w:rPr>
            </w:pPr>
            <w:r>
              <w:rPr>
                <w:rFonts w:ascii="Ashland;sans-serif" w:hAnsi="Ashland;sans-serif"/>
                <w:color w:val="000000"/>
                <w:sz w:val="22"/>
              </w:rPr>
              <w:t>(Principal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 w:name="ash-ex31_2.htm"/>
      <w:bookmarkStart w:id="5" w:name="ksashex31_2"/>
      <w:bookmarkEnd w:id="4"/>
      <w:bookmarkEnd w:id="5"/>
      <w:r>
        <w:rPr/>
        <w:t> </w:t>
      </w:r>
      <w:r>
        <w:br w:type="page"/>
      </w:r>
    </w:p>
    <w:p>
      <w:pPr>
        <w:pStyle w:val="TextBody"/>
        <w:bidi w:val="0"/>
        <w:jc w:val="right"/>
        <w:rPr>
          <w:rFonts w:ascii="Ashland;sans-serif" w:hAnsi="Ashland;sans-serif"/>
          <w:color w:val="000000"/>
          <w:sz w:val="22"/>
        </w:rPr>
      </w:pPr>
      <w:r>
        <w:rPr>
          <w:rFonts w:ascii="Ashland;sans-serif" w:hAnsi="Ashland;sans-serif"/>
          <w:color w:val="000000"/>
          <w:sz w:val="22"/>
        </w:rPr>
        <w:t>EXHIBIT 31.2</w:t>
      </w:r>
    </w:p>
    <w:p>
      <w:pPr>
        <w:pStyle w:val="TextBody"/>
        <w:bidi w:val="0"/>
        <w:spacing w:before="120" w:after="283"/>
        <w:jc w:val="center"/>
        <w:rPr>
          <w:rFonts w:ascii="Ashland;sans-serif" w:hAnsi="Ashland;sans-serif"/>
          <w:b/>
          <w:color w:val="000000"/>
          <w:sz w:val="22"/>
          <w:u w:val="single"/>
        </w:rPr>
      </w:pPr>
      <w:r>
        <w:rPr>
          <w:rFonts w:ascii="Ashland;sans-serif" w:hAnsi="Ashland;sans-serif"/>
          <w:b/>
          <w:color w:val="000000"/>
          <w:sz w:val="22"/>
          <w:u w:val="single"/>
        </w:rPr>
        <w:t>CERTIFICATIONS</w:t>
      </w:r>
    </w:p>
    <w:p>
      <w:pPr>
        <w:pStyle w:val="TextBody"/>
        <w:bidi w:val="0"/>
        <w:jc w:val="center"/>
        <w:rPr/>
      </w:pPr>
      <w:r>
        <w:rPr/>
        <w:t> </w:t>
      </w:r>
    </w:p>
    <w:p>
      <w:pPr>
        <w:pStyle w:val="TextBody"/>
        <w:bidi w:val="0"/>
        <w:jc w:val="both"/>
        <w:rPr>
          <w:rFonts w:ascii="Ashland;sans-serif" w:hAnsi="Ashland;sans-serif"/>
          <w:color w:val="000000"/>
          <w:sz w:val="22"/>
        </w:rPr>
      </w:pPr>
      <w:r>
        <w:rPr>
          <w:rFonts w:ascii="Ashland;sans-serif" w:hAnsi="Ashland;sans-serif"/>
          <w:color w:val="000000"/>
          <w:sz w:val="22"/>
        </w:rPr>
        <w:t>I, William C. Whitaker, certify that:</w:t>
      </w:r>
    </w:p>
    <w:p>
      <w:pPr>
        <w:pStyle w:val="TextBody"/>
        <w:bidi w:val="0"/>
        <w:spacing w:before="60" w:after="283"/>
        <w:jc w:val="both"/>
        <w:rPr>
          <w:rFonts w:ascii="Ashland;sans-serif" w:hAnsi="Ashland;sans-serif"/>
          <w:color w:val="000000"/>
          <w:sz w:val="22"/>
        </w:rPr>
      </w:pPr>
      <w:r>
        <w:rPr>
          <w:rFonts w:ascii="Ashland;sans-serif" w:hAnsi="Ashland;sans-serif"/>
          <w:color w:val="000000"/>
          <w:sz w:val="22"/>
        </w:rPr>
        <w:t>1.</w:t>
      </w:r>
    </w:p>
    <w:p>
      <w:pPr>
        <w:pStyle w:val="TextBody"/>
        <w:bidi w:val="0"/>
        <w:spacing w:before="60" w:after="283"/>
        <w:jc w:val="both"/>
        <w:rPr>
          <w:rFonts w:ascii="Ashland;sans-serif" w:hAnsi="Ashland;sans-serif"/>
          <w:color w:val="000000"/>
          <w:sz w:val="22"/>
        </w:rPr>
      </w:pPr>
      <w:r>
        <w:rPr>
          <w:rFonts w:ascii="Ashland;sans-serif" w:hAnsi="Ashland;sans-serif"/>
          <w:color w:val="000000"/>
          <w:sz w:val="22"/>
        </w:rPr>
        <w:t>I have reviewed this quarterly report on Form 10-Q of Ashland Inc.;</w:t>
      </w:r>
    </w:p>
    <w:p>
      <w:pPr>
        <w:pStyle w:val="TextBody"/>
        <w:bidi w:val="0"/>
        <w:spacing w:before="60" w:after="283"/>
        <w:jc w:val="both"/>
        <w:rPr>
          <w:rFonts w:ascii="Ashland;sans-serif" w:hAnsi="Ashland;sans-serif"/>
          <w:color w:val="000000"/>
          <w:sz w:val="22"/>
        </w:rPr>
      </w:pPr>
      <w:r>
        <w:rPr>
          <w:rFonts w:ascii="Ashland;sans-serif" w:hAnsi="Ashland;sans-serif"/>
          <w:color w:val="000000"/>
          <w:sz w:val="22"/>
        </w:rPr>
        <w:t>2.</w:t>
      </w:r>
    </w:p>
    <w:p>
      <w:pPr>
        <w:pStyle w:val="TextBody"/>
        <w:bidi w:val="0"/>
        <w:spacing w:before="60" w:after="283"/>
        <w:jc w:val="both"/>
        <w:rPr>
          <w:rFonts w:ascii="Ashland;sans-serif" w:hAnsi="Ashland;sans-serif"/>
          <w:color w:val="000000"/>
          <w:sz w:val="22"/>
        </w:rPr>
      </w:pPr>
      <w:r>
        <w:rPr>
          <w:rFonts w:ascii="Ashland;sans-serif" w:hAnsi="Ashland;sans-serif"/>
          <w:color w:val="000000"/>
          <w:sz w:val="22"/>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60" w:after="283"/>
        <w:jc w:val="both"/>
        <w:rPr>
          <w:rFonts w:ascii="Ashland;sans-serif" w:hAnsi="Ashland;sans-serif"/>
          <w:color w:val="000000"/>
          <w:sz w:val="22"/>
        </w:rPr>
      </w:pPr>
      <w:r>
        <w:rPr>
          <w:rFonts w:ascii="Ashland;sans-serif" w:hAnsi="Ashland;sans-serif"/>
          <w:color w:val="000000"/>
          <w:sz w:val="22"/>
        </w:rPr>
        <w:t>3.</w:t>
      </w:r>
    </w:p>
    <w:p>
      <w:pPr>
        <w:pStyle w:val="TextBody"/>
        <w:bidi w:val="0"/>
        <w:spacing w:before="60" w:after="283"/>
        <w:jc w:val="both"/>
        <w:rPr>
          <w:rFonts w:ascii="Ashland;sans-serif" w:hAnsi="Ashland;sans-serif"/>
          <w:color w:val="000000"/>
          <w:sz w:val="22"/>
        </w:rPr>
      </w:pPr>
      <w:r>
        <w:rPr>
          <w:rFonts w:ascii="Ashland;sans-serif" w:hAnsi="Ashland;sans-serif"/>
          <w:color w:val="000000"/>
          <w:sz w:val="22"/>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60" w:after="283"/>
        <w:jc w:val="both"/>
        <w:rPr>
          <w:rFonts w:ascii="Ashland;sans-serif" w:hAnsi="Ashland;sans-serif"/>
          <w:color w:val="000000"/>
          <w:sz w:val="22"/>
        </w:rPr>
      </w:pPr>
      <w:r>
        <w:rPr>
          <w:rFonts w:ascii="Ashland;sans-serif" w:hAnsi="Ashland;sans-serif"/>
          <w:color w:val="000000"/>
          <w:sz w:val="22"/>
        </w:rPr>
        <w:t>4.</w:t>
      </w:r>
    </w:p>
    <w:p>
      <w:pPr>
        <w:pStyle w:val="TextBody"/>
        <w:bidi w:val="0"/>
        <w:spacing w:before="60" w:after="283"/>
        <w:jc w:val="both"/>
        <w:rPr>
          <w:rFonts w:ascii="Ashland;sans-serif" w:hAnsi="Ashland;sans-serif"/>
          <w:color w:val="000000"/>
          <w:sz w:val="22"/>
        </w:rPr>
      </w:pPr>
      <w:r>
        <w:rPr>
          <w:rFonts w:ascii="Ashland;sans-serif" w:hAnsi="Ashland;sans-serif"/>
          <w:color w:val="000000"/>
          <w:sz w:val="22"/>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60" w:after="283"/>
        <w:jc w:val="both"/>
        <w:rPr>
          <w:rFonts w:ascii="Ashland;sans-serif" w:hAnsi="Ashland;sans-serif"/>
          <w:color w:val="000000"/>
          <w:sz w:val="22"/>
        </w:rPr>
      </w:pPr>
      <w:r>
        <w:rPr>
          <w:rFonts w:ascii="Ashland;sans-serif" w:hAnsi="Ashland;sans-serif"/>
          <w:color w:val="000000"/>
          <w:sz w:val="22"/>
        </w:rPr>
        <w:t>a.</w:t>
      </w:r>
    </w:p>
    <w:p>
      <w:pPr>
        <w:pStyle w:val="TextBody"/>
        <w:bidi w:val="0"/>
        <w:spacing w:before="60" w:after="283"/>
        <w:jc w:val="both"/>
        <w:rPr>
          <w:rFonts w:ascii="Ashland;sans-serif" w:hAnsi="Ashland;sans-serif"/>
          <w:color w:val="000000"/>
          <w:sz w:val="22"/>
        </w:rPr>
      </w:pPr>
      <w:r>
        <w:rPr>
          <w:rFonts w:ascii="Ashland;sans-serif" w:hAnsi="Ashland;sans-serif"/>
          <w:color w:val="000000"/>
          <w:sz w:val="22"/>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60" w:after="283"/>
        <w:jc w:val="both"/>
        <w:rPr>
          <w:rFonts w:ascii="Ashland;sans-serif" w:hAnsi="Ashland;sans-serif"/>
          <w:color w:val="000000"/>
          <w:sz w:val="22"/>
        </w:rPr>
      </w:pPr>
      <w:r>
        <w:rPr>
          <w:rFonts w:ascii="Ashland;sans-serif" w:hAnsi="Ashland;sans-serif"/>
          <w:color w:val="000000"/>
          <w:sz w:val="22"/>
        </w:rPr>
        <w:t>b.</w:t>
      </w:r>
    </w:p>
    <w:p>
      <w:pPr>
        <w:pStyle w:val="TextBody"/>
        <w:bidi w:val="0"/>
        <w:spacing w:before="60" w:after="283"/>
        <w:jc w:val="both"/>
        <w:rPr>
          <w:rFonts w:ascii="Ashland;sans-serif" w:hAnsi="Ashland;sans-serif"/>
          <w:color w:val="000000"/>
          <w:sz w:val="22"/>
        </w:rPr>
      </w:pPr>
      <w:r>
        <w:rPr>
          <w:rFonts w:ascii="Ashland;sans-serif" w:hAnsi="Ashland;sans-serif"/>
          <w:color w:val="000000"/>
          <w:sz w:val="22"/>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60" w:after="283"/>
        <w:jc w:val="both"/>
        <w:rPr>
          <w:rFonts w:ascii="Ashland;sans-serif" w:hAnsi="Ashland;sans-serif"/>
          <w:color w:val="000000"/>
          <w:sz w:val="22"/>
        </w:rPr>
      </w:pPr>
      <w:r>
        <w:rPr>
          <w:rFonts w:ascii="Ashland;sans-serif" w:hAnsi="Ashland;sans-serif"/>
          <w:color w:val="000000"/>
          <w:sz w:val="22"/>
        </w:rPr>
        <w:t>c.</w:t>
      </w:r>
    </w:p>
    <w:p>
      <w:pPr>
        <w:pStyle w:val="TextBody"/>
        <w:bidi w:val="0"/>
        <w:spacing w:before="60" w:after="283"/>
        <w:jc w:val="both"/>
        <w:rPr>
          <w:rFonts w:ascii="Ashland;sans-serif" w:hAnsi="Ashland;sans-serif"/>
          <w:color w:val="000000"/>
          <w:sz w:val="22"/>
        </w:rPr>
      </w:pPr>
      <w:r>
        <w:rPr>
          <w:rFonts w:ascii="Ashland;sans-serif" w:hAnsi="Ashland;sans-serif"/>
          <w:color w:val="000000"/>
          <w:sz w:val="22"/>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60" w:after="283"/>
        <w:jc w:val="both"/>
        <w:rPr>
          <w:rFonts w:ascii="Ashland;sans-serif" w:hAnsi="Ashland;sans-serif"/>
          <w:color w:val="000000"/>
          <w:sz w:val="22"/>
        </w:rPr>
      </w:pPr>
      <w:r>
        <w:rPr>
          <w:rFonts w:ascii="Ashland;sans-serif" w:hAnsi="Ashland;sans-serif"/>
          <w:color w:val="000000"/>
          <w:sz w:val="22"/>
        </w:rPr>
        <w:t>d.</w:t>
      </w:r>
    </w:p>
    <w:p>
      <w:pPr>
        <w:pStyle w:val="TextBody"/>
        <w:bidi w:val="0"/>
        <w:spacing w:before="60" w:after="283"/>
        <w:jc w:val="both"/>
        <w:rPr>
          <w:rFonts w:ascii="Ashland;sans-serif" w:hAnsi="Ashland;sans-serif"/>
          <w:color w:val="000000"/>
          <w:sz w:val="22"/>
        </w:rPr>
      </w:pPr>
      <w:r>
        <w:rPr>
          <w:rFonts w:ascii="Ashland;sans-serif" w:hAnsi="Ashland;sans-serif"/>
          <w:color w:val="000000"/>
          <w:sz w:val="22"/>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60" w:after="283"/>
        <w:jc w:val="both"/>
        <w:rPr>
          <w:rFonts w:ascii="Ashland;sans-serif" w:hAnsi="Ashland;sans-serif"/>
          <w:color w:val="000000"/>
          <w:sz w:val="22"/>
        </w:rPr>
      </w:pPr>
      <w:r>
        <w:rPr>
          <w:rFonts w:ascii="Ashland;sans-serif" w:hAnsi="Ashland;sans-serif"/>
          <w:color w:val="000000"/>
          <w:sz w:val="22"/>
        </w:rPr>
        <w:t>5.</w:t>
      </w:r>
    </w:p>
    <w:p>
      <w:pPr>
        <w:pStyle w:val="TextBody"/>
        <w:bidi w:val="0"/>
        <w:spacing w:before="60" w:after="283"/>
        <w:jc w:val="both"/>
        <w:rPr>
          <w:rFonts w:ascii="Ashland;sans-serif" w:hAnsi="Ashland;sans-serif"/>
          <w:color w:val="000000"/>
          <w:sz w:val="22"/>
        </w:rPr>
      </w:pPr>
      <w:r>
        <w:rPr>
          <w:rFonts w:ascii="Ashland;sans-serif" w:hAnsi="Ashland;sans-serif"/>
          <w:color w:val="000000"/>
          <w:sz w:val="22"/>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60" w:after="283"/>
        <w:jc w:val="both"/>
        <w:rPr>
          <w:rFonts w:ascii="Ashland;sans-serif" w:hAnsi="Ashland;sans-serif"/>
          <w:color w:val="000000"/>
          <w:sz w:val="22"/>
        </w:rPr>
      </w:pPr>
      <w:r>
        <w:rPr>
          <w:rFonts w:ascii="Ashland;sans-serif" w:hAnsi="Ashland;sans-serif"/>
          <w:color w:val="000000"/>
          <w:sz w:val="22"/>
        </w:rPr>
        <w:t>a.</w:t>
      </w:r>
    </w:p>
    <w:p>
      <w:pPr>
        <w:pStyle w:val="TextBody"/>
        <w:bidi w:val="0"/>
        <w:spacing w:before="60" w:after="283"/>
        <w:jc w:val="both"/>
        <w:rPr>
          <w:rFonts w:ascii="Ashland;sans-serif" w:hAnsi="Ashland;sans-serif"/>
          <w:color w:val="000000"/>
          <w:sz w:val="22"/>
        </w:rPr>
      </w:pPr>
      <w:r>
        <w:rPr>
          <w:rFonts w:ascii="Ashland;sans-serif" w:hAnsi="Ashland;sans-serif"/>
          <w:color w:val="000000"/>
          <w:sz w:val="22"/>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60" w:after="283"/>
        <w:jc w:val="both"/>
        <w:rPr>
          <w:rFonts w:ascii="Ashland;sans-serif" w:hAnsi="Ashland;sans-serif"/>
          <w:color w:val="000000"/>
          <w:sz w:val="22"/>
        </w:rPr>
      </w:pPr>
      <w:r>
        <w:rPr>
          <w:rFonts w:ascii="Ashland;sans-serif" w:hAnsi="Ashland;sans-serif"/>
          <w:color w:val="000000"/>
          <w:sz w:val="22"/>
        </w:rPr>
        <w:t>b.</w:t>
      </w:r>
    </w:p>
    <w:p>
      <w:pPr>
        <w:pStyle w:val="TextBody"/>
        <w:bidi w:val="0"/>
        <w:spacing w:before="60" w:after="283"/>
        <w:jc w:val="both"/>
        <w:rPr>
          <w:rFonts w:ascii="Ashland;sans-serif" w:hAnsi="Ashland;sans-serif"/>
          <w:color w:val="000000"/>
          <w:sz w:val="22"/>
        </w:rPr>
      </w:pPr>
      <w:r>
        <w:rPr>
          <w:rFonts w:ascii="Ashland;sans-serif" w:hAnsi="Ashland;sans-serif"/>
          <w:color w:val="000000"/>
          <w:sz w:val="22"/>
        </w:rPr>
        <w:t>Any fraud, whether or not material, that involves management or other employees who have a significant role in the registrant’s internal control over financial reporting.</w:t>
      </w:r>
    </w:p>
    <w:p>
      <w:pPr>
        <w:pStyle w:val="TextBody"/>
        <w:bidi w:val="0"/>
        <w:jc w:val="both"/>
        <w:rPr/>
      </w:pPr>
      <w:r>
        <w:rPr/>
        <w:t> </w:t>
      </w:r>
    </w:p>
    <w:p>
      <w:pPr>
        <w:pStyle w:val="TextBody"/>
        <w:bidi w:val="0"/>
        <w:spacing w:before="0" w:after="60"/>
        <w:jc w:val="both"/>
        <w:rPr>
          <w:rFonts w:ascii="Ashland;sans-serif" w:hAnsi="Ashland;sans-serif"/>
          <w:color w:val="000000"/>
          <w:sz w:val="22"/>
        </w:rPr>
      </w:pPr>
      <w:r>
        <w:rPr>
          <w:rFonts w:ascii="Ashland;sans-serif" w:hAnsi="Ashland;sans-serif"/>
          <w:color w:val="000000"/>
          <w:sz w:val="22"/>
        </w:rPr>
        <w:t>Date: July 29, 2026</w:t>
      </w:r>
    </w:p>
    <w:tbl>
      <w:tblPr>
        <w:tblW w:w="2877" w:type="dxa"/>
        <w:jc w:val="left"/>
        <w:tblInd w:w="0" w:type="dxa"/>
        <w:tblLayout w:type="fixed"/>
        <w:tblCellMar>
          <w:top w:w="28" w:type="dxa"/>
          <w:left w:w="28" w:type="dxa"/>
          <w:bottom w:w="28" w:type="dxa"/>
          <w:right w:w="28" w:type="dxa"/>
        </w:tblCellMar>
      </w:tblPr>
      <w:tblGrid>
        <w:gridCol w:w="161"/>
        <w:gridCol w:w="2716"/>
      </w:tblGrid>
      <w:tr>
        <w:trPr/>
        <w:tc>
          <w:tcPr>
            <w:tcW w:w="161"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71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Ashland;sans-serif" w:hAnsi="Ashland;sans-serif"/>
                <w:color w:val="000000"/>
                <w:sz w:val="22"/>
              </w:rPr>
            </w:pPr>
            <w:r>
              <w:rPr>
                <w:rFonts w:ascii="Ashland;sans-serif" w:hAnsi="Ashland;sans-serif"/>
                <w:color w:val="000000"/>
                <w:sz w:val="22"/>
              </w:rPr>
              <w:t>/s/ William C. Whitaker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716" w:type="dxa"/>
            <w:tcBorders/>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22"/>
              </w:rPr>
            </w:pPr>
            <w:r>
              <w:rPr>
                <w:rFonts w:ascii="Ashland;sans-serif" w:hAnsi="Ashland;sans-serif"/>
                <w:color w:val="000000"/>
                <w:sz w:val="22"/>
              </w:rPr>
              <w:t>William C. Whitaker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716" w:type="dxa"/>
            <w:tcBorders/>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22"/>
              </w:rPr>
            </w:pPr>
            <w:r>
              <w:rPr>
                <w:rFonts w:ascii="Ashland;sans-serif" w:hAnsi="Ashland;sans-serif"/>
                <w:color w:val="000000"/>
                <w:sz w:val="22"/>
              </w:rPr>
              <w:t>Chief Financial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6" w:name="ash-ex32.htm"/>
      <w:bookmarkStart w:id="7" w:name="ksashex32"/>
      <w:bookmarkEnd w:id="6"/>
      <w:bookmarkEnd w:id="7"/>
      <w:r>
        <w:rPr/>
        <w:t> </w:t>
      </w:r>
      <w:r>
        <w:br w:type="page"/>
      </w:r>
    </w:p>
    <w:p>
      <w:pPr>
        <w:pStyle w:val="TextBody"/>
        <w:bidi w:val="0"/>
        <w:jc w:val="right"/>
        <w:rPr>
          <w:rFonts w:ascii="Ashland;sans-serif" w:hAnsi="Ashland;sans-serif"/>
          <w:color w:val="000000"/>
          <w:sz w:val="22"/>
        </w:rPr>
      </w:pPr>
      <w:r>
        <w:rPr>
          <w:rFonts w:ascii="Ashland;sans-serif" w:hAnsi="Ashland;sans-serif"/>
          <w:color w:val="000000"/>
          <w:sz w:val="22"/>
        </w:rPr>
        <w:t>EXHIBIT 32</w:t>
      </w:r>
    </w:p>
    <w:p>
      <w:pPr>
        <w:pStyle w:val="TextBody"/>
        <w:bidi w:val="0"/>
        <w:spacing w:before="120" w:after="283"/>
        <w:jc w:val="center"/>
        <w:rPr>
          <w:rFonts w:ascii="Ashland;sans-serif" w:hAnsi="Ashland;sans-serif"/>
          <w:color w:val="000000"/>
          <w:sz w:val="22"/>
        </w:rPr>
      </w:pPr>
      <w:r>
        <w:rPr>
          <w:rFonts w:ascii="Ashland;sans-serif" w:hAnsi="Ashland;sans-serif"/>
          <w:color w:val="000000"/>
          <w:sz w:val="22"/>
        </w:rPr>
        <w:t>ASHLAND INC.</w:t>
      </w:r>
    </w:p>
    <w:p>
      <w:pPr>
        <w:pStyle w:val="TextBody"/>
        <w:bidi w:val="0"/>
        <w:spacing w:before="120" w:after="283"/>
        <w:jc w:val="center"/>
        <w:rPr>
          <w:rFonts w:ascii="Ashland;sans-serif" w:hAnsi="Ashland;sans-serif"/>
          <w:color w:val="000000"/>
          <w:sz w:val="22"/>
        </w:rPr>
      </w:pPr>
      <w:r>
        <w:rPr>
          <w:rFonts w:ascii="Ashland;sans-serif" w:hAnsi="Ashland;sans-serif"/>
          <w:color w:val="000000"/>
          <w:sz w:val="22"/>
        </w:rPr>
        <w:t>CERTIFICATION PURSUANT TO</w:t>
      </w:r>
    </w:p>
    <w:p>
      <w:pPr>
        <w:pStyle w:val="TextBody"/>
        <w:bidi w:val="0"/>
        <w:jc w:val="center"/>
        <w:rPr>
          <w:rFonts w:ascii="Ashland;sans-serif" w:hAnsi="Ashland;sans-serif"/>
          <w:color w:val="000000"/>
          <w:sz w:val="22"/>
        </w:rPr>
      </w:pPr>
      <w:r>
        <w:rPr>
          <w:rFonts w:ascii="Ashland;sans-serif" w:hAnsi="Ashland;sans-serif"/>
          <w:color w:val="000000"/>
          <w:sz w:val="22"/>
        </w:rPr>
        <w:t>18 U.S.C. SECTION 1350,</w:t>
      </w:r>
    </w:p>
    <w:p>
      <w:pPr>
        <w:pStyle w:val="TextBody"/>
        <w:bidi w:val="0"/>
        <w:jc w:val="center"/>
        <w:rPr>
          <w:rFonts w:ascii="Ashland;sans-serif" w:hAnsi="Ashland;sans-serif"/>
          <w:color w:val="000000"/>
          <w:sz w:val="22"/>
        </w:rPr>
      </w:pPr>
      <w:r>
        <w:rPr>
          <w:rFonts w:ascii="Ashland;sans-serif" w:hAnsi="Ashland;sans-serif"/>
          <w:color w:val="000000"/>
          <w:sz w:val="22"/>
        </w:rPr>
        <w:t>AS ADOPTED PURSUANT TO</w:t>
      </w:r>
    </w:p>
    <w:p>
      <w:pPr>
        <w:pStyle w:val="TextBody"/>
        <w:bidi w:val="0"/>
        <w:jc w:val="center"/>
        <w:rPr>
          <w:rFonts w:ascii="Ashland;sans-serif" w:hAnsi="Ashland;sans-serif"/>
          <w:color w:val="000000"/>
          <w:sz w:val="22"/>
        </w:rPr>
      </w:pPr>
      <w:r>
        <w:rPr>
          <w:rFonts w:ascii="Ashland;sans-serif" w:hAnsi="Ashland;sans-serif"/>
          <w:color w:val="000000"/>
          <w:sz w:val="22"/>
        </w:rPr>
        <w:t>SECTION 906 OF THE SARBANES-OXLEY ACT OF 2002</w:t>
      </w:r>
    </w:p>
    <w:p>
      <w:pPr>
        <w:pStyle w:val="TextBody"/>
        <w:bidi w:val="0"/>
        <w:spacing w:before="120" w:after="283"/>
        <w:jc w:val="both"/>
        <w:rPr>
          <w:rFonts w:ascii="Ashland;sans-serif" w:hAnsi="Ashland;sans-serif"/>
          <w:color w:val="000000"/>
          <w:sz w:val="22"/>
        </w:rPr>
      </w:pPr>
      <w:r>
        <w:rPr>
          <w:rFonts w:ascii="Ashland;sans-serif" w:hAnsi="Ashland;sans-serif"/>
          <w:color w:val="000000"/>
          <w:sz w:val="22"/>
        </w:rPr>
        <w:t>In connection with the Quarterly Report of Ashland Inc. (the “Company”) on Form 10-Q for the period ended June 30, 2026, as filed with the Securities and Exchange Commission on the date hereof (the “Report”), each of the undersigned, Guillermo Novo, Chief Executive Officer of the Company, and William C. Whitaker, Chief Financial Officer of the Company, certify, pursuant to 18 U.S.C. Section 1350, as adopted pursuant to Section 906 of the Sarbanes-Oxley Act of 2002, that:</w:t>
      </w:r>
    </w:p>
    <w:p>
      <w:pPr>
        <w:pStyle w:val="TextBody"/>
        <w:bidi w:val="0"/>
        <w:spacing w:before="120" w:after="283"/>
        <w:jc w:val="both"/>
        <w:rPr>
          <w:rFonts w:ascii="Ashland;sans-serif" w:hAnsi="Ashland;sans-serif"/>
          <w:color w:val="000000"/>
          <w:sz w:val="22"/>
        </w:rPr>
      </w:pPr>
      <w:r>
        <w:rPr>
          <w:rFonts w:ascii="Ashland;sans-serif" w:hAnsi="Ashland;sans-serif"/>
          <w:color w:val="000000"/>
          <w:sz w:val="22"/>
        </w:rPr>
        <w:t>(1)</w:t>
      </w:r>
    </w:p>
    <w:p>
      <w:pPr>
        <w:pStyle w:val="TextBody"/>
        <w:bidi w:val="0"/>
        <w:spacing w:before="120" w:after="283"/>
        <w:jc w:val="both"/>
        <w:rPr>
          <w:rFonts w:ascii="Ashland;sans-serif" w:hAnsi="Ashland;sans-serif"/>
          <w:color w:val="000000"/>
          <w:sz w:val="22"/>
        </w:rPr>
      </w:pPr>
      <w:r>
        <w:rPr>
          <w:rFonts w:ascii="Ashland;sans-serif" w:hAnsi="Ashland;sans-serif"/>
          <w:color w:val="000000"/>
          <w:sz w:val="22"/>
        </w:rPr>
        <w:t>The Report fully complies with the requirements of Section 13(a) or 15(d) of the Securities Exchange Act of 1934; and</w:t>
      </w:r>
    </w:p>
    <w:p>
      <w:pPr>
        <w:pStyle w:val="TextBody"/>
        <w:bidi w:val="0"/>
        <w:spacing w:before="120" w:after="283"/>
        <w:jc w:val="both"/>
        <w:rPr>
          <w:rFonts w:ascii="Ashland;sans-serif" w:hAnsi="Ashland;sans-serif"/>
          <w:color w:val="000000"/>
          <w:sz w:val="22"/>
        </w:rPr>
      </w:pPr>
      <w:r>
        <w:rPr>
          <w:rFonts w:ascii="Ashland;sans-serif" w:hAnsi="Ashland;sans-serif"/>
          <w:color w:val="000000"/>
          <w:sz w:val="22"/>
        </w:rPr>
        <w:t>(2)</w:t>
      </w:r>
    </w:p>
    <w:p>
      <w:pPr>
        <w:pStyle w:val="TextBody"/>
        <w:bidi w:val="0"/>
        <w:spacing w:before="120" w:after="283"/>
        <w:jc w:val="both"/>
        <w:rPr>
          <w:rFonts w:ascii="Ashland;sans-serif" w:hAnsi="Ashland;sans-serif"/>
          <w:color w:val="000000"/>
          <w:sz w:val="22"/>
        </w:rPr>
      </w:pPr>
      <w:r>
        <w:rPr>
          <w:rFonts w:ascii="Ashland;sans-serif" w:hAnsi="Ashland;sans-serif"/>
          <w:color w:val="000000"/>
          <w:sz w:val="22"/>
        </w:rPr>
        <w:t>The information contained in the Report fairly presents, in all material respects, the financial condition and results of operations of the Company.</w:t>
      </w:r>
    </w:p>
    <w:p>
      <w:pPr>
        <w:pStyle w:val="TextBody"/>
        <w:bidi w:val="0"/>
        <w:jc w:val="left"/>
        <w:rPr/>
      </w:pPr>
      <w:r>
        <w:rPr/>
        <w:t> </w:t>
      </w:r>
    </w:p>
    <w:tbl>
      <w:tblPr>
        <w:tblW w:w="2731" w:type="dxa"/>
        <w:jc w:val="left"/>
        <w:tblInd w:w="0" w:type="dxa"/>
        <w:tblLayout w:type="fixed"/>
        <w:tblCellMar>
          <w:top w:w="28" w:type="dxa"/>
          <w:left w:w="28" w:type="dxa"/>
          <w:bottom w:w="28" w:type="dxa"/>
          <w:right w:w="28" w:type="dxa"/>
        </w:tblCellMar>
      </w:tblPr>
      <w:tblGrid>
        <w:gridCol w:w="2731"/>
      </w:tblGrid>
      <w:tr>
        <w:trPr/>
        <w:tc>
          <w:tcPr>
            <w:tcW w:w="2731" w:type="dxa"/>
            <w:tcBorders/>
            <w:vAlign w:val="center"/>
          </w:tcPr>
          <w:p>
            <w:pPr>
              <w:pStyle w:val="TableContents"/>
              <w:bidi w:val="0"/>
              <w:spacing w:before="0" w:after="283"/>
              <w:jc w:val="left"/>
              <w:rPr>
                <w:sz w:val="4"/>
                <w:szCs w:val="4"/>
              </w:rPr>
            </w:pPr>
            <w:r>
              <w:rPr>
                <w:sz w:val="4"/>
                <w:szCs w:val="4"/>
              </w:rPr>
            </w:r>
          </w:p>
        </w:tc>
      </w:tr>
      <w:tr>
        <w:trPr/>
        <w:tc>
          <w:tcPr>
            <w:tcW w:w="273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Ashland;sans-serif" w:hAnsi="Ashland;sans-serif"/>
                <w:color w:val="000000"/>
                <w:sz w:val="22"/>
              </w:rPr>
            </w:pPr>
            <w:r>
              <w:rPr>
                <w:rFonts w:ascii="Ashland;sans-serif" w:hAnsi="Ashland;sans-serif"/>
                <w:color w:val="000000"/>
                <w:sz w:val="22"/>
              </w:rPr>
              <w:t>/s/ Guillermo Novo</w:t>
            </w:r>
          </w:p>
        </w:tc>
      </w:tr>
      <w:tr>
        <w:trPr/>
        <w:tc>
          <w:tcPr>
            <w:tcW w:w="2731" w:type="dxa"/>
            <w:tcBorders/>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22"/>
              </w:rPr>
            </w:pPr>
            <w:r>
              <w:rPr>
                <w:rFonts w:ascii="Ashland;sans-serif" w:hAnsi="Ashland;sans-serif"/>
                <w:color w:val="000000"/>
                <w:sz w:val="22"/>
              </w:rPr>
              <w:t>Guillermo Novo</w:t>
            </w:r>
          </w:p>
        </w:tc>
      </w:tr>
      <w:tr>
        <w:trPr/>
        <w:tc>
          <w:tcPr>
            <w:tcW w:w="2731" w:type="dxa"/>
            <w:tcBorders/>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22"/>
              </w:rPr>
            </w:pPr>
            <w:r>
              <w:rPr>
                <w:rFonts w:ascii="Ashland;sans-serif" w:hAnsi="Ashland;sans-serif"/>
                <w:color w:val="000000"/>
                <w:sz w:val="22"/>
              </w:rPr>
              <w:t>Chief Executive Officer</w:t>
            </w:r>
          </w:p>
        </w:tc>
      </w:tr>
      <w:tr>
        <w:trPr/>
        <w:tc>
          <w:tcPr>
            <w:tcW w:w="2731" w:type="dxa"/>
            <w:tcBorders/>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22"/>
              </w:rPr>
            </w:pPr>
            <w:r>
              <w:rPr>
                <w:rFonts w:ascii="Ashland;sans-serif" w:hAnsi="Ashland;sans-serif"/>
                <w:color w:val="000000"/>
                <w:sz w:val="22"/>
              </w:rPr>
              <w:t>July 29, 2026</w:t>
            </w:r>
          </w:p>
        </w:tc>
      </w:tr>
      <w:tr>
        <w:trPr/>
        <w:tc>
          <w:tcPr>
            <w:tcW w:w="27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Ashland;sans-serif" w:hAnsi="Ashland;sans-serif"/>
                <w:color w:val="000000"/>
                <w:sz w:val="22"/>
              </w:rPr>
            </w:pPr>
            <w:r>
              <w:rPr>
                <w:rFonts w:ascii="Ashland;sans-serif" w:hAnsi="Ashland;sans-serif"/>
                <w:color w:val="000000"/>
                <w:sz w:val="22"/>
              </w:rPr>
              <w:t>/s/ William C. Whitaker</w:t>
            </w:r>
          </w:p>
        </w:tc>
      </w:tr>
      <w:tr>
        <w:trPr/>
        <w:tc>
          <w:tcPr>
            <w:tcW w:w="2731" w:type="dxa"/>
            <w:tcBorders/>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22"/>
              </w:rPr>
            </w:pPr>
            <w:r>
              <w:rPr>
                <w:rFonts w:ascii="Ashland;sans-serif" w:hAnsi="Ashland;sans-serif"/>
                <w:color w:val="000000"/>
                <w:sz w:val="22"/>
              </w:rPr>
              <w:t>William C. Whitaker</w:t>
            </w:r>
          </w:p>
        </w:tc>
      </w:tr>
      <w:tr>
        <w:trPr/>
        <w:tc>
          <w:tcPr>
            <w:tcW w:w="2731" w:type="dxa"/>
            <w:tcBorders/>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22"/>
              </w:rPr>
            </w:pPr>
            <w:r>
              <w:rPr>
                <w:rFonts w:ascii="Ashland;sans-serif" w:hAnsi="Ashland;sans-serif"/>
                <w:color w:val="000000"/>
                <w:sz w:val="22"/>
              </w:rPr>
              <w:t>Chief Financial Officer</w:t>
            </w:r>
          </w:p>
        </w:tc>
      </w:tr>
      <w:tr>
        <w:trPr/>
        <w:tc>
          <w:tcPr>
            <w:tcW w:w="2731" w:type="dxa"/>
            <w:tcBorders/>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22"/>
              </w:rPr>
            </w:pPr>
            <w:r>
              <w:rPr>
                <w:rFonts w:ascii="Ashland;sans-serif" w:hAnsi="Ashland;sans-serif"/>
                <w:color w:val="000000"/>
                <w:sz w:val="22"/>
              </w:rPr>
              <w:t>July 29, 2026</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shland">
    <w:altName w:val="sans-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74862/000119312516714093/d246354dex31.htm" TargetMode="External"/><Relationship Id="rId3" Type="http://schemas.openxmlformats.org/officeDocument/2006/relationships/hyperlink" Target="https://www.sec.gov/Archives/edgar/data/1674862/000095017022013666/ash-ex3_1.htm" TargetMode="External"/><Relationship Id="rId4" Type="http://schemas.openxmlformats.org/officeDocument/2006/relationships/hyperlink" Target="https://www.sec.gov/Archives/edgar/data/1674862/000095017022018687/ash-ex3_1.htm" TargetMode="External"/><Relationship Id="rId5" Type="http://schemas.openxmlformats.org/officeDocument/2006/relationships/hyperlink" Target="https://www.sec.gov/ix?doc=/Archives/edgar/data/0001674862/000119312526246229/ash-20260528.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32341</Words>
  <Characters>173401</Characters>
  <CharactersWithSpaces>209632</CharactersWithSpaces>
  <Paragraphs>15937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