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SCHEDULE 14A INFORMATION</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14" w:lineRule="exact"/>
        <w:rPr>
          <w:sz w:val="24"/>
          <w:szCs w:val="24"/>
          <w:color w:val="auto"/>
        </w:rPr>
      </w:pPr>
    </w:p>
    <w:p>
      <w:pPr>
        <w:jc w:val="center"/>
        <w:ind w:right="40"/>
        <w:spacing w:after="0"/>
        <w:tabs>
          <w:tab w:leader="none" w:pos="180" w:val="left"/>
        </w:tabs>
        <w:rPr>
          <w:sz w:val="20"/>
          <w:szCs w:val="20"/>
          <w:color w:val="auto"/>
        </w:rPr>
      </w:pPr>
      <w:r>
        <w:rPr>
          <w:rFonts w:ascii="Arial" w:cs="Arial" w:eastAsia="Arial" w:hAnsi="Arial"/>
          <w:sz w:val="18"/>
          <w:szCs w:val="18"/>
          <w:b w:val="1"/>
          <w:bCs w:val="1"/>
          <w:color w:val="auto"/>
        </w:rPr>
        <w:t>OF THE SECURITIES EXCHANGE ACT OF 1934 (AMENDMENT NO.</w:t>
        <w:tab/>
        <w:t>)</w:t>
      </w:r>
    </w:p>
    <w:p>
      <w:pPr>
        <w:spacing w:after="0" w:line="149" w:lineRule="exact"/>
        <w:rPr>
          <w:sz w:val="24"/>
          <w:szCs w:val="24"/>
          <w:color w:val="auto"/>
        </w:rPr>
      </w:pPr>
    </w:p>
    <w:p>
      <w:pPr>
        <w:spacing w:after="0" w:line="184" w:lineRule="exact"/>
        <w:tabs>
          <w:tab w:leader="none" w:pos="2080" w:val="left"/>
          <w:tab w:leader="none" w:pos="3360" w:val="left"/>
          <w:tab w:leader="none" w:pos="680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59" w:lineRule="exact"/>
        <w:rPr>
          <w:rFonts w:ascii="MS PGothic" w:cs="MS PGothic" w:eastAsia="MS PGothic" w:hAnsi="MS PGothic"/>
          <w:sz w:val="16"/>
          <w:szCs w:val="16"/>
          <w:color w:val="auto"/>
        </w:rPr>
      </w:pPr>
    </w:p>
    <w:p>
      <w:pPr>
        <w:ind w:right="2940" w:firstLine="8"/>
        <w:spacing w:after="0" w:line="240" w:lineRule="exact"/>
        <w:tabs>
          <w:tab w:leader="none" w:pos="37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59"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240.14a-11(c) or Section 240.14a-12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ASHLAND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120015</wp:posOffset>
            </wp:positionV>
            <wp:extent cx="1045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73"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9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94615</wp:posOffset>
            </wp:positionV>
            <wp:extent cx="1045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4" w:lineRule="exact"/>
        <w:rPr>
          <w:sz w:val="24"/>
          <w:szCs w:val="24"/>
          <w:color w:val="auto"/>
        </w:rPr>
      </w:pPr>
    </w:p>
    <w:p>
      <w:pPr>
        <w:ind w:left="20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92" w:lineRule="exact"/>
        <w:rPr>
          <w:rFonts w:ascii="MS PGothic" w:cs="MS PGothic" w:eastAsia="MS PGothic" w:hAnsi="MS PGothic"/>
          <w:sz w:val="18"/>
          <w:szCs w:val="18"/>
          <w:color w:val="auto"/>
        </w:rPr>
      </w:pPr>
    </w:p>
    <w:p>
      <w:pPr>
        <w:ind w:left="880" w:hanging="432"/>
        <w:spacing w:after="0"/>
        <w:tabs>
          <w:tab w:leader="none" w:pos="8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Title of each class of securities to which transaction applies:  N/A</w:t>
      </w:r>
    </w:p>
    <w:p>
      <w:pPr>
        <w:spacing w:after="0" w:line="332"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Aggregate number of securities to which transaction applies:  N/A</w:t>
      </w:r>
    </w:p>
    <w:p>
      <w:pPr>
        <w:spacing w:after="0" w:line="332" w:lineRule="exact"/>
        <w:rPr>
          <w:rFonts w:ascii="Times New Roman" w:cs="Times New Roman" w:eastAsia="Times New Roman" w:hAnsi="Times New Roman"/>
          <w:sz w:val="18"/>
          <w:szCs w:val="18"/>
          <w:color w:val="auto"/>
        </w:rPr>
      </w:pPr>
    </w:p>
    <w:p>
      <w:pPr>
        <w:ind w:left="880" w:hanging="432"/>
        <w:spacing w:after="0" w:line="270" w:lineRule="auto"/>
        <w:tabs>
          <w:tab w:leader="none" w:pos="8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262"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Proposed maximum aggregate value of transaction:  N/A</w:t>
      </w:r>
    </w:p>
    <w:p>
      <w:pPr>
        <w:spacing w:after="0" w:line="332"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Total fee paid: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-1344930</wp:posOffset>
            </wp:positionV>
            <wp:extent cx="5237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374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-1002030</wp:posOffset>
            </wp:positionV>
            <wp:extent cx="5237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374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-539115</wp:posOffset>
            </wp:positionV>
            <wp:extent cx="5237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374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-196215</wp:posOffset>
            </wp:positionV>
            <wp:extent cx="523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74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146050</wp:posOffset>
            </wp:positionV>
            <wp:extent cx="523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300" w:hanging="292"/>
        <w:spacing w:after="0"/>
        <w:tabs>
          <w:tab w:leader="none" w:pos="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00" w:hanging="292"/>
        <w:spacing w:after="0"/>
        <w:tabs>
          <w:tab w:leader="none" w:pos="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-633095</wp:posOffset>
            </wp:positionH>
            <wp:positionV relativeFrom="paragraph">
              <wp:posOffset>819150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5" w:right="1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046595" cy="8641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46595" cy="864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60"/>
        <w:spacing w:after="0"/>
        <w:rPr>
          <w:sz w:val="20"/>
          <w:szCs w:val="20"/>
          <w:color w:val="auto"/>
        </w:rPr>
      </w:pPr>
      <w:r>
        <w:rPr>
          <w:rFonts w:ascii="Arial" w:cs="Arial" w:eastAsia="Arial" w:hAnsi="Arial"/>
          <w:sz w:val="54"/>
          <w:szCs w:val="54"/>
          <w:color w:val="867F7C"/>
        </w:rPr>
        <w:t>2026 proxy statement</w:t>
      </w:r>
    </w:p>
    <w:p>
      <w:pPr>
        <w:spacing w:after="0" w:line="126" w:lineRule="exact"/>
        <w:rPr>
          <w:sz w:val="20"/>
          <w:szCs w:val="20"/>
          <w:color w:val="auto"/>
        </w:rPr>
      </w:pPr>
    </w:p>
    <w:p>
      <w:pPr>
        <w:ind w:left="3860"/>
        <w:spacing w:after="0"/>
        <w:rPr>
          <w:sz w:val="20"/>
          <w:szCs w:val="20"/>
          <w:color w:val="auto"/>
        </w:rPr>
      </w:pPr>
      <w:r>
        <w:rPr>
          <w:rFonts w:ascii="Arial" w:cs="Arial" w:eastAsia="Arial" w:hAnsi="Arial"/>
          <w:sz w:val="25"/>
          <w:szCs w:val="25"/>
          <w:b w:val="1"/>
          <w:bCs w:val="1"/>
          <w:color w:val="867F7C"/>
        </w:rPr>
        <w:t>&amp;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6198235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40" w:top="1440" w:right="1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6037580</wp:posOffset>
            </wp:positionH>
            <wp:positionV relativeFrom="page">
              <wp:posOffset>500380</wp:posOffset>
            </wp:positionV>
            <wp:extent cx="60833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08330" cy="386080"/>
                    </a:xfrm>
                    <a:prstGeom prst="rect">
                      <a:avLst/>
                    </a:prstGeom>
                    <a:noFill/>
                  </pic:spPr>
                </pic:pic>
              </a:graphicData>
            </a:graphic>
          </wp:anchor>
        </w:drawing>
        <w:drawing>
          <wp:anchor simplePos="0" relativeHeight="251657728" behindDoc="1" locked="0" layoutInCell="0" allowOverlap="1">
            <wp:simplePos x="0" y="0"/>
            <wp:positionH relativeFrom="page">
              <wp:posOffset>5394325</wp:posOffset>
            </wp:positionH>
            <wp:positionV relativeFrom="page">
              <wp:posOffset>885825</wp:posOffset>
            </wp:positionV>
            <wp:extent cx="28257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54"/>
          <w:szCs w:val="54"/>
          <w:color w:val="867F7C"/>
        </w:rPr>
        <w:t>letter to stockholders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25"/>
          <w:szCs w:val="25"/>
          <w:b w:val="1"/>
          <w:bCs w:val="1"/>
          <w:color w:val="4CCEDE"/>
        </w:rPr>
        <w:t>On behalf of the Board of Directors (the “Board”) and the Ashland Inc. (“Ashland” or the “Company”) management team, thank you for your continued confidence in Ashland.</w:t>
      </w:r>
    </w:p>
    <w:p>
      <w:pPr>
        <w:spacing w:after="0" w:line="73" w:lineRule="exact"/>
        <w:rPr>
          <w:sz w:val="20"/>
          <w:szCs w:val="20"/>
          <w:color w:val="auto"/>
        </w:rPr>
      </w:pPr>
    </w:p>
    <w:p>
      <w:pPr>
        <w:jc w:val="both"/>
        <w:ind w:left="4740"/>
        <w:spacing w:after="0" w:line="228" w:lineRule="auto"/>
        <w:rPr>
          <w:sz w:val="20"/>
          <w:szCs w:val="20"/>
          <w:color w:val="auto"/>
        </w:rPr>
      </w:pPr>
      <w:r>
        <w:rPr>
          <w:rFonts w:ascii="Arial" w:cs="Arial" w:eastAsia="Arial" w:hAnsi="Arial"/>
          <w:sz w:val="20"/>
          <w:szCs w:val="20"/>
          <w:color w:val="231F20"/>
        </w:rPr>
        <w:t xml:space="preserve">We are pleased to invite you to our </w:t>
      </w:r>
      <w:r>
        <w:rPr>
          <w:rFonts w:ascii="Arial" w:cs="Arial" w:eastAsia="Arial" w:hAnsi="Arial"/>
          <w:sz w:val="20"/>
          <w:szCs w:val="20"/>
          <w:b w:val="1"/>
          <w:bCs w:val="1"/>
          <w:color w:val="231F20"/>
        </w:rPr>
        <w:t>2026 Annual</w:t>
      </w:r>
      <w:r>
        <w:rPr>
          <w:rFonts w:ascii="Arial" w:cs="Arial" w:eastAsia="Arial" w:hAnsi="Arial"/>
          <w:sz w:val="20"/>
          <w:szCs w:val="20"/>
          <w:color w:val="231F20"/>
        </w:rPr>
        <w:t xml:space="preserve"> </w:t>
      </w:r>
      <w:r>
        <w:rPr>
          <w:rFonts w:ascii="Arial" w:cs="Arial" w:eastAsia="Arial" w:hAnsi="Arial"/>
          <w:sz w:val="20"/>
          <w:szCs w:val="20"/>
          <w:b w:val="1"/>
          <w:bCs w:val="1"/>
          <w:color w:val="231F20"/>
        </w:rPr>
        <w:t>Meeting of Stockholders (the “Annual Meeting”), which will be held virtually on Tuesday, January 20, 2026, at 10:30 a.m. Eastern Standard Time</w:t>
      </w:r>
      <w:r>
        <w:rPr>
          <w:rFonts w:ascii="Arial" w:cs="Arial" w:eastAsia="Arial" w:hAnsi="Arial"/>
          <w:sz w:val="20"/>
          <w:szCs w:val="20"/>
          <w:color w:val="231F20"/>
        </w:rPr>
        <w:t>. The attached Notice of</w:t>
      </w:r>
      <w:r>
        <w:rPr>
          <w:rFonts w:ascii="Arial" w:cs="Arial" w:eastAsia="Arial" w:hAnsi="Arial"/>
          <w:sz w:val="20"/>
          <w:szCs w:val="20"/>
          <w:b w:val="1"/>
          <w:bCs w:val="1"/>
          <w:color w:val="231F20"/>
        </w:rPr>
        <w:t xml:space="preserve"> </w:t>
      </w:r>
      <w:r>
        <w:rPr>
          <w:rFonts w:ascii="Arial" w:cs="Arial" w:eastAsia="Arial" w:hAnsi="Arial"/>
          <w:sz w:val="20"/>
          <w:szCs w:val="20"/>
          <w:color w:val="231F20"/>
        </w:rPr>
        <w:t>Annual Meeting of Stockholders and Proxy Statement will serve as your guide to the business to be conducted at the Annual Meeting. The Notice of Annual Meeting of Stockholders, Proxy Statement, and form of proxy or voting instruction form are being made available over the Internet or, upon request, delivered by mail on or about December 9, 2025, to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-1926590</wp:posOffset>
            </wp:positionV>
            <wp:extent cx="2760345" cy="4989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0345" cy="4989195"/>
                    </a:xfrm>
                    <a:prstGeom prst="rect">
                      <a:avLst/>
                    </a:prstGeom>
                    <a:noFill/>
                  </pic:spPr>
                </pic:pic>
              </a:graphicData>
            </a:graphic>
          </wp:anchor>
        </w:drawing>
      </w:r>
    </w:p>
    <w:p>
      <w:pPr>
        <w:spacing w:after="0" w:line="156" w:lineRule="exact"/>
        <w:rPr>
          <w:sz w:val="20"/>
          <w:szCs w:val="20"/>
          <w:color w:val="auto"/>
        </w:rPr>
      </w:pPr>
    </w:p>
    <w:p>
      <w:pPr>
        <w:ind w:left="4740"/>
        <w:spacing w:after="0"/>
        <w:rPr>
          <w:sz w:val="20"/>
          <w:szCs w:val="20"/>
          <w:color w:val="auto"/>
        </w:rPr>
      </w:pPr>
      <w:r>
        <w:rPr>
          <w:rFonts w:ascii="Arial" w:cs="Arial" w:eastAsia="Arial" w:hAnsi="Arial"/>
          <w:sz w:val="27"/>
          <w:szCs w:val="27"/>
          <w:b w:val="1"/>
          <w:bCs w:val="1"/>
          <w:color w:val="867F7C"/>
        </w:rPr>
        <w:t>fiscal year 2025 highlights</w:t>
      </w:r>
    </w:p>
    <w:p>
      <w:pPr>
        <w:spacing w:after="0" w:line="123" w:lineRule="exact"/>
        <w:rPr>
          <w:sz w:val="20"/>
          <w:szCs w:val="20"/>
          <w:color w:val="auto"/>
        </w:rPr>
      </w:pPr>
    </w:p>
    <w:p>
      <w:pPr>
        <w:jc w:val="both"/>
        <w:ind w:left="4740"/>
        <w:spacing w:after="0" w:line="251" w:lineRule="auto"/>
        <w:rPr>
          <w:sz w:val="20"/>
          <w:szCs w:val="20"/>
          <w:color w:val="auto"/>
        </w:rPr>
      </w:pPr>
      <w:r>
        <w:rPr>
          <w:rFonts w:ascii="Arial" w:cs="Arial" w:eastAsia="Arial" w:hAnsi="Arial"/>
          <w:sz w:val="16"/>
          <w:szCs w:val="16"/>
          <w:color w:val="231F20"/>
        </w:rPr>
        <w:t>Fiscal 2025 was a year of disciplined execution and a continued focus on our core strategies: Execute, Globalize, Innovate, Invest. We continued to advance optimization and productivity across our manufacturing network and gained increased traction from commercializing innovations from our new technology platforms. Our ongoing commitment to embedding sustainability into our operating plans continues to advance our purpose of responsibly solving for a better world.</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4CCEDE"/>
        </w:rPr>
        <w:t>operational and financial performance:</w:t>
      </w:r>
    </w:p>
    <w:p>
      <w:pPr>
        <w:spacing w:after="0" w:line="113" w:lineRule="exact"/>
        <w:rPr>
          <w:sz w:val="20"/>
          <w:szCs w:val="20"/>
          <w:color w:val="auto"/>
        </w:rPr>
      </w:pPr>
    </w:p>
    <w:p>
      <w:pPr>
        <w:jc w:val="both"/>
        <w:ind w:left="4880" w:hanging="139"/>
        <w:spacing w:after="0" w:line="266" w:lineRule="auto"/>
        <w:tabs>
          <w:tab w:leader="none" w:pos="4860" w:val="left"/>
        </w:tabs>
        <w:rPr>
          <w:sz w:val="20"/>
          <w:szCs w:val="20"/>
          <w:color w:val="auto"/>
        </w:rPr>
      </w:pPr>
      <w:r>
        <w:rPr>
          <w:rFonts w:ascii="Times New Roman" w:cs="Times New Roman" w:eastAsia="Times New Roman" w:hAnsi="Times New Roman"/>
          <w:sz w:val="16"/>
          <w:szCs w:val="16"/>
          <w:color w:val="231F20"/>
        </w:rPr>
        <w:t>•</w:t>
      </w:r>
      <w:r>
        <w:rPr>
          <w:sz w:val="20"/>
          <w:szCs w:val="20"/>
          <w:color w:val="auto"/>
        </w:rPr>
        <w:tab/>
      </w:r>
      <w:r>
        <w:rPr>
          <w:rFonts w:ascii="Arial" w:cs="Arial" w:eastAsia="Arial" w:hAnsi="Arial"/>
          <w:sz w:val="16"/>
          <w:szCs w:val="16"/>
          <w:color w:val="231F20"/>
        </w:rPr>
        <w:t>Delivered resilient earnings, margin expansion, and strong free cash flow through disciplined portfolio management and commercial excellence.</w:t>
      </w:r>
    </w:p>
    <w:p>
      <w:pPr>
        <w:spacing w:after="0" w:line="62" w:lineRule="exact"/>
        <w:rPr>
          <w:sz w:val="20"/>
          <w:szCs w:val="20"/>
          <w:color w:val="auto"/>
        </w:rPr>
      </w:pPr>
    </w:p>
    <w:p>
      <w:pPr>
        <w:jc w:val="both"/>
        <w:ind w:left="4880" w:hanging="139"/>
        <w:spacing w:after="0" w:line="266" w:lineRule="auto"/>
        <w:tabs>
          <w:tab w:leader="none" w:pos="4860" w:val="left"/>
        </w:tabs>
        <w:rPr>
          <w:sz w:val="20"/>
          <w:szCs w:val="20"/>
          <w:color w:val="auto"/>
        </w:rPr>
      </w:pPr>
      <w:r>
        <w:rPr>
          <w:rFonts w:ascii="Times New Roman" w:cs="Times New Roman" w:eastAsia="Times New Roman" w:hAnsi="Times New Roman"/>
          <w:sz w:val="16"/>
          <w:szCs w:val="16"/>
          <w:color w:val="231F20"/>
        </w:rPr>
        <w:t>•</w:t>
      </w:r>
      <w:r>
        <w:rPr>
          <w:sz w:val="20"/>
          <w:szCs w:val="20"/>
          <w:color w:val="auto"/>
        </w:rPr>
        <w:tab/>
      </w:r>
      <w:r>
        <w:rPr>
          <w:rFonts w:ascii="Arial" w:cs="Arial" w:eastAsia="Arial" w:hAnsi="Arial"/>
          <w:sz w:val="16"/>
          <w:szCs w:val="16"/>
          <w:color w:val="231F20"/>
        </w:rPr>
        <w:t>Maintained robust balance sheet strength, supporting both investment in innovation and consistent capital returns to stockholders.</w:t>
      </w:r>
    </w:p>
    <w:p>
      <w:pPr>
        <w:spacing w:after="0" w:line="62" w:lineRule="exact"/>
        <w:rPr>
          <w:sz w:val="20"/>
          <w:szCs w:val="20"/>
          <w:color w:val="auto"/>
        </w:rPr>
      </w:pPr>
    </w:p>
    <w:p>
      <w:pPr>
        <w:jc w:val="both"/>
        <w:ind w:left="4880" w:hanging="139"/>
        <w:spacing w:after="0" w:line="261" w:lineRule="auto"/>
        <w:tabs>
          <w:tab w:leader="none" w:pos="4860" w:val="left"/>
        </w:tabs>
        <w:rPr>
          <w:sz w:val="20"/>
          <w:szCs w:val="20"/>
          <w:color w:val="auto"/>
        </w:rPr>
      </w:pPr>
      <w:r>
        <w:rPr>
          <w:rFonts w:ascii="Times New Roman" w:cs="Times New Roman" w:eastAsia="Times New Roman" w:hAnsi="Times New Roman"/>
          <w:sz w:val="16"/>
          <w:szCs w:val="16"/>
          <w:color w:val="231F20"/>
        </w:rPr>
        <w:t>•</w:t>
      </w:r>
      <w:r>
        <w:rPr>
          <w:sz w:val="20"/>
          <w:szCs w:val="20"/>
          <w:color w:val="auto"/>
        </w:rPr>
        <w:tab/>
      </w:r>
      <w:r>
        <w:rPr>
          <w:rFonts w:ascii="Arial" w:cs="Arial" w:eastAsia="Arial" w:hAnsi="Arial"/>
          <w:sz w:val="16"/>
          <w:szCs w:val="16"/>
          <w:color w:val="231F20"/>
        </w:rPr>
        <w:t>Repurchased $100 million of Ashland stock (1.5 million shares). As of September 30, 2025, $520 million remained authorized under the 2023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60833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3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32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strategic and innovation progress</w:t>
      </w:r>
    </w:p>
    <w:p>
      <w:pPr>
        <w:spacing w:after="0" w:line="113" w:lineRule="exact"/>
        <w:rPr>
          <w:sz w:val="20"/>
          <w:szCs w:val="20"/>
          <w:color w:val="auto"/>
        </w:rPr>
      </w:pPr>
    </w:p>
    <w:p>
      <w:pPr>
        <w:jc w:val="both"/>
        <w:ind w:left="160" w:hanging="152"/>
        <w:spacing w:after="0" w:line="257" w:lineRule="auto"/>
        <w:tabs>
          <w:tab w:leader="none" w:pos="16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color w:val="231F20"/>
        </w:rPr>
        <w:t>Completed portfolio optimization, including the sale of the Avoca business, sharpening focus on high-value markets where Ashland holds technology and commercial leadership -- personal care, pharmaceuticals, and coatings.</w:t>
      </w:r>
    </w:p>
    <w:p>
      <w:pPr>
        <w:spacing w:after="0" w:line="264" w:lineRule="exact"/>
        <w:rPr>
          <w:rFonts w:ascii="Times New Roman" w:cs="Times New Roman" w:eastAsia="Times New Roman" w:hAnsi="Times New Roman"/>
          <w:sz w:val="16"/>
          <w:szCs w:val="16"/>
          <w:color w:val="231F20"/>
        </w:rPr>
      </w:pPr>
    </w:p>
    <w:p>
      <w:pPr>
        <w:jc w:val="both"/>
        <w:ind w:left="160" w:hanging="152"/>
        <w:spacing w:after="0" w:line="259" w:lineRule="auto"/>
        <w:tabs>
          <w:tab w:leader="none" w:pos="16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color w:val="231F20"/>
        </w:rPr>
        <w:t>Delivered $30 million in restructuring savings and advanced a $60 million manufacturing network optimization program, with additional productivity opportunities under evaluation.</w:t>
      </w:r>
    </w:p>
    <w:p>
      <w:pPr>
        <w:spacing w:after="0" w:line="69" w:lineRule="exact"/>
        <w:rPr>
          <w:rFonts w:ascii="Times New Roman" w:cs="Times New Roman" w:eastAsia="Times New Roman" w:hAnsi="Times New Roman"/>
          <w:sz w:val="16"/>
          <w:szCs w:val="16"/>
          <w:color w:val="231F20"/>
        </w:rPr>
      </w:pPr>
    </w:p>
    <w:p>
      <w:pPr>
        <w:jc w:val="both"/>
        <w:ind w:left="160" w:hanging="152"/>
        <w:spacing w:after="0" w:line="259" w:lineRule="auto"/>
        <w:tabs>
          <w:tab w:leader="none" w:pos="16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color w:val="231F20"/>
        </w:rPr>
        <w:t>Accelerated globalization investments, expanding global applications labs and advanced manufacturing capabilities to improve speed-to-market and strengthen regional innovation.</w:t>
      </w:r>
    </w:p>
    <w:p>
      <w:pPr>
        <w:spacing w:after="0" w:line="69" w:lineRule="exact"/>
        <w:rPr>
          <w:rFonts w:ascii="Times New Roman" w:cs="Times New Roman" w:eastAsia="Times New Roman" w:hAnsi="Times New Roman"/>
          <w:sz w:val="16"/>
          <w:szCs w:val="16"/>
          <w:color w:val="231F20"/>
        </w:rPr>
      </w:pPr>
    </w:p>
    <w:p>
      <w:pPr>
        <w:jc w:val="both"/>
        <w:ind w:left="160" w:hanging="152"/>
        <w:spacing w:after="0" w:line="266" w:lineRule="auto"/>
        <w:tabs>
          <w:tab w:leader="none" w:pos="16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color w:val="231F20"/>
        </w:rPr>
        <w:t>Drove innovation-led growth, advancing seven new technology platforms that build sustainable differentiation with flexibility to repurpose assets for future scale.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sustainability and safety leadership</w:t>
      </w:r>
    </w:p>
    <w:p>
      <w:pPr>
        <w:spacing w:after="0" w:line="113" w:lineRule="exact"/>
        <w:rPr>
          <w:sz w:val="20"/>
          <w:szCs w:val="20"/>
          <w:color w:val="auto"/>
        </w:rPr>
      </w:pPr>
    </w:p>
    <w:p>
      <w:pPr>
        <w:jc w:val="both"/>
        <w:ind w:left="160" w:hanging="152"/>
        <w:spacing w:after="0" w:line="261" w:lineRule="auto"/>
        <w:tabs>
          <w:tab w:leader="none" w:pos="16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color w:val="231F20"/>
        </w:rPr>
        <w:t>Continued progress towards our Science Based Targets (SBTi) for scope 1, 2, and 3 emissions reduction aligned with the Paris Climate Accord Agreement 1.5° C trajectory.</w:t>
      </w:r>
    </w:p>
    <w:p>
      <w:pPr>
        <w:spacing w:after="0" w:line="262" w:lineRule="exact"/>
        <w:rPr>
          <w:rFonts w:ascii="Times New Roman" w:cs="Times New Roman" w:eastAsia="Times New Roman" w:hAnsi="Times New Roman"/>
          <w:sz w:val="16"/>
          <w:szCs w:val="16"/>
          <w:color w:val="231F20"/>
        </w:rPr>
      </w:pPr>
    </w:p>
    <w:p>
      <w:pPr>
        <w:jc w:val="both"/>
        <w:ind w:left="160" w:hanging="152"/>
        <w:spacing w:after="0" w:line="261" w:lineRule="auto"/>
        <w:tabs>
          <w:tab w:leader="none" w:pos="16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color w:val="231F20"/>
        </w:rPr>
        <w:t xml:space="preserve">The year ended at a </w:t>
      </w:r>
      <w:r>
        <w:rPr>
          <w:rFonts w:ascii="Arial" w:cs="Arial" w:eastAsia="Arial" w:hAnsi="Arial"/>
          <w:sz w:val="16"/>
          <w:szCs w:val="16"/>
          <w:color w:val="000000"/>
        </w:rPr>
        <w:t>Total Preventable Recordable</w:t>
      </w:r>
      <w:r>
        <w:rPr>
          <w:rFonts w:ascii="Arial" w:cs="Arial" w:eastAsia="Arial" w:hAnsi="Arial"/>
          <w:sz w:val="16"/>
          <w:szCs w:val="16"/>
          <w:color w:val="231F20"/>
        </w:rPr>
        <w:t xml:space="preserve"> </w:t>
      </w:r>
      <w:r>
        <w:rPr>
          <w:rFonts w:ascii="Arial" w:cs="Arial" w:eastAsia="Arial" w:hAnsi="Arial"/>
          <w:sz w:val="16"/>
          <w:szCs w:val="16"/>
          <w:color w:val="000000"/>
        </w:rPr>
        <w:t xml:space="preserve">incident Rate of </w:t>
      </w:r>
      <w:r>
        <w:rPr>
          <w:rFonts w:ascii="Arial" w:cs="Arial" w:eastAsia="Arial" w:hAnsi="Arial"/>
          <w:sz w:val="16"/>
          <w:szCs w:val="16"/>
          <w:color w:val="231F20"/>
        </w:rPr>
        <w:t>0.41 incidents per 100 employees</w:t>
      </w:r>
      <w:r>
        <w:rPr>
          <w:rFonts w:ascii="Arial" w:cs="Arial" w:eastAsia="Arial" w:hAnsi="Arial"/>
          <w:sz w:val="16"/>
          <w:szCs w:val="16"/>
          <w:color w:val="000000"/>
        </w:rPr>
        <w:t xml:space="preserve"> </w:t>
      </w:r>
      <w:r>
        <w:rPr>
          <w:rFonts w:ascii="Arial" w:cs="Arial" w:eastAsia="Arial" w:hAnsi="Arial"/>
          <w:sz w:val="16"/>
          <w:szCs w:val="16"/>
          <w:color w:val="231F20"/>
        </w:rPr>
        <w:t>continuing to demonstrate our commitment to keeping employees safe.</w:t>
      </w:r>
    </w:p>
    <w:p>
      <w:pPr>
        <w:spacing w:after="0" w:line="262" w:lineRule="exact"/>
        <w:rPr>
          <w:rFonts w:ascii="Times New Roman" w:cs="Times New Roman" w:eastAsia="Times New Roman" w:hAnsi="Times New Roman"/>
          <w:sz w:val="16"/>
          <w:szCs w:val="16"/>
          <w:color w:val="231F20"/>
        </w:rPr>
      </w:pPr>
    </w:p>
    <w:p>
      <w:pPr>
        <w:jc w:val="both"/>
        <w:ind w:left="160" w:hanging="152"/>
        <w:spacing w:after="0" w:line="266" w:lineRule="auto"/>
        <w:tabs>
          <w:tab w:leader="none" w:pos="16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color w:val="231F20"/>
        </w:rPr>
        <w:t>Increased transparency and progress toward our sustainability commitments in climate action, water stewardship, and responsible sourcing.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867F7C"/>
        </w:rPr>
        <w:t>looking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-947420</wp:posOffset>
            </wp:positionV>
            <wp:extent cx="625475"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5475" cy="3511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-595630</wp:posOffset>
            </wp:positionV>
            <wp:extent cx="28257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93" w:lineRule="exact"/>
        <w:rPr>
          <w:sz w:val="20"/>
          <w:szCs w:val="20"/>
          <w:color w:val="auto"/>
        </w:rPr>
      </w:pPr>
    </w:p>
    <w:p>
      <w:pPr>
        <w:jc w:val="both"/>
        <w:ind w:left="7"/>
        <w:spacing w:after="0" w:line="259" w:lineRule="auto"/>
        <w:rPr>
          <w:sz w:val="20"/>
          <w:szCs w:val="20"/>
          <w:color w:val="auto"/>
        </w:rPr>
      </w:pPr>
      <w:r>
        <w:rPr>
          <w:rFonts w:ascii="Arial" w:cs="Arial" w:eastAsia="Arial" w:hAnsi="Arial"/>
          <w:sz w:val="16"/>
          <w:szCs w:val="16"/>
          <w:color w:val="231F20"/>
        </w:rPr>
        <w:t>As we enter fiscal 2026, Ashland remains focused on executing its strategy to drive profitable growth, operational excellence, and sustainable value creation. We will continue to:</w:t>
      </w:r>
    </w:p>
    <w:p>
      <w:pPr>
        <w:spacing w:after="0" w:line="70" w:lineRule="exact"/>
        <w:rPr>
          <w:sz w:val="20"/>
          <w:szCs w:val="20"/>
          <w:color w:val="auto"/>
        </w:rPr>
      </w:pPr>
    </w:p>
    <w:p>
      <w:pPr>
        <w:ind w:left="147" w:hanging="147"/>
        <w:spacing w:after="0" w:line="285" w:lineRule="auto"/>
        <w:tabs>
          <w:tab w:leader="none" w:pos="147"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Invest in differentiated technologies and high-growth market segments.</w:t>
      </w:r>
    </w:p>
    <w:p>
      <w:pPr>
        <w:spacing w:after="0" w:line="48" w:lineRule="exact"/>
        <w:rPr>
          <w:rFonts w:ascii="Times New Roman" w:cs="Times New Roman" w:eastAsia="Times New Roman" w:hAnsi="Times New Roman"/>
          <w:sz w:val="16"/>
          <w:szCs w:val="16"/>
          <w:color w:val="231F20"/>
        </w:rPr>
      </w:pPr>
    </w:p>
    <w:p>
      <w:pPr>
        <w:ind w:left="147" w:hanging="147"/>
        <w:spacing w:after="0" w:line="285" w:lineRule="auto"/>
        <w:tabs>
          <w:tab w:leader="none" w:pos="147"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Advance our sustainability agenda and reduce our environmental footprint.</w:t>
      </w:r>
    </w:p>
    <w:p>
      <w:pPr>
        <w:spacing w:after="0" w:line="48" w:lineRule="exact"/>
        <w:rPr>
          <w:rFonts w:ascii="Times New Roman" w:cs="Times New Roman" w:eastAsia="Times New Roman" w:hAnsi="Times New Roman"/>
          <w:sz w:val="16"/>
          <w:szCs w:val="16"/>
          <w:color w:val="231F20"/>
        </w:rPr>
      </w:pPr>
    </w:p>
    <w:p>
      <w:pPr>
        <w:jc w:val="both"/>
        <w:ind w:left="147" w:hanging="147"/>
        <w:spacing w:after="0" w:line="266" w:lineRule="auto"/>
        <w:tabs>
          <w:tab w:leader="none" w:pos="147"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Maintain a disciplined capital-allocation approach that balances investment, stockholder returns, and balance-sheet strength.</w:t>
      </w:r>
    </w:p>
    <w:p>
      <w:pPr>
        <w:spacing w:after="0" w:line="62" w:lineRule="exact"/>
        <w:rPr>
          <w:rFonts w:ascii="Times New Roman" w:cs="Times New Roman" w:eastAsia="Times New Roman" w:hAnsi="Times New Roman"/>
          <w:sz w:val="16"/>
          <w:szCs w:val="16"/>
          <w:color w:val="231F20"/>
        </w:rPr>
      </w:pPr>
    </w:p>
    <w:p>
      <w:pPr>
        <w:ind w:left="147" w:hanging="147"/>
        <w:spacing w:after="0" w:line="285" w:lineRule="auto"/>
        <w:tabs>
          <w:tab w:leader="none" w:pos="147"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Foster a culture of inclusion, accountability, and continuous improvement across our global organization.</w:t>
      </w:r>
    </w:p>
    <w:p>
      <w:pPr>
        <w:spacing w:after="0" w:line="48" w:lineRule="exact"/>
        <w:rPr>
          <w:sz w:val="20"/>
          <w:szCs w:val="20"/>
          <w:color w:val="auto"/>
        </w:rPr>
      </w:pPr>
    </w:p>
    <w:p>
      <w:pPr>
        <w:ind w:left="7"/>
        <w:spacing w:after="0" w:line="286" w:lineRule="auto"/>
        <w:rPr>
          <w:sz w:val="20"/>
          <w:szCs w:val="20"/>
          <w:color w:val="auto"/>
        </w:rPr>
      </w:pPr>
      <w:r>
        <w:rPr>
          <w:rFonts w:ascii="Arial" w:cs="Arial" w:eastAsia="Arial" w:hAnsi="Arial"/>
          <w:sz w:val="16"/>
          <w:szCs w:val="16"/>
          <w:color w:val="231F20"/>
        </w:rPr>
        <w:t>Thank you for your continued investment in Ashland. We will work every day to continue to earn your trust.</w:t>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440690</wp:posOffset>
            </wp:positionV>
            <wp:extent cx="133731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3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231F20"/>
        </w:rPr>
        <w:t>Guillermo Novo</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231F20"/>
        </w:rPr>
        <w:t>Chair and Chief Executive Officer</w:t>
      </w:r>
    </w:p>
    <w:p>
      <w:pPr>
        <w:spacing w:after="0" w:line="5" w:lineRule="exact"/>
        <w:rPr>
          <w:sz w:val="20"/>
          <w:szCs w:val="20"/>
          <w:color w:val="auto"/>
        </w:rPr>
      </w:pPr>
    </w:p>
    <w:p>
      <w:pPr>
        <w:ind w:left="7"/>
        <w:spacing w:after="0"/>
        <w:rPr>
          <w:sz w:val="20"/>
          <w:szCs w:val="20"/>
          <w:color w:val="auto"/>
        </w:rPr>
      </w:pPr>
      <w:r>
        <w:rPr>
          <w:rFonts w:ascii="Arial" w:cs="Arial" w:eastAsia="Arial" w:hAnsi="Arial"/>
          <w:sz w:val="16"/>
          <w:szCs w:val="16"/>
          <w:color w:val="231F20"/>
        </w:rPr>
        <w:t>December 9, 2025</w:t>
      </w:r>
    </w:p>
    <w:p>
      <w:pPr>
        <w:spacing w:after="0" w:line="410" w:lineRule="exact"/>
        <w:rPr>
          <w:sz w:val="20"/>
          <w:szCs w:val="20"/>
          <w:color w:val="auto"/>
        </w:rPr>
      </w:pPr>
    </w:p>
    <w:p>
      <w:pPr>
        <w:sectPr>
          <w:pgSz w:w="11900" w:h="16838" w:orient="portrait"/>
          <w:cols w:equalWidth="0" w:num="2">
            <w:col w:w="4360" w:space="373"/>
            <w:col w:w="4347"/>
          </w:cols>
          <w:pgMar w:left="1400" w:top="1440" w:right="1419" w:bottom="1440" w:gutter="0" w:footer="0" w:header="0"/>
        </w:sectPr>
      </w:pPr>
    </w:p>
    <w:p>
      <w:pPr>
        <w:spacing w:after="0" w:line="348"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b w:val="1"/>
          <w:bCs w:val="1"/>
          <w:color w:val="4CCEDE"/>
        </w:rPr>
      </w:pPr>
      <w:r>
        <w:rPr>
          <w:rFonts w:ascii="Arial" w:cs="Arial" w:eastAsia="Arial" w:hAnsi="Arial"/>
          <w:sz w:val="22"/>
          <w:szCs w:val="22"/>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616585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5760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type w:val="continuous"/>
        </w:sectPr>
      </w:pPr>
    </w:p>
    <w:bookmarkStart w:id="4" w:name="page5"/>
    <w:bookmarkEnd w:id="4"/>
    <w:p>
      <w:pPr>
        <w:ind w:right="1240"/>
        <w:spacing w:after="0" w:line="262" w:lineRule="auto"/>
        <w:rPr>
          <w:sz w:val="20"/>
          <w:szCs w:val="20"/>
          <w:color w:val="auto"/>
        </w:rPr>
      </w:pPr>
      <w:r>
        <w:rPr>
          <w:rFonts w:ascii="Arial" w:cs="Arial" w:eastAsia="Arial" w:hAnsi="Arial"/>
          <w:sz w:val="54"/>
          <w:szCs w:val="54"/>
          <w:color w:val="867F7C"/>
        </w:rPr>
        <w:t>notice of 2026 annual meeting of stockholders</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2026 Annual Meeting of Stockholders (the “Annual Meeting”) of Ashland Inc., a Delaware corporation (“Ashland” or the “Company”), will be held virtually at 10:30 a.m., Eastern Standard Time, on Tuesday, January 20, 2026. The Annual Meeting will be held online via live webcast for the purposes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760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9" w:lineRule="exact"/>
        <w:rPr>
          <w:sz w:val="20"/>
          <w:szCs w:val="20"/>
          <w:color w:val="auto"/>
        </w:rPr>
      </w:pPr>
    </w:p>
    <w:p>
      <w:pPr>
        <w:ind w:left="1840" w:right="720" w:hanging="1699"/>
        <w:spacing w:after="0" w:line="271" w:lineRule="auto"/>
        <w:tabs>
          <w:tab w:leader="none" w:pos="1820" w:val="left"/>
        </w:tabs>
        <w:rPr>
          <w:sz w:val="20"/>
          <w:szCs w:val="20"/>
          <w:color w:val="auto"/>
        </w:rPr>
      </w:pPr>
      <w:r>
        <w:rPr>
          <w:rFonts w:ascii="Arial" w:cs="Arial" w:eastAsia="Arial" w:hAnsi="Arial"/>
          <w:sz w:val="18"/>
          <w:szCs w:val="18"/>
          <w:b w:val="1"/>
          <w:bCs w:val="1"/>
          <w:color w:val="4CCEDE"/>
        </w:rPr>
        <w:t>where:</w:t>
      </w:r>
      <w:r>
        <w:rPr>
          <w:sz w:val="20"/>
          <w:szCs w:val="20"/>
          <w:color w:val="auto"/>
        </w:rPr>
        <w:tab/>
      </w:r>
      <w:r>
        <w:rPr>
          <w:rFonts w:ascii="Arial" w:cs="Arial" w:eastAsia="Arial" w:hAnsi="Arial"/>
          <w:sz w:val="18"/>
          <w:szCs w:val="18"/>
          <w:color w:val="auto"/>
        </w:rPr>
        <w:t>Virtual meeting via live webcast at www.virtualshareholdermeeting.com/ASH2026 There will be no physical location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60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9" w:lineRule="exact"/>
        <w:rPr>
          <w:sz w:val="20"/>
          <w:szCs w:val="20"/>
          <w:color w:val="auto"/>
        </w:rPr>
      </w:pPr>
    </w:p>
    <w:p>
      <w:pPr>
        <w:jc w:val="center"/>
        <w:ind w:left="1540"/>
        <w:spacing w:after="0" w:line="271" w:lineRule="auto"/>
        <w:rPr>
          <w:sz w:val="20"/>
          <w:szCs w:val="20"/>
          <w:color w:val="auto"/>
        </w:rPr>
      </w:pPr>
      <w:r>
        <w:rPr>
          <w:rFonts w:ascii="Arial" w:cs="Arial" w:eastAsia="Arial" w:hAnsi="Arial"/>
          <w:sz w:val="18"/>
          <w:szCs w:val="18"/>
          <w:b w:val="1"/>
          <w:bCs w:val="1"/>
          <w:color w:val="4CCEDE"/>
        </w:rPr>
        <w:t xml:space="preserve">items of business: </w:t>
      </w:r>
      <w:r>
        <w:rPr>
          <w:rFonts w:ascii="Arial" w:cs="Arial" w:eastAsia="Arial" w:hAnsi="Arial"/>
          <w:sz w:val="18"/>
          <w:szCs w:val="18"/>
          <w:color w:val="000000"/>
        </w:rPr>
        <w:t>(1)  To elect eight directors to hold office until the next annual meeting of stockholders and</w:t>
      </w:r>
      <w:r>
        <w:rPr>
          <w:rFonts w:ascii="Arial" w:cs="Arial" w:eastAsia="Arial" w:hAnsi="Arial"/>
          <w:sz w:val="18"/>
          <w:szCs w:val="18"/>
          <w:b w:val="1"/>
          <w:bCs w:val="1"/>
          <w:color w:val="4CCEDE"/>
        </w:rPr>
        <w:t xml:space="preserve"> </w:t>
      </w:r>
      <w:r>
        <w:rPr>
          <w:rFonts w:ascii="Arial" w:cs="Arial" w:eastAsia="Arial" w:hAnsi="Arial"/>
          <w:sz w:val="18"/>
          <w:szCs w:val="18"/>
          <w:color w:val="000000"/>
        </w:rPr>
        <w:t>until each of their successors has been elected and qualified;</w:t>
      </w:r>
    </w:p>
    <w:p>
      <w:pPr>
        <w:spacing w:after="0" w:line="46" w:lineRule="exact"/>
        <w:rPr>
          <w:sz w:val="20"/>
          <w:szCs w:val="20"/>
          <w:color w:val="auto"/>
        </w:rPr>
      </w:pPr>
    </w:p>
    <w:p>
      <w:pPr>
        <w:ind w:left="2200" w:hanging="370"/>
        <w:spacing w:after="0" w:line="271"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fiscal 2026;</w:t>
      </w:r>
    </w:p>
    <w:p>
      <w:pPr>
        <w:spacing w:after="0" w:line="45" w:lineRule="exact"/>
        <w:rPr>
          <w:rFonts w:ascii="Arial" w:cs="Arial" w:eastAsia="Arial" w:hAnsi="Arial"/>
          <w:sz w:val="18"/>
          <w:szCs w:val="18"/>
          <w:color w:val="auto"/>
        </w:rPr>
      </w:pPr>
    </w:p>
    <w:p>
      <w:pPr>
        <w:ind w:left="2200" w:hanging="370"/>
        <w:spacing w:after="0" w:line="271"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consider and vote upon a non-binding advisory resolution approving the compensation paid to the Company's named executive officers; and</w:t>
      </w:r>
    </w:p>
    <w:p>
      <w:pPr>
        <w:spacing w:after="0" w:line="45" w:lineRule="exact"/>
        <w:rPr>
          <w:rFonts w:ascii="Arial" w:cs="Arial" w:eastAsia="Arial" w:hAnsi="Arial"/>
          <w:sz w:val="18"/>
          <w:szCs w:val="18"/>
          <w:color w:val="auto"/>
        </w:rPr>
      </w:pPr>
    </w:p>
    <w:p>
      <w:pPr>
        <w:ind w:left="2200" w:hanging="370"/>
        <w:spacing w:after="0" w:line="271" w:lineRule="auto"/>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consider any other business properly brought before the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60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9" w:lineRule="exact"/>
        <w:rPr>
          <w:sz w:val="20"/>
          <w:szCs w:val="20"/>
          <w:color w:val="auto"/>
        </w:rPr>
      </w:pPr>
    </w:p>
    <w:p>
      <w:pPr>
        <w:ind w:left="1840" w:hanging="1692"/>
        <w:spacing w:after="0" w:line="271" w:lineRule="auto"/>
        <w:tabs>
          <w:tab w:leader="none" w:pos="1820" w:val="left"/>
        </w:tabs>
        <w:rPr>
          <w:sz w:val="20"/>
          <w:szCs w:val="20"/>
          <w:color w:val="auto"/>
        </w:rPr>
      </w:pPr>
      <w:r>
        <w:rPr>
          <w:rFonts w:ascii="Arial" w:cs="Arial" w:eastAsia="Arial" w:hAnsi="Arial"/>
          <w:sz w:val="18"/>
          <w:szCs w:val="18"/>
          <w:b w:val="1"/>
          <w:bCs w:val="1"/>
          <w:color w:val="4CCEDE"/>
        </w:rPr>
        <w:t>who can vote:</w:t>
      </w:r>
      <w:r>
        <w:rPr>
          <w:sz w:val="20"/>
          <w:szCs w:val="20"/>
          <w:color w:val="auto"/>
        </w:rPr>
        <w:tab/>
      </w:r>
      <w:r>
        <w:rPr>
          <w:rFonts w:ascii="Arial" w:cs="Arial" w:eastAsia="Arial" w:hAnsi="Arial"/>
          <w:sz w:val="18"/>
          <w:szCs w:val="18"/>
          <w:color w:val="auto"/>
        </w:rPr>
        <w:t>Only stockholders of record at the close of business on November 21, 2025 are entitled to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60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5760720" cy="1165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1165860"/>
                    </a:xfrm>
                    <a:prstGeom prst="rect">
                      <a:avLst/>
                    </a:prstGeom>
                    <a:noFill/>
                  </pic:spPr>
                </pic:pic>
              </a:graphicData>
            </a:graphic>
          </wp:anchor>
        </w:drawing>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you can vote using one of the following methods:</w:t>
      </w:r>
    </w:p>
    <w:p>
      <w:pPr>
        <w:spacing w:after="0" w:line="90" w:lineRule="exact"/>
        <w:rPr>
          <w:sz w:val="20"/>
          <w:szCs w:val="20"/>
          <w:color w:val="auto"/>
        </w:rPr>
      </w:pPr>
    </w:p>
    <w:p>
      <w:pPr>
        <w:ind w:left="840" w:right="140"/>
        <w:spacing w:after="0" w:line="271" w:lineRule="auto"/>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If you received a Notice of Internet Availability of Proxy Materials, you can access 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materials and vote online. Instructions to vote online are included in the Notice.</w:t>
      </w:r>
    </w:p>
    <w:p>
      <w:pPr>
        <w:spacing w:after="0" w:line="86" w:lineRule="exact"/>
        <w:rPr>
          <w:sz w:val="20"/>
          <w:szCs w:val="20"/>
          <w:color w:val="auto"/>
        </w:rPr>
      </w:pPr>
    </w:p>
    <w:p>
      <w:pPr>
        <w:ind w:left="840" w:right="140"/>
        <w:spacing w:after="0" w:line="271" w:lineRule="auto"/>
        <w:rPr>
          <w:sz w:val="20"/>
          <w:szCs w:val="20"/>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Call the telephone number specified on your proxy card or visit the website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Internet Availability of Proxy Materials to vote.</w:t>
      </w:r>
    </w:p>
    <w:p>
      <w:pPr>
        <w:spacing w:after="0" w:line="32" w:lineRule="exact"/>
        <w:rPr>
          <w:sz w:val="20"/>
          <w:szCs w:val="20"/>
          <w:color w:val="auto"/>
        </w:rPr>
      </w:pPr>
    </w:p>
    <w:p>
      <w:pPr>
        <w:ind w:left="840" w:right="140"/>
        <w:spacing w:after="0" w:line="271" w:lineRule="auto"/>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If you received paper copies of your proxy materials in the mail, sign, date and return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the enclosed envelope provided to vote.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you participate in the Ashland Employee Savings Plan (“Employee Savings Plan”), the Ashland Union Employee Savings Plan (“Union Plan”) or the International Specialty Products Inc. 401(k) Plan (the “ISP Plan”), your vote will instruct the plan trustee, Fidelity Management Trust Company (the “Trustee”), how to vote the shares in your account. Voting instructions for plan participants must be received by our proxy tabulator, Alliance Advisors LLC or its agent by 5:00 p.m. (EST) on Wednesday, January 14, 2026.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9169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94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E. Lampkin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9, 2025</w:t>
      </w:r>
    </w:p>
    <w:p>
      <w:pPr>
        <w:spacing w:after="0" w:line="200" w:lineRule="exact"/>
        <w:rPr>
          <w:sz w:val="20"/>
          <w:szCs w:val="20"/>
          <w:color w:val="auto"/>
        </w:rPr>
      </w:pPr>
    </w:p>
    <w:p>
      <w:pPr>
        <w:spacing w:after="0" w:line="254" w:lineRule="exact"/>
        <w:rPr>
          <w:sz w:val="20"/>
          <w:szCs w:val="20"/>
          <w:color w:val="auto"/>
        </w:rPr>
      </w:pPr>
    </w:p>
    <w:p>
      <w:pPr>
        <w:ind w:left="722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055" w:right="1419" w:bottom="1440" w:gutter="0" w:footer="0" w:header="0"/>
        </w:sectPr>
      </w:pPr>
    </w:p>
    <w:bookmarkStart w:id="5" w:name="page6"/>
    <w:bookmarkEnd w:id="5"/>
    <w:p>
      <w:pPr>
        <w:spacing w:after="0"/>
        <w:rPr>
          <w:sz w:val="20"/>
          <w:szCs w:val="20"/>
          <w:color w:val="auto"/>
        </w:rPr>
      </w:pPr>
      <w:r>
        <w:rPr>
          <w:rFonts w:ascii="Arial" w:cs="Arial" w:eastAsia="Arial" w:hAnsi="Arial"/>
          <w:sz w:val="54"/>
          <w:szCs w:val="54"/>
          <w:color w:val="867F7C"/>
        </w:rPr>
        <w:t>table of contents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867F7C"/>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0458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867F7C"/>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0059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867F7C"/>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658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spacing w:after="0" w:line="174" w:lineRule="exact"/>
        <w:rPr>
          <w:sz w:val="20"/>
          <w:szCs w:val="20"/>
          <w:color w:val="auto"/>
        </w:rPr>
      </w:pPr>
    </w:p>
    <w:p>
      <w:pPr>
        <w:ind w:left="260" w:right="1840" w:hanging="258"/>
        <w:spacing w:after="0" w:line="259" w:lineRule="auto"/>
        <w:rPr>
          <w:sz w:val="20"/>
          <w:szCs w:val="20"/>
          <w:color w:val="auto"/>
        </w:rPr>
      </w:pPr>
      <w:r>
        <w:rPr>
          <w:rFonts w:ascii="Arial" w:cs="Arial" w:eastAsia="Arial" w:hAnsi="Arial"/>
          <w:sz w:val="16"/>
          <w:szCs w:val="16"/>
          <w:b w:val="1"/>
          <w:bCs w:val="1"/>
          <w:color w:val="867F7C"/>
        </w:rPr>
        <w:t xml:space="preserve">corporate governance </w:t>
      </w:r>
      <w:r>
        <w:rPr>
          <w:rFonts w:ascii="Arial" w:cs="Arial" w:eastAsia="Arial" w:hAnsi="Arial"/>
          <w:sz w:val="16"/>
          <w:szCs w:val="16"/>
          <w:i w:val="1"/>
          <w:iCs w:val="1"/>
          <w:color w:val="867F7C"/>
        </w:rPr>
        <w:t>board leadership structure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0801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-146050</wp:posOffset>
            </wp:positionV>
            <wp:extent cx="1195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-26035</wp:posOffset>
            </wp:positionV>
            <wp:extent cx="8172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7245"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i w:val="1"/>
          <w:iCs w:val="1"/>
          <w:color w:val="867F7C"/>
        </w:rPr>
        <w:t>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892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ind w:left="260" w:right="1260"/>
        <w:spacing w:after="0" w:line="246" w:lineRule="auto"/>
        <w:rPr>
          <w:sz w:val="20"/>
          <w:szCs w:val="20"/>
          <w:color w:val="auto"/>
        </w:rPr>
      </w:pPr>
      <w:r>
        <w:rPr>
          <w:rFonts w:ascii="Arial" w:cs="Arial" w:eastAsia="Arial" w:hAnsi="Arial"/>
          <w:sz w:val="16"/>
          <w:szCs w:val="16"/>
          <w:i w:val="1"/>
          <w:iCs w:val="1"/>
          <w:color w:val="867F7C"/>
        </w:rPr>
        <w:t>board’s role of risk oversight board’s role of risk oversight director independence and 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-376555</wp:posOffset>
            </wp:positionV>
            <wp:extent cx="12865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6510"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-256540</wp:posOffset>
            </wp:positionV>
            <wp:extent cx="12865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-136525</wp:posOffset>
            </wp:positionV>
            <wp:extent cx="1584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84325"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-16510</wp:posOffset>
            </wp:positionV>
            <wp:extent cx="577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ind w:left="260" w:right="1360"/>
        <w:spacing w:after="0" w:line="252" w:lineRule="auto"/>
        <w:rPr>
          <w:sz w:val="20"/>
          <w:szCs w:val="20"/>
          <w:color w:val="auto"/>
        </w:rPr>
      </w:pPr>
      <w:r>
        <w:rPr>
          <w:rFonts w:ascii="Arial" w:cs="Arial" w:eastAsia="Arial" w:hAnsi="Arial"/>
          <w:sz w:val="16"/>
          <w:szCs w:val="16"/>
          <w:i w:val="1"/>
          <w:iCs w:val="1"/>
          <w:color w:val="867F7C"/>
        </w:rPr>
        <w:t>related person transaction policy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-142875</wp:posOffset>
            </wp:positionV>
            <wp:extent cx="14808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80820"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-22860</wp:posOffset>
            </wp:positionV>
            <wp:extent cx="14922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92250" cy="8255"/>
                    </a:xfrm>
                    <a:prstGeom prst="rect">
                      <a:avLst/>
                    </a:prstGeom>
                    <a:noFill/>
                  </pic:spPr>
                </pic:pic>
              </a:graphicData>
            </a:graphic>
          </wp:anchor>
        </w:drawing>
      </w:r>
    </w:p>
    <w:p>
      <w:pPr>
        <w:ind w:left="260" w:right="1620"/>
        <w:spacing w:after="0" w:line="258" w:lineRule="auto"/>
        <w:rPr>
          <w:sz w:val="20"/>
          <w:szCs w:val="20"/>
          <w:color w:val="auto"/>
        </w:rPr>
      </w:pPr>
      <w:r>
        <w:rPr>
          <w:rFonts w:ascii="Arial" w:cs="Arial" w:eastAsia="Arial" w:hAnsi="Arial"/>
          <w:sz w:val="16"/>
          <w:szCs w:val="16"/>
          <w:i w:val="1"/>
          <w:iCs w:val="1"/>
          <w:color w:val="867F7C"/>
        </w:rPr>
        <w:t>global code of conduct insider trading policy 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-271780</wp:posOffset>
            </wp:positionV>
            <wp:extent cx="1029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9335"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-151765</wp:posOffset>
            </wp:positionV>
            <wp:extent cx="937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7895"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-31750</wp:posOffset>
            </wp:positionV>
            <wp:extent cx="1326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867F7C"/>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1087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867F7C"/>
        </w:rPr>
        <w:t>2025 annual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16186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i w:val="1"/>
          <w:iCs w:val="1"/>
          <w:color w:val="867F7C"/>
        </w:rPr>
        <w:t>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1052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260" w:right="880"/>
        <w:spacing w:after="0" w:line="265" w:lineRule="auto"/>
        <w:rPr>
          <w:sz w:val="20"/>
          <w:szCs w:val="20"/>
          <w:color w:val="auto"/>
        </w:rPr>
      </w:pPr>
      <w:r>
        <w:rPr>
          <w:rFonts w:ascii="Arial" w:cs="Arial" w:eastAsia="Arial" w:hAnsi="Arial"/>
          <w:sz w:val="16"/>
          <w:szCs w:val="16"/>
          <w:i w:val="1"/>
          <w:iCs w:val="1"/>
          <w:color w:val="867F7C"/>
        </w:rPr>
        <w:t>stock ownership guidelines for directors 2025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-155575</wp:posOffset>
            </wp:positionV>
            <wp:extent cx="1800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0860"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-35560</wp:posOffset>
            </wp:positionV>
            <wp:extent cx="1520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20825" cy="8255"/>
                    </a:xfrm>
                    <a:prstGeom prst="rect">
                      <a:avLst/>
                    </a:prstGeom>
                    <a:noFill/>
                  </pic:spPr>
                </pic:pic>
              </a:graphicData>
            </a:graphic>
          </wp:anchor>
        </w:drawing>
      </w:r>
    </w:p>
    <w:p>
      <w:pPr>
        <w:spacing w:after="0" w:line="125" w:lineRule="exact"/>
        <w:rPr>
          <w:sz w:val="20"/>
          <w:szCs w:val="20"/>
          <w:color w:val="auto"/>
        </w:rPr>
      </w:pPr>
    </w:p>
    <w:p>
      <w:pPr>
        <w:ind w:left="260" w:right="740" w:hanging="258"/>
        <w:spacing w:after="0" w:line="256" w:lineRule="auto"/>
        <w:rPr>
          <w:sz w:val="20"/>
          <w:szCs w:val="20"/>
          <w:color w:val="auto"/>
        </w:rPr>
      </w:pPr>
      <w:r>
        <w:rPr>
          <w:rFonts w:ascii="Arial" w:cs="Arial" w:eastAsia="Arial" w:hAnsi="Arial"/>
          <w:sz w:val="16"/>
          <w:szCs w:val="16"/>
          <w:b w:val="1"/>
          <w:bCs w:val="1"/>
          <w:color w:val="867F7C"/>
        </w:rPr>
        <w:t xml:space="preserve">director diversity, skills and qualifications </w:t>
      </w:r>
      <w:r>
        <w:rPr>
          <w:rFonts w:ascii="Arial" w:cs="Arial" w:eastAsia="Arial" w:hAnsi="Arial"/>
          <w:sz w:val="16"/>
          <w:szCs w:val="16"/>
          <w:i w:val="1"/>
          <w:iCs w:val="1"/>
          <w:color w:val="867F7C"/>
        </w:rPr>
        <w:t>board diversity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05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2320"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-16510</wp:posOffset>
            </wp:positionV>
            <wp:extent cx="1189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867F7C"/>
        </w:rPr>
        <w:t>director nominee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1840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4086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4CCEDE"/>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465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867F7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915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867F7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93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74" w:lineRule="exact"/>
        <w:rPr>
          <w:sz w:val="20"/>
          <w:szCs w:val="20"/>
          <w:color w:val="auto"/>
        </w:rPr>
      </w:pPr>
    </w:p>
    <w:p>
      <w:pPr>
        <w:ind w:left="260" w:right="260" w:hanging="258"/>
        <w:spacing w:after="0" w:line="259" w:lineRule="auto"/>
        <w:rPr>
          <w:sz w:val="20"/>
          <w:szCs w:val="20"/>
          <w:color w:val="auto"/>
        </w:rPr>
      </w:pPr>
      <w:r>
        <w:rPr>
          <w:rFonts w:ascii="Arial" w:cs="Arial" w:eastAsia="Arial" w:hAnsi="Arial"/>
          <w:sz w:val="16"/>
          <w:szCs w:val="16"/>
          <w:b w:val="1"/>
          <w:bCs w:val="1"/>
          <w:color w:val="867F7C"/>
        </w:rPr>
        <w:t xml:space="preserve">compensation discussion and analysis (“cd&amp;a”) </w:t>
      </w:r>
      <w:r>
        <w:rPr>
          <w:rFonts w:ascii="Arial" w:cs="Arial" w:eastAsia="Arial" w:hAnsi="Arial"/>
          <w:sz w:val="16"/>
          <w:szCs w:val="16"/>
          <w:i w:val="1"/>
          <w:iCs w:val="1"/>
          <w:color w:val="867F7C"/>
        </w:rPr>
        <w:t>fiscal year 2025 performance highlights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3609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6093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-146050</wp:posOffset>
            </wp:positionV>
            <wp:extent cx="20186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18665"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-26035</wp:posOffset>
            </wp:positionV>
            <wp:extent cx="7086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i w:val="1"/>
          <w:iCs w:val="1"/>
          <w:color w:val="867F7C"/>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-5715</wp:posOffset>
            </wp:positionV>
            <wp:extent cx="11607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i w:val="1"/>
          <w:iCs w:val="1"/>
          <w:color w:val="867F7C"/>
        </w:rPr>
        <w:t>elements of compensation and link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-14605</wp:posOffset>
            </wp:positionV>
            <wp:extent cx="17265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i w:val="1"/>
          <w:iCs w:val="1"/>
          <w:color w:val="867F7C"/>
        </w:rPr>
        <w:t>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-12065</wp:posOffset>
            </wp:positionV>
            <wp:extent cx="10521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52195" cy="8890"/>
                    </a:xfrm>
                    <a:prstGeom prst="rect">
                      <a:avLst/>
                    </a:prstGeom>
                    <a:noFill/>
                  </pic:spPr>
                </pic:pic>
              </a:graphicData>
            </a:graphic>
          </wp:anchor>
        </w:drawing>
      </w:r>
    </w:p>
    <w:p>
      <w:pPr>
        <w:ind w:left="260" w:right="840"/>
        <w:spacing w:after="0" w:line="249" w:lineRule="auto"/>
        <w:rPr>
          <w:sz w:val="20"/>
          <w:szCs w:val="20"/>
          <w:color w:val="auto"/>
        </w:rPr>
      </w:pPr>
      <w:r>
        <w:rPr>
          <w:rFonts w:ascii="Arial" w:cs="Arial" w:eastAsia="Arial" w:hAnsi="Arial"/>
          <w:sz w:val="16"/>
          <w:szCs w:val="16"/>
          <w:i w:val="1"/>
          <w:iCs w:val="1"/>
          <w:color w:val="867F7C"/>
        </w:rPr>
        <w:t>fiscal year 2025 compensation structure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-137795</wp:posOffset>
            </wp:positionV>
            <wp:extent cx="1846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4658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-17780</wp:posOffset>
            </wp:positionV>
            <wp:extent cx="4286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ind w:left="260" w:right="700"/>
        <w:spacing w:after="0" w:line="246" w:lineRule="auto"/>
        <w:rPr>
          <w:sz w:val="20"/>
          <w:szCs w:val="20"/>
          <w:color w:val="auto"/>
        </w:rPr>
      </w:pPr>
      <w:r>
        <w:rPr>
          <w:rFonts w:ascii="Arial" w:cs="Arial" w:eastAsia="Arial" w:hAnsi="Arial"/>
          <w:sz w:val="16"/>
          <w:szCs w:val="16"/>
          <w:color w:val="867F7C"/>
        </w:rPr>
        <w:t xml:space="preserve">fiscal year 2025 incentive plan design and </w:t>
      </w:r>
      <w:r>
        <w:rPr>
          <w:rFonts w:ascii="Arial" w:cs="Arial" w:eastAsia="Arial" w:hAnsi="Arial"/>
          <w:sz w:val="16"/>
          <w:szCs w:val="16"/>
          <w:i w:val="1"/>
          <w:iCs w:val="1"/>
          <w:color w:val="867F7C"/>
        </w:rPr>
        <w:t>performance-related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-137160</wp:posOffset>
            </wp:positionV>
            <wp:extent cx="1938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38655"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-17145</wp:posOffset>
            </wp:positionV>
            <wp:extent cx="13150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260" w:right="480"/>
        <w:spacing w:after="0" w:line="246" w:lineRule="auto"/>
        <w:rPr>
          <w:sz w:val="20"/>
          <w:szCs w:val="20"/>
          <w:color w:val="auto"/>
        </w:rPr>
      </w:pPr>
      <w:r>
        <w:rPr>
          <w:rFonts w:ascii="Arial" w:cs="Arial" w:eastAsia="Arial" w:hAnsi="Arial"/>
          <w:sz w:val="16"/>
          <w:szCs w:val="16"/>
          <w:i w:val="1"/>
          <w:iCs w:val="1"/>
          <w:color w:val="867F7C"/>
        </w:rPr>
        <w:t>fiscal year 2025 annual incentive plan design fiscal year 2025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-137160</wp:posOffset>
            </wp:positionV>
            <wp:extent cx="20472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4724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-17145</wp:posOffset>
            </wp:positionV>
            <wp:extent cx="1337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260" w:right="800"/>
        <w:spacing w:after="0" w:line="252" w:lineRule="auto"/>
        <w:rPr>
          <w:sz w:val="20"/>
          <w:szCs w:val="20"/>
          <w:color w:val="auto"/>
        </w:rPr>
      </w:pPr>
      <w:r>
        <w:rPr>
          <w:rFonts w:ascii="Arial" w:cs="Arial" w:eastAsia="Arial" w:hAnsi="Arial"/>
          <w:sz w:val="16"/>
          <w:szCs w:val="16"/>
          <w:i w:val="1"/>
          <w:iCs w:val="1"/>
          <w:color w:val="867F7C"/>
        </w:rPr>
        <w:t>other compensation elements compensation setting process additional compensation information and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-388620</wp:posOffset>
            </wp:positionV>
            <wp:extent cx="13493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49375"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-268605</wp:posOffset>
            </wp:positionV>
            <wp:extent cx="13608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60805"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-148590</wp:posOffset>
            </wp:positionV>
            <wp:extent cx="18472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47215" cy="825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-28575</wp:posOffset>
            </wp:positionV>
            <wp:extent cx="508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867F7C"/>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5659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659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jc w:val="right"/>
              <w:ind w:right="299"/>
              <w:spacing w:after="0"/>
              <w:rPr>
                <w:sz w:val="20"/>
                <w:szCs w:val="20"/>
                <w:color w:val="auto"/>
              </w:rPr>
            </w:pPr>
            <w:r>
              <w:rPr>
                <w:rFonts w:ascii="Arial" w:cs="Arial" w:eastAsia="Arial" w:hAnsi="Arial"/>
                <w:sz w:val="16"/>
                <w:szCs w:val="16"/>
                <w:b w:val="1"/>
                <w:bCs w:val="1"/>
                <w:color w:val="867F7C"/>
              </w:rPr>
              <w:t>(i)</w:t>
            </w:r>
          </w:p>
        </w:tc>
        <w:tc>
          <w:tcPr>
            <w:tcW w:w="3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b w:val="1"/>
                <w:bCs w:val="1"/>
                <w:color w:val="867F7C"/>
              </w:rPr>
              <w:t>fiscal 2025 executive compensation tables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867F7C"/>
              </w:rPr>
              <w:t>45</w:t>
            </w: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867F7C"/>
                <w:w w:val="91"/>
              </w:rPr>
              <w:t>(iii)</w:t>
            </w:r>
          </w:p>
        </w:tc>
        <w:tc>
          <w:tcPr>
            <w:tcW w:w="260" w:type="dxa"/>
            <w:vAlign w:val="bottom"/>
          </w:tcPr>
          <w:p>
            <w:pPr>
              <w:spacing w:after="0"/>
              <w:rPr>
                <w:sz w:val="14"/>
                <w:szCs w:val="14"/>
                <w:color w:val="auto"/>
              </w:rPr>
            </w:pPr>
          </w:p>
        </w:tc>
        <w:tc>
          <w:tcPr>
            <w:tcW w:w="3240" w:type="dxa"/>
            <w:vAlign w:val="bottom"/>
            <w:gridSpan w:val="7"/>
          </w:tcPr>
          <w:p>
            <w:pPr>
              <w:spacing w:after="0" w:line="169" w:lineRule="exact"/>
              <w:rPr>
                <w:sz w:val="20"/>
                <w:szCs w:val="20"/>
                <w:color w:val="auto"/>
              </w:rPr>
            </w:pPr>
            <w:r>
              <w:rPr>
                <w:rFonts w:ascii="Arial" w:cs="Arial" w:eastAsia="Arial" w:hAnsi="Arial"/>
                <w:sz w:val="16"/>
                <w:szCs w:val="16"/>
                <w:i w:val="1"/>
                <w:iCs w:val="1"/>
                <w:color w:val="867F7C"/>
              </w:rPr>
              <w:t>summary compensation table</w:t>
            </w:r>
          </w:p>
        </w:tc>
        <w:tc>
          <w:tcPr>
            <w:tcW w:w="820" w:type="dxa"/>
            <w:vAlign w:val="bottom"/>
          </w:tcPr>
          <w:p>
            <w:pPr>
              <w:jc w:val="right"/>
              <w:spacing w:after="0" w:line="169" w:lineRule="exact"/>
              <w:rPr>
                <w:sz w:val="20"/>
                <w:szCs w:val="20"/>
                <w:color w:val="auto"/>
              </w:rPr>
            </w:pPr>
            <w:r>
              <w:rPr>
                <w:rFonts w:ascii="Arial" w:cs="Arial" w:eastAsia="Arial" w:hAnsi="Arial"/>
                <w:sz w:val="16"/>
                <w:szCs w:val="16"/>
                <w:i w:val="1"/>
                <w:iCs w:val="1"/>
                <w:color w:val="867F7C"/>
              </w:rPr>
              <w:t>45</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i w:val="1"/>
                <w:iCs w:val="1"/>
                <w:color w:val="867F7C"/>
              </w:rPr>
              <w:t>47</w:t>
            </w:r>
          </w:p>
        </w:tc>
        <w:tc>
          <w:tcPr>
            <w:tcW w:w="0" w:type="dxa"/>
            <w:vAlign w:val="bottom"/>
          </w:tcPr>
          <w:p>
            <w:pPr>
              <w:spacing w:after="0" w:line="20" w:lineRule="exact"/>
              <w:rPr>
                <w:sz w:val="1"/>
                <w:szCs w:val="1"/>
                <w:color w:val="auto"/>
              </w:rPr>
            </w:pPr>
          </w:p>
        </w:tc>
      </w:tr>
      <w:tr>
        <w:trPr>
          <w:trHeight w:val="169"/>
        </w:trPr>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tcBorders>
              <w:bottom w:val="single" w:sz="8" w:color="0000EE"/>
            </w:tcBorders>
            <w:gridSpan w:val="5"/>
          </w:tcPr>
          <w:p>
            <w:pPr>
              <w:spacing w:after="0" w:line="169" w:lineRule="exact"/>
              <w:rPr>
                <w:sz w:val="20"/>
                <w:szCs w:val="20"/>
                <w:color w:val="auto"/>
              </w:rPr>
            </w:pPr>
            <w:r>
              <w:rPr>
                <w:rFonts w:ascii="Arial" w:cs="Arial" w:eastAsia="Arial" w:hAnsi="Arial"/>
                <w:sz w:val="16"/>
                <w:szCs w:val="16"/>
                <w:i w:val="1"/>
                <w:iCs w:val="1"/>
                <w:color w:val="867F7C"/>
              </w:rPr>
              <w:t>fiscal 2025 grants of plan-based awards</w:t>
            </w:r>
          </w:p>
        </w:tc>
        <w:tc>
          <w:tcPr>
            <w:tcW w:w="380" w:type="dxa"/>
            <w:vAlign w:val="bottom"/>
            <w:gridSpan w:val="2"/>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867F7C"/>
              </w:rPr>
              <w:t>1</w:t>
            </w:r>
          </w:p>
        </w:tc>
        <w:tc>
          <w:tcPr>
            <w:tcW w:w="260" w:type="dxa"/>
            <w:vAlign w:val="bottom"/>
          </w:tcPr>
          <w:p>
            <w:pPr>
              <w:spacing w:after="0"/>
              <w:rPr>
                <w:sz w:val="14"/>
                <w:szCs w:val="14"/>
                <w:color w:val="auto"/>
              </w:rPr>
            </w:pPr>
          </w:p>
        </w:tc>
        <w:tc>
          <w:tcPr>
            <w:tcW w:w="270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i w:val="1"/>
                <w:iCs w:val="1"/>
                <w:color w:val="867F7C"/>
              </w:rPr>
              <w:t>fiscal 2025 outstanding equity awards</w:t>
            </w:r>
          </w:p>
        </w:tc>
        <w:tc>
          <w:tcPr>
            <w:tcW w:w="540" w:type="dxa"/>
            <w:vAlign w:val="bottom"/>
            <w:gridSpan w:val="4"/>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6"/>
                <w:szCs w:val="16"/>
                <w:i w:val="1"/>
                <w:iCs w:val="1"/>
                <w:color w:val="867F7C"/>
              </w:rPr>
              <w:t>48</w:t>
            </w: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Borders>
              <w:bottom w:val="single" w:sz="8" w:color="0000EE"/>
            </w:tcBorders>
            <w:gridSpan w:val="7"/>
          </w:tcPr>
          <w:p>
            <w:pPr>
              <w:spacing w:after="0" w:line="169" w:lineRule="exact"/>
              <w:rPr>
                <w:sz w:val="20"/>
                <w:szCs w:val="20"/>
                <w:color w:val="auto"/>
              </w:rPr>
            </w:pPr>
            <w:r>
              <w:rPr>
                <w:rFonts w:ascii="Arial" w:cs="Arial" w:eastAsia="Arial" w:hAnsi="Arial"/>
                <w:sz w:val="16"/>
                <w:szCs w:val="16"/>
                <w:i w:val="1"/>
                <w:iCs w:val="1"/>
                <w:color w:val="867F7C"/>
              </w:rPr>
              <w:t>fiscal 2025 option exercises and stock vested</w:t>
            </w:r>
          </w:p>
        </w:tc>
        <w:tc>
          <w:tcPr>
            <w:tcW w:w="820" w:type="dxa"/>
            <w:vAlign w:val="bottom"/>
          </w:tcPr>
          <w:p>
            <w:pPr>
              <w:jc w:val="right"/>
              <w:spacing w:after="0" w:line="169" w:lineRule="exact"/>
              <w:rPr>
                <w:sz w:val="20"/>
                <w:szCs w:val="20"/>
                <w:color w:val="auto"/>
              </w:rPr>
            </w:pPr>
            <w:r>
              <w:rPr>
                <w:rFonts w:ascii="Arial" w:cs="Arial" w:eastAsia="Arial" w:hAnsi="Arial"/>
                <w:sz w:val="16"/>
                <w:szCs w:val="16"/>
                <w:i w:val="1"/>
                <w:iCs w:val="1"/>
                <w:color w:val="867F7C"/>
              </w:rPr>
              <w:t>50</w:t>
            </w: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867F7C"/>
              </w:rPr>
              <w:t>4</w:t>
            </w:r>
          </w:p>
        </w:tc>
        <w:tc>
          <w:tcPr>
            <w:tcW w:w="260" w:type="dxa"/>
            <w:vAlign w:val="bottom"/>
          </w:tcPr>
          <w:p>
            <w:pPr>
              <w:spacing w:after="0"/>
              <w:rPr>
                <w:sz w:val="14"/>
                <w:szCs w:val="14"/>
                <w:color w:val="auto"/>
              </w:rPr>
            </w:pPr>
          </w:p>
        </w:tc>
        <w:tc>
          <w:tcPr>
            <w:tcW w:w="3240" w:type="dxa"/>
            <w:vAlign w:val="bottom"/>
            <w:gridSpan w:val="7"/>
          </w:tcPr>
          <w:p>
            <w:pPr>
              <w:spacing w:after="0" w:line="169" w:lineRule="exact"/>
              <w:rPr>
                <w:sz w:val="20"/>
                <w:szCs w:val="20"/>
                <w:color w:val="auto"/>
              </w:rPr>
            </w:pPr>
            <w:r>
              <w:rPr>
                <w:rFonts w:ascii="Arial" w:cs="Arial" w:eastAsia="Arial" w:hAnsi="Arial"/>
                <w:sz w:val="16"/>
                <w:szCs w:val="16"/>
                <w:i w:val="1"/>
                <w:iCs w:val="1"/>
                <w:color w:val="867F7C"/>
              </w:rPr>
              <w:t>non-qualified deferred compensation plans</w:t>
            </w:r>
          </w:p>
        </w:tc>
        <w:tc>
          <w:tcPr>
            <w:tcW w:w="820" w:type="dxa"/>
            <w:vAlign w:val="bottom"/>
          </w:tcPr>
          <w:p>
            <w:pPr>
              <w:jc w:val="right"/>
              <w:spacing w:after="0" w:line="169" w:lineRule="exact"/>
              <w:rPr>
                <w:sz w:val="20"/>
                <w:szCs w:val="20"/>
                <w:color w:val="auto"/>
              </w:rPr>
            </w:pPr>
            <w:r>
              <w:rPr>
                <w:rFonts w:ascii="Arial" w:cs="Arial" w:eastAsia="Arial" w:hAnsi="Arial"/>
                <w:sz w:val="16"/>
                <w:szCs w:val="16"/>
                <w:i w:val="1"/>
                <w:iCs w:val="1"/>
                <w:color w:val="867F7C"/>
              </w:rPr>
              <w:t>51</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i w:val="1"/>
                <w:iCs w:val="1"/>
                <w:color w:val="867F7C"/>
              </w:rPr>
              <w:t>52</w:t>
            </w:r>
          </w:p>
        </w:tc>
        <w:tc>
          <w:tcPr>
            <w:tcW w:w="0" w:type="dxa"/>
            <w:vAlign w:val="bottom"/>
          </w:tcPr>
          <w:p>
            <w:pPr>
              <w:spacing w:after="0" w:line="20" w:lineRule="exact"/>
              <w:rPr>
                <w:sz w:val="1"/>
                <w:szCs w:val="1"/>
                <w:color w:val="auto"/>
              </w:rPr>
            </w:pPr>
          </w:p>
        </w:tc>
      </w:tr>
      <w:tr>
        <w:trPr>
          <w:trHeight w:val="169"/>
        </w:trPr>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tcBorders>
              <w:bottom w:val="single" w:sz="8" w:color="0000EE"/>
            </w:tcBorders>
            <w:gridSpan w:val="4"/>
          </w:tcPr>
          <w:p>
            <w:pPr>
              <w:spacing w:after="0" w:line="169" w:lineRule="exact"/>
              <w:rPr>
                <w:sz w:val="20"/>
                <w:szCs w:val="20"/>
                <w:color w:val="auto"/>
              </w:rPr>
            </w:pPr>
            <w:r>
              <w:rPr>
                <w:rFonts w:ascii="Arial" w:cs="Arial" w:eastAsia="Arial" w:hAnsi="Arial"/>
                <w:sz w:val="16"/>
                <w:szCs w:val="16"/>
                <w:i w:val="1"/>
                <w:iCs w:val="1"/>
                <w:color w:val="867F7C"/>
              </w:rPr>
              <w:t>potential payments upon termination or</w:t>
            </w:r>
          </w:p>
        </w:tc>
        <w:tc>
          <w:tcPr>
            <w:tcW w:w="440" w:type="dxa"/>
            <w:vAlign w:val="bottom"/>
            <w:gridSpan w:val="3"/>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880" w:hanging="734"/>
        <w:spacing w:after="0"/>
        <w:tabs>
          <w:tab w:leader="none" w:pos="880" w:val="left"/>
        </w:tabs>
        <w:numPr>
          <w:ilvl w:val="0"/>
          <w:numId w:val="11"/>
        </w:numPr>
        <w:rPr>
          <w:rFonts w:ascii="Arial" w:cs="Arial" w:eastAsia="Arial" w:hAnsi="Arial"/>
          <w:sz w:val="16"/>
          <w:szCs w:val="16"/>
          <w:i w:val="1"/>
          <w:iCs w:val="1"/>
          <w:color w:val="867F7C"/>
        </w:rPr>
      </w:pPr>
      <w:r>
        <w:rPr>
          <w:rFonts w:ascii="Arial" w:cs="Arial" w:eastAsia="Arial" w:hAnsi="Arial"/>
          <w:sz w:val="16"/>
          <w:szCs w:val="16"/>
          <w:i w:val="1"/>
          <w:iCs w:val="1"/>
          <w:color w:val="867F7C"/>
        </w:rPr>
        <w:t>change in control</w:t>
      </w:r>
    </w:p>
    <w:p>
      <w:pPr>
        <w:spacing w:after="0" w:line="19" w:lineRule="exact"/>
        <w:rPr>
          <w:rFonts w:ascii="Arial" w:cs="Arial" w:eastAsia="Arial" w:hAnsi="Arial"/>
          <w:sz w:val="16"/>
          <w:szCs w:val="16"/>
          <w:i w:val="1"/>
          <w:iCs w:val="1"/>
          <w:color w:val="867F7C"/>
        </w:rPr>
      </w:pPr>
    </w:p>
    <w:p>
      <w:pPr>
        <w:spacing w:after="0"/>
        <w:tabs>
          <w:tab w:leader="none" w:pos="0" w:val="left"/>
        </w:tabs>
        <w:numPr>
          <w:ilvl w:val="0"/>
          <w:numId w:val="11"/>
        </w:numPr>
        <w:rPr>
          <w:rFonts w:ascii="Arial" w:cs="Arial" w:eastAsia="Arial" w:hAnsi="Arial"/>
          <w:sz w:val="16"/>
          <w:szCs w:val="16"/>
          <w:i w:val="1"/>
          <w:iCs w:val="1"/>
          <w:color w:val="867F7C"/>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-134620</wp:posOffset>
            </wp:positionV>
            <wp:extent cx="783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4"/>
        </w:trPr>
        <w:tc>
          <w:tcPr>
            <w:tcW w:w="560" w:type="dxa"/>
            <w:vAlign w:val="bottom"/>
          </w:tcPr>
          <w:p>
            <w:pPr>
              <w:jc w:val="right"/>
              <w:ind w:right="299"/>
              <w:spacing w:after="0"/>
              <w:rPr>
                <w:sz w:val="20"/>
                <w:szCs w:val="20"/>
                <w:color w:val="auto"/>
              </w:rPr>
            </w:pPr>
            <w:r>
              <w:rPr>
                <w:rFonts w:ascii="Arial" w:cs="Arial" w:eastAsia="Arial" w:hAnsi="Arial"/>
                <w:sz w:val="16"/>
                <w:szCs w:val="16"/>
                <w:i w:val="1"/>
                <w:iCs w:val="1"/>
                <w:color w:val="867F7C"/>
              </w:rPr>
              <w:t>8</w:t>
            </w:r>
          </w:p>
        </w:tc>
        <w:tc>
          <w:tcPr>
            <w:tcW w:w="3240" w:type="dxa"/>
            <w:vAlign w:val="bottom"/>
            <w:gridSpan w:val="3"/>
          </w:tcPr>
          <w:p>
            <w:pPr>
              <w:spacing w:after="0"/>
              <w:rPr>
                <w:sz w:val="20"/>
                <w:szCs w:val="20"/>
                <w:color w:val="auto"/>
              </w:rPr>
            </w:pPr>
            <w:r>
              <w:rPr>
                <w:rFonts w:ascii="Arial" w:cs="Arial" w:eastAsia="Arial" w:hAnsi="Arial"/>
                <w:sz w:val="16"/>
                <w:szCs w:val="16"/>
                <w:b w:val="1"/>
                <w:bCs w:val="1"/>
                <w:color w:val="867F7C"/>
              </w:rPr>
              <w:t>CEO pay ratio</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867F7C"/>
              </w:rPr>
              <w:t>60</w:t>
            </w: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i w:val="1"/>
                <w:iCs w:val="1"/>
                <w:color w:val="867F7C"/>
                <w:w w:val="89"/>
              </w:rPr>
              <w:t>10</w:t>
            </w:r>
          </w:p>
        </w:tc>
        <w:tc>
          <w:tcPr>
            <w:tcW w:w="10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0" w:type="dxa"/>
            <w:vAlign w:val="bottom"/>
            <w:vMerge w:val="continue"/>
          </w:tcPr>
          <w:p>
            <w:pPr>
              <w:spacing w:after="0"/>
              <w:rPr>
                <w:sz w:val="15"/>
                <w:szCs w:val="15"/>
                <w:color w:val="auto"/>
              </w:rPr>
            </w:pPr>
          </w:p>
        </w:tc>
        <w:tc>
          <w:tcPr>
            <w:tcW w:w="3240" w:type="dxa"/>
            <w:vAlign w:val="bottom"/>
            <w:gridSpan w:val="3"/>
            <w:vMerge w:val="restart"/>
          </w:tcPr>
          <w:p>
            <w:pPr>
              <w:spacing w:after="0"/>
              <w:rPr>
                <w:sz w:val="20"/>
                <w:szCs w:val="20"/>
                <w:color w:val="auto"/>
              </w:rPr>
            </w:pPr>
            <w:r>
              <w:rPr>
                <w:rFonts w:ascii="Arial" w:cs="Arial" w:eastAsia="Arial" w:hAnsi="Arial"/>
                <w:sz w:val="16"/>
                <w:szCs w:val="16"/>
                <w:b w:val="1"/>
                <w:bCs w:val="1"/>
                <w:color w:val="867F7C"/>
              </w:rPr>
              <w:t>pay versus performance</w:t>
            </w: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867F7C"/>
              </w:rPr>
              <w:t>61</w:t>
            </w:r>
          </w:p>
        </w:tc>
        <w:tc>
          <w:tcPr>
            <w:tcW w:w="0" w:type="dxa"/>
            <w:vAlign w:val="bottom"/>
          </w:tcPr>
          <w:p>
            <w:pPr>
              <w:spacing w:after="0"/>
              <w:rPr>
                <w:sz w:val="1"/>
                <w:szCs w:val="1"/>
                <w:color w:val="auto"/>
              </w:rPr>
            </w:pPr>
          </w:p>
        </w:tc>
      </w:tr>
      <w:tr>
        <w:trPr>
          <w:trHeight w:val="174"/>
        </w:trPr>
        <w:tc>
          <w:tcPr>
            <w:tcW w:w="560" w:type="dxa"/>
            <w:vAlign w:val="bottom"/>
          </w:tcPr>
          <w:p>
            <w:pPr>
              <w:jc w:val="right"/>
              <w:ind w:right="299"/>
              <w:spacing w:after="0" w:line="175" w:lineRule="exact"/>
              <w:rPr>
                <w:sz w:val="20"/>
                <w:szCs w:val="20"/>
                <w:color w:val="auto"/>
              </w:rPr>
            </w:pPr>
            <w:r>
              <w:rPr>
                <w:rFonts w:ascii="Arial" w:cs="Arial" w:eastAsia="Arial" w:hAnsi="Arial"/>
                <w:sz w:val="16"/>
                <w:szCs w:val="16"/>
                <w:i w:val="1"/>
                <w:iCs w:val="1"/>
                <w:color w:val="867F7C"/>
                <w:w w:val="89"/>
              </w:rPr>
              <w:t>10</w:t>
            </w:r>
          </w:p>
        </w:tc>
        <w:tc>
          <w:tcPr>
            <w:tcW w:w="3240" w:type="dxa"/>
            <w:vAlign w:val="bottom"/>
            <w:gridSpan w:val="3"/>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i w:val="1"/>
                <w:iCs w:val="1"/>
                <w:color w:val="867F7C"/>
                <w:w w:val="89"/>
              </w:rPr>
              <w:t>10</w:t>
            </w:r>
          </w:p>
        </w:tc>
        <w:tc>
          <w:tcPr>
            <w:tcW w:w="10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0" w:type="dxa"/>
            <w:vAlign w:val="bottom"/>
            <w:vMerge w:val="continue"/>
          </w:tcPr>
          <w:p>
            <w:pPr>
              <w:spacing w:after="0"/>
              <w:rPr>
                <w:sz w:val="18"/>
                <w:szCs w:val="18"/>
                <w:color w:val="auto"/>
              </w:rPr>
            </w:pPr>
          </w:p>
        </w:tc>
        <w:tc>
          <w:tcPr>
            <w:tcW w:w="3240" w:type="dxa"/>
            <w:vAlign w:val="bottom"/>
            <w:gridSpan w:val="3"/>
            <w:vMerge w:val="restart"/>
          </w:tcPr>
          <w:p>
            <w:pPr>
              <w:spacing w:after="0"/>
              <w:rPr>
                <w:sz w:val="20"/>
                <w:szCs w:val="20"/>
                <w:color w:val="auto"/>
              </w:rPr>
            </w:pPr>
            <w:r>
              <w:rPr>
                <w:rFonts w:ascii="Arial" w:cs="Arial" w:eastAsia="Arial" w:hAnsi="Arial"/>
                <w:sz w:val="16"/>
                <w:szCs w:val="16"/>
                <w:color w:val="4CCEDE"/>
              </w:rPr>
              <w:t>proposal two — ratification of appointment of</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4CCEDE"/>
              </w:rPr>
              <w:t>66</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3240" w:type="dxa"/>
            <w:vAlign w:val="bottom"/>
            <w:tcBorders>
              <w:bottom w:val="single" w:sz="8" w:color="0000EE"/>
            </w:tcBorders>
            <w:gridSpan w:val="3"/>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620" w:hanging="565"/>
        <w:spacing w:after="0"/>
        <w:tabs>
          <w:tab w:leader="none" w:pos="620" w:val="left"/>
        </w:tabs>
        <w:numPr>
          <w:ilvl w:val="0"/>
          <w:numId w:val="12"/>
        </w:numPr>
        <w:rPr>
          <w:rFonts w:ascii="Arial" w:cs="Arial" w:eastAsia="Arial" w:hAnsi="Arial"/>
          <w:sz w:val="16"/>
          <w:szCs w:val="16"/>
          <w:i w:val="1"/>
          <w:iCs w:val="1"/>
          <w:color w:val="867F7C"/>
        </w:rPr>
      </w:pPr>
      <w:r>
        <w:rPr>
          <w:rFonts w:ascii="Arial" w:cs="Arial" w:eastAsia="Arial" w:hAnsi="Arial"/>
          <w:sz w:val="16"/>
          <w:szCs w:val="16"/>
          <w:color w:val="4CCEDE"/>
        </w:rPr>
        <w:t>independent registered public accounting firm</w:t>
      </w:r>
    </w:p>
    <w:p>
      <w:pPr>
        <w:spacing w:after="0" w:line="20" w:lineRule="exact"/>
        <w:rPr>
          <w:rFonts w:ascii="Arial" w:cs="Arial" w:eastAsia="Arial" w:hAnsi="Arial"/>
          <w:sz w:val="16"/>
          <w:szCs w:val="16"/>
          <w:i w:val="1"/>
          <w:iCs w:val="1"/>
          <w:color w:val="867F7C"/>
        </w:rPr>
      </w:pPr>
    </w:p>
    <w:p>
      <w:pPr>
        <w:spacing w:after="0"/>
        <w:tabs>
          <w:tab w:leader="none" w:pos="0" w:val="left"/>
        </w:tabs>
        <w:numPr>
          <w:ilvl w:val="0"/>
          <w:numId w:val="12"/>
        </w:numPr>
        <w:rPr>
          <w:rFonts w:ascii="Arial" w:cs="Arial" w:eastAsia="Arial" w:hAnsi="Arial"/>
          <w:sz w:val="16"/>
          <w:szCs w:val="16"/>
          <w:i w:val="1"/>
          <w:iCs w:val="1"/>
          <w:color w:val="867F7C"/>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-134620</wp:posOffset>
            </wp:positionV>
            <wp:extent cx="21043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04390"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9"/>
        </w:trPr>
        <w:tc>
          <w:tcPr>
            <w:tcW w:w="560" w:type="dxa"/>
            <w:vAlign w:val="bottom"/>
          </w:tcPr>
          <w:p>
            <w:pPr>
              <w:jc w:val="right"/>
              <w:ind w:right="299"/>
              <w:spacing w:after="0" w:line="179" w:lineRule="exact"/>
              <w:rPr>
                <w:sz w:val="20"/>
                <w:szCs w:val="20"/>
                <w:color w:val="auto"/>
              </w:rPr>
            </w:pPr>
            <w:r>
              <w:rPr>
                <w:rFonts w:ascii="Arial" w:cs="Arial" w:eastAsia="Arial" w:hAnsi="Arial"/>
                <w:sz w:val="16"/>
                <w:szCs w:val="16"/>
                <w:i w:val="1"/>
                <w:iCs w:val="1"/>
                <w:color w:val="867F7C"/>
                <w:w w:val="89"/>
              </w:rPr>
              <w:t>12</w:t>
            </w:r>
          </w:p>
        </w:tc>
        <w:tc>
          <w:tcPr>
            <w:tcW w:w="3120" w:type="dxa"/>
            <w:vAlign w:val="bottom"/>
            <w:gridSpan w:val="3"/>
          </w:tcPr>
          <w:p>
            <w:pPr>
              <w:spacing w:after="0" w:line="179" w:lineRule="exact"/>
              <w:rPr>
                <w:sz w:val="20"/>
                <w:szCs w:val="20"/>
                <w:color w:val="auto"/>
              </w:rPr>
            </w:pPr>
            <w:r>
              <w:rPr>
                <w:rFonts w:ascii="Arial" w:cs="Arial" w:eastAsia="Arial" w:hAnsi="Arial"/>
                <w:sz w:val="16"/>
                <w:szCs w:val="16"/>
                <w:b w:val="1"/>
                <w:bCs w:val="1"/>
                <w:color w:val="867F7C"/>
              </w:rPr>
              <w:t>audit committee report</w:t>
            </w:r>
          </w:p>
        </w:tc>
        <w:tc>
          <w:tcPr>
            <w:tcW w:w="1200" w:type="dxa"/>
            <w:vAlign w:val="bottom"/>
          </w:tcPr>
          <w:p>
            <w:pPr>
              <w:jc w:val="right"/>
              <w:spacing w:after="0" w:line="179" w:lineRule="exact"/>
              <w:rPr>
                <w:sz w:val="20"/>
                <w:szCs w:val="20"/>
                <w:color w:val="auto"/>
              </w:rPr>
            </w:pPr>
            <w:r>
              <w:rPr>
                <w:rFonts w:ascii="Arial" w:cs="Arial" w:eastAsia="Arial" w:hAnsi="Arial"/>
                <w:sz w:val="16"/>
                <w:szCs w:val="16"/>
                <w:b w:val="1"/>
                <w:bCs w:val="1"/>
                <w:color w:val="867F7C"/>
              </w:rPr>
              <w:t>67</w:t>
            </w: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i w:val="1"/>
                <w:iCs w:val="1"/>
                <w:color w:val="867F7C"/>
                <w:w w:val="89"/>
              </w:rPr>
              <w:t>13</w:t>
            </w:r>
          </w:p>
        </w:tc>
        <w:tc>
          <w:tcPr>
            <w:tcW w:w="17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0" w:type="dxa"/>
            <w:vAlign w:val="bottom"/>
            <w:vMerge w:val="continue"/>
          </w:tcPr>
          <w:p>
            <w:pPr>
              <w:spacing w:after="0"/>
              <w:rPr>
                <w:sz w:val="15"/>
                <w:szCs w:val="15"/>
                <w:color w:val="auto"/>
              </w:rPr>
            </w:pPr>
          </w:p>
        </w:tc>
        <w:tc>
          <w:tcPr>
            <w:tcW w:w="3120" w:type="dxa"/>
            <w:vAlign w:val="bottom"/>
            <w:gridSpan w:val="3"/>
            <w:vMerge w:val="restart"/>
          </w:tcPr>
          <w:p>
            <w:pPr>
              <w:spacing w:after="0"/>
              <w:rPr>
                <w:sz w:val="20"/>
                <w:szCs w:val="20"/>
                <w:color w:val="auto"/>
              </w:rPr>
            </w:pPr>
            <w:r>
              <w:rPr>
                <w:rFonts w:ascii="Arial" w:cs="Arial" w:eastAsia="Arial" w:hAnsi="Arial"/>
                <w:sz w:val="16"/>
                <w:szCs w:val="16"/>
                <w:color w:val="4CCEDE"/>
              </w:rPr>
              <w:t>proposal three — non-binding advisory</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4CCEDE"/>
              </w:rPr>
              <w:t>69</w:t>
            </w:r>
          </w:p>
        </w:tc>
        <w:tc>
          <w:tcPr>
            <w:tcW w:w="0" w:type="dxa"/>
            <w:vAlign w:val="bottom"/>
          </w:tcPr>
          <w:p>
            <w:pPr>
              <w:spacing w:after="0"/>
              <w:rPr>
                <w:sz w:val="1"/>
                <w:szCs w:val="1"/>
                <w:color w:val="auto"/>
              </w:rPr>
            </w:pPr>
          </w:p>
        </w:tc>
      </w:tr>
      <w:tr>
        <w:trPr>
          <w:trHeight w:val="174"/>
        </w:trPr>
        <w:tc>
          <w:tcPr>
            <w:tcW w:w="560" w:type="dxa"/>
            <w:vAlign w:val="bottom"/>
          </w:tcPr>
          <w:p>
            <w:pPr>
              <w:jc w:val="right"/>
              <w:ind w:right="299"/>
              <w:spacing w:after="0" w:line="175" w:lineRule="exact"/>
              <w:rPr>
                <w:sz w:val="20"/>
                <w:szCs w:val="20"/>
                <w:color w:val="auto"/>
              </w:rPr>
            </w:pPr>
            <w:r>
              <w:rPr>
                <w:rFonts w:ascii="Arial" w:cs="Arial" w:eastAsia="Arial" w:hAnsi="Arial"/>
                <w:sz w:val="16"/>
                <w:szCs w:val="16"/>
                <w:i w:val="1"/>
                <w:iCs w:val="1"/>
                <w:color w:val="867F7C"/>
                <w:w w:val="89"/>
              </w:rPr>
              <w:t>13</w:t>
            </w:r>
          </w:p>
        </w:tc>
        <w:tc>
          <w:tcPr>
            <w:tcW w:w="3120" w:type="dxa"/>
            <w:vAlign w:val="bottom"/>
            <w:gridSpan w:val="3"/>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282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color w:val="4CCEDE"/>
              </w:rPr>
              <w:t>resolution approving the compensation</w:t>
            </w:r>
          </w:p>
        </w:tc>
        <w:tc>
          <w:tcPr>
            <w:tcW w:w="300" w:type="dxa"/>
            <w:vAlign w:val="bottom"/>
            <w:tcBorders>
              <w:bottom w:val="single" w:sz="8" w:color="0000EE"/>
            </w:tcBorders>
          </w:tcPr>
          <w:p>
            <w:pPr>
              <w:spacing w:after="0" w:line="169" w:lineRule="exact"/>
              <w:rPr>
                <w:sz w:val="20"/>
                <w:szCs w:val="20"/>
                <w:color w:val="auto"/>
              </w:rPr>
            </w:pPr>
            <w:r>
              <w:rPr>
                <w:rFonts w:ascii="Arial" w:cs="Arial" w:eastAsia="Arial" w:hAnsi="Arial"/>
                <w:sz w:val="16"/>
                <w:szCs w:val="16"/>
                <w:color w:val="4CCEDE"/>
                <w:w w:val="92"/>
              </w:rPr>
              <w:t>paid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20" w:hanging="565"/>
        <w:spacing w:after="0"/>
        <w:tabs>
          <w:tab w:leader="none" w:pos="620" w:val="left"/>
        </w:tabs>
        <w:numPr>
          <w:ilvl w:val="0"/>
          <w:numId w:val="13"/>
        </w:numPr>
        <w:rPr>
          <w:rFonts w:ascii="Arial" w:cs="Arial" w:eastAsia="Arial" w:hAnsi="Arial"/>
          <w:sz w:val="16"/>
          <w:szCs w:val="16"/>
          <w:b w:val="1"/>
          <w:bCs w:val="1"/>
          <w:color w:val="867F7C"/>
        </w:rPr>
      </w:pPr>
      <w:r>
        <w:rPr>
          <w:rFonts w:ascii="Arial" w:cs="Arial" w:eastAsia="Arial" w:hAnsi="Arial"/>
          <w:sz w:val="16"/>
          <w:szCs w:val="16"/>
          <w:color w:val="4CCEDE"/>
        </w:rPr>
        <w:t>to Ashland’s named executive officers</w:t>
      </w:r>
    </w:p>
    <w:p>
      <w:pPr>
        <w:spacing w:after="0" w:line="21" w:lineRule="exact"/>
        <w:rPr>
          <w:rFonts w:ascii="Arial" w:cs="Arial" w:eastAsia="Arial" w:hAnsi="Arial"/>
          <w:sz w:val="16"/>
          <w:szCs w:val="16"/>
          <w:b w:val="1"/>
          <w:bCs w:val="1"/>
          <w:color w:val="867F7C"/>
        </w:rPr>
      </w:pPr>
    </w:p>
    <w:p>
      <w:pPr>
        <w:spacing w:after="0"/>
        <w:tabs>
          <w:tab w:leader="none" w:pos="0" w:val="left"/>
        </w:tabs>
        <w:numPr>
          <w:ilvl w:val="0"/>
          <w:numId w:val="14"/>
        </w:numPr>
        <w:rPr>
          <w:rFonts w:ascii="Arial" w:cs="Arial" w:eastAsia="Arial" w:hAnsi="Arial"/>
          <w:sz w:val="16"/>
          <w:szCs w:val="16"/>
          <w:i w:val="1"/>
          <w:iCs w:val="1"/>
          <w:color w:val="867F7C"/>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-134620</wp:posOffset>
            </wp:positionV>
            <wp:extent cx="17265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4"/>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i w:val="1"/>
                <w:iCs w:val="1"/>
                <w:color w:val="867F7C"/>
                <w:w w:val="89"/>
              </w:rPr>
              <w:t>14</w:t>
            </w:r>
          </w:p>
        </w:tc>
        <w:tc>
          <w:tcPr>
            <w:tcW w:w="32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867F7C"/>
              </w:rPr>
              <w:t>beneficial ownership of common stock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867F7C"/>
              </w:rPr>
              <w:t>70</w:t>
            </w:r>
          </w:p>
        </w:tc>
        <w:tc>
          <w:tcPr>
            <w:tcW w:w="0" w:type="dxa"/>
            <w:vAlign w:val="bottom"/>
          </w:tcPr>
          <w:p>
            <w:pPr>
              <w:spacing w:after="0"/>
              <w:rPr>
                <w:sz w:val="1"/>
                <w:szCs w:val="1"/>
                <w:color w:val="auto"/>
              </w:rPr>
            </w:pPr>
          </w:p>
        </w:tc>
      </w:tr>
      <w:tr>
        <w:trPr>
          <w:trHeight w:val="169"/>
        </w:trPr>
        <w:tc>
          <w:tcPr>
            <w:tcW w:w="560" w:type="dxa"/>
            <w:vAlign w:val="bottom"/>
            <w:vMerge w:val="continue"/>
          </w:tcPr>
          <w:p>
            <w:pPr>
              <w:spacing w:after="0"/>
              <w:rPr>
                <w:sz w:val="14"/>
                <w:szCs w:val="14"/>
                <w:color w:val="auto"/>
              </w:rPr>
            </w:pPr>
          </w:p>
        </w:tc>
        <w:tc>
          <w:tcPr>
            <w:tcW w:w="2380" w:type="dxa"/>
            <w:vAlign w:val="bottom"/>
            <w:tcBorders>
              <w:bottom w:val="single" w:sz="8" w:color="0000EE"/>
            </w:tcBorders>
          </w:tcPr>
          <w:p>
            <w:pPr>
              <w:spacing w:after="0" w:line="169" w:lineRule="exact"/>
              <w:rPr>
                <w:sz w:val="20"/>
                <w:szCs w:val="20"/>
                <w:color w:val="auto"/>
              </w:rPr>
            </w:pPr>
            <w:r>
              <w:rPr>
                <w:rFonts w:ascii="Arial" w:cs="Arial" w:eastAsia="Arial" w:hAnsi="Arial"/>
                <w:sz w:val="16"/>
                <w:szCs w:val="16"/>
                <w:b w:val="1"/>
                <w:bCs w:val="1"/>
                <w:color w:val="867F7C"/>
              </w:rPr>
              <w:t>certain other beneficial owners</w:t>
            </w:r>
          </w:p>
        </w:tc>
        <w:tc>
          <w:tcPr>
            <w:tcW w:w="86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60" w:type="dxa"/>
            <w:vAlign w:val="bottom"/>
          </w:tcPr>
          <w:p>
            <w:pPr>
              <w:jc w:val="right"/>
              <w:ind w:right="299"/>
              <w:spacing w:after="0"/>
              <w:rPr>
                <w:sz w:val="20"/>
                <w:szCs w:val="20"/>
                <w:color w:val="auto"/>
              </w:rPr>
            </w:pPr>
            <w:r>
              <w:rPr>
                <w:rFonts w:ascii="Arial" w:cs="Arial" w:eastAsia="Arial" w:hAnsi="Arial"/>
                <w:sz w:val="16"/>
                <w:szCs w:val="16"/>
                <w:i w:val="1"/>
                <w:iCs w:val="1"/>
                <w:color w:val="867F7C"/>
                <w:w w:val="89"/>
              </w:rPr>
              <w:t>15</w:t>
            </w:r>
          </w:p>
        </w:tc>
        <w:tc>
          <w:tcPr>
            <w:tcW w:w="3240" w:type="dxa"/>
            <w:vAlign w:val="bottom"/>
            <w:gridSpan w:val="3"/>
            <w:vMerge w:val="restart"/>
          </w:tcPr>
          <w:p>
            <w:pPr>
              <w:spacing w:after="0"/>
              <w:rPr>
                <w:sz w:val="20"/>
                <w:szCs w:val="20"/>
                <w:color w:val="auto"/>
              </w:rPr>
            </w:pPr>
            <w:r>
              <w:rPr>
                <w:rFonts w:ascii="Arial" w:cs="Arial" w:eastAsia="Arial" w:hAnsi="Arial"/>
                <w:sz w:val="16"/>
                <w:szCs w:val="16"/>
                <w:b w:val="1"/>
                <w:bCs w:val="1"/>
                <w:color w:val="867F7C"/>
              </w:rPr>
              <w:t>beneficial ownership of common stock —</w:t>
            </w: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867F7C"/>
              </w:rPr>
              <w:t>72</w:t>
            </w: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3240" w:type="dxa"/>
            <w:vAlign w:val="bottom"/>
            <w:gridSpan w:val="3"/>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20" w:hanging="565"/>
        <w:spacing w:after="0"/>
        <w:tabs>
          <w:tab w:leader="none" w:pos="620" w:val="left"/>
        </w:tabs>
        <w:numPr>
          <w:ilvl w:val="0"/>
          <w:numId w:val="15"/>
        </w:numPr>
        <w:rPr>
          <w:rFonts w:ascii="Arial" w:cs="Arial" w:eastAsia="Arial" w:hAnsi="Arial"/>
          <w:sz w:val="16"/>
          <w:szCs w:val="16"/>
          <w:b w:val="1"/>
          <w:bCs w:val="1"/>
          <w:color w:val="867F7C"/>
        </w:rPr>
      </w:pPr>
      <w:r>
        <w:rPr>
          <w:rFonts w:ascii="Arial" w:cs="Arial" w:eastAsia="Arial" w:hAnsi="Arial"/>
          <w:sz w:val="16"/>
          <w:szCs w:val="16"/>
          <w:b w:val="1"/>
          <w:bCs w:val="1"/>
          <w:color w:val="867F7C"/>
        </w:rPr>
        <w:t>management</w:t>
      </w:r>
    </w:p>
    <w:p>
      <w:pPr>
        <w:spacing w:after="0" w:line="20" w:lineRule="exact"/>
        <w:rPr>
          <w:rFonts w:ascii="Arial" w:cs="Arial" w:eastAsia="Arial" w:hAnsi="Arial"/>
          <w:sz w:val="16"/>
          <w:szCs w:val="16"/>
          <w:b w:val="1"/>
          <w:bCs w:val="1"/>
          <w:color w:val="867F7C"/>
        </w:rPr>
      </w:pPr>
    </w:p>
    <w:p>
      <w:pPr>
        <w:spacing w:after="0"/>
        <w:tabs>
          <w:tab w:leader="none" w:pos="0" w:val="left"/>
        </w:tabs>
        <w:numPr>
          <w:ilvl w:val="0"/>
          <w:numId w:val="16"/>
        </w:numPr>
        <w:rPr>
          <w:rFonts w:ascii="Arial" w:cs="Arial" w:eastAsia="Arial" w:hAnsi="Arial"/>
          <w:sz w:val="16"/>
          <w:szCs w:val="16"/>
          <w:color w:val="867F7C"/>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-134620</wp:posOffset>
            </wp:positionV>
            <wp:extent cx="634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5"/>
        </w:trPr>
        <w:tc>
          <w:tcPr>
            <w:tcW w:w="560" w:type="dxa"/>
            <w:vAlign w:val="bottom"/>
          </w:tcPr>
          <w:p>
            <w:pPr>
              <w:jc w:val="right"/>
              <w:ind w:right="299"/>
              <w:spacing w:after="0" w:line="165" w:lineRule="exact"/>
              <w:rPr>
                <w:sz w:val="20"/>
                <w:szCs w:val="20"/>
                <w:color w:val="auto"/>
              </w:rPr>
            </w:pPr>
            <w:r>
              <w:rPr>
                <w:rFonts w:ascii="Arial" w:cs="Arial" w:eastAsia="Arial" w:hAnsi="Arial"/>
                <w:sz w:val="16"/>
                <w:szCs w:val="16"/>
                <w:color w:val="867F7C"/>
                <w:w w:val="89"/>
              </w:rPr>
              <w:t>17</w:t>
            </w:r>
          </w:p>
        </w:tc>
        <w:tc>
          <w:tcPr>
            <w:tcW w:w="2460" w:type="dxa"/>
            <w:vAlign w:val="bottom"/>
            <w:tcBorders>
              <w:bottom w:val="single" w:sz="8" w:color="0000EE"/>
            </w:tcBorders>
            <w:gridSpan w:val="7"/>
          </w:tcPr>
          <w:p>
            <w:pPr>
              <w:spacing w:after="0" w:line="165" w:lineRule="exact"/>
              <w:rPr>
                <w:sz w:val="20"/>
                <w:szCs w:val="20"/>
                <w:color w:val="auto"/>
              </w:rPr>
            </w:pPr>
            <w:r>
              <w:rPr>
                <w:rFonts w:ascii="Arial" w:cs="Arial" w:eastAsia="Arial" w:hAnsi="Arial"/>
                <w:sz w:val="16"/>
                <w:szCs w:val="16"/>
                <w:b w:val="1"/>
                <w:bCs w:val="1"/>
                <w:color w:val="867F7C"/>
              </w:rPr>
              <w:t>delinquent section 16(a) reports</w:t>
            </w:r>
          </w:p>
        </w:tc>
        <w:tc>
          <w:tcPr>
            <w:tcW w:w="1440" w:type="dxa"/>
            <w:vAlign w:val="bottom"/>
            <w:gridSpan w:val="4"/>
          </w:tcPr>
          <w:p>
            <w:pPr>
              <w:spacing w:after="0"/>
              <w:rPr>
                <w:sz w:val="14"/>
                <w:szCs w:val="14"/>
                <w:color w:val="auto"/>
              </w:rPr>
            </w:pPr>
          </w:p>
        </w:tc>
        <w:tc>
          <w:tcPr>
            <w:tcW w:w="420" w:type="dxa"/>
            <w:vAlign w:val="bottom"/>
          </w:tcPr>
          <w:p>
            <w:pPr>
              <w:jc w:val="right"/>
              <w:spacing w:after="0" w:line="165" w:lineRule="exact"/>
              <w:rPr>
                <w:sz w:val="20"/>
                <w:szCs w:val="20"/>
                <w:color w:val="auto"/>
              </w:rPr>
            </w:pPr>
            <w:r>
              <w:rPr>
                <w:rFonts w:ascii="Arial" w:cs="Arial" w:eastAsia="Arial" w:hAnsi="Arial"/>
                <w:sz w:val="16"/>
                <w:szCs w:val="16"/>
                <w:b w:val="1"/>
                <w:bCs w:val="1"/>
                <w:color w:val="867F7C"/>
              </w:rPr>
              <w:t>73</w:t>
            </w:r>
          </w:p>
        </w:tc>
        <w:tc>
          <w:tcPr>
            <w:tcW w:w="0" w:type="dxa"/>
            <w:vAlign w:val="bottom"/>
          </w:tcPr>
          <w:p>
            <w:pPr>
              <w:spacing w:after="0"/>
              <w:rPr>
                <w:sz w:val="1"/>
                <w:szCs w:val="1"/>
                <w:color w:val="auto"/>
              </w:rPr>
            </w:pPr>
          </w:p>
        </w:tc>
      </w:tr>
      <w:tr>
        <w:trPr>
          <w:trHeight w:val="358"/>
        </w:trPr>
        <w:tc>
          <w:tcPr>
            <w:tcW w:w="560" w:type="dxa"/>
            <w:vAlign w:val="bottom"/>
          </w:tcPr>
          <w:p>
            <w:pPr>
              <w:jc w:val="right"/>
              <w:ind w:right="299"/>
              <w:spacing w:after="0"/>
              <w:rPr>
                <w:sz w:val="20"/>
                <w:szCs w:val="20"/>
                <w:color w:val="auto"/>
              </w:rPr>
            </w:pPr>
            <w:r>
              <w:rPr>
                <w:rFonts w:ascii="Arial" w:cs="Arial" w:eastAsia="Arial" w:hAnsi="Arial"/>
                <w:sz w:val="16"/>
                <w:szCs w:val="16"/>
                <w:color w:val="4CCEDE"/>
                <w:w w:val="89"/>
              </w:rPr>
              <w:t>19</w:t>
            </w:r>
          </w:p>
        </w:tc>
        <w:tc>
          <w:tcPr>
            <w:tcW w:w="3900" w:type="dxa"/>
            <w:vAlign w:val="bottom"/>
            <w:gridSpan w:val="11"/>
          </w:tcPr>
          <w:p>
            <w:pPr>
              <w:spacing w:after="0"/>
              <w:rPr>
                <w:sz w:val="20"/>
                <w:szCs w:val="20"/>
                <w:color w:val="auto"/>
              </w:rPr>
            </w:pPr>
            <w:r>
              <w:rPr>
                <w:rFonts w:ascii="Arial" w:cs="Arial" w:eastAsia="Arial" w:hAnsi="Arial"/>
                <w:sz w:val="16"/>
                <w:szCs w:val="16"/>
                <w:b w:val="1"/>
                <w:bCs w:val="1"/>
                <w:color w:val="867F7C"/>
              </w:rPr>
              <w:t>questions and answers about the 2026 annual</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867F7C"/>
              </w:rPr>
              <w:t>74</w:t>
            </w:r>
          </w:p>
        </w:tc>
        <w:tc>
          <w:tcPr>
            <w:tcW w:w="0" w:type="dxa"/>
            <w:vAlign w:val="bottom"/>
          </w:tcPr>
          <w:p>
            <w:pPr>
              <w:spacing w:after="0"/>
              <w:rPr>
                <w:sz w:val="1"/>
                <w:szCs w:val="1"/>
                <w:color w:val="auto"/>
              </w:rPr>
            </w:pPr>
          </w:p>
        </w:tc>
      </w:tr>
      <w:tr>
        <w:trPr>
          <w:trHeight w:val="169"/>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867F7C"/>
                <w:w w:val="89"/>
              </w:rPr>
              <w:t>20</w:t>
            </w:r>
          </w:p>
        </w:tc>
        <w:tc>
          <w:tcPr>
            <w:tcW w:w="62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b w:val="1"/>
                <w:bCs w:val="1"/>
                <w:color w:val="867F7C"/>
                <w:w w:val="97"/>
              </w:rPr>
              <w:t>meeting</w:t>
            </w:r>
          </w:p>
        </w:tc>
        <w:tc>
          <w:tcPr>
            <w:tcW w:w="2960" w:type="dxa"/>
            <w:vAlign w:val="bottom"/>
            <w:tcBorders>
              <w:top w:val="single" w:sz="8" w:color="0000EE"/>
            </w:tcBorders>
            <w:gridSpan w:val="9"/>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60" w:type="dxa"/>
            <w:vAlign w:val="bottom"/>
            <w:vMerge w:val="continue"/>
          </w:tcPr>
          <w:p>
            <w:pPr>
              <w:spacing w:after="0"/>
              <w:rPr>
                <w:sz w:val="18"/>
                <w:szCs w:val="18"/>
                <w:color w:val="auto"/>
              </w:rPr>
            </w:pPr>
          </w:p>
        </w:tc>
        <w:tc>
          <w:tcPr>
            <w:tcW w:w="3900" w:type="dxa"/>
            <w:vAlign w:val="bottom"/>
            <w:gridSpan w:val="11"/>
            <w:vMerge w:val="restart"/>
          </w:tcPr>
          <w:p>
            <w:pPr>
              <w:spacing w:after="0"/>
              <w:rPr>
                <w:sz w:val="20"/>
                <w:szCs w:val="20"/>
                <w:color w:val="auto"/>
              </w:rPr>
            </w:pPr>
            <w:r>
              <w:rPr>
                <w:rFonts w:ascii="Arial" w:cs="Arial" w:eastAsia="Arial" w:hAnsi="Arial"/>
                <w:sz w:val="16"/>
                <w:szCs w:val="16"/>
                <w:b w:val="1"/>
                <w:bCs w:val="1"/>
                <w:color w:val="867F7C"/>
              </w:rPr>
              <w:t>date for receipt of stockholder proposals for the</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867F7C"/>
              </w:rPr>
              <w:t>79</w:t>
            </w: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3900" w:type="dxa"/>
            <w:vAlign w:val="bottom"/>
            <w:gridSpan w:val="11"/>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867F7C"/>
                <w:w w:val="89"/>
              </w:rPr>
              <w:t>25</w:t>
            </w:r>
          </w:p>
        </w:tc>
        <w:tc>
          <w:tcPr>
            <w:tcW w:w="3140" w:type="dxa"/>
            <w:vAlign w:val="bottom"/>
            <w:tcBorders>
              <w:top w:val="single" w:sz="8" w:color="0000EE"/>
            </w:tcBorders>
            <w:gridSpan w:val="9"/>
          </w:tcPr>
          <w:p>
            <w:pPr>
              <w:spacing w:after="0"/>
              <w:rPr>
                <w:sz w:val="20"/>
                <w:szCs w:val="20"/>
                <w:color w:val="auto"/>
              </w:rPr>
            </w:pPr>
            <w:r>
              <w:rPr>
                <w:rFonts w:ascii="Arial" w:cs="Arial" w:eastAsia="Arial" w:hAnsi="Arial"/>
                <w:sz w:val="16"/>
                <w:szCs w:val="16"/>
                <w:b w:val="1"/>
                <w:bCs w:val="1"/>
                <w:color w:val="867F7C"/>
              </w:rPr>
              <w:t>next annual stockholders meeting</w:t>
            </w:r>
          </w:p>
        </w:tc>
        <w:tc>
          <w:tcPr>
            <w:tcW w:w="7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0" w:type="dxa"/>
            <w:vAlign w:val="bottom"/>
            <w:vMerge w:val="continue"/>
          </w:tcPr>
          <w:p>
            <w:pPr>
              <w:spacing w:after="0"/>
              <w:rPr>
                <w:sz w:val="16"/>
                <w:szCs w:val="16"/>
                <w:color w:val="auto"/>
              </w:rPr>
            </w:pPr>
          </w:p>
        </w:tc>
        <w:tc>
          <w:tcPr>
            <w:tcW w:w="1340" w:type="dxa"/>
            <w:vAlign w:val="bottom"/>
            <w:gridSpan w:val="6"/>
            <w:vMerge w:val="restart"/>
          </w:tcPr>
          <w:p>
            <w:pPr>
              <w:spacing w:after="0"/>
              <w:rPr>
                <w:sz w:val="20"/>
                <w:szCs w:val="20"/>
                <w:color w:val="auto"/>
              </w:rPr>
            </w:pPr>
            <w:r>
              <w:rPr>
                <w:rFonts w:ascii="Arial" w:cs="Arial" w:eastAsia="Arial" w:hAnsi="Arial"/>
                <w:sz w:val="16"/>
                <w:szCs w:val="16"/>
                <w:b w:val="1"/>
                <w:bCs w:val="1"/>
                <w:color w:val="867F7C"/>
                <w:w w:val="99"/>
              </w:rPr>
              <w:t>proxy solicitation</w:t>
            </w:r>
          </w:p>
        </w:tc>
        <w:tc>
          <w:tcPr>
            <w:tcW w:w="2560" w:type="dxa"/>
            <w:vAlign w:val="bottom"/>
            <w:gridSpan w:val="5"/>
            <w:vMerge w:val="restart"/>
          </w:tcPr>
          <w:p>
            <w:pPr>
              <w:spacing w:after="0"/>
              <w:rPr>
                <w:sz w:val="16"/>
                <w:szCs w:val="16"/>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867F7C"/>
              </w:rPr>
              <w:t>82</w:t>
            </w:r>
          </w:p>
        </w:tc>
        <w:tc>
          <w:tcPr>
            <w:tcW w:w="0" w:type="dxa"/>
            <w:vAlign w:val="bottom"/>
          </w:tcPr>
          <w:p>
            <w:pPr>
              <w:spacing w:after="0"/>
              <w:rPr>
                <w:sz w:val="1"/>
                <w:szCs w:val="1"/>
                <w:color w:val="auto"/>
              </w:rPr>
            </w:pPr>
          </w:p>
        </w:tc>
      </w:tr>
      <w:tr>
        <w:trPr>
          <w:trHeight w:val="148"/>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867F7C"/>
                <w:w w:val="89"/>
              </w:rPr>
              <w:t>28</w:t>
            </w:r>
          </w:p>
        </w:tc>
        <w:tc>
          <w:tcPr>
            <w:tcW w:w="1340" w:type="dxa"/>
            <w:vAlign w:val="bottom"/>
            <w:tcBorders>
              <w:bottom w:val="single" w:sz="8" w:color="0000EE"/>
            </w:tcBorders>
            <w:gridSpan w:val="6"/>
            <w:vMerge w:val="continue"/>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60" w:type="dxa"/>
            <w:vAlign w:val="bottom"/>
            <w:vMerge w:val="continue"/>
          </w:tcPr>
          <w:p>
            <w:pPr>
              <w:spacing w:after="0"/>
              <w:rPr>
                <w:sz w:val="15"/>
                <w:szCs w:val="15"/>
                <w:color w:val="auto"/>
              </w:rPr>
            </w:pPr>
          </w:p>
        </w:tc>
        <w:tc>
          <w:tcPr>
            <w:tcW w:w="3900" w:type="dxa"/>
            <w:vAlign w:val="bottom"/>
            <w:gridSpan w:val="11"/>
            <w:vMerge w:val="restart"/>
          </w:tcPr>
          <w:p>
            <w:pPr>
              <w:spacing w:after="0"/>
              <w:rPr>
                <w:sz w:val="20"/>
                <w:szCs w:val="20"/>
                <w:color w:val="auto"/>
              </w:rPr>
            </w:pPr>
            <w:r>
              <w:rPr>
                <w:rFonts w:ascii="Arial" w:cs="Arial" w:eastAsia="Arial" w:hAnsi="Arial"/>
                <w:sz w:val="16"/>
                <w:szCs w:val="16"/>
                <w:b w:val="1"/>
                <w:bCs w:val="1"/>
                <w:color w:val="867F7C"/>
              </w:rPr>
              <w:t>other matters</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867F7C"/>
              </w:rPr>
              <w:t>82</w:t>
            </w:r>
          </w:p>
        </w:tc>
        <w:tc>
          <w:tcPr>
            <w:tcW w:w="0" w:type="dxa"/>
            <w:vAlign w:val="bottom"/>
          </w:tcPr>
          <w:p>
            <w:pPr>
              <w:spacing w:after="0"/>
              <w:rPr>
                <w:sz w:val="1"/>
                <w:szCs w:val="1"/>
                <w:color w:val="auto"/>
              </w:rPr>
            </w:pPr>
          </w:p>
        </w:tc>
      </w:tr>
      <w:tr>
        <w:trPr>
          <w:trHeight w:val="174"/>
        </w:trPr>
        <w:tc>
          <w:tcPr>
            <w:tcW w:w="560" w:type="dxa"/>
            <w:vAlign w:val="bottom"/>
          </w:tcPr>
          <w:p>
            <w:pPr>
              <w:jc w:val="right"/>
              <w:ind w:right="299"/>
              <w:spacing w:after="0" w:line="175" w:lineRule="exact"/>
              <w:rPr>
                <w:sz w:val="20"/>
                <w:szCs w:val="20"/>
                <w:color w:val="auto"/>
              </w:rPr>
            </w:pPr>
            <w:r>
              <w:rPr>
                <w:rFonts w:ascii="Arial" w:cs="Arial" w:eastAsia="Arial" w:hAnsi="Arial"/>
                <w:sz w:val="16"/>
                <w:szCs w:val="16"/>
                <w:i w:val="1"/>
                <w:iCs w:val="1"/>
                <w:color w:val="867F7C"/>
                <w:w w:val="89"/>
              </w:rPr>
              <w:t>28</w:t>
            </w:r>
          </w:p>
        </w:tc>
        <w:tc>
          <w:tcPr>
            <w:tcW w:w="3900" w:type="dxa"/>
            <w:vAlign w:val="bottom"/>
            <w:gridSpan w:val="11"/>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jc w:val="right"/>
              <w:ind w:right="299"/>
              <w:spacing w:after="0"/>
              <w:rPr>
                <w:sz w:val="20"/>
                <w:szCs w:val="20"/>
                <w:color w:val="auto"/>
              </w:rPr>
            </w:pPr>
            <w:r>
              <w:rPr>
                <w:rFonts w:ascii="Arial" w:cs="Arial" w:eastAsia="Arial" w:hAnsi="Arial"/>
                <w:sz w:val="16"/>
                <w:szCs w:val="16"/>
                <w:i w:val="1"/>
                <w:iCs w:val="1"/>
                <w:color w:val="867F7C"/>
                <w:w w:val="89"/>
              </w:rPr>
              <w:t>30</w:t>
            </w:r>
          </w:p>
        </w:tc>
        <w:tc>
          <w:tcPr>
            <w:tcW w:w="3900" w:type="dxa"/>
            <w:vAlign w:val="bottom"/>
            <w:gridSpan w:val="11"/>
          </w:tcPr>
          <w:p>
            <w:pPr>
              <w:spacing w:after="0"/>
              <w:rPr>
                <w:sz w:val="20"/>
                <w:szCs w:val="20"/>
                <w:color w:val="auto"/>
              </w:rPr>
            </w:pPr>
            <w:r>
              <w:rPr>
                <w:rFonts w:ascii="Arial" w:cs="Arial" w:eastAsia="Arial" w:hAnsi="Arial"/>
                <w:sz w:val="16"/>
                <w:szCs w:val="16"/>
                <w:b w:val="1"/>
                <w:bCs w:val="1"/>
                <w:color w:val="867F7C"/>
              </w:rPr>
              <w:t xml:space="preserve">appendix a — </w:t>
            </w:r>
            <w:r>
              <w:rPr>
                <w:rFonts w:ascii="Arial" w:cs="Arial" w:eastAsia="Arial" w:hAnsi="Arial"/>
                <w:sz w:val="16"/>
                <w:szCs w:val="16"/>
                <w:color w:val="867F7C"/>
              </w:rPr>
              <w:t>use of non-GAAP financial</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867F7C"/>
              </w:rPr>
              <w:t>a-1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605"/>
        <w:spacing w:after="0"/>
        <w:tabs>
          <w:tab w:leader="none" w:pos="660" w:val="left"/>
        </w:tabs>
        <w:numPr>
          <w:ilvl w:val="0"/>
          <w:numId w:val="17"/>
        </w:numPr>
        <w:rPr>
          <w:rFonts w:ascii="Arial" w:cs="Arial" w:eastAsia="Arial" w:hAnsi="Arial"/>
          <w:sz w:val="16"/>
          <w:szCs w:val="16"/>
          <w:i w:val="1"/>
          <w:iCs w:val="1"/>
          <w:color w:val="867F7C"/>
        </w:rPr>
      </w:pPr>
      <w:r>
        <w:rPr>
          <w:rFonts w:ascii="Arial" w:cs="Arial" w:eastAsia="Arial" w:hAnsi="Arial"/>
          <w:sz w:val="16"/>
          <w:szCs w:val="16"/>
          <w:color w:val="867F7C"/>
        </w:rPr>
        <w:t>measures and non-GAAP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-4445</wp:posOffset>
            </wp:positionV>
            <wp:extent cx="1880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0870" cy="8890"/>
                    </a:xfrm>
                    <a:prstGeom prst="rect">
                      <a:avLst/>
                    </a:prstGeom>
                    <a:noFill/>
                  </pic:spPr>
                </pic:pic>
              </a:graphicData>
            </a:graphic>
          </wp:anchor>
        </w:drawing>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867F7C"/>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-108585</wp:posOffset>
            </wp:positionV>
            <wp:extent cx="2760345" cy="360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0345" cy="360045"/>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8"/>
          <w:szCs w:val="18"/>
          <w:b w:val="1"/>
          <w:bCs w:val="1"/>
          <w:color w:val="FFFFFF"/>
        </w:rPr>
        <w:t>frequently referenced</w:t>
      </w:r>
    </w:p>
    <w:tbl>
      <w:tblPr>
        <w:tblLayout w:type="fixed"/>
        <w:tblInd w:w="60" w:type="dxa"/>
        <w:tblCellMar>
          <w:top w:w="0" w:type="dxa"/>
          <w:left w:w="0" w:type="dxa"/>
          <w:bottom w:w="0" w:type="dxa"/>
          <w:right w:w="0" w:type="dxa"/>
        </w:tblCellMar>
      </w:tblPr>
      <w:tr>
        <w:trPr>
          <w:trHeight w:val="187"/>
        </w:trPr>
        <w:tc>
          <w:tcPr>
            <w:tcW w:w="560" w:type="dxa"/>
            <w:vAlign w:val="bottom"/>
          </w:tcPr>
          <w:p>
            <w:pPr>
              <w:jc w:val="right"/>
              <w:ind w:right="299"/>
              <w:spacing w:after="0"/>
              <w:rPr>
                <w:sz w:val="20"/>
                <w:szCs w:val="20"/>
                <w:color w:val="auto"/>
              </w:rPr>
            </w:pPr>
            <w:r>
              <w:rPr>
                <w:rFonts w:ascii="Arial" w:cs="Arial" w:eastAsia="Arial" w:hAnsi="Arial"/>
                <w:sz w:val="16"/>
                <w:szCs w:val="16"/>
                <w:i w:val="1"/>
                <w:iCs w:val="1"/>
                <w:color w:val="867F7C"/>
                <w:w w:val="89"/>
              </w:rPr>
              <w:t>34</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i w:val="1"/>
                <w:iCs w:val="1"/>
                <w:color w:val="867F7C"/>
                <w:w w:val="89"/>
              </w:rPr>
              <w:t>35</w:t>
            </w:r>
          </w:p>
        </w:tc>
        <w:tc>
          <w:tcPr>
            <w:tcW w:w="320" w:type="dxa"/>
            <w:vAlign w:val="bottom"/>
            <w:shd w:val="clear" w:color="auto" w:fill="EFEBE9"/>
          </w:tcPr>
          <w:p>
            <w:pPr>
              <w:spacing w:after="0"/>
              <w:rPr>
                <w:sz w:val="16"/>
                <w:szCs w:val="16"/>
                <w:color w:val="auto"/>
              </w:rPr>
            </w:pPr>
          </w:p>
        </w:tc>
        <w:tc>
          <w:tcPr>
            <w:tcW w:w="380" w:type="dxa"/>
            <w:vAlign w:val="bottom"/>
            <w:shd w:val="clear" w:color="auto" w:fill="EFEBE9"/>
          </w:tcPr>
          <w:p>
            <w:pPr>
              <w:spacing w:after="0"/>
              <w:rPr>
                <w:sz w:val="16"/>
                <w:szCs w:val="16"/>
                <w:color w:val="auto"/>
              </w:rPr>
            </w:pPr>
          </w:p>
        </w:tc>
        <w:tc>
          <w:tcPr>
            <w:tcW w:w="1280" w:type="dxa"/>
            <w:vAlign w:val="bottom"/>
            <w:shd w:val="clear" w:color="auto" w:fill="EFEBE9"/>
          </w:tcPr>
          <w:p>
            <w:pPr>
              <w:spacing w:after="0"/>
              <w:rPr>
                <w:sz w:val="16"/>
                <w:szCs w:val="16"/>
                <w:color w:val="auto"/>
              </w:rPr>
            </w:pPr>
          </w:p>
        </w:tc>
        <w:tc>
          <w:tcPr>
            <w:tcW w:w="560" w:type="dxa"/>
            <w:vAlign w:val="bottom"/>
            <w:shd w:val="clear" w:color="auto" w:fill="EFEBE9"/>
          </w:tcPr>
          <w:p>
            <w:pPr>
              <w:spacing w:after="0"/>
              <w:rPr>
                <w:sz w:val="16"/>
                <w:szCs w:val="16"/>
                <w:color w:val="auto"/>
              </w:rPr>
            </w:pPr>
          </w:p>
        </w:tc>
        <w:tc>
          <w:tcPr>
            <w:tcW w:w="1080" w:type="dxa"/>
            <w:vAlign w:val="bottom"/>
            <w:shd w:val="clear" w:color="auto" w:fill="EFEBE9"/>
          </w:tcPr>
          <w:p>
            <w:pPr>
              <w:spacing w:after="0"/>
              <w:rPr>
                <w:sz w:val="16"/>
                <w:szCs w:val="16"/>
                <w:color w:val="auto"/>
              </w:rPr>
            </w:pPr>
          </w:p>
        </w:tc>
        <w:tc>
          <w:tcPr>
            <w:tcW w:w="720" w:type="dxa"/>
            <w:vAlign w:val="bottom"/>
            <w:vMerge w:val="restart"/>
            <w:shd w:val="clear" w:color="auto" w:fill="EFEBE9"/>
          </w:tcPr>
          <w:p>
            <w:pPr>
              <w:jc w:val="right"/>
              <w:ind w:right="275"/>
              <w:spacing w:after="0"/>
              <w:rPr>
                <w:sz w:val="20"/>
                <w:szCs w:val="20"/>
                <w:color w:val="auto"/>
              </w:rPr>
            </w:pPr>
            <w:r>
              <w:rPr>
                <w:rFonts w:ascii="Arial" w:cs="Arial" w:eastAsia="Arial" w:hAnsi="Arial"/>
                <w:sz w:val="17"/>
                <w:szCs w:val="17"/>
                <w:color w:val="867F7C"/>
              </w:rPr>
              <w:t>4</w:t>
            </w:r>
          </w:p>
        </w:tc>
        <w:tc>
          <w:tcPr>
            <w:tcW w:w="0" w:type="dxa"/>
            <w:vAlign w:val="bottom"/>
          </w:tcPr>
          <w:p>
            <w:pPr>
              <w:spacing w:after="0"/>
              <w:rPr>
                <w:sz w:val="1"/>
                <w:szCs w:val="1"/>
                <w:color w:val="auto"/>
              </w:rPr>
            </w:pPr>
          </w:p>
        </w:tc>
      </w:tr>
      <w:tr>
        <w:trPr>
          <w:trHeight w:val="169"/>
        </w:trPr>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Borders>
              <w:bottom w:val="single" w:sz="8" w:color="0000EE"/>
            </w:tcBorders>
            <w:gridSpan w:val="2"/>
          </w:tcPr>
          <w:p>
            <w:pPr>
              <w:spacing w:after="0" w:line="162" w:lineRule="exact"/>
              <w:rPr>
                <w:sz w:val="20"/>
                <w:szCs w:val="20"/>
                <w:color w:val="auto"/>
              </w:rPr>
            </w:pPr>
            <w:r>
              <w:rPr>
                <w:rFonts w:ascii="Arial" w:cs="Arial" w:eastAsia="Arial" w:hAnsi="Arial"/>
                <w:sz w:val="17"/>
                <w:szCs w:val="17"/>
                <w:color w:val="867F7C"/>
                <w:w w:val="99"/>
              </w:rPr>
              <w:t>corporate governance</w:t>
            </w:r>
          </w:p>
        </w:tc>
        <w:tc>
          <w:tcPr>
            <w:tcW w:w="1640" w:type="dxa"/>
            <w:vAlign w:val="bottom"/>
            <w:gridSpan w:val="2"/>
          </w:tcPr>
          <w:p>
            <w:pPr>
              <w:spacing w:after="0"/>
              <w:rPr>
                <w:sz w:val="14"/>
                <w:szCs w:val="14"/>
                <w:color w:val="auto"/>
              </w:rPr>
            </w:pPr>
          </w:p>
        </w:tc>
        <w:tc>
          <w:tcPr>
            <w:tcW w:w="720" w:type="dxa"/>
            <w:vAlign w:val="bottom"/>
            <w:tcBorders>
              <w:bottom w:val="single" w:sz="8" w:color="EFEBE9"/>
            </w:tcBorders>
            <w:vMerge w:val="continue"/>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60" w:type="dxa"/>
            <w:vAlign w:val="bottom"/>
          </w:tcPr>
          <w:p>
            <w:pPr>
              <w:jc w:val="right"/>
              <w:ind w:right="299"/>
              <w:spacing w:after="0" w:line="177" w:lineRule="exact"/>
              <w:rPr>
                <w:sz w:val="20"/>
                <w:szCs w:val="20"/>
                <w:color w:val="auto"/>
              </w:rPr>
            </w:pPr>
            <w:r>
              <w:rPr>
                <w:rFonts w:ascii="Arial" w:cs="Arial" w:eastAsia="Arial" w:hAnsi="Arial"/>
                <w:sz w:val="16"/>
                <w:szCs w:val="16"/>
                <w:i w:val="1"/>
                <w:iCs w:val="1"/>
                <w:color w:val="867F7C"/>
                <w:w w:val="89"/>
              </w:rPr>
              <w:t>37</w:t>
            </w:r>
          </w:p>
        </w:tc>
        <w:tc>
          <w:tcPr>
            <w:tcW w:w="320" w:type="dxa"/>
            <w:vAlign w:val="bottom"/>
          </w:tcPr>
          <w:p>
            <w:pPr>
              <w:spacing w:after="0"/>
              <w:rPr>
                <w:sz w:val="15"/>
                <w:szCs w:val="15"/>
                <w:color w:val="auto"/>
              </w:rPr>
            </w:pPr>
          </w:p>
        </w:tc>
        <w:tc>
          <w:tcPr>
            <w:tcW w:w="3300" w:type="dxa"/>
            <w:vAlign w:val="bottom"/>
            <w:gridSpan w:val="4"/>
            <w:vMerge w:val="restart"/>
          </w:tcPr>
          <w:p>
            <w:pPr>
              <w:spacing w:after="0"/>
              <w:rPr>
                <w:sz w:val="20"/>
                <w:szCs w:val="20"/>
                <w:color w:val="auto"/>
              </w:rPr>
            </w:pPr>
            <w:r>
              <w:rPr>
                <w:rFonts w:ascii="Arial" w:cs="Arial" w:eastAsia="Arial" w:hAnsi="Arial"/>
                <w:sz w:val="17"/>
                <w:szCs w:val="17"/>
                <w:color w:val="867F7C"/>
              </w:rPr>
              <w:t>cd&amp;a</w:t>
            </w:r>
          </w:p>
        </w:tc>
        <w:tc>
          <w:tcPr>
            <w:tcW w:w="720" w:type="dxa"/>
            <w:vAlign w:val="bottom"/>
            <w:vMerge w:val="restart"/>
          </w:tcPr>
          <w:p>
            <w:pPr>
              <w:jc w:val="right"/>
              <w:ind w:right="275"/>
              <w:spacing w:after="0"/>
              <w:rPr>
                <w:sz w:val="20"/>
                <w:szCs w:val="20"/>
                <w:color w:val="auto"/>
              </w:rPr>
            </w:pPr>
            <w:r>
              <w:rPr>
                <w:rFonts w:ascii="Arial" w:cs="Arial" w:eastAsia="Arial" w:hAnsi="Arial"/>
                <w:sz w:val="17"/>
                <w:szCs w:val="17"/>
                <w:color w:val="867F7C"/>
              </w:rPr>
              <w:t>28</w:t>
            </w:r>
          </w:p>
        </w:tc>
        <w:tc>
          <w:tcPr>
            <w:tcW w:w="0" w:type="dxa"/>
            <w:vAlign w:val="bottom"/>
          </w:tcPr>
          <w:p>
            <w:pPr>
              <w:spacing w:after="0"/>
              <w:rPr>
                <w:sz w:val="1"/>
                <w:szCs w:val="1"/>
                <w:color w:val="auto"/>
              </w:rPr>
            </w:pPr>
          </w:p>
        </w:tc>
      </w:tr>
      <w:tr>
        <w:trPr>
          <w:trHeight w:val="174"/>
        </w:trPr>
        <w:tc>
          <w:tcPr>
            <w:tcW w:w="560" w:type="dxa"/>
            <w:vAlign w:val="bottom"/>
          </w:tcPr>
          <w:p>
            <w:pPr>
              <w:jc w:val="right"/>
              <w:ind w:right="299"/>
              <w:spacing w:after="0" w:line="175" w:lineRule="exact"/>
              <w:rPr>
                <w:sz w:val="20"/>
                <w:szCs w:val="20"/>
                <w:color w:val="auto"/>
              </w:rPr>
            </w:pPr>
            <w:r>
              <w:rPr>
                <w:rFonts w:ascii="Arial" w:cs="Arial" w:eastAsia="Arial" w:hAnsi="Arial"/>
                <w:sz w:val="16"/>
                <w:szCs w:val="16"/>
                <w:i w:val="1"/>
                <w:iCs w:val="1"/>
                <w:color w:val="867F7C"/>
                <w:w w:val="89"/>
              </w:rPr>
              <w:t>39</w:t>
            </w:r>
          </w:p>
        </w:tc>
        <w:tc>
          <w:tcPr>
            <w:tcW w:w="320" w:type="dxa"/>
            <w:vAlign w:val="bottom"/>
          </w:tcPr>
          <w:p>
            <w:pPr>
              <w:spacing w:after="0"/>
              <w:rPr>
                <w:sz w:val="15"/>
                <w:szCs w:val="15"/>
                <w:color w:val="auto"/>
              </w:rPr>
            </w:pPr>
          </w:p>
        </w:tc>
        <w:tc>
          <w:tcPr>
            <w:tcW w:w="3300" w:type="dxa"/>
            <w:vAlign w:val="bottom"/>
            <w:gridSpan w:val="4"/>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299"/>
              <w:spacing w:after="0"/>
              <w:rPr>
                <w:sz w:val="20"/>
                <w:szCs w:val="20"/>
                <w:color w:val="auto"/>
              </w:rPr>
            </w:pPr>
            <w:r>
              <w:rPr>
                <w:rFonts w:ascii="Arial" w:cs="Arial" w:eastAsia="Arial" w:hAnsi="Arial"/>
                <w:sz w:val="16"/>
                <w:szCs w:val="16"/>
                <w:i w:val="1"/>
                <w:iCs w:val="1"/>
                <w:color w:val="867F7C"/>
                <w:w w:val="89"/>
              </w:rPr>
              <w:t>41</w:t>
            </w: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300" w:type="dxa"/>
            <w:vAlign w:val="bottom"/>
            <w:gridSpan w:val="4"/>
            <w:vMerge w:val="restart"/>
          </w:tcPr>
          <w:p>
            <w:pPr>
              <w:spacing w:after="0"/>
              <w:rPr>
                <w:sz w:val="20"/>
                <w:szCs w:val="20"/>
                <w:color w:val="auto"/>
              </w:rPr>
            </w:pPr>
            <w:r>
              <w:rPr>
                <w:rFonts w:ascii="Arial" w:cs="Arial" w:eastAsia="Arial" w:hAnsi="Arial"/>
                <w:sz w:val="17"/>
                <w:szCs w:val="17"/>
                <w:color w:val="867F7C"/>
              </w:rPr>
              <w:t>summary compensation table</w:t>
            </w:r>
          </w:p>
        </w:tc>
        <w:tc>
          <w:tcPr>
            <w:tcW w:w="720" w:type="dxa"/>
            <w:vAlign w:val="bottom"/>
            <w:vMerge w:val="restart"/>
          </w:tcPr>
          <w:p>
            <w:pPr>
              <w:jc w:val="right"/>
              <w:ind w:right="275"/>
              <w:spacing w:after="0"/>
              <w:rPr>
                <w:sz w:val="20"/>
                <w:szCs w:val="20"/>
                <w:color w:val="auto"/>
              </w:rPr>
            </w:pPr>
            <w:r>
              <w:rPr>
                <w:rFonts w:ascii="Arial" w:cs="Arial" w:eastAsia="Arial" w:hAnsi="Arial"/>
                <w:sz w:val="17"/>
                <w:szCs w:val="17"/>
                <w:color w:val="867F7C"/>
              </w:rPr>
              <w:t>45</w:t>
            </w:r>
          </w:p>
        </w:tc>
        <w:tc>
          <w:tcPr>
            <w:tcW w:w="0" w:type="dxa"/>
            <w:vAlign w:val="bottom"/>
          </w:tcPr>
          <w:p>
            <w:pPr>
              <w:spacing w:after="0"/>
              <w:rPr>
                <w:sz w:val="1"/>
                <w:szCs w:val="1"/>
                <w:color w:val="auto"/>
              </w:rPr>
            </w:pPr>
          </w:p>
        </w:tc>
      </w:tr>
      <w:tr>
        <w:trPr>
          <w:trHeight w:val="174"/>
        </w:trPr>
        <w:tc>
          <w:tcPr>
            <w:tcW w:w="560" w:type="dxa"/>
            <w:vAlign w:val="bottom"/>
          </w:tcPr>
          <w:p>
            <w:pPr>
              <w:jc w:val="right"/>
              <w:ind w:right="299"/>
              <w:spacing w:after="0" w:line="175" w:lineRule="exact"/>
              <w:rPr>
                <w:sz w:val="20"/>
                <w:szCs w:val="20"/>
                <w:color w:val="auto"/>
              </w:rPr>
            </w:pPr>
            <w:r>
              <w:rPr>
                <w:rFonts w:ascii="Arial" w:cs="Arial" w:eastAsia="Arial" w:hAnsi="Arial"/>
                <w:sz w:val="16"/>
                <w:szCs w:val="16"/>
                <w:i w:val="1"/>
                <w:iCs w:val="1"/>
                <w:color w:val="867F7C"/>
                <w:w w:val="89"/>
              </w:rPr>
              <w:t>43</w:t>
            </w:r>
          </w:p>
        </w:tc>
        <w:tc>
          <w:tcPr>
            <w:tcW w:w="320" w:type="dxa"/>
            <w:vAlign w:val="bottom"/>
          </w:tcPr>
          <w:p>
            <w:pPr>
              <w:spacing w:after="0"/>
              <w:rPr>
                <w:sz w:val="15"/>
                <w:szCs w:val="15"/>
                <w:color w:val="auto"/>
              </w:rPr>
            </w:pPr>
          </w:p>
        </w:tc>
        <w:tc>
          <w:tcPr>
            <w:tcW w:w="3300" w:type="dxa"/>
            <w:vAlign w:val="bottom"/>
            <w:gridSpan w:val="4"/>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-710565</wp:posOffset>
            </wp:positionV>
            <wp:extent cx="2760345" cy="1234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0345" cy="1234440"/>
                    </a:xfrm>
                    <a:prstGeom prst="rect">
                      <a:avLst/>
                    </a:prstGeom>
                    <a:noFill/>
                  </pic:spPr>
                </pic:pic>
              </a:graphicData>
            </a:graphic>
          </wp:anchor>
        </w:drawing>
      </w:r>
    </w:p>
    <w:p>
      <w:pPr>
        <w:spacing w:after="0" w:line="174" w:lineRule="exact"/>
        <w:rPr>
          <w:sz w:val="20"/>
          <w:szCs w:val="20"/>
          <w:color w:val="auto"/>
        </w:rPr>
      </w:pPr>
    </w:p>
    <w:p>
      <w:pPr>
        <w:ind w:left="940" w:right="360"/>
        <w:spacing w:after="0" w:line="248" w:lineRule="auto"/>
        <w:rPr>
          <w:sz w:val="20"/>
          <w:szCs w:val="20"/>
          <w:color w:val="auto"/>
        </w:rPr>
      </w:pPr>
      <w:r>
        <w:rPr>
          <w:rFonts w:ascii="Arial" w:cs="Arial" w:eastAsia="Arial" w:hAnsi="Arial"/>
          <w:sz w:val="18"/>
          <w:szCs w:val="18"/>
          <w:color w:val="867F7C"/>
        </w:rPr>
        <w:t xml:space="preserve">beneficial ownership of common stock — </w:t>
      </w:r>
      <w:r>
        <w:rPr>
          <w:rFonts w:ascii="Arial" w:cs="Arial" w:eastAsia="Arial" w:hAnsi="Arial"/>
          <w:sz w:val="17"/>
          <w:szCs w:val="17"/>
          <w:color w:val="867F7C"/>
        </w:rPr>
        <w:t>70</w:t>
      </w:r>
      <w:r>
        <w:rPr>
          <w:rFonts w:ascii="Arial" w:cs="Arial" w:eastAsia="Arial" w:hAnsi="Arial"/>
          <w:sz w:val="18"/>
          <w:szCs w:val="18"/>
          <w:color w:val="867F7C"/>
        </w:rPr>
        <w:t xml:space="preserve"> certain other beneficial owners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867F7C"/>
        </w:rPr>
        <w:t>44</w:t>
      </w:r>
    </w:p>
    <w:p>
      <w:pPr>
        <w:spacing w:after="0" w:line="200" w:lineRule="exact"/>
        <w:rPr>
          <w:sz w:val="20"/>
          <w:szCs w:val="20"/>
          <w:color w:val="auto"/>
        </w:rPr>
      </w:pPr>
    </w:p>
    <w:p>
      <w:pPr>
        <w:sectPr>
          <w:pgSz w:w="11900" w:h="16838" w:orient="portrait"/>
          <w:cols w:equalWidth="0" w:num="2">
            <w:col w:w="3980" w:space="140"/>
            <w:col w:w="4960"/>
          </w:cols>
          <w:pgMar w:left="1400" w:top="1149" w:right="1419" w:bottom="1440" w:gutter="0" w:footer="0" w:header="0"/>
        </w:sectPr>
      </w:pPr>
    </w:p>
    <w:p>
      <w:pPr>
        <w:spacing w:after="0" w:line="234"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6"/>
          <w:szCs w:val="16"/>
          <w:b w:val="1"/>
          <w:bCs w:val="1"/>
          <w:color w:val="4CCEDE"/>
        </w:rPr>
      </w:pPr>
      <w:r>
        <w:rPr>
          <w:rFonts w:ascii="Arial" w:cs="Arial" w:eastAsia="Arial" w:hAnsi="Arial"/>
          <w:sz w:val="22"/>
          <w:szCs w:val="22"/>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616585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5760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149" w:right="1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54"/>
          <w:szCs w:val="54"/>
          <w:color w:val="867F7C"/>
        </w:rPr>
        <w:t>proxy summary</w:t>
      </w:r>
    </w:p>
    <w:p>
      <w:pPr>
        <w:spacing w:after="0" w:line="260" w:lineRule="exact"/>
        <w:rPr>
          <w:sz w:val="20"/>
          <w:szCs w:val="20"/>
          <w:color w:val="auto"/>
        </w:rPr>
      </w:pPr>
    </w:p>
    <w:p>
      <w:pPr>
        <w:jc w:val="both"/>
        <w:spacing w:after="0"/>
        <w:rPr>
          <w:sz w:val="20"/>
          <w:szCs w:val="20"/>
          <w:color w:val="auto"/>
        </w:rPr>
      </w:pPr>
      <w:r>
        <w:rPr>
          <w:rFonts w:ascii="Arial" w:cs="Arial" w:eastAsia="Arial" w:hAnsi="Arial"/>
          <w:sz w:val="22"/>
          <w:szCs w:val="22"/>
          <w:color w:val="4CCEDE"/>
        </w:rPr>
        <w:t>This proxy summary does not contain all the information that you should consider. You should read the entire Proxy Statement carefully before voting. For more complete information regarding Ashland's fiscal 2025 performance, please review the Annual Report on Form 10-K for the fiscal year ended September 30, 2025.</w:t>
      </w:r>
    </w:p>
    <w:p>
      <w:pPr>
        <w:spacing w:after="0" w:line="281"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annual meeting information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496"/>
        </w:trPr>
        <w:tc>
          <w:tcPr>
            <w:tcW w:w="2160" w:type="dxa"/>
            <w:vAlign w:val="bottom"/>
            <w:shd w:val="clear" w:color="auto" w:fill="BAD739"/>
          </w:tcPr>
          <w:p>
            <w:pPr>
              <w:jc w:val="center"/>
              <w:spacing w:after="0"/>
              <w:rPr>
                <w:sz w:val="20"/>
                <w:szCs w:val="20"/>
                <w:color w:val="auto"/>
              </w:rPr>
            </w:pPr>
            <w:r>
              <w:rPr>
                <w:rFonts w:ascii="Arial" w:cs="Arial" w:eastAsia="Arial" w:hAnsi="Arial"/>
                <w:sz w:val="32"/>
                <w:szCs w:val="32"/>
                <w:b w:val="1"/>
                <w:bCs w:val="1"/>
                <w:color w:val="867F7C"/>
              </w:rPr>
              <w:t>date</w:t>
            </w:r>
          </w:p>
        </w:tc>
        <w:tc>
          <w:tcPr>
            <w:tcW w:w="100" w:type="dxa"/>
            <w:vAlign w:val="bottom"/>
          </w:tcPr>
          <w:p>
            <w:pPr>
              <w:spacing w:after="0"/>
              <w:rPr>
                <w:sz w:val="24"/>
                <w:szCs w:val="24"/>
                <w:color w:val="auto"/>
              </w:rPr>
            </w:pPr>
          </w:p>
        </w:tc>
        <w:tc>
          <w:tcPr>
            <w:tcW w:w="2160" w:type="dxa"/>
            <w:vAlign w:val="bottom"/>
            <w:shd w:val="clear" w:color="auto" w:fill="48C1AC"/>
          </w:tcPr>
          <w:p>
            <w:pPr>
              <w:jc w:val="center"/>
              <w:spacing w:after="0"/>
              <w:rPr>
                <w:sz w:val="20"/>
                <w:szCs w:val="20"/>
                <w:color w:val="auto"/>
              </w:rPr>
            </w:pPr>
            <w:r>
              <w:rPr>
                <w:rFonts w:ascii="Arial" w:cs="Arial" w:eastAsia="Arial" w:hAnsi="Arial"/>
                <w:sz w:val="32"/>
                <w:szCs w:val="32"/>
                <w:b w:val="1"/>
                <w:bCs w:val="1"/>
                <w:color w:val="FFFFFF"/>
              </w:rPr>
              <w:t>time</w:t>
            </w:r>
          </w:p>
        </w:tc>
        <w:tc>
          <w:tcPr>
            <w:tcW w:w="120" w:type="dxa"/>
            <w:vAlign w:val="bottom"/>
          </w:tcPr>
          <w:p>
            <w:pPr>
              <w:spacing w:after="0"/>
              <w:rPr>
                <w:sz w:val="24"/>
                <w:szCs w:val="24"/>
                <w:color w:val="auto"/>
              </w:rPr>
            </w:pPr>
          </w:p>
        </w:tc>
        <w:tc>
          <w:tcPr>
            <w:tcW w:w="2260" w:type="dxa"/>
            <w:vAlign w:val="bottom"/>
            <w:shd w:val="clear" w:color="auto" w:fill="867F7C"/>
          </w:tcPr>
          <w:p>
            <w:pPr>
              <w:jc w:val="center"/>
              <w:spacing w:after="0"/>
              <w:rPr>
                <w:sz w:val="20"/>
                <w:szCs w:val="20"/>
                <w:color w:val="auto"/>
              </w:rPr>
            </w:pPr>
            <w:r>
              <w:rPr>
                <w:rFonts w:ascii="Arial" w:cs="Arial" w:eastAsia="Arial" w:hAnsi="Arial"/>
                <w:sz w:val="32"/>
                <w:szCs w:val="32"/>
                <w:b w:val="1"/>
                <w:bCs w:val="1"/>
                <w:color w:val="FFFFFF"/>
              </w:rPr>
              <w:t>place</w:t>
            </w:r>
          </w:p>
        </w:tc>
        <w:tc>
          <w:tcPr>
            <w:tcW w:w="100" w:type="dxa"/>
            <w:vAlign w:val="bottom"/>
          </w:tcPr>
          <w:p>
            <w:pPr>
              <w:spacing w:after="0"/>
              <w:rPr>
                <w:sz w:val="24"/>
                <w:szCs w:val="24"/>
                <w:color w:val="auto"/>
              </w:rPr>
            </w:pPr>
          </w:p>
        </w:tc>
        <w:tc>
          <w:tcPr>
            <w:tcW w:w="2180" w:type="dxa"/>
            <w:vAlign w:val="bottom"/>
            <w:shd w:val="clear" w:color="auto" w:fill="4CCEDE"/>
          </w:tcPr>
          <w:p>
            <w:pPr>
              <w:ind w:left="540"/>
              <w:spacing w:after="0"/>
              <w:rPr>
                <w:sz w:val="20"/>
                <w:szCs w:val="20"/>
                <w:color w:val="auto"/>
              </w:rPr>
            </w:pPr>
            <w:r>
              <w:rPr>
                <w:rFonts w:ascii="Arial" w:cs="Arial" w:eastAsia="Arial" w:hAnsi="Arial"/>
                <w:sz w:val="32"/>
                <w:szCs w:val="32"/>
                <w:b w:val="1"/>
                <w:bCs w:val="1"/>
                <w:color w:val="FFFFFF"/>
              </w:rPr>
              <w:t>record</w:t>
            </w:r>
          </w:p>
        </w:tc>
        <w:tc>
          <w:tcPr>
            <w:tcW w:w="0" w:type="dxa"/>
            <w:vAlign w:val="bottom"/>
          </w:tcPr>
          <w:p>
            <w:pPr>
              <w:spacing w:after="0"/>
              <w:rPr>
                <w:sz w:val="1"/>
                <w:szCs w:val="1"/>
                <w:color w:val="auto"/>
              </w:rPr>
            </w:pPr>
          </w:p>
        </w:tc>
      </w:tr>
      <w:tr>
        <w:trPr>
          <w:trHeight w:val="310"/>
        </w:trPr>
        <w:tc>
          <w:tcPr>
            <w:tcW w:w="2160" w:type="dxa"/>
            <w:vAlign w:val="bottom"/>
            <w:shd w:val="clear" w:color="auto" w:fill="BAD739"/>
          </w:tcPr>
          <w:p>
            <w:pPr>
              <w:jc w:val="center"/>
              <w:spacing w:after="0"/>
              <w:rPr>
                <w:sz w:val="20"/>
                <w:szCs w:val="20"/>
                <w:color w:val="auto"/>
              </w:rPr>
            </w:pPr>
            <w:r>
              <w:rPr>
                <w:rFonts w:ascii="Arial" w:cs="Arial" w:eastAsia="Arial" w:hAnsi="Arial"/>
                <w:sz w:val="20"/>
                <w:szCs w:val="20"/>
                <w:color w:val="867F7C"/>
                <w:w w:val="98"/>
              </w:rPr>
              <w:t>Tuesday, January 20,</w:t>
            </w:r>
          </w:p>
        </w:tc>
        <w:tc>
          <w:tcPr>
            <w:tcW w:w="100" w:type="dxa"/>
            <w:vAlign w:val="bottom"/>
          </w:tcPr>
          <w:p>
            <w:pPr>
              <w:spacing w:after="0"/>
              <w:rPr>
                <w:sz w:val="24"/>
                <w:szCs w:val="24"/>
                <w:color w:val="auto"/>
              </w:rPr>
            </w:pPr>
          </w:p>
        </w:tc>
        <w:tc>
          <w:tcPr>
            <w:tcW w:w="2160" w:type="dxa"/>
            <w:vAlign w:val="bottom"/>
            <w:shd w:val="clear" w:color="auto" w:fill="48C1AC"/>
          </w:tcPr>
          <w:p>
            <w:pPr>
              <w:jc w:val="center"/>
              <w:spacing w:after="0"/>
              <w:rPr>
                <w:sz w:val="20"/>
                <w:szCs w:val="20"/>
                <w:color w:val="auto"/>
              </w:rPr>
            </w:pPr>
            <w:r>
              <w:rPr>
                <w:rFonts w:ascii="Arial" w:cs="Arial" w:eastAsia="Arial" w:hAnsi="Arial"/>
                <w:sz w:val="20"/>
                <w:szCs w:val="20"/>
                <w:color w:val="FFFFFF"/>
                <w:w w:val="98"/>
              </w:rPr>
              <w:t>10:30 a.m. (EST)</w:t>
            </w:r>
          </w:p>
        </w:tc>
        <w:tc>
          <w:tcPr>
            <w:tcW w:w="120" w:type="dxa"/>
            <w:vAlign w:val="bottom"/>
          </w:tcPr>
          <w:p>
            <w:pPr>
              <w:spacing w:after="0"/>
              <w:rPr>
                <w:sz w:val="24"/>
                <w:szCs w:val="24"/>
                <w:color w:val="auto"/>
              </w:rPr>
            </w:pPr>
          </w:p>
        </w:tc>
        <w:tc>
          <w:tcPr>
            <w:tcW w:w="2260" w:type="dxa"/>
            <w:vAlign w:val="bottom"/>
            <w:shd w:val="clear" w:color="auto" w:fill="867F7C"/>
          </w:tcPr>
          <w:p>
            <w:pPr>
              <w:jc w:val="center"/>
              <w:spacing w:after="0"/>
              <w:rPr>
                <w:sz w:val="20"/>
                <w:szCs w:val="20"/>
                <w:color w:val="auto"/>
              </w:rPr>
            </w:pPr>
            <w:r>
              <w:rPr>
                <w:rFonts w:ascii="Arial" w:cs="Arial" w:eastAsia="Arial" w:hAnsi="Arial"/>
                <w:sz w:val="20"/>
                <w:szCs w:val="20"/>
                <w:color w:val="FFFFFF"/>
                <w:w w:val="99"/>
              </w:rPr>
              <w:t>Via a live webcast at</w:t>
            </w:r>
          </w:p>
        </w:tc>
        <w:tc>
          <w:tcPr>
            <w:tcW w:w="100" w:type="dxa"/>
            <w:vAlign w:val="bottom"/>
          </w:tcPr>
          <w:p>
            <w:pPr>
              <w:spacing w:after="0"/>
              <w:rPr>
                <w:sz w:val="24"/>
                <w:szCs w:val="24"/>
                <w:color w:val="auto"/>
              </w:rPr>
            </w:pPr>
          </w:p>
        </w:tc>
        <w:tc>
          <w:tcPr>
            <w:tcW w:w="2180" w:type="dxa"/>
            <w:vAlign w:val="bottom"/>
            <w:shd w:val="clear" w:color="auto" w:fill="4CCEDE"/>
          </w:tcPr>
          <w:p>
            <w:pPr>
              <w:jc w:val="center"/>
              <w:spacing w:after="0" w:line="310" w:lineRule="exact"/>
              <w:rPr>
                <w:sz w:val="20"/>
                <w:szCs w:val="20"/>
                <w:color w:val="auto"/>
              </w:rPr>
            </w:pPr>
            <w:r>
              <w:rPr>
                <w:rFonts w:ascii="Arial" w:cs="Arial" w:eastAsia="Arial" w:hAnsi="Arial"/>
                <w:sz w:val="32"/>
                <w:szCs w:val="32"/>
                <w:b w:val="1"/>
                <w:bCs w:val="1"/>
                <w:color w:val="FFFFFF"/>
              </w:rPr>
              <w:t>date</w:t>
            </w:r>
          </w:p>
        </w:tc>
        <w:tc>
          <w:tcPr>
            <w:tcW w:w="0" w:type="dxa"/>
            <w:vAlign w:val="bottom"/>
          </w:tcPr>
          <w:p>
            <w:pPr>
              <w:spacing w:after="0"/>
              <w:rPr>
                <w:sz w:val="1"/>
                <w:szCs w:val="1"/>
                <w:color w:val="auto"/>
              </w:rPr>
            </w:pPr>
          </w:p>
        </w:tc>
      </w:tr>
      <w:tr>
        <w:trPr>
          <w:trHeight w:val="196"/>
        </w:trPr>
        <w:tc>
          <w:tcPr>
            <w:tcW w:w="2160" w:type="dxa"/>
            <w:vAlign w:val="bottom"/>
            <w:shd w:val="clear" w:color="auto" w:fill="BAD739"/>
          </w:tcPr>
          <w:p>
            <w:pPr>
              <w:jc w:val="center"/>
              <w:spacing w:after="0" w:line="196" w:lineRule="exact"/>
              <w:rPr>
                <w:sz w:val="20"/>
                <w:szCs w:val="20"/>
                <w:color w:val="auto"/>
              </w:rPr>
            </w:pPr>
            <w:r>
              <w:rPr>
                <w:rFonts w:ascii="Arial" w:cs="Arial" w:eastAsia="Arial" w:hAnsi="Arial"/>
                <w:sz w:val="20"/>
                <w:szCs w:val="20"/>
                <w:color w:val="867F7C"/>
                <w:w w:val="98"/>
              </w:rPr>
              <w:t>2026</w:t>
            </w:r>
          </w:p>
        </w:tc>
        <w:tc>
          <w:tcPr>
            <w:tcW w:w="100" w:type="dxa"/>
            <w:vAlign w:val="bottom"/>
          </w:tcPr>
          <w:p>
            <w:pPr>
              <w:spacing w:after="0"/>
              <w:rPr>
                <w:sz w:val="17"/>
                <w:szCs w:val="17"/>
                <w:color w:val="auto"/>
              </w:rPr>
            </w:pPr>
          </w:p>
        </w:tc>
        <w:tc>
          <w:tcPr>
            <w:tcW w:w="2160" w:type="dxa"/>
            <w:vAlign w:val="bottom"/>
            <w:shd w:val="clear" w:color="auto" w:fill="48C1AC"/>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shd w:val="clear" w:color="auto" w:fill="867F7C"/>
          </w:tcPr>
          <w:p>
            <w:pPr>
              <w:jc w:val="center"/>
              <w:spacing w:after="0" w:line="196" w:lineRule="exact"/>
              <w:rPr>
                <w:sz w:val="20"/>
                <w:szCs w:val="20"/>
                <w:color w:val="auto"/>
              </w:rPr>
            </w:pPr>
            <w:r>
              <w:rPr>
                <w:rFonts w:ascii="Arial" w:cs="Arial" w:eastAsia="Arial" w:hAnsi="Arial"/>
                <w:sz w:val="20"/>
                <w:szCs w:val="20"/>
                <w:b w:val="1"/>
                <w:bCs w:val="1"/>
                <w:color w:val="FFFFFF"/>
                <w:w w:val="98"/>
              </w:rPr>
              <w:t>www.virtualsharehold</w:t>
            </w:r>
          </w:p>
        </w:tc>
        <w:tc>
          <w:tcPr>
            <w:tcW w:w="100" w:type="dxa"/>
            <w:vAlign w:val="bottom"/>
          </w:tcPr>
          <w:p>
            <w:pPr>
              <w:spacing w:after="0"/>
              <w:rPr>
                <w:sz w:val="17"/>
                <w:szCs w:val="17"/>
                <w:color w:val="auto"/>
              </w:rPr>
            </w:pPr>
          </w:p>
        </w:tc>
        <w:tc>
          <w:tcPr>
            <w:tcW w:w="2180" w:type="dxa"/>
            <w:vAlign w:val="bottom"/>
            <w:vMerge w:val="restart"/>
            <w:shd w:val="clear" w:color="auto" w:fill="4CCEDE"/>
          </w:tcPr>
          <w:p>
            <w:pPr>
              <w:jc w:val="center"/>
              <w:spacing w:after="0"/>
              <w:rPr>
                <w:sz w:val="20"/>
                <w:szCs w:val="20"/>
                <w:color w:val="auto"/>
              </w:rPr>
            </w:pPr>
            <w:r>
              <w:rPr>
                <w:rFonts w:ascii="Arial" w:cs="Arial" w:eastAsia="Arial" w:hAnsi="Arial"/>
                <w:sz w:val="20"/>
                <w:szCs w:val="20"/>
                <w:color w:val="FFFFFF"/>
                <w:w w:val="97"/>
              </w:rPr>
              <w:t>Friday, November 21,</w:t>
            </w:r>
          </w:p>
        </w:tc>
        <w:tc>
          <w:tcPr>
            <w:tcW w:w="0" w:type="dxa"/>
            <w:vAlign w:val="bottom"/>
          </w:tcPr>
          <w:p>
            <w:pPr>
              <w:spacing w:after="0"/>
              <w:rPr>
                <w:sz w:val="1"/>
                <w:szCs w:val="1"/>
                <w:color w:val="auto"/>
              </w:rPr>
            </w:pPr>
          </w:p>
        </w:tc>
      </w:tr>
      <w:tr>
        <w:trPr>
          <w:trHeight w:val="199"/>
        </w:trPr>
        <w:tc>
          <w:tcPr>
            <w:tcW w:w="2160" w:type="dxa"/>
            <w:vAlign w:val="bottom"/>
            <w:shd w:val="clear" w:color="auto" w:fill="BAD739"/>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shd w:val="clear" w:color="auto" w:fill="48C1AC"/>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shd w:val="clear" w:color="auto" w:fill="867F7C"/>
          </w:tcPr>
          <w:p>
            <w:pPr>
              <w:jc w:val="center"/>
              <w:spacing w:after="0" w:line="199" w:lineRule="exact"/>
              <w:rPr>
                <w:sz w:val="20"/>
                <w:szCs w:val="20"/>
                <w:color w:val="auto"/>
              </w:rPr>
            </w:pPr>
            <w:r>
              <w:rPr>
                <w:rFonts w:ascii="Arial" w:cs="Arial" w:eastAsia="Arial" w:hAnsi="Arial"/>
                <w:sz w:val="20"/>
                <w:szCs w:val="20"/>
                <w:b w:val="1"/>
                <w:bCs w:val="1"/>
                <w:color w:val="FFFFFF"/>
                <w:w w:val="98"/>
              </w:rPr>
              <w:t>ermeeting.com/ASH20</w:t>
            </w:r>
          </w:p>
        </w:tc>
        <w:tc>
          <w:tcPr>
            <w:tcW w:w="100" w:type="dxa"/>
            <w:vAlign w:val="bottom"/>
          </w:tcPr>
          <w:p>
            <w:pPr>
              <w:spacing w:after="0"/>
              <w:rPr>
                <w:sz w:val="17"/>
                <w:szCs w:val="17"/>
                <w:color w:val="auto"/>
              </w:rPr>
            </w:pPr>
          </w:p>
        </w:tc>
        <w:tc>
          <w:tcPr>
            <w:tcW w:w="2180" w:type="dxa"/>
            <w:vAlign w:val="bottom"/>
            <w:vMerge w:val="continue"/>
            <w:shd w:val="clear" w:color="auto" w:fill="4CCED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160" w:type="dxa"/>
            <w:vAlign w:val="bottom"/>
            <w:shd w:val="clear" w:color="auto" w:fill="BAD739"/>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shd w:val="clear" w:color="auto" w:fill="48C1AC"/>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shd w:val="clear" w:color="auto" w:fill="867F7C"/>
          </w:tcPr>
          <w:p>
            <w:pPr>
              <w:jc w:val="right"/>
              <w:ind w:right="928"/>
              <w:spacing w:after="0"/>
              <w:rPr>
                <w:sz w:val="20"/>
                <w:szCs w:val="20"/>
                <w:color w:val="auto"/>
              </w:rPr>
            </w:pPr>
            <w:r>
              <w:rPr>
                <w:rFonts w:ascii="Arial" w:cs="Arial" w:eastAsia="Arial" w:hAnsi="Arial"/>
                <w:sz w:val="20"/>
                <w:szCs w:val="20"/>
                <w:b w:val="1"/>
                <w:bCs w:val="1"/>
                <w:color w:val="FFFFFF"/>
              </w:rPr>
              <w:t>26</w:t>
            </w:r>
          </w:p>
        </w:tc>
        <w:tc>
          <w:tcPr>
            <w:tcW w:w="100" w:type="dxa"/>
            <w:vAlign w:val="bottom"/>
          </w:tcPr>
          <w:p>
            <w:pPr>
              <w:spacing w:after="0"/>
              <w:rPr>
                <w:sz w:val="24"/>
                <w:szCs w:val="24"/>
                <w:color w:val="auto"/>
              </w:rPr>
            </w:pPr>
          </w:p>
        </w:tc>
        <w:tc>
          <w:tcPr>
            <w:tcW w:w="2180" w:type="dxa"/>
            <w:vAlign w:val="bottom"/>
            <w:shd w:val="clear" w:color="auto" w:fill="4CCEDE"/>
          </w:tcPr>
          <w:p>
            <w:pPr>
              <w:jc w:val="center"/>
              <w:spacing w:after="0"/>
              <w:rPr>
                <w:sz w:val="20"/>
                <w:szCs w:val="20"/>
                <w:color w:val="auto"/>
              </w:rPr>
            </w:pPr>
            <w:r>
              <w:rPr>
                <w:rFonts w:ascii="Arial" w:cs="Arial" w:eastAsia="Arial" w:hAnsi="Arial"/>
                <w:sz w:val="20"/>
                <w:szCs w:val="20"/>
                <w:color w:val="FFFFFF"/>
                <w:w w:val="98"/>
              </w:rPr>
              <w:t>2025</w:t>
            </w:r>
          </w:p>
        </w:tc>
        <w:tc>
          <w:tcPr>
            <w:tcW w:w="0" w:type="dxa"/>
            <w:vAlign w:val="bottom"/>
          </w:tcPr>
          <w:p>
            <w:pPr>
              <w:spacing w:after="0"/>
              <w:rPr>
                <w:sz w:val="1"/>
                <w:szCs w:val="1"/>
                <w:color w:val="auto"/>
              </w:rPr>
            </w:pPr>
          </w:p>
        </w:tc>
      </w:tr>
      <w:tr>
        <w:trPr>
          <w:trHeight w:val="34"/>
        </w:trPr>
        <w:tc>
          <w:tcPr>
            <w:tcW w:w="2160" w:type="dxa"/>
            <w:vAlign w:val="bottom"/>
            <w:shd w:val="clear" w:color="auto" w:fill="BAD739"/>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shd w:val="clear" w:color="auto" w:fill="48C1AC"/>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shd w:val="clear" w:color="auto" w:fill="867F7C"/>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shd w:val="clear" w:color="auto" w:fill="4CCED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voting matters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the Annual Meeting, the stockholders will be asked to vote on the following proposals and to conduct any other business properly brought before the meeting.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vMerge w:val="restart"/>
            <w:shd w:val="clear" w:color="auto" w:fill="EFEBE9"/>
          </w:tcPr>
          <w:p>
            <w:pPr>
              <w:ind w:left="80"/>
              <w:spacing w:after="0"/>
              <w:rPr>
                <w:sz w:val="20"/>
                <w:szCs w:val="20"/>
                <w:color w:val="auto"/>
              </w:rPr>
            </w:pPr>
            <w:r>
              <w:rPr>
                <w:rFonts w:ascii="Arial" w:cs="Arial" w:eastAsia="Arial" w:hAnsi="Arial"/>
                <w:sz w:val="18"/>
                <w:szCs w:val="18"/>
                <w:b w:val="1"/>
                <w:bCs w:val="1"/>
                <w:color w:val="867F7C"/>
              </w:rPr>
              <w:t>Proposal</w:t>
            </w:r>
          </w:p>
        </w:tc>
        <w:tc>
          <w:tcPr>
            <w:tcW w:w="2280" w:type="dxa"/>
            <w:vAlign w:val="bottom"/>
            <w:shd w:val="clear" w:color="auto" w:fill="EFEBE9"/>
          </w:tcPr>
          <w:p>
            <w:pPr>
              <w:ind w:left="560"/>
              <w:spacing w:after="0"/>
              <w:rPr>
                <w:sz w:val="20"/>
                <w:szCs w:val="20"/>
                <w:color w:val="auto"/>
              </w:rPr>
            </w:pPr>
            <w:r>
              <w:rPr>
                <w:rFonts w:ascii="Arial" w:cs="Arial" w:eastAsia="Arial" w:hAnsi="Arial"/>
                <w:sz w:val="18"/>
                <w:szCs w:val="18"/>
                <w:b w:val="1"/>
                <w:bCs w:val="1"/>
                <w:color w:val="867F7C"/>
              </w:rPr>
              <w:t>Our Board’s</w:t>
            </w:r>
          </w:p>
        </w:tc>
        <w:tc>
          <w:tcPr>
            <w:tcW w:w="0" w:type="dxa"/>
            <w:vAlign w:val="bottom"/>
          </w:tcPr>
          <w:p>
            <w:pPr>
              <w:spacing w:after="0"/>
              <w:rPr>
                <w:sz w:val="1"/>
                <w:szCs w:val="1"/>
                <w:color w:val="auto"/>
              </w:rPr>
            </w:pPr>
          </w:p>
        </w:tc>
      </w:tr>
      <w:tr>
        <w:trPr>
          <w:trHeight w:val="152"/>
        </w:trPr>
        <w:tc>
          <w:tcPr>
            <w:tcW w:w="6800" w:type="dxa"/>
            <w:vAlign w:val="bottom"/>
            <w:gridSpan w:val="2"/>
            <w:vMerge w:val="continue"/>
            <w:shd w:val="clear" w:color="auto" w:fill="EFEBE9"/>
          </w:tcPr>
          <w:p>
            <w:pPr>
              <w:spacing w:after="0"/>
              <w:rPr>
                <w:sz w:val="13"/>
                <w:szCs w:val="13"/>
                <w:color w:val="auto"/>
              </w:rPr>
            </w:pPr>
          </w:p>
        </w:tc>
        <w:tc>
          <w:tcPr>
            <w:tcW w:w="2280" w:type="dxa"/>
            <w:vAlign w:val="bottom"/>
            <w:vMerge w:val="restart"/>
            <w:shd w:val="clear" w:color="auto" w:fill="EFEBE9"/>
          </w:tcPr>
          <w:p>
            <w:pPr>
              <w:jc w:val="center"/>
              <w:spacing w:after="0"/>
              <w:rPr>
                <w:sz w:val="20"/>
                <w:szCs w:val="20"/>
                <w:color w:val="auto"/>
              </w:rPr>
            </w:pPr>
            <w:r>
              <w:rPr>
                <w:rFonts w:ascii="Arial" w:cs="Arial" w:eastAsia="Arial" w:hAnsi="Arial"/>
                <w:sz w:val="18"/>
                <w:szCs w:val="18"/>
                <w:b w:val="1"/>
                <w:bCs w:val="1"/>
                <w:color w:val="867F7C"/>
                <w:w w:val="99"/>
              </w:rPr>
              <w:t>Recommendation</w:t>
            </w:r>
          </w:p>
        </w:tc>
        <w:tc>
          <w:tcPr>
            <w:tcW w:w="0" w:type="dxa"/>
            <w:vAlign w:val="bottom"/>
          </w:tcPr>
          <w:p>
            <w:pPr>
              <w:spacing w:after="0"/>
              <w:rPr>
                <w:sz w:val="1"/>
                <w:szCs w:val="1"/>
                <w:color w:val="auto"/>
              </w:rPr>
            </w:pPr>
          </w:p>
        </w:tc>
      </w:tr>
      <w:tr>
        <w:trPr>
          <w:trHeight w:val="83"/>
        </w:trPr>
        <w:tc>
          <w:tcPr>
            <w:tcW w:w="680" w:type="dxa"/>
            <w:vAlign w:val="bottom"/>
            <w:shd w:val="clear" w:color="auto" w:fill="EFEBE9"/>
          </w:tcPr>
          <w:p>
            <w:pPr>
              <w:spacing w:after="0"/>
              <w:rPr>
                <w:sz w:val="7"/>
                <w:szCs w:val="7"/>
                <w:color w:val="auto"/>
              </w:rPr>
            </w:pPr>
          </w:p>
        </w:tc>
        <w:tc>
          <w:tcPr>
            <w:tcW w:w="6120" w:type="dxa"/>
            <w:vAlign w:val="bottom"/>
            <w:shd w:val="clear" w:color="auto" w:fill="EFEBE9"/>
          </w:tcPr>
          <w:p>
            <w:pPr>
              <w:spacing w:after="0"/>
              <w:rPr>
                <w:sz w:val="7"/>
                <w:szCs w:val="7"/>
                <w:color w:val="auto"/>
              </w:rPr>
            </w:pPr>
          </w:p>
        </w:tc>
        <w:tc>
          <w:tcPr>
            <w:tcW w:w="2280" w:type="dxa"/>
            <w:vAlign w:val="bottom"/>
            <w:vMerge w:val="continue"/>
            <w:shd w:val="clear" w:color="auto" w:fill="EFEBE9"/>
          </w:tcPr>
          <w:p>
            <w:pPr>
              <w:spacing w:after="0"/>
              <w:rPr>
                <w:sz w:val="7"/>
                <w:szCs w:val="7"/>
                <w:color w:val="auto"/>
              </w:rPr>
            </w:pPr>
          </w:p>
        </w:tc>
        <w:tc>
          <w:tcPr>
            <w:tcW w:w="0" w:type="dxa"/>
            <w:vAlign w:val="bottom"/>
          </w:tcPr>
          <w:p>
            <w:pPr>
              <w:spacing w:after="0"/>
              <w:rPr>
                <w:sz w:val="1"/>
                <w:szCs w:val="1"/>
                <w:color w:val="auto"/>
              </w:rPr>
            </w:pPr>
          </w:p>
        </w:tc>
      </w:tr>
      <w:tr>
        <w:trPr>
          <w:trHeight w:val="548"/>
        </w:trPr>
        <w:tc>
          <w:tcPr>
            <w:tcW w:w="680" w:type="dxa"/>
            <w:vAlign w:val="bottom"/>
          </w:tcPr>
          <w:p>
            <w:pPr>
              <w:jc w:val="right"/>
              <w:ind w:right="3"/>
              <w:spacing w:after="0"/>
              <w:rPr>
                <w:sz w:val="20"/>
                <w:szCs w:val="20"/>
                <w:color w:val="auto"/>
              </w:rPr>
            </w:pPr>
            <w:r>
              <w:rPr>
                <w:rFonts w:ascii="Arial" w:cs="Arial" w:eastAsia="Arial" w:hAnsi="Arial"/>
                <w:sz w:val="36"/>
                <w:szCs w:val="36"/>
                <w:color w:val="4CCEDE"/>
              </w:rPr>
              <w:t>1</w:t>
            </w:r>
          </w:p>
        </w:tc>
        <w:tc>
          <w:tcPr>
            <w:tcW w:w="6120" w:type="dxa"/>
            <w:vAlign w:val="bottom"/>
          </w:tcPr>
          <w:p>
            <w:pPr>
              <w:ind w:left="160"/>
              <w:spacing w:after="0"/>
              <w:rPr>
                <w:sz w:val="20"/>
                <w:szCs w:val="20"/>
                <w:color w:val="auto"/>
              </w:rPr>
            </w:pPr>
            <w:r>
              <w:rPr>
                <w:rFonts w:ascii="Arial" w:cs="Arial" w:eastAsia="Arial" w:hAnsi="Arial"/>
                <w:sz w:val="18"/>
                <w:szCs w:val="18"/>
                <w:color w:val="auto"/>
              </w:rPr>
              <w:t>The election of eight director nominees (page 19)</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87"/>
        </w:trPr>
        <w:tc>
          <w:tcPr>
            <w:tcW w:w="680" w:type="dxa"/>
            <w:vAlign w:val="bottom"/>
            <w:tcBorders>
              <w:bottom w:val="single" w:sz="8" w:color="867F7C"/>
            </w:tcBorders>
          </w:tcPr>
          <w:p>
            <w:pPr>
              <w:spacing w:after="0"/>
              <w:rPr>
                <w:sz w:val="7"/>
                <w:szCs w:val="7"/>
                <w:color w:val="auto"/>
              </w:rPr>
            </w:pPr>
          </w:p>
        </w:tc>
        <w:tc>
          <w:tcPr>
            <w:tcW w:w="6120" w:type="dxa"/>
            <w:vAlign w:val="bottom"/>
            <w:tcBorders>
              <w:bottom w:val="single" w:sz="8" w:color="867F7C"/>
            </w:tcBorders>
          </w:tcPr>
          <w:p>
            <w:pPr>
              <w:spacing w:after="0"/>
              <w:rPr>
                <w:sz w:val="7"/>
                <w:szCs w:val="7"/>
                <w:color w:val="auto"/>
              </w:rPr>
            </w:pPr>
          </w:p>
        </w:tc>
        <w:tc>
          <w:tcPr>
            <w:tcW w:w="2280" w:type="dxa"/>
            <w:vAlign w:val="bottom"/>
            <w:tcBorders>
              <w:bottom w:val="single" w:sz="8" w:color="867F7C"/>
            </w:tcBorders>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680" w:type="dxa"/>
            <w:vAlign w:val="bottom"/>
            <w:vMerge w:val="restart"/>
          </w:tcPr>
          <w:p>
            <w:pPr>
              <w:jc w:val="right"/>
              <w:ind w:right="3"/>
              <w:spacing w:after="0"/>
              <w:rPr>
                <w:sz w:val="20"/>
                <w:szCs w:val="20"/>
                <w:color w:val="auto"/>
              </w:rPr>
            </w:pPr>
            <w:r>
              <w:rPr>
                <w:rFonts w:ascii="Arial" w:cs="Arial" w:eastAsia="Arial" w:hAnsi="Arial"/>
                <w:sz w:val="36"/>
                <w:szCs w:val="36"/>
                <w:color w:val="4CCEDE"/>
              </w:rPr>
              <w:t>2</w:t>
            </w:r>
          </w:p>
        </w:tc>
        <w:tc>
          <w:tcPr>
            <w:tcW w:w="6120" w:type="dxa"/>
            <w:vAlign w:val="bottom"/>
          </w:tcPr>
          <w:p>
            <w:pPr>
              <w:ind w:left="160"/>
              <w:spacing w:after="0"/>
              <w:rPr>
                <w:sz w:val="20"/>
                <w:szCs w:val="20"/>
                <w:color w:val="auto"/>
              </w:rPr>
            </w:pPr>
            <w:r>
              <w:rPr>
                <w:rFonts w:ascii="Arial" w:cs="Arial" w:eastAsia="Arial" w:hAnsi="Arial"/>
                <w:sz w:val="18"/>
                <w:szCs w:val="18"/>
                <w:color w:val="auto"/>
              </w:rPr>
              <w:t>Ratification of appointment of Ernst &amp; Young LLP as Ashland’s</w:t>
            </w: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56"/>
        </w:trPr>
        <w:tc>
          <w:tcPr>
            <w:tcW w:w="680" w:type="dxa"/>
            <w:vAlign w:val="bottom"/>
            <w:vMerge w:val="continue"/>
          </w:tcPr>
          <w:p>
            <w:pPr>
              <w:spacing w:after="0"/>
              <w:rPr>
                <w:sz w:val="22"/>
                <w:szCs w:val="22"/>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independent registered public accounting firm for fiscal 2026 (page 66)</w:t>
            </w:r>
          </w:p>
        </w:tc>
        <w:tc>
          <w:tcPr>
            <w:tcW w:w="2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680" w:type="dxa"/>
            <w:vAlign w:val="bottom"/>
            <w:tcBorders>
              <w:bottom w:val="single" w:sz="8" w:color="867F7C"/>
            </w:tcBorders>
          </w:tcPr>
          <w:p>
            <w:pPr>
              <w:spacing w:after="0"/>
              <w:rPr>
                <w:sz w:val="7"/>
                <w:szCs w:val="7"/>
                <w:color w:val="auto"/>
              </w:rPr>
            </w:pPr>
          </w:p>
        </w:tc>
        <w:tc>
          <w:tcPr>
            <w:tcW w:w="6120" w:type="dxa"/>
            <w:vAlign w:val="bottom"/>
            <w:tcBorders>
              <w:bottom w:val="single" w:sz="8" w:color="867F7C"/>
            </w:tcBorders>
          </w:tcPr>
          <w:p>
            <w:pPr>
              <w:spacing w:after="0"/>
              <w:rPr>
                <w:sz w:val="7"/>
                <w:szCs w:val="7"/>
                <w:color w:val="auto"/>
              </w:rPr>
            </w:pPr>
          </w:p>
        </w:tc>
        <w:tc>
          <w:tcPr>
            <w:tcW w:w="2280" w:type="dxa"/>
            <w:vAlign w:val="bottom"/>
            <w:tcBorders>
              <w:bottom w:val="single" w:sz="8" w:color="867F7C"/>
            </w:tcBorders>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680" w:type="dxa"/>
            <w:vAlign w:val="bottom"/>
            <w:vMerge w:val="restart"/>
          </w:tcPr>
          <w:p>
            <w:pPr>
              <w:jc w:val="right"/>
              <w:ind w:right="3"/>
              <w:spacing w:after="0"/>
              <w:rPr>
                <w:sz w:val="20"/>
                <w:szCs w:val="20"/>
                <w:color w:val="auto"/>
              </w:rPr>
            </w:pPr>
            <w:r>
              <w:rPr>
                <w:rFonts w:ascii="Arial" w:cs="Arial" w:eastAsia="Arial" w:hAnsi="Arial"/>
                <w:sz w:val="36"/>
                <w:szCs w:val="36"/>
                <w:color w:val="4CCEDE"/>
              </w:rPr>
              <w:t>3</w:t>
            </w:r>
          </w:p>
        </w:tc>
        <w:tc>
          <w:tcPr>
            <w:tcW w:w="6120" w:type="dxa"/>
            <w:vAlign w:val="bottom"/>
          </w:tcPr>
          <w:p>
            <w:pPr>
              <w:ind w:left="160"/>
              <w:spacing w:after="0"/>
              <w:rPr>
                <w:sz w:val="20"/>
                <w:szCs w:val="20"/>
                <w:color w:val="auto"/>
              </w:rPr>
            </w:pPr>
            <w:r>
              <w:rPr>
                <w:rFonts w:ascii="Arial" w:cs="Arial" w:eastAsia="Arial" w:hAnsi="Arial"/>
                <w:sz w:val="18"/>
                <w:szCs w:val="18"/>
                <w:color w:val="auto"/>
              </w:rPr>
              <w:t>A non-binding advisory resolution approving the compensation paid to</w:t>
            </w: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56"/>
        </w:trPr>
        <w:tc>
          <w:tcPr>
            <w:tcW w:w="680" w:type="dxa"/>
            <w:vAlign w:val="bottom"/>
            <w:vMerge w:val="continue"/>
          </w:tcPr>
          <w:p>
            <w:pPr>
              <w:spacing w:after="0"/>
              <w:rPr>
                <w:sz w:val="22"/>
                <w:szCs w:val="22"/>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Ashland’s named executive officers (page 69)</w:t>
            </w:r>
          </w:p>
        </w:tc>
        <w:tc>
          <w:tcPr>
            <w:tcW w:w="2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680" w:type="dxa"/>
            <w:vAlign w:val="bottom"/>
            <w:tcBorders>
              <w:bottom w:val="single" w:sz="8" w:color="867F7C"/>
            </w:tcBorders>
          </w:tcPr>
          <w:p>
            <w:pPr>
              <w:spacing w:after="0"/>
              <w:rPr>
                <w:sz w:val="7"/>
                <w:szCs w:val="7"/>
                <w:color w:val="auto"/>
              </w:rPr>
            </w:pPr>
          </w:p>
        </w:tc>
        <w:tc>
          <w:tcPr>
            <w:tcW w:w="6120" w:type="dxa"/>
            <w:vAlign w:val="bottom"/>
            <w:tcBorders>
              <w:bottom w:val="single" w:sz="8" w:color="867F7C"/>
            </w:tcBorders>
          </w:tcPr>
          <w:p>
            <w:pPr>
              <w:spacing w:after="0"/>
              <w:rPr>
                <w:sz w:val="7"/>
                <w:szCs w:val="7"/>
                <w:color w:val="auto"/>
              </w:rPr>
            </w:pPr>
          </w:p>
        </w:tc>
        <w:tc>
          <w:tcPr>
            <w:tcW w:w="2280" w:type="dxa"/>
            <w:vAlign w:val="bottom"/>
            <w:tcBorders>
              <w:bottom w:val="single" w:sz="8" w:color="867F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participate in the Annual Meeting, you must register before 10:00 a.m. (EST) on Tuesday, January 20, 2026 at www.virtualshareholdermeeting.com/ASH2026. For more information about the Annual Meeting, including how to register, vote and attend, please see page 74 of this Proxy Statement.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Notice of Annual Meeting of Stockholders, Proxy Statement, and form of proxy or voting instruction form are being made available over the Internet or, upon request, delivered by mail on or about December 9, 2025, to stockholders of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6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068" w:right="14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867F7C"/>
        </w:rPr>
        <w:t>proxy summary</w:t>
      </w:r>
    </w:p>
    <w:p>
      <w:pPr>
        <w:spacing w:after="0" w:line="309"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our company</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Ashland Inc. (NYSE: ASH) is a global additives and specialty ingredients company with a conscious and proactive mindset for environmental, social and governance (ESG). The company serves customers in a wide range of consumer and industrial markets, including architectural coatings, construction, energy, food and beverage, personal care and pharmaceutical. Approximately 2,900 passionate, tenacious solvers – from renowned scientists and research chemists to talented engineers and plant operators – thrive on developing practical, innovative and elegant solutions to complex problems for customers in more than 100 countries.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8145 Blazer Drive, Wilmington, Delaware, 19808.</w:t>
      </w: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4CCEDE"/>
        </w:rPr>
        <w:t>our purpose</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Our purpose is to </w:t>
      </w:r>
      <w:r>
        <w:rPr>
          <w:rFonts w:ascii="Arial" w:cs="Arial" w:eastAsia="Arial" w:hAnsi="Arial"/>
          <w:sz w:val="18"/>
          <w:szCs w:val="18"/>
          <w:b w:val="1"/>
          <w:bCs w:val="1"/>
          <w:color w:val="auto"/>
        </w:rPr>
        <w:t>responsibly solve for a better world</w:t>
      </w:r>
      <w:r>
        <w:rPr>
          <w:rFonts w:ascii="Arial" w:cs="Arial" w:eastAsia="Arial" w:hAnsi="Arial"/>
          <w:sz w:val="18"/>
          <w:szCs w:val="18"/>
          <w:color w:val="auto"/>
        </w:rPr>
        <w:t>, and we do this by providing creative innovations through science.</w:t>
      </w:r>
    </w:p>
    <w:p>
      <w:pPr>
        <w:spacing w:after="0" w:line="184" w:lineRule="exact"/>
        <w:rPr>
          <w:sz w:val="20"/>
          <w:szCs w:val="20"/>
          <w:color w:val="auto"/>
        </w:rPr>
      </w:pPr>
    </w:p>
    <w:p>
      <w:pPr>
        <w:spacing w:after="0"/>
        <w:rPr>
          <w:sz w:val="20"/>
          <w:szCs w:val="20"/>
          <w:color w:val="auto"/>
        </w:rPr>
      </w:pPr>
      <w:r>
        <w:rPr>
          <w:rFonts w:ascii="Arial" w:cs="Arial" w:eastAsia="Arial" w:hAnsi="Arial"/>
          <w:sz w:val="27"/>
          <w:szCs w:val="27"/>
          <w:b w:val="1"/>
          <w:bCs w:val="1"/>
          <w:color w:val="4CCEDE"/>
        </w:rPr>
        <w:t>the Ashland way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Our vision, mission, and way, are more than just words. They are our guiding principles.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Ashland we share a core drive to solve technical problems that deliver breakthrough capabilities and transform what is possible. We also share a commitment to each other, our communities, sustainability, safety, commercial success, and much more.</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4CCEDE"/>
        </w:rPr>
        <w:t>Ashland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189865</wp:posOffset>
            </wp:positionV>
            <wp:extent cx="1405890" cy="1603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05890" cy="160337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189865</wp:posOffset>
            </wp:positionV>
            <wp:extent cx="1405890" cy="1611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05890" cy="161163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life sciences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personal care</w:t>
      </w:r>
    </w:p>
    <w:p>
      <w:pPr>
        <w:spacing w:after="0" w:line="104"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000000"/>
        </w:rPr>
        <w:t>microbial protection</w:t>
      </w:r>
    </w:p>
    <w:p>
      <w:pPr>
        <w:spacing w:after="0" w:line="116"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000000"/>
        </w:rPr>
        <w:t>nutrition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000000"/>
        </w:rPr>
        <w:t>biofunctional actives</w:t>
      </w:r>
    </w:p>
    <w:p>
      <w:pPr>
        <w:spacing w:after="0" w:line="116"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diagnostic films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000000"/>
        </w:rPr>
        <w:t>hair care</w:t>
      </w:r>
    </w:p>
    <w:p>
      <w:pPr>
        <w:spacing w:after="0" w:line="116"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crop care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home care</w:t>
      </w:r>
    </w:p>
    <w:p>
      <w:pPr>
        <w:spacing w:after="0" w:line="128"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ind w:left="4360"/>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000000"/>
        </w:rPr>
        <w:t>oral care</w:t>
      </w:r>
    </w:p>
    <w:p>
      <w:pPr>
        <w:spacing w:after="0" w:line="1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000000"/>
        </w:rPr>
        <w:t>skin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317500</wp:posOffset>
            </wp:positionV>
            <wp:extent cx="1405890" cy="1611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05890" cy="161163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317500</wp:posOffset>
            </wp:positionV>
            <wp:extent cx="1405890" cy="1611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05890" cy="161163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867F7C"/>
        </w:rPr>
        <w:t>specialty additives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intermediates</w:t>
      </w:r>
    </w:p>
    <w:p>
      <w:pPr>
        <w:spacing w:after="0" w:line="104"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coatings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butanediol (BDO)</w:t>
      </w:r>
    </w:p>
    <w:p>
      <w:pPr>
        <w:spacing w:after="0" w:line="128"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construction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212121"/>
        </w:rPr>
        <w:t>Gamma Butyrolactone (BLO)</w:t>
      </w:r>
    </w:p>
    <w:p>
      <w:pPr>
        <w:spacing w:after="0" w:line="116"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performance</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specialties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212121"/>
        </w:rPr>
        <w:t>N-octyl-2-pyrrolidone</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212121"/>
        </w:rPr>
        <w:t>(Surfadone)</w:t>
      </w:r>
    </w:p>
    <w:p>
      <w:pPr>
        <w:spacing w:after="0" w:line="86"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4CCEDE"/>
        </w:rPr>
        <w:t>o</w:t>
      </w:r>
      <w:r>
        <w:rPr>
          <w:rFonts w:ascii="Arial" w:cs="Arial" w:eastAsia="Arial" w:hAnsi="Arial"/>
          <w:sz w:val="17"/>
          <w:szCs w:val="17"/>
          <w:color w:val="000000"/>
        </w:rPr>
        <w:t>energy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4CCEDE"/>
        </w:rPr>
        <w:t>o</w:t>
      </w:r>
      <w:r>
        <w:rPr>
          <w:rFonts w:ascii="Arial" w:cs="Arial" w:eastAsia="Arial" w:hAnsi="Arial"/>
          <w:sz w:val="18"/>
          <w:szCs w:val="18"/>
          <w:color w:val="000000"/>
        </w:rPr>
        <w:t>n methyl 2 pyrrolidone (NMP)</w:t>
      </w:r>
    </w:p>
    <w:p>
      <w:pPr>
        <w:spacing w:after="0" w:line="117" w:lineRule="exact"/>
        <w:rPr>
          <w:sz w:val="20"/>
          <w:szCs w:val="20"/>
          <w:color w:val="auto"/>
        </w:rPr>
      </w:pPr>
    </w:p>
    <w:p>
      <w:pPr>
        <w:sectPr>
          <w:pgSz w:w="11900" w:h="16838" w:orient="portrait"/>
          <w:cols w:equalWidth="0" w:num="2">
            <w:col w:w="3640" w:space="720"/>
            <w:col w:w="4720"/>
          </w:cols>
          <w:pgMar w:left="1400" w:top="769" w:right="1419" w:bottom="1440" w:gutter="0" w:footer="0" w:header="0"/>
          <w:type w:val="continuous"/>
        </w:sectPr>
      </w:pPr>
    </w:p>
    <w:p>
      <w:pPr>
        <w:ind w:left="4360"/>
        <w:spacing w:after="0"/>
        <w:rPr>
          <w:sz w:val="20"/>
          <w:szCs w:val="20"/>
          <w:color w:val="auto"/>
        </w:rPr>
      </w:pPr>
      <w:r>
        <w:rPr>
          <w:rFonts w:ascii="Times New Roman" w:cs="Times New Roman" w:eastAsia="Times New Roman" w:hAnsi="Times New Roman"/>
          <w:sz w:val="18"/>
          <w:szCs w:val="18"/>
          <w:color w:val="4CCEDE"/>
        </w:rPr>
        <w:t>o</w:t>
      </w:r>
    </w:p>
    <w:p>
      <w:pPr>
        <w:sectPr>
          <w:pgSz w:w="11900" w:h="16838" w:orient="portrait"/>
          <w:cols w:equalWidth="0" w:num="1">
            <w:col w:w="9080"/>
          </w:cols>
          <w:pgMar w:left="1400" w:top="769"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8" w:name="page9"/>
    <w:bookmarkEnd w:id="8"/>
    <w:p>
      <w:pPr>
        <w:ind w:left="980"/>
        <w:spacing w:after="0"/>
        <w:rPr>
          <w:sz w:val="20"/>
          <w:szCs w:val="20"/>
          <w:color w:val="auto"/>
        </w:rPr>
      </w:pPr>
      <w:r>
        <w:rPr>
          <w:rFonts w:ascii="Arial" w:cs="Arial" w:eastAsia="Arial" w:hAnsi="Arial"/>
          <w:sz w:val="27"/>
          <w:szCs w:val="27"/>
          <w:b w:val="1"/>
          <w:bCs w:val="1"/>
          <w:color w:val="867F7C"/>
        </w:rPr>
        <w:t>fiscal 2025 financial highlights</w:t>
      </w:r>
      <w:r>
        <w:rPr>
          <w:rFonts w:ascii="Arial" w:cs="Arial" w:eastAsia="Arial" w:hAnsi="Arial"/>
          <w:sz w:val="12"/>
          <w:szCs w:val="12"/>
          <w:b w:val="1"/>
          <w:bCs w:val="1"/>
          <w:color w:val="867F7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104140</wp:posOffset>
            </wp:positionV>
            <wp:extent cx="5760720" cy="4718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0720" cy="47180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3"/>
          <w:szCs w:val="23"/>
          <w:color w:val="FFFFFF"/>
        </w:rPr>
        <w:t xml:space="preserve">sales of </w:t>
      </w:r>
      <w:r>
        <w:rPr>
          <w:rFonts w:ascii="Arial" w:cs="Arial" w:eastAsia="Arial" w:hAnsi="Arial"/>
          <w:sz w:val="32"/>
          <w:szCs w:val="32"/>
          <w:b w:val="1"/>
          <w:bCs w:val="1"/>
          <w:color w:val="FFFFFF"/>
        </w:rPr>
        <w:t>$1.8 billion</w:t>
      </w:r>
      <w:r>
        <w:rPr>
          <w:rFonts w:ascii="Arial" w:cs="Arial" w:eastAsia="Arial" w:hAnsi="Arial"/>
          <w:sz w:val="23"/>
          <w:szCs w:val="23"/>
          <w:color w:val="FFFFFF"/>
        </w:rPr>
        <w:t xml:space="preserve"> down due to strategic portfolio optimization initiatives</w:t>
      </w:r>
    </w:p>
    <w:p>
      <w:pPr>
        <w:spacing w:after="0" w:line="270" w:lineRule="exact"/>
        <w:rPr>
          <w:sz w:val="20"/>
          <w:szCs w:val="20"/>
          <w:color w:val="auto"/>
        </w:rPr>
      </w:pPr>
    </w:p>
    <w:tbl>
      <w:tblPr>
        <w:tblLayout w:type="fixed"/>
        <w:tblInd w:w="980" w:type="dxa"/>
        <w:tblCellMar>
          <w:top w:w="0" w:type="dxa"/>
          <w:left w:w="0" w:type="dxa"/>
          <w:bottom w:w="0" w:type="dxa"/>
          <w:right w:w="0" w:type="dxa"/>
        </w:tblCellMar>
      </w:tblPr>
      <w:tr>
        <w:trPr>
          <w:trHeight w:val="333"/>
        </w:trPr>
        <w:tc>
          <w:tcPr>
            <w:tcW w:w="2160" w:type="dxa"/>
            <w:vAlign w:val="bottom"/>
            <w:shd w:val="clear" w:color="auto" w:fill="BAD739"/>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vMerge w:val="restart"/>
            <w:shd w:val="clear" w:color="auto" w:fill="63D0DF"/>
          </w:tcPr>
          <w:p>
            <w:pPr>
              <w:jc w:val="center"/>
              <w:spacing w:after="0"/>
              <w:rPr>
                <w:sz w:val="20"/>
                <w:szCs w:val="20"/>
                <w:color w:val="auto"/>
              </w:rPr>
            </w:pPr>
            <w:r>
              <w:rPr>
                <w:rFonts w:ascii="Arial" w:cs="Arial" w:eastAsia="Arial" w:hAnsi="Arial"/>
                <w:sz w:val="23"/>
                <w:szCs w:val="23"/>
                <w:color w:val="FFFFFF"/>
              </w:rPr>
              <w:t>adjusted EBIT</w:t>
            </w:r>
          </w:p>
        </w:tc>
        <w:tc>
          <w:tcPr>
            <w:tcW w:w="80" w:type="dxa"/>
            <w:vAlign w:val="bottom"/>
          </w:tcPr>
          <w:p>
            <w:pPr>
              <w:spacing w:after="0"/>
              <w:rPr>
                <w:sz w:val="24"/>
                <w:szCs w:val="24"/>
                <w:color w:val="auto"/>
              </w:rPr>
            </w:pPr>
          </w:p>
        </w:tc>
        <w:tc>
          <w:tcPr>
            <w:tcW w:w="2180" w:type="dxa"/>
            <w:vAlign w:val="bottom"/>
            <w:shd w:val="clear" w:color="auto" w:fill="867F7C"/>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shd w:val="clear" w:color="auto" w:fill="BAD739"/>
          </w:tcPr>
          <w:p>
            <w:pPr>
              <w:jc w:val="center"/>
              <w:spacing w:after="0"/>
              <w:rPr>
                <w:sz w:val="20"/>
                <w:szCs w:val="20"/>
                <w:color w:val="auto"/>
              </w:rPr>
            </w:pPr>
            <w:r>
              <w:rPr>
                <w:rFonts w:ascii="Arial" w:cs="Arial" w:eastAsia="Arial" w:hAnsi="Arial"/>
                <w:sz w:val="23"/>
                <w:szCs w:val="23"/>
                <w:color w:val="867F7C"/>
              </w:rPr>
              <w:t>adjusted EBITDA</w:t>
            </w:r>
          </w:p>
        </w:tc>
        <w:tc>
          <w:tcPr>
            <w:tcW w:w="0" w:type="dxa"/>
            <w:vAlign w:val="bottom"/>
          </w:tcPr>
          <w:p>
            <w:pPr>
              <w:spacing w:after="0"/>
              <w:rPr>
                <w:sz w:val="1"/>
                <w:szCs w:val="1"/>
                <w:color w:val="auto"/>
              </w:rPr>
            </w:pPr>
          </w:p>
        </w:tc>
      </w:tr>
      <w:tr>
        <w:trPr>
          <w:trHeight w:val="135"/>
        </w:trPr>
        <w:tc>
          <w:tcPr>
            <w:tcW w:w="2160" w:type="dxa"/>
            <w:vAlign w:val="bottom"/>
            <w:vMerge w:val="restart"/>
            <w:shd w:val="clear" w:color="auto" w:fill="BAD739"/>
          </w:tcPr>
          <w:p>
            <w:pPr>
              <w:jc w:val="center"/>
              <w:spacing w:after="0"/>
              <w:rPr>
                <w:sz w:val="20"/>
                <w:szCs w:val="20"/>
                <w:color w:val="auto"/>
              </w:rPr>
            </w:pPr>
            <w:r>
              <w:rPr>
                <w:rFonts w:ascii="Arial" w:cs="Arial" w:eastAsia="Arial" w:hAnsi="Arial"/>
                <w:sz w:val="23"/>
                <w:szCs w:val="23"/>
                <w:color w:val="867F7C"/>
              </w:rPr>
              <w:t>adjusted</w:t>
            </w:r>
          </w:p>
        </w:tc>
        <w:tc>
          <w:tcPr>
            <w:tcW w:w="80" w:type="dxa"/>
            <w:vAlign w:val="bottom"/>
          </w:tcPr>
          <w:p>
            <w:pPr>
              <w:spacing w:after="0"/>
              <w:rPr>
                <w:sz w:val="11"/>
                <w:szCs w:val="11"/>
                <w:color w:val="auto"/>
              </w:rPr>
            </w:pPr>
          </w:p>
        </w:tc>
        <w:tc>
          <w:tcPr>
            <w:tcW w:w="2200" w:type="dxa"/>
            <w:vAlign w:val="bottom"/>
            <w:vMerge w:val="continue"/>
            <w:shd w:val="clear" w:color="auto" w:fill="63D0DF"/>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vMerge w:val="restart"/>
            <w:shd w:val="clear" w:color="auto" w:fill="867F7C"/>
          </w:tcPr>
          <w:p>
            <w:pPr>
              <w:jc w:val="center"/>
              <w:spacing w:after="0"/>
              <w:rPr>
                <w:sz w:val="20"/>
                <w:szCs w:val="20"/>
                <w:color w:val="auto"/>
              </w:rPr>
            </w:pPr>
            <w:r>
              <w:rPr>
                <w:rFonts w:ascii="Arial" w:cs="Arial" w:eastAsia="Arial" w:hAnsi="Arial"/>
                <w:sz w:val="23"/>
                <w:szCs w:val="23"/>
                <w:color w:val="FFFFFF"/>
              </w:rPr>
              <w:t>adjusted</w:t>
            </w:r>
          </w:p>
        </w:tc>
        <w:tc>
          <w:tcPr>
            <w:tcW w:w="80" w:type="dxa"/>
            <w:vAlign w:val="bottom"/>
          </w:tcPr>
          <w:p>
            <w:pPr>
              <w:spacing w:after="0"/>
              <w:rPr>
                <w:sz w:val="11"/>
                <w:szCs w:val="11"/>
                <w:color w:val="auto"/>
              </w:rPr>
            </w:pPr>
          </w:p>
        </w:tc>
        <w:tc>
          <w:tcPr>
            <w:tcW w:w="2300" w:type="dxa"/>
            <w:vAlign w:val="bottom"/>
            <w:vMerge w:val="restart"/>
            <w:shd w:val="clear" w:color="auto" w:fill="BAD739"/>
          </w:tcPr>
          <w:p>
            <w:pPr>
              <w:jc w:val="center"/>
              <w:spacing w:after="0"/>
              <w:rPr>
                <w:sz w:val="20"/>
                <w:szCs w:val="20"/>
                <w:color w:val="auto"/>
              </w:rPr>
            </w:pPr>
            <w:r>
              <w:rPr>
                <w:rFonts w:ascii="Arial" w:cs="Arial" w:eastAsia="Arial" w:hAnsi="Arial"/>
                <w:sz w:val="23"/>
                <w:szCs w:val="23"/>
                <w:color w:val="867F7C"/>
              </w:rPr>
              <w:t>margin of</w:t>
            </w:r>
          </w:p>
        </w:tc>
        <w:tc>
          <w:tcPr>
            <w:tcW w:w="0" w:type="dxa"/>
            <w:vAlign w:val="bottom"/>
          </w:tcPr>
          <w:p>
            <w:pPr>
              <w:spacing w:after="0"/>
              <w:rPr>
                <w:sz w:val="1"/>
                <w:szCs w:val="1"/>
                <w:color w:val="auto"/>
              </w:rPr>
            </w:pPr>
          </w:p>
        </w:tc>
      </w:tr>
      <w:tr>
        <w:trPr>
          <w:trHeight w:val="139"/>
        </w:trPr>
        <w:tc>
          <w:tcPr>
            <w:tcW w:w="2160" w:type="dxa"/>
            <w:vAlign w:val="bottom"/>
            <w:vMerge w:val="continue"/>
            <w:shd w:val="clear" w:color="auto" w:fill="BAD739"/>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vMerge w:val="restart"/>
            <w:shd w:val="clear" w:color="auto" w:fill="63D0DF"/>
          </w:tcPr>
          <w:p>
            <w:pPr>
              <w:jc w:val="center"/>
              <w:spacing w:after="0"/>
              <w:rPr>
                <w:sz w:val="20"/>
                <w:szCs w:val="20"/>
                <w:color w:val="auto"/>
              </w:rPr>
            </w:pPr>
            <w:r>
              <w:rPr>
                <w:rFonts w:ascii="Arial" w:cs="Arial" w:eastAsia="Arial" w:hAnsi="Arial"/>
                <w:sz w:val="23"/>
                <w:szCs w:val="23"/>
                <w:color w:val="FFFFFF"/>
              </w:rPr>
              <w:t>margin of</w:t>
            </w:r>
          </w:p>
        </w:tc>
        <w:tc>
          <w:tcPr>
            <w:tcW w:w="80" w:type="dxa"/>
            <w:vAlign w:val="bottom"/>
          </w:tcPr>
          <w:p>
            <w:pPr>
              <w:spacing w:after="0"/>
              <w:rPr>
                <w:sz w:val="12"/>
                <w:szCs w:val="12"/>
                <w:color w:val="auto"/>
              </w:rPr>
            </w:pPr>
          </w:p>
        </w:tc>
        <w:tc>
          <w:tcPr>
            <w:tcW w:w="2180" w:type="dxa"/>
            <w:vAlign w:val="bottom"/>
            <w:vMerge w:val="continue"/>
            <w:shd w:val="clear" w:color="auto" w:fill="867F7C"/>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vMerge w:val="continue"/>
            <w:shd w:val="clear" w:color="auto" w:fill="BAD739"/>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60" w:type="dxa"/>
            <w:vAlign w:val="bottom"/>
            <w:vMerge w:val="restart"/>
            <w:shd w:val="clear" w:color="auto" w:fill="BAD739"/>
          </w:tcPr>
          <w:p>
            <w:pPr>
              <w:jc w:val="center"/>
              <w:spacing w:after="0"/>
              <w:rPr>
                <w:sz w:val="20"/>
                <w:szCs w:val="20"/>
                <w:color w:val="auto"/>
              </w:rPr>
            </w:pPr>
            <w:r>
              <w:rPr>
                <w:rFonts w:ascii="Arial" w:cs="Arial" w:eastAsia="Arial" w:hAnsi="Arial"/>
                <w:sz w:val="23"/>
                <w:szCs w:val="23"/>
                <w:color w:val="867F7C"/>
              </w:rPr>
              <w:t>EBIT of</w:t>
            </w:r>
          </w:p>
        </w:tc>
        <w:tc>
          <w:tcPr>
            <w:tcW w:w="80" w:type="dxa"/>
            <w:vAlign w:val="bottom"/>
          </w:tcPr>
          <w:p>
            <w:pPr>
              <w:spacing w:after="0"/>
              <w:rPr>
                <w:sz w:val="11"/>
                <w:szCs w:val="11"/>
                <w:color w:val="auto"/>
              </w:rPr>
            </w:pPr>
          </w:p>
        </w:tc>
        <w:tc>
          <w:tcPr>
            <w:tcW w:w="2200" w:type="dxa"/>
            <w:vAlign w:val="bottom"/>
            <w:vMerge w:val="continue"/>
            <w:shd w:val="clear" w:color="auto" w:fill="63D0DF"/>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vMerge w:val="restart"/>
            <w:shd w:val="clear" w:color="auto" w:fill="867F7C"/>
          </w:tcPr>
          <w:p>
            <w:pPr>
              <w:jc w:val="center"/>
              <w:spacing w:after="0"/>
              <w:rPr>
                <w:sz w:val="20"/>
                <w:szCs w:val="20"/>
                <w:color w:val="auto"/>
              </w:rPr>
            </w:pPr>
            <w:r>
              <w:rPr>
                <w:rFonts w:ascii="Arial" w:cs="Arial" w:eastAsia="Arial" w:hAnsi="Arial"/>
                <w:sz w:val="23"/>
                <w:szCs w:val="23"/>
                <w:color w:val="FFFFFF"/>
                <w:w w:val="99"/>
              </w:rPr>
              <w:t>EBITDA of</w:t>
            </w:r>
          </w:p>
        </w:tc>
        <w:tc>
          <w:tcPr>
            <w:tcW w:w="80" w:type="dxa"/>
            <w:vAlign w:val="bottom"/>
          </w:tcPr>
          <w:p>
            <w:pPr>
              <w:spacing w:after="0"/>
              <w:rPr>
                <w:sz w:val="11"/>
                <w:szCs w:val="11"/>
                <w:color w:val="auto"/>
              </w:rPr>
            </w:pPr>
          </w:p>
        </w:tc>
        <w:tc>
          <w:tcPr>
            <w:tcW w:w="2300" w:type="dxa"/>
            <w:vAlign w:val="bottom"/>
            <w:vMerge w:val="restart"/>
            <w:shd w:val="clear" w:color="auto" w:fill="BAD739"/>
          </w:tcPr>
          <w:p>
            <w:pPr>
              <w:jc w:val="center"/>
              <w:spacing w:after="0" w:line="324" w:lineRule="exact"/>
              <w:rPr>
                <w:sz w:val="20"/>
                <w:szCs w:val="20"/>
                <w:color w:val="auto"/>
              </w:rPr>
            </w:pPr>
            <w:r>
              <w:rPr>
                <w:rFonts w:ascii="Arial" w:cs="Arial" w:eastAsia="Arial" w:hAnsi="Arial"/>
                <w:sz w:val="32"/>
                <w:szCs w:val="32"/>
                <w:b w:val="1"/>
                <w:bCs w:val="1"/>
                <w:color w:val="867F7C"/>
              </w:rPr>
              <w:t>22.0%</w:t>
            </w:r>
          </w:p>
        </w:tc>
        <w:tc>
          <w:tcPr>
            <w:tcW w:w="0" w:type="dxa"/>
            <w:vAlign w:val="bottom"/>
          </w:tcPr>
          <w:p>
            <w:pPr>
              <w:spacing w:after="0"/>
              <w:rPr>
                <w:sz w:val="1"/>
                <w:szCs w:val="1"/>
                <w:color w:val="auto"/>
              </w:rPr>
            </w:pPr>
          </w:p>
        </w:tc>
      </w:tr>
      <w:tr>
        <w:trPr>
          <w:trHeight w:val="192"/>
        </w:trPr>
        <w:tc>
          <w:tcPr>
            <w:tcW w:w="2160" w:type="dxa"/>
            <w:vAlign w:val="bottom"/>
            <w:vMerge w:val="continue"/>
            <w:shd w:val="clear" w:color="auto" w:fill="BAD739"/>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vMerge w:val="restart"/>
            <w:shd w:val="clear" w:color="auto" w:fill="63D0DF"/>
          </w:tcPr>
          <w:p>
            <w:pPr>
              <w:jc w:val="center"/>
              <w:spacing w:after="0"/>
              <w:rPr>
                <w:sz w:val="20"/>
                <w:szCs w:val="20"/>
                <w:color w:val="auto"/>
              </w:rPr>
            </w:pPr>
            <w:r>
              <w:rPr>
                <w:rFonts w:ascii="Arial" w:cs="Arial" w:eastAsia="Arial" w:hAnsi="Arial"/>
                <w:sz w:val="32"/>
                <w:szCs w:val="32"/>
                <w:b w:val="1"/>
                <w:bCs w:val="1"/>
                <w:color w:val="FFFFFF"/>
              </w:rPr>
              <w:t>11.1%</w:t>
            </w:r>
          </w:p>
        </w:tc>
        <w:tc>
          <w:tcPr>
            <w:tcW w:w="80" w:type="dxa"/>
            <w:vAlign w:val="bottom"/>
          </w:tcPr>
          <w:p>
            <w:pPr>
              <w:spacing w:after="0"/>
              <w:rPr>
                <w:sz w:val="16"/>
                <w:szCs w:val="16"/>
                <w:color w:val="auto"/>
              </w:rPr>
            </w:pPr>
          </w:p>
        </w:tc>
        <w:tc>
          <w:tcPr>
            <w:tcW w:w="2180" w:type="dxa"/>
            <w:vAlign w:val="bottom"/>
            <w:vMerge w:val="continue"/>
            <w:shd w:val="clear" w:color="auto" w:fill="867F7C"/>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vMerge w:val="continue"/>
            <w:shd w:val="clear" w:color="auto" w:fill="BAD739"/>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60" w:type="dxa"/>
            <w:vAlign w:val="bottom"/>
            <w:vMerge w:val="restart"/>
            <w:shd w:val="clear" w:color="auto" w:fill="BAD739"/>
          </w:tcPr>
          <w:p>
            <w:pPr>
              <w:jc w:val="center"/>
              <w:spacing w:after="0"/>
              <w:rPr>
                <w:sz w:val="20"/>
                <w:szCs w:val="20"/>
                <w:color w:val="auto"/>
              </w:rPr>
            </w:pPr>
            <w:r>
              <w:rPr>
                <w:rFonts w:ascii="Arial" w:cs="Arial" w:eastAsia="Arial" w:hAnsi="Arial"/>
                <w:sz w:val="32"/>
                <w:szCs w:val="32"/>
                <w:b w:val="1"/>
                <w:bCs w:val="1"/>
                <w:color w:val="867F7C"/>
              </w:rPr>
              <w:t>$203 million</w:t>
            </w:r>
          </w:p>
        </w:tc>
        <w:tc>
          <w:tcPr>
            <w:tcW w:w="80" w:type="dxa"/>
            <w:vAlign w:val="bottom"/>
          </w:tcPr>
          <w:p>
            <w:pPr>
              <w:spacing w:after="0"/>
              <w:rPr>
                <w:sz w:val="17"/>
                <w:szCs w:val="17"/>
                <w:color w:val="auto"/>
              </w:rPr>
            </w:pPr>
          </w:p>
        </w:tc>
        <w:tc>
          <w:tcPr>
            <w:tcW w:w="2200" w:type="dxa"/>
            <w:vAlign w:val="bottom"/>
            <w:vMerge w:val="continue"/>
            <w:shd w:val="clear" w:color="auto" w:fill="63D0DF"/>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vMerge w:val="restart"/>
            <w:shd w:val="clear" w:color="auto" w:fill="867F7C"/>
          </w:tcPr>
          <w:p>
            <w:pPr>
              <w:jc w:val="center"/>
              <w:spacing w:after="0"/>
              <w:rPr>
                <w:sz w:val="20"/>
                <w:szCs w:val="20"/>
                <w:color w:val="auto"/>
              </w:rPr>
            </w:pPr>
            <w:r>
              <w:rPr>
                <w:rFonts w:ascii="Arial" w:cs="Arial" w:eastAsia="Arial" w:hAnsi="Arial"/>
                <w:sz w:val="32"/>
                <w:szCs w:val="32"/>
                <w:b w:val="1"/>
                <w:bCs w:val="1"/>
                <w:color w:val="FFFFFF"/>
              </w:rPr>
              <w:t>$401 million</w:t>
            </w:r>
          </w:p>
        </w:tc>
        <w:tc>
          <w:tcPr>
            <w:tcW w:w="80" w:type="dxa"/>
            <w:vAlign w:val="bottom"/>
          </w:tcPr>
          <w:p>
            <w:pPr>
              <w:spacing w:after="0"/>
              <w:rPr>
                <w:sz w:val="17"/>
                <w:szCs w:val="17"/>
                <w:color w:val="auto"/>
              </w:rPr>
            </w:pPr>
          </w:p>
        </w:tc>
        <w:tc>
          <w:tcPr>
            <w:tcW w:w="2300" w:type="dxa"/>
            <w:vAlign w:val="bottom"/>
            <w:vMerge w:val="restart"/>
            <w:shd w:val="clear" w:color="auto" w:fill="BAD739"/>
          </w:tcPr>
          <w:p>
            <w:pPr>
              <w:jc w:val="center"/>
              <w:spacing w:after="0"/>
              <w:rPr>
                <w:sz w:val="20"/>
                <w:szCs w:val="20"/>
                <w:color w:val="auto"/>
              </w:rPr>
            </w:pPr>
            <w:r>
              <w:rPr>
                <w:rFonts w:ascii="Arial" w:cs="Arial" w:eastAsia="Arial" w:hAnsi="Arial"/>
                <w:sz w:val="23"/>
                <w:szCs w:val="23"/>
                <w:color w:val="867F7C"/>
              </w:rPr>
              <w:t>up 30 basis</w:t>
            </w:r>
          </w:p>
        </w:tc>
        <w:tc>
          <w:tcPr>
            <w:tcW w:w="0" w:type="dxa"/>
            <w:vAlign w:val="bottom"/>
          </w:tcPr>
          <w:p>
            <w:pPr>
              <w:spacing w:after="0"/>
              <w:rPr>
                <w:sz w:val="1"/>
                <w:szCs w:val="1"/>
                <w:color w:val="auto"/>
              </w:rPr>
            </w:pPr>
          </w:p>
        </w:tc>
      </w:tr>
      <w:tr>
        <w:trPr>
          <w:trHeight w:val="234"/>
        </w:trPr>
        <w:tc>
          <w:tcPr>
            <w:tcW w:w="2160" w:type="dxa"/>
            <w:vAlign w:val="bottom"/>
            <w:vMerge w:val="continue"/>
            <w:shd w:val="clear" w:color="auto" w:fill="BAD739"/>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shd w:val="clear" w:color="auto" w:fill="63D0DF"/>
          </w:tcPr>
          <w:p>
            <w:pPr>
              <w:jc w:val="center"/>
              <w:spacing w:after="0" w:line="234" w:lineRule="exact"/>
              <w:rPr>
                <w:sz w:val="20"/>
                <w:szCs w:val="20"/>
                <w:color w:val="auto"/>
              </w:rPr>
            </w:pPr>
            <w:r>
              <w:rPr>
                <w:rFonts w:ascii="Arial" w:cs="Arial" w:eastAsia="Arial" w:hAnsi="Arial"/>
                <w:sz w:val="23"/>
                <w:szCs w:val="23"/>
                <w:color w:val="FFFFFF"/>
              </w:rPr>
              <w:t>down from 11.4%</w:t>
            </w:r>
          </w:p>
        </w:tc>
        <w:tc>
          <w:tcPr>
            <w:tcW w:w="80" w:type="dxa"/>
            <w:vAlign w:val="bottom"/>
          </w:tcPr>
          <w:p>
            <w:pPr>
              <w:spacing w:after="0"/>
              <w:rPr>
                <w:sz w:val="20"/>
                <w:szCs w:val="20"/>
                <w:color w:val="auto"/>
              </w:rPr>
            </w:pPr>
          </w:p>
        </w:tc>
        <w:tc>
          <w:tcPr>
            <w:tcW w:w="2180" w:type="dxa"/>
            <w:vAlign w:val="bottom"/>
            <w:vMerge w:val="continue"/>
            <w:shd w:val="clear" w:color="auto" w:fill="867F7C"/>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vMerge w:val="continue"/>
            <w:shd w:val="clear" w:color="auto" w:fill="BAD739"/>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160" w:type="dxa"/>
            <w:vAlign w:val="bottom"/>
            <w:shd w:val="clear" w:color="auto" w:fill="BAD739"/>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shd w:val="clear" w:color="auto" w:fill="63D0DF"/>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shd w:val="clear" w:color="auto" w:fill="867F7C"/>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shd w:val="clear" w:color="auto" w:fill="BAD739"/>
          </w:tcPr>
          <w:p>
            <w:pPr>
              <w:jc w:val="center"/>
              <w:spacing w:after="0"/>
              <w:rPr>
                <w:sz w:val="20"/>
                <w:szCs w:val="20"/>
                <w:color w:val="auto"/>
              </w:rPr>
            </w:pPr>
            <w:r>
              <w:rPr>
                <w:rFonts w:ascii="Arial" w:cs="Arial" w:eastAsia="Arial" w:hAnsi="Arial"/>
                <w:sz w:val="23"/>
                <w:szCs w:val="23"/>
                <w:color w:val="867F7C"/>
              </w:rPr>
              <w:t>points</w:t>
            </w:r>
          </w:p>
        </w:tc>
        <w:tc>
          <w:tcPr>
            <w:tcW w:w="0" w:type="dxa"/>
            <w:vAlign w:val="bottom"/>
          </w:tcPr>
          <w:p>
            <w:pPr>
              <w:spacing w:after="0"/>
              <w:rPr>
                <w:sz w:val="1"/>
                <w:szCs w:val="1"/>
                <w:color w:val="auto"/>
              </w:rPr>
            </w:pPr>
          </w:p>
        </w:tc>
      </w:tr>
      <w:tr>
        <w:trPr>
          <w:trHeight w:val="81"/>
        </w:trPr>
        <w:tc>
          <w:tcPr>
            <w:tcW w:w="444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456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455"/>
        </w:trPr>
        <w:tc>
          <w:tcPr>
            <w:tcW w:w="4440" w:type="dxa"/>
            <w:vAlign w:val="bottom"/>
            <w:gridSpan w:val="3"/>
            <w:shd w:val="clear" w:color="auto" w:fill="48C1AC"/>
          </w:tcPr>
          <w:p>
            <w:pPr>
              <w:jc w:val="center"/>
              <w:spacing w:after="0"/>
              <w:rPr>
                <w:sz w:val="20"/>
                <w:szCs w:val="20"/>
                <w:color w:val="auto"/>
              </w:rPr>
            </w:pPr>
            <w:r>
              <w:rPr>
                <w:rFonts w:ascii="Arial" w:cs="Arial" w:eastAsia="Arial" w:hAnsi="Arial"/>
                <w:sz w:val="23"/>
                <w:szCs w:val="23"/>
                <w:color w:val="FFFFFF"/>
              </w:rPr>
              <w:t>adjusted EPS (excluding</w:t>
            </w:r>
          </w:p>
        </w:tc>
        <w:tc>
          <w:tcPr>
            <w:tcW w:w="80" w:type="dxa"/>
            <w:vAlign w:val="bottom"/>
          </w:tcPr>
          <w:p>
            <w:pPr>
              <w:spacing w:after="0"/>
              <w:rPr>
                <w:sz w:val="24"/>
                <w:szCs w:val="24"/>
                <w:color w:val="auto"/>
              </w:rPr>
            </w:pPr>
          </w:p>
        </w:tc>
        <w:tc>
          <w:tcPr>
            <w:tcW w:w="4560" w:type="dxa"/>
            <w:vAlign w:val="bottom"/>
            <w:gridSpan w:val="3"/>
            <w:shd w:val="clear" w:color="auto" w:fill="63D0DF"/>
          </w:tcPr>
          <w:p>
            <w:pPr>
              <w:jc w:val="center"/>
              <w:spacing w:after="0"/>
              <w:rPr>
                <w:sz w:val="20"/>
                <w:szCs w:val="20"/>
                <w:color w:val="auto"/>
              </w:rPr>
            </w:pPr>
            <w:r>
              <w:rPr>
                <w:rFonts w:ascii="Arial" w:cs="Arial" w:eastAsia="Arial" w:hAnsi="Arial"/>
                <w:sz w:val="23"/>
                <w:szCs w:val="23"/>
                <w:color w:val="FFFFFF"/>
              </w:rPr>
              <w:t xml:space="preserve">Ongoing FCF </w:t>
            </w:r>
            <w:r>
              <w:rPr>
                <w:rFonts w:ascii="Arial" w:cs="Arial" w:eastAsia="Arial" w:hAnsi="Arial"/>
                <w:sz w:val="32"/>
                <w:szCs w:val="32"/>
                <w:b w:val="1"/>
                <w:bCs w:val="1"/>
                <w:color w:val="FFFFFF"/>
              </w:rPr>
              <w:t>$127 million</w:t>
            </w:r>
            <w:r>
              <w:rPr>
                <w:rFonts w:ascii="Arial" w:cs="Arial" w:eastAsia="Arial" w:hAnsi="Arial"/>
                <w:sz w:val="23"/>
                <w:szCs w:val="23"/>
                <w:color w:val="FFFFFF"/>
              </w:rPr>
              <w:t xml:space="preserve"> down from</w:t>
            </w:r>
          </w:p>
        </w:tc>
        <w:tc>
          <w:tcPr>
            <w:tcW w:w="0" w:type="dxa"/>
            <w:vAlign w:val="bottom"/>
          </w:tcPr>
          <w:p>
            <w:pPr>
              <w:spacing w:after="0"/>
              <w:rPr>
                <w:sz w:val="1"/>
                <w:szCs w:val="1"/>
                <w:color w:val="auto"/>
              </w:rPr>
            </w:pPr>
          </w:p>
        </w:tc>
      </w:tr>
      <w:tr>
        <w:trPr>
          <w:trHeight w:val="271"/>
        </w:trPr>
        <w:tc>
          <w:tcPr>
            <w:tcW w:w="4440" w:type="dxa"/>
            <w:vAlign w:val="bottom"/>
            <w:gridSpan w:val="3"/>
            <w:shd w:val="clear" w:color="auto" w:fill="48C1AC"/>
          </w:tcPr>
          <w:p>
            <w:pPr>
              <w:jc w:val="center"/>
              <w:spacing w:after="0"/>
              <w:rPr>
                <w:sz w:val="20"/>
                <w:szCs w:val="20"/>
                <w:color w:val="auto"/>
              </w:rPr>
            </w:pPr>
            <w:r>
              <w:rPr>
                <w:rFonts w:ascii="Arial" w:cs="Arial" w:eastAsia="Arial" w:hAnsi="Arial"/>
                <w:sz w:val="23"/>
                <w:szCs w:val="23"/>
                <w:color w:val="FFFFFF"/>
              </w:rPr>
              <w:t>intangible amortization)</w:t>
            </w:r>
            <w:r>
              <w:rPr>
                <w:rFonts w:ascii="Arial" w:cs="Arial" w:eastAsia="Arial" w:hAnsi="Arial"/>
                <w:sz w:val="12"/>
                <w:szCs w:val="12"/>
                <w:color w:val="FFFFFF"/>
              </w:rPr>
              <w:t>(2)</w:t>
            </w:r>
            <w:r>
              <w:rPr>
                <w:rFonts w:ascii="Arial" w:cs="Arial" w:eastAsia="Arial" w:hAnsi="Arial"/>
                <w:sz w:val="23"/>
                <w:szCs w:val="23"/>
                <w:color w:val="FFFFFF"/>
              </w:rPr>
              <w:t xml:space="preserve"> of</w:t>
            </w:r>
          </w:p>
        </w:tc>
        <w:tc>
          <w:tcPr>
            <w:tcW w:w="80" w:type="dxa"/>
            <w:vAlign w:val="bottom"/>
          </w:tcPr>
          <w:p>
            <w:pPr>
              <w:spacing w:after="0"/>
              <w:rPr>
                <w:sz w:val="23"/>
                <w:szCs w:val="23"/>
                <w:color w:val="auto"/>
              </w:rPr>
            </w:pPr>
          </w:p>
        </w:tc>
        <w:tc>
          <w:tcPr>
            <w:tcW w:w="4560" w:type="dxa"/>
            <w:vAlign w:val="bottom"/>
            <w:gridSpan w:val="3"/>
            <w:shd w:val="clear" w:color="auto" w:fill="63D0DF"/>
          </w:tcPr>
          <w:p>
            <w:pPr>
              <w:jc w:val="center"/>
              <w:spacing w:after="0"/>
              <w:rPr>
                <w:sz w:val="20"/>
                <w:szCs w:val="20"/>
                <w:color w:val="auto"/>
              </w:rPr>
            </w:pPr>
            <w:r>
              <w:rPr>
                <w:rFonts w:ascii="Arial" w:cs="Arial" w:eastAsia="Arial" w:hAnsi="Arial"/>
                <w:sz w:val="23"/>
                <w:szCs w:val="23"/>
                <w:color w:val="FFFFFF"/>
              </w:rPr>
              <w:t>$270 million driven by lower current-year</w:t>
            </w:r>
          </w:p>
        </w:tc>
        <w:tc>
          <w:tcPr>
            <w:tcW w:w="0" w:type="dxa"/>
            <w:vAlign w:val="bottom"/>
          </w:tcPr>
          <w:p>
            <w:pPr>
              <w:spacing w:after="0"/>
              <w:rPr>
                <w:sz w:val="1"/>
                <w:szCs w:val="1"/>
                <w:color w:val="auto"/>
              </w:rPr>
            </w:pPr>
          </w:p>
        </w:tc>
      </w:tr>
      <w:tr>
        <w:trPr>
          <w:trHeight w:val="327"/>
        </w:trPr>
        <w:tc>
          <w:tcPr>
            <w:tcW w:w="4440" w:type="dxa"/>
            <w:vAlign w:val="bottom"/>
            <w:gridSpan w:val="3"/>
            <w:shd w:val="clear" w:color="auto" w:fill="48C1AC"/>
          </w:tcPr>
          <w:p>
            <w:pPr>
              <w:jc w:val="center"/>
              <w:spacing w:after="0" w:line="327" w:lineRule="exact"/>
              <w:rPr>
                <w:sz w:val="20"/>
                <w:szCs w:val="20"/>
                <w:color w:val="auto"/>
              </w:rPr>
            </w:pPr>
            <w:r>
              <w:rPr>
                <w:rFonts w:ascii="Arial" w:cs="Arial" w:eastAsia="Arial" w:hAnsi="Arial"/>
                <w:sz w:val="32"/>
                <w:szCs w:val="32"/>
                <w:b w:val="1"/>
                <w:bCs w:val="1"/>
                <w:color w:val="FFFFFF"/>
                <w:w w:val="99"/>
              </w:rPr>
              <w:t>$3.38</w:t>
            </w:r>
          </w:p>
        </w:tc>
        <w:tc>
          <w:tcPr>
            <w:tcW w:w="80" w:type="dxa"/>
            <w:vAlign w:val="bottom"/>
          </w:tcPr>
          <w:p>
            <w:pPr>
              <w:spacing w:after="0"/>
              <w:rPr>
                <w:sz w:val="24"/>
                <w:szCs w:val="24"/>
                <w:color w:val="auto"/>
              </w:rPr>
            </w:pPr>
          </w:p>
        </w:tc>
        <w:tc>
          <w:tcPr>
            <w:tcW w:w="4560" w:type="dxa"/>
            <w:vAlign w:val="bottom"/>
            <w:gridSpan w:val="3"/>
            <w:shd w:val="clear" w:color="auto" w:fill="63D0DF"/>
          </w:tcPr>
          <w:p>
            <w:pPr>
              <w:jc w:val="center"/>
              <w:spacing w:after="0"/>
              <w:rPr>
                <w:sz w:val="20"/>
                <w:szCs w:val="20"/>
                <w:color w:val="auto"/>
              </w:rPr>
            </w:pPr>
            <w:r>
              <w:rPr>
                <w:rFonts w:ascii="Arial" w:cs="Arial" w:eastAsia="Arial" w:hAnsi="Arial"/>
                <w:sz w:val="23"/>
                <w:szCs w:val="23"/>
                <w:color w:val="FFFFFF"/>
              </w:rPr>
              <w:t>earnings and unfavorable</w:t>
            </w:r>
          </w:p>
        </w:tc>
        <w:tc>
          <w:tcPr>
            <w:tcW w:w="0" w:type="dxa"/>
            <w:vAlign w:val="bottom"/>
          </w:tcPr>
          <w:p>
            <w:pPr>
              <w:spacing w:after="0"/>
              <w:rPr>
                <w:sz w:val="1"/>
                <w:szCs w:val="1"/>
                <w:color w:val="auto"/>
              </w:rPr>
            </w:pPr>
          </w:p>
        </w:tc>
      </w:tr>
      <w:tr>
        <w:trPr>
          <w:trHeight w:val="284"/>
        </w:trPr>
        <w:tc>
          <w:tcPr>
            <w:tcW w:w="2160" w:type="dxa"/>
            <w:vAlign w:val="bottom"/>
            <w:shd w:val="clear" w:color="auto" w:fill="48C1AC"/>
          </w:tcPr>
          <w:p>
            <w:pPr>
              <w:spacing w:after="0"/>
              <w:rPr>
                <w:sz w:val="24"/>
                <w:szCs w:val="24"/>
                <w:color w:val="auto"/>
              </w:rPr>
            </w:pPr>
          </w:p>
        </w:tc>
        <w:tc>
          <w:tcPr>
            <w:tcW w:w="80" w:type="dxa"/>
            <w:vAlign w:val="bottom"/>
            <w:shd w:val="clear" w:color="auto" w:fill="48C1AC"/>
          </w:tcPr>
          <w:p>
            <w:pPr>
              <w:spacing w:after="0"/>
              <w:rPr>
                <w:sz w:val="24"/>
                <w:szCs w:val="24"/>
                <w:color w:val="auto"/>
              </w:rPr>
            </w:pPr>
          </w:p>
        </w:tc>
        <w:tc>
          <w:tcPr>
            <w:tcW w:w="2200" w:type="dxa"/>
            <w:vAlign w:val="bottom"/>
            <w:shd w:val="clear" w:color="auto" w:fill="48C1AC"/>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3"/>
            <w:shd w:val="clear" w:color="auto" w:fill="63D0DF"/>
          </w:tcPr>
          <w:p>
            <w:pPr>
              <w:jc w:val="center"/>
              <w:spacing w:after="0"/>
              <w:rPr>
                <w:sz w:val="20"/>
                <w:szCs w:val="20"/>
                <w:color w:val="auto"/>
              </w:rPr>
            </w:pPr>
            <w:r>
              <w:rPr>
                <w:rFonts w:ascii="Arial" w:cs="Arial" w:eastAsia="Arial" w:hAnsi="Arial"/>
                <w:sz w:val="23"/>
                <w:szCs w:val="23"/>
                <w:color w:val="FFFFFF"/>
              </w:rPr>
              <w:t>working capital</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980" w:right="980" w:firstLine="8"/>
        <w:spacing w:after="0" w:line="256" w:lineRule="auto"/>
        <w:tabs>
          <w:tab w:leader="none" w:pos="1196" w:val="left"/>
        </w:tabs>
        <w:numPr>
          <w:ilvl w:val="0"/>
          <w:numId w:val="19"/>
        </w:numPr>
        <w:rPr>
          <w:rFonts w:ascii="Arial" w:cs="Arial" w:eastAsia="Arial" w:hAnsi="Arial"/>
          <w:sz w:val="14"/>
          <w:szCs w:val="14"/>
          <w:color w:val="7F7F7F"/>
        </w:rPr>
      </w:pPr>
      <w:r>
        <w:rPr>
          <w:rFonts w:ascii="Arial" w:cs="Arial" w:eastAsia="Arial" w:hAnsi="Arial"/>
          <w:sz w:val="14"/>
          <w:szCs w:val="14"/>
          <w:color w:val="7F7F7F"/>
        </w:rPr>
        <w:t>All figures other than sales are non-GAAP measures. Appendix A reconciles adjusted amounts to amounts reported under GAAP, including reconciliations of net income to adjusted EBITDA, earnings per share to adjusted earnings per share (excluding intangible amortization), and cash flow provided by operating activities to free cash flow. Comparisons within these financial highlights are to the same financial measures as of our prior fiscal year end, September 30, 2024.</w:t>
      </w:r>
    </w:p>
    <w:p>
      <w:pPr>
        <w:spacing w:after="0" w:line="123" w:lineRule="exact"/>
        <w:rPr>
          <w:rFonts w:ascii="Arial" w:cs="Arial" w:eastAsia="Arial" w:hAnsi="Arial"/>
          <w:sz w:val="14"/>
          <w:szCs w:val="14"/>
          <w:color w:val="7F7F7F"/>
        </w:rPr>
      </w:pPr>
    </w:p>
    <w:p>
      <w:pPr>
        <w:ind w:left="1200" w:hanging="212"/>
        <w:spacing w:after="0"/>
        <w:tabs>
          <w:tab w:leader="none" w:pos="1200" w:val="left"/>
        </w:tabs>
        <w:numPr>
          <w:ilvl w:val="0"/>
          <w:numId w:val="19"/>
        </w:numPr>
        <w:rPr>
          <w:rFonts w:ascii="Arial" w:cs="Arial" w:eastAsia="Arial" w:hAnsi="Arial"/>
          <w:sz w:val="14"/>
          <w:szCs w:val="14"/>
          <w:color w:val="7F7F7F"/>
        </w:rPr>
      </w:pPr>
      <w:r>
        <w:rPr>
          <w:rFonts w:ascii="Arial" w:cs="Arial" w:eastAsia="Arial" w:hAnsi="Arial"/>
          <w:sz w:val="14"/>
          <w:szCs w:val="14"/>
          <w:color w:val="7F7F7F"/>
        </w:rPr>
        <w:t>Unless otherwise noted, earnings are reported on a diluted-share basis.</w:t>
      </w:r>
    </w:p>
    <w:p>
      <w:pPr>
        <w:spacing w:after="0" w:line="251" w:lineRule="exact"/>
        <w:rPr>
          <w:sz w:val="20"/>
          <w:szCs w:val="20"/>
          <w:color w:val="auto"/>
        </w:rPr>
      </w:pPr>
    </w:p>
    <w:p>
      <w:pPr>
        <w:ind w:left="980"/>
        <w:spacing w:after="0"/>
        <w:rPr>
          <w:sz w:val="20"/>
          <w:szCs w:val="20"/>
          <w:color w:val="auto"/>
        </w:rPr>
      </w:pPr>
      <w:r>
        <w:rPr>
          <w:rFonts w:ascii="Arial" w:cs="Arial" w:eastAsia="Arial" w:hAnsi="Arial"/>
          <w:sz w:val="27"/>
          <w:szCs w:val="27"/>
          <w:b w:val="1"/>
          <w:bCs w:val="1"/>
          <w:color w:val="867F7C"/>
        </w:rPr>
        <w:t>board governance highlights</w:t>
      </w:r>
    </w:p>
    <w:p>
      <w:pPr>
        <w:spacing w:after="0" w:line="119" w:lineRule="exact"/>
        <w:rPr>
          <w:sz w:val="20"/>
          <w:szCs w:val="20"/>
          <w:color w:val="auto"/>
        </w:rPr>
      </w:pPr>
    </w:p>
    <w:p>
      <w:pPr>
        <w:jc w:val="both"/>
        <w:ind w:left="980" w:right="980"/>
        <w:spacing w:after="0" w:line="253" w:lineRule="auto"/>
        <w:rPr>
          <w:sz w:val="20"/>
          <w:szCs w:val="20"/>
          <w:color w:val="auto"/>
        </w:rPr>
      </w:pPr>
      <w:r>
        <w:rPr>
          <w:rFonts w:ascii="Arial" w:cs="Arial" w:eastAsia="Arial" w:hAnsi="Arial"/>
          <w:sz w:val="18"/>
          <w:szCs w:val="18"/>
          <w:color w:val="auto"/>
        </w:rPr>
        <w:t>We are committed to good corporate governance, which strengthens the accountability of our board of directors (the “Board”) and promotes the long-term interests of our stockholders. The list below highlights our Board and leadership practices, as discussed further in this Proxy Statement.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980" w:type="dxa"/>
            <w:vAlign w:val="bottom"/>
          </w:tcPr>
          <w:p>
            <w:pPr>
              <w:spacing w:after="0"/>
              <w:rPr>
                <w:sz w:val="24"/>
                <w:szCs w:val="24"/>
                <w:color w:val="auto"/>
              </w:rPr>
            </w:pPr>
          </w:p>
        </w:tc>
        <w:tc>
          <w:tcPr>
            <w:tcW w:w="4180" w:type="dxa"/>
            <w:vAlign w:val="bottom"/>
          </w:tcPr>
          <w:p>
            <w:pPr>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annual election of directors</w:t>
            </w:r>
          </w:p>
        </w:tc>
        <w:tc>
          <w:tcPr>
            <w:tcW w:w="5880" w:type="dxa"/>
            <w:vAlign w:val="bottom"/>
            <w:gridSpan w:val="2"/>
          </w:tcPr>
          <w:p>
            <w:pPr>
              <w:ind w:left="280"/>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majority independent board</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180" w:type="dxa"/>
            <w:vAlign w:val="bottom"/>
          </w:tcPr>
          <w:p>
            <w:pPr>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lead independent director</w:t>
            </w:r>
          </w:p>
        </w:tc>
        <w:tc>
          <w:tcPr>
            <w:tcW w:w="5880" w:type="dxa"/>
            <w:vAlign w:val="bottom"/>
            <w:gridSpan w:val="2"/>
          </w:tcPr>
          <w:p>
            <w:pPr>
              <w:ind w:left="280"/>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fully independent governance committee</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180" w:type="dxa"/>
            <w:vAlign w:val="bottom"/>
          </w:tcPr>
          <w:p>
            <w:pPr>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annual board evaluations</w:t>
            </w:r>
          </w:p>
        </w:tc>
        <w:tc>
          <w:tcPr>
            <w:tcW w:w="5880" w:type="dxa"/>
            <w:vAlign w:val="bottom"/>
            <w:gridSpan w:val="2"/>
          </w:tcPr>
          <w:p>
            <w:pPr>
              <w:ind w:left="280"/>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continuing director education program</w:t>
            </w: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180" w:type="dxa"/>
            <w:vAlign w:val="bottom"/>
          </w:tcPr>
          <w:p>
            <w:pPr>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board oversight of risk and enterprise strategy</w:t>
            </w:r>
          </w:p>
        </w:tc>
        <w:tc>
          <w:tcPr>
            <w:tcW w:w="5880" w:type="dxa"/>
            <w:vAlign w:val="bottom"/>
            <w:gridSpan w:val="2"/>
          </w:tcPr>
          <w:p>
            <w:pPr>
              <w:ind w:left="280"/>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robust stock ownership guidelines for directors</w:t>
            </w:r>
          </w:p>
        </w:tc>
        <w:tc>
          <w:tcPr>
            <w:tcW w:w="0" w:type="dxa"/>
            <w:vAlign w:val="bottom"/>
          </w:tcPr>
          <w:p>
            <w:pPr>
              <w:spacing w:after="0"/>
              <w:rPr>
                <w:sz w:val="1"/>
                <w:szCs w:val="1"/>
                <w:color w:val="auto"/>
              </w:rPr>
            </w:pPr>
          </w:p>
        </w:tc>
      </w:tr>
      <w:tr>
        <w:trPr>
          <w:trHeight w:val="345"/>
        </w:trPr>
        <w:tc>
          <w:tcPr>
            <w:tcW w:w="980" w:type="dxa"/>
            <w:vAlign w:val="bottom"/>
          </w:tcPr>
          <w:p>
            <w:pPr>
              <w:spacing w:after="0"/>
              <w:rPr>
                <w:sz w:val="24"/>
                <w:szCs w:val="24"/>
                <w:color w:val="auto"/>
              </w:rPr>
            </w:pPr>
          </w:p>
        </w:tc>
        <w:tc>
          <w:tcPr>
            <w:tcW w:w="4180" w:type="dxa"/>
            <w:vAlign w:val="bottom"/>
          </w:tcPr>
          <w:p>
            <w:pPr>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annual review of committee charters and</w:t>
            </w:r>
          </w:p>
        </w:tc>
        <w:tc>
          <w:tcPr>
            <w:tcW w:w="5880" w:type="dxa"/>
            <w:vAlign w:val="bottom"/>
            <w:gridSpan w:val="2"/>
          </w:tcPr>
          <w:p>
            <w:pPr>
              <w:ind w:left="280"/>
              <w:spacing w:after="0" w:line="207" w:lineRule="exact"/>
              <w:rPr>
                <w:sz w:val="20"/>
                <w:szCs w:val="20"/>
                <w:color w:val="auto"/>
              </w:rPr>
            </w:pPr>
            <w:r>
              <w:rPr>
                <w:rFonts w:ascii="MS PGothic" w:cs="MS PGothic" w:eastAsia="MS PGothic" w:hAnsi="MS PGothic"/>
                <w:sz w:val="18"/>
                <w:szCs w:val="18"/>
                <w:color w:val="48C1AC"/>
              </w:rPr>
              <w:t>☑</w:t>
            </w:r>
            <w:r>
              <w:rPr>
                <w:rFonts w:ascii="Arial" w:cs="Arial" w:eastAsia="Arial" w:hAnsi="Arial"/>
                <w:sz w:val="18"/>
                <w:szCs w:val="18"/>
                <w:color w:val="auto"/>
              </w:rPr>
              <w:t xml:space="preserve"> regular executive sessions of independent</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corporate governance guidelines</w:t>
            </w:r>
          </w:p>
        </w:tc>
        <w:tc>
          <w:tcPr>
            <w:tcW w:w="5880" w:type="dxa"/>
            <w:vAlign w:val="bottom"/>
            <w:gridSpan w:val="2"/>
          </w:tcPr>
          <w:p>
            <w:pPr>
              <w:ind w:left="48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388"/>
        </w:trPr>
        <w:tc>
          <w:tcPr>
            <w:tcW w:w="980" w:type="dxa"/>
            <w:vAlign w:val="bottom"/>
          </w:tcPr>
          <w:p>
            <w:pPr>
              <w:spacing w:after="0"/>
              <w:rPr>
                <w:sz w:val="24"/>
                <w:szCs w:val="24"/>
                <w:color w:val="auto"/>
              </w:rPr>
            </w:pPr>
          </w:p>
        </w:tc>
        <w:tc>
          <w:tcPr>
            <w:tcW w:w="4180" w:type="dxa"/>
            <w:vAlign w:val="bottom"/>
            <w:tcBorders>
              <w:bottom w:val="single" w:sz="8" w:color="4CCEDE"/>
            </w:tcBorders>
          </w:tcPr>
          <w:p>
            <w:pPr>
              <w:spacing w:after="0"/>
              <w:rPr>
                <w:sz w:val="24"/>
                <w:szCs w:val="24"/>
                <w:color w:val="auto"/>
              </w:rPr>
            </w:pPr>
          </w:p>
        </w:tc>
        <w:tc>
          <w:tcPr>
            <w:tcW w:w="4900" w:type="dxa"/>
            <w:vAlign w:val="bottom"/>
            <w:tcBorders>
              <w:bottom w:val="single" w:sz="8" w:color="4CCEDE"/>
            </w:tcBorders>
          </w:tcPr>
          <w:p>
            <w:pPr>
              <w:spacing w:after="0"/>
              <w:rPr>
                <w:sz w:val="24"/>
                <w:szCs w:val="24"/>
                <w:color w:val="auto"/>
              </w:rPr>
            </w:pPr>
          </w:p>
        </w:tc>
        <w:tc>
          <w:tcPr>
            <w:tcW w:w="9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900" w:type="dxa"/>
            <w:vAlign w:val="bottom"/>
          </w:tcPr>
          <w:p>
            <w:pPr>
              <w:ind w:left="30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3</w:t>
            </w: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22"/>
        </w:trPr>
        <w:tc>
          <w:tcPr>
            <w:tcW w:w="9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6"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867F7C"/>
        </w:rPr>
        <w:t>corporate governance</w:t>
      </w:r>
    </w:p>
    <w:p>
      <w:pPr>
        <w:spacing w:after="0" w:line="174" w:lineRule="exact"/>
        <w:rPr>
          <w:sz w:val="20"/>
          <w:szCs w:val="20"/>
          <w:color w:val="auto"/>
        </w:rPr>
      </w:pPr>
    </w:p>
    <w:p>
      <w:pPr>
        <w:spacing w:after="0"/>
        <w:rPr>
          <w:sz w:val="20"/>
          <w:szCs w:val="20"/>
          <w:color w:val="auto"/>
        </w:rPr>
      </w:pPr>
      <w:r>
        <w:rPr>
          <w:rFonts w:ascii="Arial" w:cs="Arial" w:eastAsia="Arial" w:hAnsi="Arial"/>
          <w:sz w:val="54"/>
          <w:szCs w:val="54"/>
          <w:color w:val="867F7C"/>
        </w:rPr>
        <w:t>corporate governance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board leadership structure</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Board's leadership structure consists of a combined role of Chair of the Board and Chief Executive Officer, and a Lead Independent Director. The Board believes that combining the positions of Chair and Chief Executive Officer provides clarity of leadership and is in the best interests of Ashland and its stockholders at this time. The Chair of the Board sets agendas for, and presides over, Board meetings and stockholder meetings. In addition, each Board committee is led by a chair, and similarly, the Board committee chairs set agendas for, and preside over, the meetings and executive sessions held by their respective committees.</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Lead Independent Director is an independent director appointed annually by the Governance and Nominating Committee (the “G&amp;N Committee”) and approved by the Board. The appointment of a Lead Independent Director provides balance to the combined role of the Chair of the Board and Chief Executive Officer. The Board believes the appointment of a Lead Independent Director provides appropriate independent oversight of management. Independent oversight has been further ensured by having only one member of management on the Board. The non-employee directors regularly meet in executive session, without management present, at Board meetings.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Mr. Guillermo Novo currently holds the combined role of Chair of the Board and Chief Executive Officer. The role of Lead Independent Director is currently held by Ms. Susan L. Main.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duties of all Board members, the Lead Independent Director:</w:t>
      </w:r>
    </w:p>
    <w:p>
      <w:pPr>
        <w:spacing w:after="0" w:line="104"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4CCEDE"/>
        </w:rPr>
      </w:pPr>
      <w:r>
        <w:rPr>
          <w:rFonts w:ascii="Arial" w:cs="Arial" w:eastAsia="Arial" w:hAnsi="Arial"/>
          <w:sz w:val="18"/>
          <w:szCs w:val="18"/>
          <w:color w:val="auto"/>
        </w:rPr>
        <w:t>Coordinates with the Chair of the Board to determine the appropriate schedule of meetings;</w:t>
      </w:r>
    </w:p>
    <w:p>
      <w:pPr>
        <w:spacing w:after="0" w:line="11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4CCEDE"/>
        </w:rPr>
      </w:pPr>
      <w:r>
        <w:rPr>
          <w:rFonts w:ascii="Arial" w:cs="Arial" w:eastAsia="Arial" w:hAnsi="Arial"/>
          <w:sz w:val="18"/>
          <w:szCs w:val="18"/>
          <w:color w:val="auto"/>
        </w:rPr>
        <w:t>Places any item he or she determines is appropriate on the Board’s agenda;</w:t>
      </w:r>
    </w:p>
    <w:p>
      <w:pPr>
        <w:spacing w:after="0" w:line="116" w:lineRule="exact"/>
        <w:rPr>
          <w:rFonts w:ascii="Times New Roman" w:cs="Times New Roman" w:eastAsia="Times New Roman" w:hAnsi="Times New Roman"/>
          <w:sz w:val="18"/>
          <w:szCs w:val="18"/>
          <w:color w:val="4CCEDE"/>
        </w:rPr>
      </w:pPr>
    </w:p>
    <w:p>
      <w:pPr>
        <w:jc w:val="both"/>
        <w:ind w:left="240" w:hanging="232"/>
        <w:spacing w:after="0" w:line="252" w:lineRule="auto"/>
        <w:tabs>
          <w:tab w:leader="none" w:pos="240" w:val="left"/>
        </w:tabs>
        <w:numPr>
          <w:ilvl w:val="0"/>
          <w:numId w:val="20"/>
        </w:numPr>
        <w:rPr>
          <w:rFonts w:ascii="Times New Roman" w:cs="Times New Roman" w:eastAsia="Times New Roman" w:hAnsi="Times New Roman"/>
          <w:sz w:val="18"/>
          <w:szCs w:val="18"/>
          <w:color w:val="4CCEDE"/>
        </w:rPr>
      </w:pPr>
      <w:r>
        <w:rPr>
          <w:rFonts w:ascii="Arial" w:cs="Arial" w:eastAsia="Arial" w:hAnsi="Arial"/>
          <w:sz w:val="18"/>
          <w:szCs w:val="18"/>
          <w:color w:val="auto"/>
        </w:rPr>
        <w:t>Directs that specific materials be included in Board mailings and works with the G&amp;N Committee, as appropriate, to assess the quality, quantity and timeliness of the flow of information from management to the Board;</w:t>
      </w:r>
    </w:p>
    <w:p>
      <w:pPr>
        <w:spacing w:after="0" w:line="62"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4CCEDE"/>
        </w:rPr>
      </w:pPr>
      <w:r>
        <w:rPr>
          <w:rFonts w:ascii="Arial" w:cs="Arial" w:eastAsia="Arial" w:hAnsi="Arial"/>
          <w:sz w:val="18"/>
          <w:szCs w:val="18"/>
          <w:color w:val="auto"/>
        </w:rPr>
        <w:t>Directs the retention of consultants and advisors to report directly to the Board;</w:t>
      </w:r>
    </w:p>
    <w:p>
      <w:pPr>
        <w:spacing w:after="0" w:line="116"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20"/>
        </w:numPr>
        <w:rPr>
          <w:rFonts w:ascii="Times New Roman" w:cs="Times New Roman" w:eastAsia="Times New Roman" w:hAnsi="Times New Roman"/>
          <w:sz w:val="18"/>
          <w:szCs w:val="18"/>
          <w:color w:val="4CCEDE"/>
        </w:rPr>
      </w:pPr>
      <w:r>
        <w:rPr>
          <w:rFonts w:ascii="Arial" w:cs="Arial" w:eastAsia="Arial" w:hAnsi="Arial"/>
          <w:sz w:val="18"/>
          <w:szCs w:val="18"/>
          <w:color w:val="auto"/>
        </w:rPr>
        <w:t>Coordinates with the G&amp;N Committee to oversee compliance with Ashland’s Corporate Governance Guidelines and to recommend appropriate revisions as needed;</w:t>
      </w:r>
    </w:p>
    <w:p>
      <w:pPr>
        <w:spacing w:after="0" w:line="46" w:lineRule="exact"/>
        <w:rPr>
          <w:rFonts w:ascii="Times New Roman" w:cs="Times New Roman" w:eastAsia="Times New Roman" w:hAnsi="Times New Roman"/>
          <w:sz w:val="18"/>
          <w:szCs w:val="18"/>
          <w:color w:val="4CCEDE"/>
        </w:rPr>
      </w:pPr>
    </w:p>
    <w:p>
      <w:pPr>
        <w:jc w:val="both"/>
        <w:ind w:left="240" w:hanging="232"/>
        <w:spacing w:after="0" w:line="252" w:lineRule="auto"/>
        <w:tabs>
          <w:tab w:leader="none" w:pos="240" w:val="left"/>
        </w:tabs>
        <w:numPr>
          <w:ilvl w:val="0"/>
          <w:numId w:val="20"/>
        </w:numPr>
        <w:rPr>
          <w:rFonts w:ascii="Times New Roman" w:cs="Times New Roman" w:eastAsia="Times New Roman" w:hAnsi="Times New Roman"/>
          <w:sz w:val="18"/>
          <w:szCs w:val="18"/>
          <w:color w:val="4CCEDE"/>
        </w:rPr>
      </w:pPr>
      <w:r>
        <w:rPr>
          <w:rFonts w:ascii="Arial" w:cs="Arial" w:eastAsia="Arial" w:hAnsi="Arial"/>
          <w:sz w:val="18"/>
          <w:szCs w:val="18"/>
          <w:color w:val="auto"/>
        </w:rPr>
        <w:t>Coordinates and develops the agenda for, and moderates executive sessions of, the Board’s independent directors and acts as principal liaison between the independent directors and the Chair of the Board and Chief Executive Officer on sensitive matters; and</w:t>
      </w:r>
    </w:p>
    <w:p>
      <w:pPr>
        <w:spacing w:after="0" w:line="62"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20"/>
        </w:numPr>
        <w:rPr>
          <w:rFonts w:ascii="Times New Roman" w:cs="Times New Roman" w:eastAsia="Times New Roman" w:hAnsi="Times New Roman"/>
          <w:sz w:val="18"/>
          <w:szCs w:val="18"/>
          <w:color w:val="4CCEDE"/>
        </w:rPr>
      </w:pPr>
      <w:r>
        <w:rPr>
          <w:rFonts w:ascii="Arial" w:cs="Arial" w:eastAsia="Arial" w:hAnsi="Arial"/>
          <w:sz w:val="18"/>
          <w:szCs w:val="18"/>
          <w:color w:val="auto"/>
        </w:rPr>
        <w:t>Works with the G&amp;N Committee to recommend the membership of the various Board committees and committee chairs.</w:t>
      </w:r>
    </w:p>
    <w:p>
      <w:pPr>
        <w:spacing w:after="0" w:line="90"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board committees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currently has four standing committees: Audit Committee; Compensation Committee; Sustainability and Productivity Committee; and Governance &amp; Nominating Committee. All committees are currently composed entirely of independent directors. Listed below is the current membership of each committee: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shd w:val="clear" w:color="auto" w:fill="EFEBE9"/>
          </w:tcPr>
          <w:p>
            <w:pPr>
              <w:spacing w:after="0"/>
              <w:rPr>
                <w:sz w:val="17"/>
                <w:szCs w:val="17"/>
                <w:color w:val="auto"/>
              </w:rPr>
            </w:pPr>
          </w:p>
        </w:tc>
        <w:tc>
          <w:tcPr>
            <w:tcW w:w="2320" w:type="dxa"/>
            <w:vAlign w:val="bottom"/>
            <w:shd w:val="clear" w:color="auto" w:fill="EFEBE9"/>
          </w:tcPr>
          <w:p>
            <w:pPr>
              <w:spacing w:after="0"/>
              <w:rPr>
                <w:sz w:val="17"/>
                <w:szCs w:val="17"/>
                <w:color w:val="auto"/>
              </w:rPr>
            </w:pPr>
          </w:p>
        </w:tc>
        <w:tc>
          <w:tcPr>
            <w:tcW w:w="24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Sustainability and Productivity</w:t>
            </w:r>
          </w:p>
        </w:tc>
        <w:tc>
          <w:tcPr>
            <w:tcW w:w="2100" w:type="dxa"/>
            <w:vAlign w:val="bottom"/>
            <w:shd w:val="clear" w:color="auto" w:fill="EFEBE9"/>
          </w:tcPr>
          <w:p>
            <w:pPr>
              <w:jc w:val="center"/>
              <w:ind w:right="8"/>
              <w:spacing w:after="0"/>
              <w:rPr>
                <w:sz w:val="20"/>
                <w:szCs w:val="20"/>
                <w:color w:val="auto"/>
              </w:rPr>
            </w:pPr>
            <w:r>
              <w:rPr>
                <w:rFonts w:ascii="Arial" w:cs="Arial" w:eastAsia="Arial" w:hAnsi="Arial"/>
                <w:sz w:val="14"/>
                <w:szCs w:val="14"/>
                <w:b w:val="1"/>
                <w:bCs w:val="1"/>
                <w:color w:val="867F7C"/>
              </w:rPr>
              <w:t>Governance and</w:t>
            </w:r>
          </w:p>
        </w:tc>
      </w:tr>
      <w:tr>
        <w:trPr>
          <w:trHeight w:val="189"/>
        </w:trPr>
        <w:tc>
          <w:tcPr>
            <w:tcW w:w="2200" w:type="dxa"/>
            <w:vAlign w:val="bottom"/>
            <w:shd w:val="clear" w:color="auto" w:fill="EFEBE9"/>
          </w:tcPr>
          <w:p>
            <w:pPr>
              <w:jc w:val="center"/>
              <w:ind w:left="28"/>
              <w:spacing w:after="0"/>
              <w:rPr>
                <w:sz w:val="20"/>
                <w:szCs w:val="20"/>
                <w:color w:val="auto"/>
              </w:rPr>
            </w:pPr>
            <w:r>
              <w:rPr>
                <w:rFonts w:ascii="Arial" w:cs="Arial" w:eastAsia="Arial" w:hAnsi="Arial"/>
                <w:sz w:val="14"/>
                <w:szCs w:val="14"/>
                <w:b w:val="1"/>
                <w:bCs w:val="1"/>
                <w:color w:val="867F7C"/>
              </w:rPr>
              <w:t>Audit Committee</w:t>
            </w:r>
          </w:p>
        </w:tc>
        <w:tc>
          <w:tcPr>
            <w:tcW w:w="2320" w:type="dxa"/>
            <w:vAlign w:val="bottom"/>
            <w:shd w:val="clear" w:color="auto" w:fill="EFEBE9"/>
          </w:tcPr>
          <w:p>
            <w:pPr>
              <w:jc w:val="center"/>
              <w:ind w:left="148"/>
              <w:spacing w:after="0"/>
              <w:rPr>
                <w:sz w:val="20"/>
                <w:szCs w:val="20"/>
                <w:color w:val="auto"/>
              </w:rPr>
            </w:pPr>
            <w:r>
              <w:rPr>
                <w:rFonts w:ascii="Arial" w:cs="Arial" w:eastAsia="Arial" w:hAnsi="Arial"/>
                <w:sz w:val="14"/>
                <w:szCs w:val="14"/>
                <w:b w:val="1"/>
                <w:bCs w:val="1"/>
                <w:color w:val="867F7C"/>
              </w:rPr>
              <w:t>Compensation Committee</w:t>
            </w:r>
          </w:p>
        </w:tc>
        <w:tc>
          <w:tcPr>
            <w:tcW w:w="24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Committee</w:t>
            </w:r>
          </w:p>
        </w:tc>
        <w:tc>
          <w:tcPr>
            <w:tcW w:w="2100" w:type="dxa"/>
            <w:vAlign w:val="bottom"/>
            <w:shd w:val="clear" w:color="auto" w:fill="EFEBE9"/>
          </w:tcPr>
          <w:p>
            <w:pPr>
              <w:jc w:val="center"/>
              <w:ind w:right="8"/>
              <w:spacing w:after="0"/>
              <w:rPr>
                <w:sz w:val="20"/>
                <w:szCs w:val="20"/>
                <w:color w:val="auto"/>
              </w:rPr>
            </w:pPr>
            <w:r>
              <w:rPr>
                <w:rFonts w:ascii="Arial" w:cs="Arial" w:eastAsia="Arial" w:hAnsi="Arial"/>
                <w:sz w:val="14"/>
                <w:szCs w:val="14"/>
                <w:b w:val="1"/>
                <w:bCs w:val="1"/>
                <w:color w:val="867F7C"/>
              </w:rPr>
              <w:t>Nominating Committee</w:t>
            </w:r>
          </w:p>
        </w:tc>
      </w:tr>
      <w:tr>
        <w:trPr>
          <w:trHeight w:val="203"/>
        </w:trPr>
        <w:tc>
          <w:tcPr>
            <w:tcW w:w="2200" w:type="dxa"/>
            <w:vAlign w:val="bottom"/>
            <w:tcBorders>
              <w:bottom w:val="single" w:sz="8" w:color="867F7C"/>
            </w:tcBorders>
          </w:tcPr>
          <w:p>
            <w:pPr>
              <w:jc w:val="center"/>
              <w:ind w:left="28"/>
              <w:spacing w:after="0" w:line="203" w:lineRule="exact"/>
              <w:rPr>
                <w:sz w:val="20"/>
                <w:szCs w:val="20"/>
                <w:color w:val="auto"/>
              </w:rPr>
            </w:pPr>
            <w:r>
              <w:rPr>
                <w:rFonts w:ascii="Arial" w:cs="Arial" w:eastAsia="Arial" w:hAnsi="Arial"/>
                <w:sz w:val="14"/>
                <w:szCs w:val="14"/>
                <w:b w:val="1"/>
                <w:bCs w:val="1"/>
                <w:color w:val="4CCEDE"/>
                <w:w w:val="97"/>
              </w:rPr>
              <w:t xml:space="preserve">Scott A. Tozier </w:t>
            </w:r>
            <w:r>
              <w:rPr>
                <w:rFonts w:ascii="Arial" w:cs="Arial" w:eastAsia="Arial" w:hAnsi="Arial"/>
                <w:sz w:val="19"/>
                <w:szCs w:val="19"/>
                <w:b w:val="1"/>
                <w:bCs w:val="1"/>
                <w:color w:val="4CCEDE"/>
                <w:w w:val="97"/>
                <w:vertAlign w:val="superscript"/>
              </w:rPr>
              <w:t>(1)</w:t>
            </w:r>
          </w:p>
        </w:tc>
        <w:tc>
          <w:tcPr>
            <w:tcW w:w="2320" w:type="dxa"/>
            <w:vAlign w:val="bottom"/>
            <w:tcBorders>
              <w:bottom w:val="single" w:sz="8" w:color="867F7C"/>
            </w:tcBorders>
          </w:tcPr>
          <w:p>
            <w:pPr>
              <w:jc w:val="center"/>
              <w:ind w:left="148"/>
              <w:spacing w:after="0" w:line="203" w:lineRule="exact"/>
              <w:rPr>
                <w:sz w:val="20"/>
                <w:szCs w:val="20"/>
                <w:color w:val="auto"/>
              </w:rPr>
            </w:pPr>
            <w:r>
              <w:rPr>
                <w:rFonts w:ascii="Arial" w:cs="Arial" w:eastAsia="Arial" w:hAnsi="Arial"/>
                <w:sz w:val="14"/>
                <w:szCs w:val="14"/>
                <w:b w:val="1"/>
                <w:bCs w:val="1"/>
                <w:color w:val="4CCEDE"/>
                <w:w w:val="99"/>
              </w:rPr>
              <w:t>Suzan F. Harrison</w:t>
            </w:r>
            <w:r>
              <w:rPr>
                <w:rFonts w:ascii="Arial" w:cs="Arial" w:eastAsia="Arial" w:hAnsi="Arial"/>
                <w:sz w:val="19"/>
                <w:szCs w:val="19"/>
                <w:b w:val="1"/>
                <w:bCs w:val="1"/>
                <w:color w:val="4CCEDE"/>
                <w:w w:val="99"/>
                <w:vertAlign w:val="superscript"/>
              </w:rPr>
              <w:t>(1)</w:t>
            </w:r>
          </w:p>
        </w:tc>
        <w:tc>
          <w:tcPr>
            <w:tcW w:w="2460" w:type="dxa"/>
            <w:vAlign w:val="bottom"/>
            <w:tcBorders>
              <w:bottom w:val="single" w:sz="8" w:color="867F7C"/>
            </w:tcBorders>
          </w:tcPr>
          <w:p>
            <w:pPr>
              <w:jc w:val="center"/>
              <w:spacing w:after="0" w:line="203" w:lineRule="exact"/>
              <w:rPr>
                <w:sz w:val="20"/>
                <w:szCs w:val="20"/>
                <w:color w:val="auto"/>
              </w:rPr>
            </w:pPr>
            <w:r>
              <w:rPr>
                <w:rFonts w:ascii="Arial" w:cs="Arial" w:eastAsia="Arial" w:hAnsi="Arial"/>
                <w:sz w:val="14"/>
                <w:szCs w:val="14"/>
                <w:b w:val="1"/>
                <w:bCs w:val="1"/>
                <w:color w:val="4CCEDE"/>
              </w:rPr>
              <w:t>Sanat Chattopadhyay</w:t>
            </w:r>
            <w:r>
              <w:rPr>
                <w:rFonts w:ascii="Arial" w:cs="Arial" w:eastAsia="Arial" w:hAnsi="Arial"/>
                <w:sz w:val="19"/>
                <w:szCs w:val="19"/>
                <w:b w:val="1"/>
                <w:bCs w:val="1"/>
                <w:color w:val="4CCEDE"/>
                <w:vertAlign w:val="superscript"/>
              </w:rPr>
              <w:t>(1)</w:t>
            </w:r>
          </w:p>
        </w:tc>
        <w:tc>
          <w:tcPr>
            <w:tcW w:w="2100" w:type="dxa"/>
            <w:vAlign w:val="bottom"/>
            <w:tcBorders>
              <w:bottom w:val="single" w:sz="8" w:color="867F7C"/>
            </w:tcBorders>
          </w:tcPr>
          <w:p>
            <w:pPr>
              <w:jc w:val="center"/>
              <w:ind w:right="8"/>
              <w:spacing w:after="0" w:line="203" w:lineRule="exact"/>
              <w:rPr>
                <w:sz w:val="20"/>
                <w:szCs w:val="20"/>
                <w:color w:val="auto"/>
              </w:rPr>
            </w:pPr>
            <w:r>
              <w:rPr>
                <w:rFonts w:ascii="Arial" w:cs="Arial" w:eastAsia="Arial" w:hAnsi="Arial"/>
                <w:sz w:val="14"/>
                <w:szCs w:val="14"/>
                <w:b w:val="1"/>
                <w:bCs w:val="1"/>
                <w:color w:val="4CCEDE"/>
                <w:w w:val="99"/>
              </w:rPr>
              <w:t>Jerome A. Peribere</w:t>
            </w:r>
            <w:r>
              <w:rPr>
                <w:rFonts w:ascii="Arial" w:cs="Arial" w:eastAsia="Arial" w:hAnsi="Arial"/>
                <w:sz w:val="19"/>
                <w:szCs w:val="19"/>
                <w:b w:val="1"/>
                <w:bCs w:val="1"/>
                <w:color w:val="4CCEDE"/>
                <w:w w:val="99"/>
                <w:vertAlign w:val="superscript"/>
              </w:rPr>
              <w:t>(1)</w:t>
            </w:r>
          </w:p>
        </w:tc>
      </w:tr>
      <w:tr>
        <w:trPr>
          <w:trHeight w:val="195"/>
        </w:trPr>
        <w:tc>
          <w:tcPr>
            <w:tcW w:w="2200" w:type="dxa"/>
            <w:vAlign w:val="bottom"/>
            <w:tcBorders>
              <w:bottom w:val="single" w:sz="8" w:color="867F7C"/>
            </w:tcBorders>
          </w:tcPr>
          <w:p>
            <w:pPr>
              <w:jc w:val="center"/>
              <w:ind w:left="28"/>
              <w:spacing w:after="0"/>
              <w:rPr>
                <w:sz w:val="20"/>
                <w:szCs w:val="20"/>
                <w:color w:val="auto"/>
              </w:rPr>
            </w:pPr>
            <w:r>
              <w:rPr>
                <w:rFonts w:ascii="Arial" w:cs="Arial" w:eastAsia="Arial" w:hAnsi="Arial"/>
                <w:sz w:val="14"/>
                <w:szCs w:val="14"/>
                <w:b w:val="1"/>
                <w:bCs w:val="1"/>
                <w:color w:val="4CCEDE"/>
              </w:rPr>
              <w:t>Susan L. Main</w:t>
            </w:r>
          </w:p>
        </w:tc>
        <w:tc>
          <w:tcPr>
            <w:tcW w:w="2320" w:type="dxa"/>
            <w:vAlign w:val="bottom"/>
            <w:tcBorders>
              <w:bottom w:val="single" w:sz="8" w:color="867F7C"/>
            </w:tcBorders>
          </w:tcPr>
          <w:p>
            <w:pPr>
              <w:jc w:val="center"/>
              <w:ind w:left="148"/>
              <w:spacing w:after="0"/>
              <w:rPr>
                <w:sz w:val="20"/>
                <w:szCs w:val="20"/>
                <w:color w:val="auto"/>
              </w:rPr>
            </w:pPr>
            <w:r>
              <w:rPr>
                <w:rFonts w:ascii="Arial" w:cs="Arial" w:eastAsia="Arial" w:hAnsi="Arial"/>
                <w:sz w:val="14"/>
                <w:szCs w:val="14"/>
                <w:b w:val="1"/>
                <w:bCs w:val="1"/>
                <w:color w:val="4CCEDE"/>
              </w:rPr>
              <w:t>Steven D. Bishop</w:t>
            </w:r>
          </w:p>
        </w:tc>
        <w:tc>
          <w:tcPr>
            <w:tcW w:w="2460" w:type="dxa"/>
            <w:vAlign w:val="bottom"/>
            <w:tcBorders>
              <w:bottom w:val="single" w:sz="8" w:color="867F7C"/>
            </w:tcBorders>
          </w:tcPr>
          <w:p>
            <w:pPr>
              <w:jc w:val="center"/>
              <w:spacing w:after="0"/>
              <w:rPr>
                <w:sz w:val="20"/>
                <w:szCs w:val="20"/>
                <w:color w:val="auto"/>
              </w:rPr>
            </w:pPr>
            <w:r>
              <w:rPr>
                <w:rFonts w:ascii="Arial" w:cs="Arial" w:eastAsia="Arial" w:hAnsi="Arial"/>
                <w:sz w:val="14"/>
                <w:szCs w:val="14"/>
                <w:b w:val="1"/>
                <w:bCs w:val="1"/>
                <w:color w:val="4CCEDE"/>
              </w:rPr>
              <w:t>Steven D. Bishop</w:t>
            </w:r>
          </w:p>
        </w:tc>
        <w:tc>
          <w:tcPr>
            <w:tcW w:w="2100" w:type="dxa"/>
            <w:vAlign w:val="bottom"/>
            <w:tcBorders>
              <w:bottom w:val="single" w:sz="8" w:color="867F7C"/>
            </w:tcBorders>
          </w:tcPr>
          <w:p>
            <w:pPr>
              <w:jc w:val="center"/>
              <w:ind w:right="8"/>
              <w:spacing w:after="0"/>
              <w:rPr>
                <w:sz w:val="20"/>
                <w:szCs w:val="20"/>
                <w:color w:val="auto"/>
              </w:rPr>
            </w:pPr>
            <w:r>
              <w:rPr>
                <w:rFonts w:ascii="Arial" w:cs="Arial" w:eastAsia="Arial" w:hAnsi="Arial"/>
                <w:sz w:val="14"/>
                <w:szCs w:val="14"/>
                <w:b w:val="1"/>
                <w:bCs w:val="1"/>
                <w:color w:val="4CCEDE"/>
              </w:rPr>
              <w:t>Sanat Chattopadhyay</w:t>
            </w:r>
          </w:p>
        </w:tc>
      </w:tr>
      <w:tr>
        <w:trPr>
          <w:trHeight w:val="196"/>
        </w:trPr>
        <w:tc>
          <w:tcPr>
            <w:tcW w:w="2200" w:type="dxa"/>
            <w:vAlign w:val="bottom"/>
            <w:tcBorders>
              <w:bottom w:val="single" w:sz="8" w:color="867F7C"/>
            </w:tcBorders>
          </w:tcPr>
          <w:p>
            <w:pPr>
              <w:jc w:val="center"/>
              <w:ind w:left="28"/>
              <w:spacing w:after="0"/>
              <w:rPr>
                <w:sz w:val="20"/>
                <w:szCs w:val="20"/>
                <w:color w:val="auto"/>
              </w:rPr>
            </w:pPr>
            <w:r>
              <w:rPr>
                <w:rFonts w:ascii="Arial" w:cs="Arial" w:eastAsia="Arial" w:hAnsi="Arial"/>
                <w:sz w:val="14"/>
                <w:szCs w:val="14"/>
                <w:b w:val="1"/>
                <w:bCs w:val="1"/>
                <w:color w:val="4CCEDE"/>
              </w:rPr>
              <w:t>Jerome A. Peribere</w:t>
            </w:r>
          </w:p>
        </w:tc>
        <w:tc>
          <w:tcPr>
            <w:tcW w:w="2320" w:type="dxa"/>
            <w:vAlign w:val="bottom"/>
            <w:tcBorders>
              <w:bottom w:val="single" w:sz="8" w:color="867F7C"/>
            </w:tcBorders>
          </w:tcPr>
          <w:p>
            <w:pPr>
              <w:jc w:val="center"/>
              <w:ind w:left="168"/>
              <w:spacing w:after="0"/>
              <w:rPr>
                <w:sz w:val="20"/>
                <w:szCs w:val="20"/>
                <w:color w:val="auto"/>
              </w:rPr>
            </w:pPr>
            <w:r>
              <w:rPr>
                <w:rFonts w:ascii="Arial" w:cs="Arial" w:eastAsia="Arial" w:hAnsi="Arial"/>
                <w:sz w:val="14"/>
                <w:szCs w:val="14"/>
                <w:b w:val="1"/>
                <w:bCs w:val="1"/>
                <w:color w:val="4CCEDE"/>
              </w:rPr>
              <w:t>Susan L. Main</w:t>
            </w:r>
          </w:p>
        </w:tc>
        <w:tc>
          <w:tcPr>
            <w:tcW w:w="2460" w:type="dxa"/>
            <w:vAlign w:val="bottom"/>
            <w:tcBorders>
              <w:bottom w:val="single" w:sz="8" w:color="867F7C"/>
            </w:tcBorders>
          </w:tcPr>
          <w:p>
            <w:pPr>
              <w:jc w:val="center"/>
              <w:spacing w:after="0"/>
              <w:rPr>
                <w:sz w:val="20"/>
                <w:szCs w:val="20"/>
                <w:color w:val="auto"/>
              </w:rPr>
            </w:pPr>
            <w:r>
              <w:rPr>
                <w:rFonts w:ascii="Arial" w:cs="Arial" w:eastAsia="Arial" w:hAnsi="Arial"/>
                <w:sz w:val="14"/>
                <w:szCs w:val="14"/>
                <w:b w:val="1"/>
                <w:bCs w:val="1"/>
                <w:color w:val="4CCEDE"/>
              </w:rPr>
              <w:t>Ashish K. Kulkarni</w:t>
            </w:r>
          </w:p>
        </w:tc>
        <w:tc>
          <w:tcPr>
            <w:tcW w:w="2100" w:type="dxa"/>
            <w:vAlign w:val="bottom"/>
            <w:tcBorders>
              <w:bottom w:val="single" w:sz="8" w:color="867F7C"/>
            </w:tcBorders>
          </w:tcPr>
          <w:p>
            <w:pPr>
              <w:jc w:val="center"/>
              <w:ind w:right="8"/>
              <w:spacing w:after="0"/>
              <w:rPr>
                <w:sz w:val="20"/>
                <w:szCs w:val="20"/>
                <w:color w:val="auto"/>
              </w:rPr>
            </w:pPr>
            <w:r>
              <w:rPr>
                <w:rFonts w:ascii="Arial" w:cs="Arial" w:eastAsia="Arial" w:hAnsi="Arial"/>
                <w:sz w:val="14"/>
                <w:szCs w:val="14"/>
                <w:b w:val="1"/>
                <w:bCs w:val="1"/>
                <w:color w:val="4CCEDE"/>
              </w:rPr>
              <w:t>Suzan F. Harrison</w:t>
            </w:r>
          </w:p>
        </w:tc>
      </w:tr>
      <w:tr>
        <w:trPr>
          <w:trHeight w:val="195"/>
        </w:trPr>
        <w:tc>
          <w:tcPr>
            <w:tcW w:w="2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4CCEDE"/>
              </w:rPr>
              <w:t>Scott A. Tozier</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4CCEDE"/>
              </w:rPr>
              <w:t>Ashish K. Kulkarni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760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3"/>
          <w:szCs w:val="13"/>
          <w:color w:val="auto"/>
        </w:rPr>
      </w:pPr>
      <w:r>
        <w:rPr>
          <w:rFonts w:ascii="Arial" w:cs="Arial" w:eastAsia="Arial" w:hAnsi="Arial"/>
          <w:sz w:val="13"/>
          <w:szCs w:val="13"/>
          <w:color w:val="auto"/>
        </w:rPr>
        <w:t>Chair</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867F7C"/>
        </w:rPr>
        <w:t>corporate governance</w:t>
      </w: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Following are descriptions of the primary responsibilities of each committee and the number of meetings held during fiscal 2025. Each committee’s charter is available on Ashland’s website (</w:t>
      </w:r>
      <w:r>
        <w:rPr>
          <w:rFonts w:ascii="Arial" w:cs="Arial" w:eastAsia="Arial" w:hAnsi="Arial"/>
          <w:sz w:val="18"/>
          <w:szCs w:val="18"/>
          <w:i w:val="1"/>
          <w:iCs w:val="1"/>
          <w:color w:val="auto"/>
        </w:rPr>
        <w:t>http://investor.ashland.com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57607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4740" w:val="left"/>
        </w:tabs>
        <w:rPr>
          <w:sz w:val="20"/>
          <w:szCs w:val="20"/>
          <w:color w:val="auto"/>
        </w:rPr>
      </w:pPr>
      <w:r>
        <w:rPr>
          <w:rFonts w:ascii="Arial" w:cs="Arial" w:eastAsia="Arial" w:hAnsi="Arial"/>
          <w:sz w:val="27"/>
          <w:szCs w:val="27"/>
          <w:b w:val="1"/>
          <w:bCs w:val="1"/>
          <w:color w:val="4CCEDE"/>
        </w:rPr>
        <w:t>audit committee</w:t>
      </w:r>
      <w:r>
        <w:rPr>
          <w:sz w:val="20"/>
          <w:szCs w:val="20"/>
          <w:color w:val="auto"/>
        </w:rPr>
        <w:tab/>
      </w:r>
      <w:r>
        <w:rPr>
          <w:rFonts w:ascii="Arial" w:cs="Arial" w:eastAsia="Arial" w:hAnsi="Arial"/>
          <w:sz w:val="27"/>
          <w:szCs w:val="27"/>
          <w:b w:val="1"/>
          <w:bCs w:val="1"/>
          <w:color w:val="867F7C"/>
        </w:rPr>
        <w:t xml:space="preserve">meetings in fiscal 2025: </w:t>
      </w:r>
      <w:r>
        <w:rPr>
          <w:rFonts w:ascii="Arial" w:cs="Arial" w:eastAsia="Arial" w:hAnsi="Arial"/>
          <w:sz w:val="27"/>
          <w:szCs w:val="27"/>
          <w:color w:val="867F7C"/>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760720" cy="1156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6072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80"/>
        <w:spacing w:after="0"/>
        <w:tabs>
          <w:tab w:leader="none" w:pos="3660" w:val="left"/>
          <w:tab w:leader="none" w:pos="5460" w:val="left"/>
        </w:tabs>
        <w:rPr>
          <w:sz w:val="20"/>
          <w:szCs w:val="20"/>
          <w:color w:val="auto"/>
        </w:rPr>
      </w:pPr>
      <w:r>
        <w:rPr>
          <w:rFonts w:ascii="Arial" w:cs="Arial" w:eastAsia="Arial" w:hAnsi="Arial"/>
          <w:sz w:val="14"/>
          <w:szCs w:val="14"/>
          <w:color w:val="auto"/>
        </w:rPr>
        <w:t>Scott A. Tozier</w:t>
      </w:r>
      <w:r>
        <w:rPr>
          <w:sz w:val="20"/>
          <w:szCs w:val="20"/>
          <w:color w:val="auto"/>
        </w:rPr>
        <w:tab/>
      </w:r>
      <w:r>
        <w:rPr>
          <w:rFonts w:ascii="Arial" w:cs="Arial" w:eastAsia="Arial" w:hAnsi="Arial"/>
          <w:sz w:val="14"/>
          <w:szCs w:val="14"/>
          <w:color w:val="auto"/>
        </w:rPr>
        <w:t>Susan L. Main</w:t>
      </w:r>
      <w:r>
        <w:rPr>
          <w:sz w:val="20"/>
          <w:szCs w:val="20"/>
          <w:color w:val="auto"/>
        </w:rPr>
        <w:tab/>
      </w:r>
      <w:r>
        <w:rPr>
          <w:rFonts w:ascii="Arial" w:cs="Arial" w:eastAsia="Arial" w:hAnsi="Arial"/>
          <w:sz w:val="14"/>
          <w:szCs w:val="14"/>
          <w:color w:val="auto"/>
        </w:rPr>
        <w:t>Jerome A. Peribere</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14"/>
          <w:szCs w:val="14"/>
          <w:i w:val="1"/>
          <w:iCs w:val="1"/>
          <w:color w:val="4CCEDE"/>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48260</wp:posOffset>
            </wp:positionV>
            <wp:extent cx="3505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1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867F7C"/>
        </w:rPr>
        <w:t>summary of responsibilities</w:t>
      </w:r>
    </w:p>
    <w:p>
      <w:pPr>
        <w:spacing w:after="0" w:line="112" w:lineRule="exact"/>
        <w:rPr>
          <w:sz w:val="20"/>
          <w:szCs w:val="20"/>
          <w:color w:val="auto"/>
        </w:rPr>
      </w:pPr>
    </w:p>
    <w:p>
      <w:pPr>
        <w:ind w:left="220" w:right="60" w:hanging="112"/>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Ashland’s financial reporting process,</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including earnings releases and the filing of financial reports.</w:t>
      </w:r>
    </w:p>
    <w:p>
      <w:pPr>
        <w:spacing w:after="0" w:line="62" w:lineRule="exact"/>
        <w:rPr>
          <w:sz w:val="20"/>
          <w:szCs w:val="20"/>
          <w:color w:val="auto"/>
        </w:rPr>
      </w:pPr>
    </w:p>
    <w:p>
      <w:pPr>
        <w:ind w:left="220" w:right="140" w:hanging="112"/>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management’s implementation and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maintenance of adequate systems of internal accounting and financial controls (including internal control over financial reporting).</w:t>
      </w:r>
    </w:p>
    <w:p>
      <w:pPr>
        <w:spacing w:after="0" w:line="68" w:lineRule="exact"/>
        <w:rPr>
          <w:sz w:val="20"/>
          <w:szCs w:val="20"/>
          <w:color w:val="auto"/>
        </w:rPr>
      </w:pPr>
    </w:p>
    <w:p>
      <w:pPr>
        <w:ind w:left="220" w:right="340" w:hanging="112"/>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Evaluates ESG disclosures and confirms ESG</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framework and standards, and disclosure control systems.</w:t>
      </w:r>
    </w:p>
    <w:p>
      <w:pPr>
        <w:spacing w:after="0" w:line="62" w:lineRule="exact"/>
        <w:rPr>
          <w:sz w:val="20"/>
          <w:szCs w:val="20"/>
          <w:color w:val="auto"/>
        </w:rPr>
      </w:pPr>
    </w:p>
    <w:p>
      <w:pPr>
        <w:ind w:left="220" w:right="100" w:hanging="112"/>
        <w:spacing w:after="0" w:line="274" w:lineRule="auto"/>
        <w:rPr>
          <w:sz w:val="20"/>
          <w:szCs w:val="20"/>
          <w:color w:val="auto"/>
        </w:rPr>
      </w:pPr>
      <w:r>
        <w:rPr>
          <w:rFonts w:ascii="Times New Roman" w:cs="Times New Roman" w:eastAsia="Times New Roman" w:hAnsi="Times New Roman"/>
          <w:sz w:val="17"/>
          <w:szCs w:val="17"/>
          <w:color w:val="4CCEDE"/>
        </w:rPr>
        <w:t xml:space="preserve">o </w:t>
      </w:r>
      <w:r>
        <w:rPr>
          <w:rFonts w:ascii="Arial" w:cs="Arial" w:eastAsia="Arial" w:hAnsi="Arial"/>
          <w:sz w:val="17"/>
          <w:szCs w:val="17"/>
          <w:color w:val="000000"/>
        </w:rPr>
        <w:t>Selects independent auditors based on qualification</w:t>
      </w:r>
      <w:r>
        <w:rPr>
          <w:rFonts w:ascii="Times New Roman" w:cs="Times New Roman" w:eastAsia="Times New Roman" w:hAnsi="Times New Roman"/>
          <w:sz w:val="17"/>
          <w:szCs w:val="17"/>
          <w:color w:val="4CCEDE"/>
        </w:rPr>
        <w:t xml:space="preserve"> </w:t>
      </w:r>
      <w:r>
        <w:rPr>
          <w:rFonts w:ascii="Arial" w:cs="Arial" w:eastAsia="Arial" w:hAnsi="Arial"/>
          <w:sz w:val="17"/>
          <w:szCs w:val="17"/>
          <w:color w:val="000000"/>
        </w:rPr>
        <w:t>and independence and approves audit fees and services performed by the independent auditors.</w:t>
      </w:r>
    </w:p>
    <w:p>
      <w:pPr>
        <w:spacing w:after="0" w:line="44" w:lineRule="exact"/>
        <w:rPr>
          <w:sz w:val="20"/>
          <w:szCs w:val="20"/>
          <w:color w:val="auto"/>
        </w:rPr>
      </w:pPr>
    </w:p>
    <w:p>
      <w:pPr>
        <w:ind w:left="220" w:right="320" w:hanging="112"/>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the effectiveness of Ashland’s legal and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regulatory compliance programs.</w:t>
      </w:r>
    </w:p>
    <w:p>
      <w:pPr>
        <w:spacing w:after="0" w:line="47" w:lineRule="exact"/>
        <w:rPr>
          <w:sz w:val="20"/>
          <w:szCs w:val="20"/>
          <w:color w:val="auto"/>
        </w:rPr>
      </w:pPr>
    </w:p>
    <w:p>
      <w:pPr>
        <w:ind w:left="220" w:hanging="112"/>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Discusses the overall scope and plans for audits with</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both internal and independent auditors.</w:t>
      </w:r>
    </w:p>
    <w:p>
      <w:pPr>
        <w:spacing w:after="0" w:line="47" w:lineRule="exact"/>
        <w:rPr>
          <w:sz w:val="20"/>
          <w:szCs w:val="20"/>
          <w:color w:val="auto"/>
        </w:rPr>
      </w:pPr>
    </w:p>
    <w:p>
      <w:pPr>
        <w:ind w:left="220" w:right="40" w:hanging="112"/>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and investigates any matters pertaining to</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the integrity of executive management and oversees compliance by management with laws, regulations and Ashland’s Global Code of Conduct.</w:t>
      </w:r>
    </w:p>
    <w:p>
      <w:pPr>
        <w:spacing w:after="0" w:line="68" w:lineRule="exact"/>
        <w:rPr>
          <w:sz w:val="20"/>
          <w:szCs w:val="20"/>
          <w:color w:val="auto"/>
        </w:rPr>
      </w:pPr>
    </w:p>
    <w:p>
      <w:pPr>
        <w:ind w:left="220" w:right="180" w:hanging="112"/>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Establishes and maintains procedures for handling</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complaints regarding accounting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5760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right="180" w:hanging="109"/>
        <w:spacing w:after="0" w:line="243"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and oversees Ashland’s capital allocation</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framework, including prioritization, significant decisions and risk considerations relating to Ashland’s financial resources, capital structure and investments and uses of cash.</w:t>
      </w:r>
    </w:p>
    <w:p>
      <w:pPr>
        <w:spacing w:after="0" w:line="71" w:lineRule="exact"/>
        <w:rPr>
          <w:sz w:val="20"/>
          <w:szCs w:val="20"/>
          <w:color w:val="auto"/>
        </w:rPr>
      </w:pPr>
    </w:p>
    <w:p>
      <w:pPr>
        <w:ind w:right="180" w:hanging="109"/>
        <w:spacing w:after="0" w:line="243"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Ashland’s enterprise risk assessment and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risk management policies, including Ashland’s major enterprise and financial risk exposures and steps taken by management to monitor and mitigate such exposures.</w:t>
      </w:r>
    </w:p>
    <w:p>
      <w:pPr>
        <w:spacing w:after="0" w:line="71" w:lineRule="exact"/>
        <w:rPr>
          <w:sz w:val="20"/>
          <w:szCs w:val="20"/>
          <w:color w:val="auto"/>
        </w:rPr>
      </w:pPr>
    </w:p>
    <w:p>
      <w:pPr>
        <w:ind w:right="120" w:hanging="109"/>
        <w:spacing w:after="0" w:line="23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Evaluates and recommends actions regarding</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significant financial issues such as capital structure, dividend policy, offerings of corporate securities, major borrowings, credit facilities, derivatives and swaps policies (including entry into swaps in reliance on the end-user exception), past audits of capital investments, capital projects, commercial commitments and merger, acquisition and divestiture activities.</w:t>
      </w:r>
    </w:p>
    <w:p>
      <w:pPr>
        <w:spacing w:after="0" w:line="74" w:lineRule="exact"/>
        <w:rPr>
          <w:sz w:val="20"/>
          <w:szCs w:val="20"/>
          <w:color w:val="auto"/>
        </w:rPr>
      </w:pPr>
    </w:p>
    <w:p>
      <w:pPr>
        <w:ind w:right="24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funding and investment policy related to</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employee benefit plans.</w:t>
      </w:r>
    </w:p>
    <w:p>
      <w:pPr>
        <w:spacing w:after="0" w:line="47" w:lineRule="exact"/>
        <w:rPr>
          <w:sz w:val="20"/>
          <w:szCs w:val="20"/>
          <w:color w:val="auto"/>
        </w:rPr>
      </w:pPr>
    </w:p>
    <w:p>
      <w:pPr>
        <w:ind w:right="500" w:hanging="109"/>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performance and operation of internal</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audit, including the head of internal audit, and reviews adverse audit reports.</w:t>
      </w:r>
    </w:p>
    <w:p>
      <w:pPr>
        <w:spacing w:after="0" w:line="62" w:lineRule="exact"/>
        <w:rPr>
          <w:sz w:val="20"/>
          <w:szCs w:val="20"/>
          <w:color w:val="auto"/>
        </w:rPr>
      </w:pPr>
    </w:p>
    <w:p>
      <w:pPr>
        <w:ind w:right="100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the Company’s information and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cybersecurity risks and programs.</w:t>
      </w:r>
    </w:p>
    <w:p>
      <w:pPr>
        <w:spacing w:after="0" w:line="200" w:lineRule="exact"/>
        <w:rPr>
          <w:sz w:val="20"/>
          <w:szCs w:val="20"/>
          <w:color w:val="auto"/>
        </w:rPr>
      </w:pPr>
    </w:p>
    <w:p>
      <w:pPr>
        <w:sectPr>
          <w:pgSz w:w="11900" w:h="16838" w:orient="portrait"/>
          <w:cols w:equalWidth="0" w:num="2">
            <w:col w:w="4440" w:space="420"/>
            <w:col w:w="4220"/>
          </w:cols>
          <w:pgMar w:left="1400" w:top="769" w:right="1419" w:bottom="1440" w:gutter="0" w:footer="0" w:header="0"/>
          <w:type w:val="continuous"/>
        </w:sectPr>
      </w:pPr>
    </w:p>
    <w:p>
      <w:pPr>
        <w:spacing w:after="0" w:line="189" w:lineRule="exact"/>
        <w:rPr>
          <w:sz w:val="20"/>
          <w:szCs w:val="20"/>
          <w:color w:val="auto"/>
        </w:rPr>
      </w:pPr>
    </w:p>
    <w:p>
      <w:pPr>
        <w:ind w:left="726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486410</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867F7C"/>
        </w:rPr>
        <w:t>corporate governance</w:t>
      </w:r>
    </w:p>
    <w:p>
      <w:pPr>
        <w:spacing w:after="0" w:line="228" w:lineRule="exact"/>
        <w:rPr>
          <w:sz w:val="20"/>
          <w:szCs w:val="20"/>
          <w:color w:val="auto"/>
        </w:rPr>
      </w:pPr>
    </w:p>
    <w:p>
      <w:pPr>
        <w:ind w:left="120"/>
        <w:spacing w:after="0"/>
        <w:tabs>
          <w:tab w:leader="none" w:pos="4740" w:val="left"/>
        </w:tabs>
        <w:rPr>
          <w:sz w:val="20"/>
          <w:szCs w:val="20"/>
          <w:color w:val="auto"/>
        </w:rPr>
      </w:pPr>
      <w:r>
        <w:rPr>
          <w:rFonts w:ascii="Arial" w:cs="Arial" w:eastAsia="Arial" w:hAnsi="Arial"/>
          <w:sz w:val="27"/>
          <w:szCs w:val="27"/>
          <w:b w:val="1"/>
          <w:bCs w:val="1"/>
          <w:color w:val="4CCEDE"/>
        </w:rPr>
        <w:t>compensation committee</w:t>
      </w:r>
      <w:r>
        <w:rPr>
          <w:sz w:val="20"/>
          <w:szCs w:val="20"/>
          <w:color w:val="auto"/>
        </w:rPr>
        <w:tab/>
      </w:r>
      <w:r>
        <w:rPr>
          <w:rFonts w:ascii="Arial" w:cs="Arial" w:eastAsia="Arial" w:hAnsi="Arial"/>
          <w:sz w:val="27"/>
          <w:szCs w:val="27"/>
          <w:b w:val="1"/>
          <w:bCs w:val="1"/>
          <w:color w:val="867F7C"/>
        </w:rPr>
        <w:t xml:space="preserve">meetings in fiscal 2025: </w:t>
      </w:r>
      <w:r>
        <w:rPr>
          <w:rFonts w:ascii="Arial" w:cs="Arial" w:eastAsia="Arial" w:hAnsi="Arial"/>
          <w:sz w:val="27"/>
          <w:szCs w:val="27"/>
          <w:color w:val="867F7C"/>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57607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5760720" cy="1156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6072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80"/>
        <w:spacing w:after="0"/>
        <w:tabs>
          <w:tab w:leader="none" w:pos="3680" w:val="left"/>
          <w:tab w:leader="none" w:pos="5480" w:val="left"/>
        </w:tabs>
        <w:rPr>
          <w:sz w:val="20"/>
          <w:szCs w:val="20"/>
          <w:color w:val="auto"/>
        </w:rPr>
      </w:pPr>
      <w:r>
        <w:rPr>
          <w:rFonts w:ascii="Arial" w:cs="Arial" w:eastAsia="Arial" w:hAnsi="Arial"/>
          <w:sz w:val="14"/>
          <w:szCs w:val="14"/>
          <w:color w:val="auto"/>
        </w:rPr>
        <w:t>Suzan F. Harrison</w:t>
      </w:r>
      <w:r>
        <w:rPr>
          <w:sz w:val="20"/>
          <w:szCs w:val="20"/>
          <w:color w:val="auto"/>
        </w:rPr>
        <w:tab/>
      </w:r>
      <w:r>
        <w:rPr>
          <w:rFonts w:ascii="Arial" w:cs="Arial" w:eastAsia="Arial" w:hAnsi="Arial"/>
          <w:sz w:val="14"/>
          <w:szCs w:val="14"/>
          <w:color w:val="auto"/>
        </w:rPr>
        <w:t>Steven D. Bishop</w:t>
      </w:r>
      <w:r>
        <w:rPr>
          <w:sz w:val="20"/>
          <w:szCs w:val="20"/>
          <w:color w:val="auto"/>
        </w:rPr>
        <w:tab/>
      </w:r>
      <w:r>
        <w:rPr>
          <w:rFonts w:ascii="Arial" w:cs="Arial" w:eastAsia="Arial" w:hAnsi="Arial"/>
          <w:sz w:val="14"/>
          <w:szCs w:val="14"/>
          <w:color w:val="auto"/>
        </w:rPr>
        <w:t>Susan L. Main</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14"/>
          <w:szCs w:val="14"/>
          <w:i w:val="1"/>
          <w:iCs w:val="1"/>
          <w:color w:val="4CCEDE"/>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48260</wp:posOffset>
            </wp:positionV>
            <wp:extent cx="3505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1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867F7C"/>
        </w:rPr>
        <w:t>summary of responsibilities</w:t>
      </w:r>
    </w:p>
    <w:p>
      <w:pPr>
        <w:spacing w:after="0" w:line="112" w:lineRule="exact"/>
        <w:rPr>
          <w:sz w:val="20"/>
          <w:szCs w:val="20"/>
          <w:color w:val="auto"/>
        </w:rPr>
      </w:pPr>
    </w:p>
    <w:p>
      <w:pPr>
        <w:ind w:left="220" w:right="100" w:hanging="109"/>
        <w:spacing w:after="0" w:line="265" w:lineRule="auto"/>
        <w:rPr>
          <w:sz w:val="20"/>
          <w:szCs w:val="20"/>
          <w:color w:val="auto"/>
        </w:rPr>
      </w:pPr>
      <w:r>
        <w:rPr>
          <w:rFonts w:ascii="Times New Roman" w:cs="Times New Roman" w:eastAsia="Times New Roman" w:hAnsi="Times New Roman"/>
          <w:sz w:val="17"/>
          <w:szCs w:val="17"/>
          <w:color w:val="4CCEDE"/>
        </w:rPr>
        <w:t xml:space="preserve">o </w:t>
      </w:r>
      <w:r>
        <w:rPr>
          <w:rFonts w:ascii="Arial" w:cs="Arial" w:eastAsia="Arial" w:hAnsi="Arial"/>
          <w:sz w:val="17"/>
          <w:szCs w:val="17"/>
          <w:color w:val="000000"/>
        </w:rPr>
        <w:t>Ensures Ashland’s executive compensation</w:t>
      </w:r>
      <w:r>
        <w:rPr>
          <w:rFonts w:ascii="Times New Roman" w:cs="Times New Roman" w:eastAsia="Times New Roman" w:hAnsi="Times New Roman"/>
          <w:sz w:val="17"/>
          <w:szCs w:val="17"/>
          <w:color w:val="4CCEDE"/>
        </w:rPr>
        <w:t xml:space="preserve"> </w:t>
      </w:r>
      <w:r>
        <w:rPr>
          <w:rFonts w:ascii="Arial" w:cs="Arial" w:eastAsia="Arial" w:hAnsi="Arial"/>
          <w:sz w:val="17"/>
          <w:szCs w:val="17"/>
          <w:color w:val="000000"/>
        </w:rPr>
        <w:t>programs are appropriately competitive, supports organizational objectives and stockholder interests and emphasizes pay for performance linkage.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Evaluates and approves compensation and sets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performance criteria for compensation programs</w:t>
      </w:r>
    </w:p>
    <w:p>
      <w:pPr>
        <w:ind w:left="220"/>
        <w:spacing w:after="0"/>
        <w:rPr>
          <w:sz w:val="20"/>
          <w:szCs w:val="20"/>
          <w:color w:val="auto"/>
        </w:rPr>
      </w:pPr>
      <w:r>
        <w:rPr>
          <w:rFonts w:ascii="Arial" w:cs="Arial" w:eastAsia="Arial" w:hAnsi="Arial"/>
          <w:sz w:val="18"/>
          <w:szCs w:val="18"/>
          <w:color w:val="auto"/>
        </w:rPr>
        <w:t>with respect to Ashland’s Chief Executive Officer.</w:t>
      </w:r>
    </w:p>
    <w:p>
      <w:pPr>
        <w:spacing w:after="0" w:line="86" w:lineRule="exact"/>
        <w:rPr>
          <w:sz w:val="20"/>
          <w:szCs w:val="20"/>
          <w:color w:val="auto"/>
        </w:rPr>
      </w:pPr>
    </w:p>
    <w:p>
      <w:pPr>
        <w:ind w:left="220" w:hanging="109"/>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Evaluates and approves compensation and sets</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performance criteria for compensation programs for all executive officers (including all officers subject to Section 16 of the Exchange Act).</w:t>
      </w:r>
    </w:p>
    <w:p>
      <w:pPr>
        <w:spacing w:after="0" w:line="68" w:lineRule="exact"/>
        <w:rPr>
          <w:sz w:val="20"/>
          <w:szCs w:val="20"/>
          <w:color w:val="auto"/>
        </w:rPr>
      </w:pPr>
    </w:p>
    <w:p>
      <w:pPr>
        <w:ind w:left="220" w:right="140" w:hanging="109"/>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the execution of Chief Executive Officer</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and senior management development and succession plans, including HR-related business continuity plans.</w:t>
      </w:r>
    </w:p>
    <w:p>
      <w:pPr>
        <w:spacing w:after="0" w:line="68" w:lineRule="exact"/>
        <w:rPr>
          <w:sz w:val="20"/>
          <w:szCs w:val="20"/>
          <w:color w:val="auto"/>
        </w:rPr>
      </w:pPr>
    </w:p>
    <w:p>
      <w:pPr>
        <w:jc w:val="both"/>
        <w:ind w:left="220" w:right="160" w:hanging="109"/>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Evaluates and approves the compensation of the</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Company’s non-employee directors for service on the Board and its committees.</w:t>
      </w:r>
    </w:p>
    <w:p>
      <w:pPr>
        <w:spacing w:after="0" w:line="62" w:lineRule="exact"/>
        <w:rPr>
          <w:sz w:val="20"/>
          <w:szCs w:val="20"/>
          <w:color w:val="auto"/>
        </w:rPr>
      </w:pPr>
    </w:p>
    <w:p>
      <w:pPr>
        <w:jc w:val="both"/>
        <w:ind w:left="220" w:right="580" w:hanging="109"/>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and oversees the stock ownership</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guidelines applicable to the Company’s non-employee directors.</w:t>
      </w:r>
    </w:p>
    <w:p>
      <w:pPr>
        <w:spacing w:after="0" w:line="156" w:lineRule="exact"/>
        <w:rPr>
          <w:sz w:val="20"/>
          <w:szCs w:val="20"/>
          <w:color w:val="auto"/>
        </w:rPr>
      </w:pPr>
    </w:p>
    <w:p>
      <w:pPr>
        <w:ind w:left="220" w:right="6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the implementation and administration of</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Ashland’s executive compensation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right="180" w:hanging="109"/>
        <w:spacing w:after="0" w:line="243"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Approves any employment agreements, consulting</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arrangements, severance or retirement arrangements, change in control agreements and/or any other special or supplemental benefits covering any current or former executive officer.</w:t>
      </w:r>
    </w:p>
    <w:p>
      <w:pPr>
        <w:spacing w:after="0" w:line="71" w:lineRule="exact"/>
        <w:rPr>
          <w:sz w:val="20"/>
          <w:szCs w:val="20"/>
          <w:color w:val="auto"/>
        </w:rPr>
      </w:pPr>
    </w:p>
    <w:p>
      <w:pPr>
        <w:ind w:right="100" w:hanging="109"/>
        <w:spacing w:after="0" w:line="243"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Monitors and evaluates Ashland’s compensation</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and benefits structure, providing guidance on philosophy, policy matters and excessive risk taking (including Committee specific ESG related activities).</w:t>
      </w:r>
    </w:p>
    <w:p>
      <w:pPr>
        <w:spacing w:after="0" w:line="71" w:lineRule="exact"/>
        <w:rPr>
          <w:sz w:val="20"/>
          <w:szCs w:val="20"/>
          <w:color w:val="auto"/>
        </w:rPr>
      </w:pPr>
    </w:p>
    <w:p>
      <w:pPr>
        <w:ind w:right="200" w:hanging="109"/>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regulatory compliance on compensation</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matters, including Ashland’s policies on structuring compensation programs to preserve tax deductibility.</w:t>
      </w:r>
    </w:p>
    <w:p>
      <w:pPr>
        <w:spacing w:after="0" w:line="68" w:lineRule="exact"/>
        <w:rPr>
          <w:sz w:val="20"/>
          <w:szCs w:val="20"/>
          <w:color w:val="auto"/>
        </w:rPr>
      </w:pPr>
    </w:p>
    <w:p>
      <w:pPr>
        <w:ind w:right="34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the preparation of the annual report on</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executive compensation.</w:t>
      </w:r>
    </w:p>
    <w:p>
      <w:pPr>
        <w:spacing w:after="0" w:line="47" w:lineRule="exact"/>
        <w:rPr>
          <w:sz w:val="20"/>
          <w:szCs w:val="20"/>
          <w:color w:val="auto"/>
        </w:rPr>
      </w:pPr>
    </w:p>
    <w:p>
      <w:pPr>
        <w:ind w:right="460" w:hanging="109"/>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the retention of compensation</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consultants, independent legal counsel or other advisors and determines independence of the same.</w:t>
      </w:r>
    </w:p>
    <w:p>
      <w:pPr>
        <w:spacing w:after="0" w:line="68" w:lineRule="exact"/>
        <w:rPr>
          <w:sz w:val="20"/>
          <w:szCs w:val="20"/>
          <w:color w:val="auto"/>
        </w:rPr>
      </w:pPr>
    </w:p>
    <w:p>
      <w:pPr>
        <w:ind w:right="20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progress on talent, succession planning,</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pay equity, inclusion and diversity.</w:t>
      </w:r>
    </w:p>
    <w:p>
      <w:pPr>
        <w:spacing w:after="0" w:line="47" w:lineRule="exact"/>
        <w:rPr>
          <w:sz w:val="20"/>
          <w:szCs w:val="20"/>
          <w:color w:val="auto"/>
        </w:rPr>
      </w:pPr>
    </w:p>
    <w:p>
      <w:pPr>
        <w:ind w:right="420" w:hanging="109"/>
        <w:spacing w:after="0" w:line="299" w:lineRule="auto"/>
        <w:rPr>
          <w:sz w:val="20"/>
          <w:szCs w:val="20"/>
          <w:color w:val="auto"/>
        </w:rPr>
      </w:pPr>
      <w:r>
        <w:rPr>
          <w:rFonts w:ascii="Times New Roman" w:cs="Times New Roman" w:eastAsia="Times New Roman" w:hAnsi="Times New Roman"/>
          <w:sz w:val="17"/>
          <w:szCs w:val="17"/>
          <w:color w:val="4CCEDE"/>
        </w:rPr>
        <w:t xml:space="preserve">o </w:t>
      </w:r>
      <w:r>
        <w:rPr>
          <w:rFonts w:ascii="Arial" w:cs="Arial" w:eastAsia="Arial" w:hAnsi="Arial"/>
          <w:sz w:val="17"/>
          <w:szCs w:val="17"/>
          <w:color w:val="000000"/>
        </w:rPr>
        <w:t>Adopts, amends, terminates and performs other</w:t>
      </w:r>
      <w:r>
        <w:rPr>
          <w:rFonts w:ascii="Times New Roman" w:cs="Times New Roman" w:eastAsia="Times New Roman" w:hAnsi="Times New Roman"/>
          <w:sz w:val="17"/>
          <w:szCs w:val="17"/>
          <w:color w:val="4CCEDE"/>
        </w:rPr>
        <w:t xml:space="preserve"> </w:t>
      </w:r>
      <w:r>
        <w:rPr>
          <w:rFonts w:ascii="Arial" w:cs="Arial" w:eastAsia="Arial" w:hAnsi="Arial"/>
          <w:sz w:val="17"/>
          <w:szCs w:val="17"/>
          <w:color w:val="000000"/>
        </w:rPr>
        <w:t>design functions for Ashland’s benefit plans.</w:t>
      </w:r>
    </w:p>
    <w:p>
      <w:pPr>
        <w:spacing w:after="0" w:line="33" w:lineRule="exact"/>
        <w:rPr>
          <w:sz w:val="20"/>
          <w:szCs w:val="20"/>
          <w:color w:val="auto"/>
        </w:rPr>
      </w:pPr>
    </w:p>
    <w:p>
      <w:pPr>
        <w:sectPr>
          <w:pgSz w:w="11900" w:h="16838" w:orient="portrait"/>
          <w:cols w:equalWidth="0" w:num="2">
            <w:col w:w="4340" w:space="520"/>
            <w:col w:w="4220"/>
          </w:cols>
          <w:pgMar w:left="1400" w:top="769" w:right="141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867F7C"/>
        </w:rPr>
        <w:t>compensation committee interlocks and insider participation</w:t>
      </w:r>
    </w:p>
    <w:p>
      <w:pPr>
        <w:spacing w:after="0" w:line="9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members of the Compensation Committee for fiscal 2025 were Suzan F. Harrison (Chair), Steven D. Bishop and Susan L. Main. Sergio Pedreiro served as a member of the Compensation Committee until his retirement on September 30, 2025. There were no impermissible interlocks or inside directors on the Compensation Committee. The Compensation Committee has the authority to delegate to subcommittees of the Compensation Committee, any of the responsibilities of the full committee.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color w:val="867F7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57607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380" w:type="dxa"/>
            <w:vAlign w:val="bottom"/>
          </w:tcPr>
          <w:p>
            <w:pPr>
              <w:ind w:left="120"/>
              <w:spacing w:after="0"/>
              <w:rPr>
                <w:sz w:val="20"/>
                <w:szCs w:val="20"/>
                <w:color w:val="auto"/>
              </w:rPr>
            </w:pPr>
            <w:r>
              <w:rPr>
                <w:rFonts w:ascii="Arial" w:cs="Arial" w:eastAsia="Arial" w:hAnsi="Arial"/>
                <w:sz w:val="27"/>
                <w:szCs w:val="27"/>
                <w:b w:val="1"/>
                <w:bCs w:val="1"/>
                <w:color w:val="4CCEDE"/>
              </w:rPr>
              <w:t>sustainability and productivity</w:t>
            </w:r>
          </w:p>
        </w:tc>
        <w:tc>
          <w:tcPr>
            <w:tcW w:w="4700" w:type="dxa"/>
            <w:vAlign w:val="bottom"/>
          </w:tcPr>
          <w:p>
            <w:pPr>
              <w:ind w:left="380"/>
              <w:spacing w:after="0"/>
              <w:rPr>
                <w:sz w:val="20"/>
                <w:szCs w:val="20"/>
                <w:color w:val="auto"/>
              </w:rPr>
            </w:pPr>
            <w:r>
              <w:rPr>
                <w:rFonts w:ascii="Arial" w:cs="Arial" w:eastAsia="Arial" w:hAnsi="Arial"/>
                <w:sz w:val="27"/>
                <w:szCs w:val="27"/>
                <w:b w:val="1"/>
                <w:bCs w:val="1"/>
                <w:color w:val="867F7C"/>
              </w:rPr>
              <w:t xml:space="preserve">meetings in fiscal 2025: </w:t>
            </w:r>
            <w:r>
              <w:rPr>
                <w:rFonts w:ascii="Arial" w:cs="Arial" w:eastAsia="Arial" w:hAnsi="Arial"/>
                <w:sz w:val="27"/>
                <w:szCs w:val="27"/>
                <w:color w:val="4CCEDE"/>
              </w:rPr>
              <w:t>4</w:t>
            </w:r>
          </w:p>
        </w:tc>
      </w:tr>
      <w:tr>
        <w:trPr>
          <w:trHeight w:val="367"/>
        </w:trPr>
        <w:tc>
          <w:tcPr>
            <w:tcW w:w="4380" w:type="dxa"/>
            <w:vAlign w:val="bottom"/>
            <w:tcBorders>
              <w:bottom w:val="single" w:sz="8" w:color="867F7C"/>
            </w:tcBorders>
          </w:tcPr>
          <w:p>
            <w:pPr>
              <w:ind w:left="120"/>
              <w:spacing w:after="0"/>
              <w:rPr>
                <w:sz w:val="20"/>
                <w:szCs w:val="20"/>
                <w:color w:val="auto"/>
              </w:rPr>
            </w:pPr>
            <w:r>
              <w:rPr>
                <w:rFonts w:ascii="Arial" w:cs="Arial" w:eastAsia="Arial" w:hAnsi="Arial"/>
                <w:sz w:val="27"/>
                <w:szCs w:val="27"/>
                <w:b w:val="1"/>
                <w:bCs w:val="1"/>
                <w:color w:val="4CCEDE"/>
              </w:rPr>
              <w:t>committee</w:t>
            </w:r>
          </w:p>
        </w:tc>
        <w:tc>
          <w:tcPr>
            <w:tcW w:w="4700" w:type="dxa"/>
            <w:vAlign w:val="bottom"/>
            <w:tcBorders>
              <w:bottom w:val="single" w:sz="8" w:color="867F7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51435</wp:posOffset>
            </wp:positionV>
            <wp:extent cx="3848735" cy="10972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4873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20"/>
        <w:spacing w:after="0"/>
        <w:tabs>
          <w:tab w:leader="none" w:pos="3040" w:val="left"/>
          <w:tab w:leader="none" w:pos="4620" w:val="left"/>
          <w:tab w:leader="none" w:pos="6160" w:val="left"/>
        </w:tabs>
        <w:rPr>
          <w:sz w:val="20"/>
          <w:szCs w:val="20"/>
          <w:color w:val="auto"/>
        </w:rPr>
      </w:pPr>
      <w:r>
        <w:rPr>
          <w:rFonts w:ascii="Arial" w:cs="Arial" w:eastAsia="Arial" w:hAnsi="Arial"/>
          <w:sz w:val="14"/>
          <w:szCs w:val="14"/>
          <w:color w:val="auto"/>
        </w:rPr>
        <w:t>Sanat Chattopadhyay</w:t>
        <w:tab/>
        <w:t>Steven D. Bishop</w:t>
      </w:r>
      <w:r>
        <w:rPr>
          <w:sz w:val="20"/>
          <w:szCs w:val="20"/>
          <w:color w:val="auto"/>
        </w:rPr>
        <w:tab/>
      </w:r>
      <w:r>
        <w:rPr>
          <w:rFonts w:ascii="Arial" w:cs="Arial" w:eastAsia="Arial" w:hAnsi="Arial"/>
          <w:sz w:val="14"/>
          <w:szCs w:val="14"/>
          <w:color w:val="auto"/>
        </w:rPr>
        <w:t>Ashish K. Kulkarni</w:t>
      </w:r>
      <w:r>
        <w:rPr>
          <w:sz w:val="20"/>
          <w:szCs w:val="20"/>
          <w:color w:val="auto"/>
        </w:rPr>
        <w:tab/>
      </w:r>
      <w:r>
        <w:rPr>
          <w:rFonts w:ascii="Arial" w:cs="Arial" w:eastAsia="Arial" w:hAnsi="Arial"/>
          <w:sz w:val="14"/>
          <w:szCs w:val="14"/>
          <w:color w:val="auto"/>
        </w:rPr>
        <w:t>Scott A. Tozier</w:t>
      </w:r>
    </w:p>
    <w:p>
      <w:pPr>
        <w:spacing w:after="0" w:line="30" w:lineRule="exact"/>
        <w:rPr>
          <w:sz w:val="20"/>
          <w:szCs w:val="20"/>
          <w:color w:val="auto"/>
        </w:rPr>
      </w:pPr>
    </w:p>
    <w:p>
      <w:pPr>
        <w:ind w:left="1520"/>
        <w:spacing w:after="0"/>
        <w:rPr>
          <w:sz w:val="20"/>
          <w:szCs w:val="20"/>
          <w:color w:val="auto"/>
        </w:rPr>
      </w:pPr>
      <w:r>
        <w:rPr>
          <w:rFonts w:ascii="Arial" w:cs="Arial" w:eastAsia="Arial" w:hAnsi="Arial"/>
          <w:sz w:val="14"/>
          <w:szCs w:val="14"/>
          <w:i w:val="1"/>
          <w:iCs w:val="1"/>
          <w:color w:val="4CCEDE"/>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48260</wp:posOffset>
            </wp:positionV>
            <wp:extent cx="39687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1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867F7C"/>
        </w:rPr>
        <w:t>summary of responsibilities</w:t>
      </w:r>
    </w:p>
    <w:p>
      <w:pPr>
        <w:spacing w:after="0" w:line="220" w:lineRule="exact"/>
        <w:rPr>
          <w:sz w:val="20"/>
          <w:szCs w:val="20"/>
          <w:color w:val="auto"/>
        </w:rPr>
      </w:pPr>
    </w:p>
    <w:p>
      <w:pPr>
        <w:ind w:left="220" w:right="20" w:hanging="109"/>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and reviews the global sustainability and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environmental trends, issues, risks and concerns, which affect or could affect the Company’s business activities and performance.</w:t>
      </w:r>
    </w:p>
    <w:p>
      <w:pPr>
        <w:spacing w:after="0" w:line="68" w:lineRule="exact"/>
        <w:rPr>
          <w:sz w:val="20"/>
          <w:szCs w:val="20"/>
          <w:color w:val="auto"/>
        </w:rPr>
      </w:pPr>
    </w:p>
    <w:p>
      <w:pPr>
        <w:jc w:val="both"/>
        <w:ind w:left="220" w:hanging="109"/>
        <w:spacing w:after="0" w:line="243"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and reviews the Company’s commitment</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to setting, validating, and achieving science-based targets for greenhouse gas emissions reduction in alignment with the Science Based Targets initiative (“SBTi”).</w:t>
      </w:r>
    </w:p>
    <w:p>
      <w:pPr>
        <w:spacing w:after="0" w:line="71" w:lineRule="exact"/>
        <w:rPr>
          <w:sz w:val="20"/>
          <w:szCs w:val="20"/>
          <w:color w:val="auto"/>
        </w:rPr>
      </w:pPr>
    </w:p>
    <w:p>
      <w:pPr>
        <w:ind w:left="220" w:right="140" w:hanging="109"/>
        <w:spacing w:after="0"/>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and reviews regulatory, environmental,</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health and safety trends, issues and concerns which affect or could affect the Company’s Environmental, Health and Safety (“EHS”) practices, EHS audit performance, EHS compliance, remediation performance and activities.</w:t>
      </w:r>
    </w:p>
    <w:p>
      <w:pPr>
        <w:spacing w:after="0" w:line="75" w:lineRule="exact"/>
        <w:rPr>
          <w:sz w:val="20"/>
          <w:szCs w:val="20"/>
          <w:color w:val="auto"/>
        </w:rPr>
      </w:pPr>
    </w:p>
    <w:p>
      <w:pPr>
        <w:ind w:left="220" w:right="120" w:hanging="109"/>
        <w:spacing w:after="0" w:line="243"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and reviews product safety and quality</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trends, issues and concerns which affect or could affect the Company’s product safety, product regulatory compliance, quality practices and controls, and audit performance.</w:t>
      </w:r>
    </w:p>
    <w:p>
      <w:pPr>
        <w:spacing w:after="0" w:line="166" w:lineRule="exact"/>
        <w:rPr>
          <w:sz w:val="20"/>
          <w:szCs w:val="20"/>
          <w:color w:val="auto"/>
        </w:rPr>
      </w:pPr>
    </w:p>
    <w:p>
      <w:pPr>
        <w:ind w:left="220" w:hanging="109"/>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reviews and receives updates on</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Ashland’s policies regarding environmental, health, safety and quality compliance and business continuity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right="200" w:hanging="111"/>
        <w:spacing w:after="0" w:line="241"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reviews and receives updates on the</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Company’s EHS operations and efforts and provide strategic guidance and direction around compliance policies, programs, and practices, audits and associated challenges, competitors’ activities, and industry best practices.</w:t>
      </w:r>
    </w:p>
    <w:p>
      <w:pPr>
        <w:spacing w:after="0" w:line="74" w:lineRule="exact"/>
        <w:rPr>
          <w:sz w:val="20"/>
          <w:szCs w:val="20"/>
          <w:color w:val="auto"/>
        </w:rPr>
      </w:pPr>
    </w:p>
    <w:p>
      <w:pPr>
        <w:ind w:right="300" w:hanging="111"/>
        <w:spacing w:after="0" w:line="299" w:lineRule="auto"/>
        <w:rPr>
          <w:sz w:val="20"/>
          <w:szCs w:val="20"/>
          <w:color w:val="auto"/>
        </w:rPr>
      </w:pPr>
      <w:r>
        <w:rPr>
          <w:rFonts w:ascii="Times New Roman" w:cs="Times New Roman" w:eastAsia="Times New Roman" w:hAnsi="Times New Roman"/>
          <w:sz w:val="17"/>
          <w:szCs w:val="17"/>
          <w:color w:val="4CCEDE"/>
        </w:rPr>
        <w:t xml:space="preserve">o </w:t>
      </w:r>
      <w:r>
        <w:rPr>
          <w:rFonts w:ascii="Arial" w:cs="Arial" w:eastAsia="Arial" w:hAnsi="Arial"/>
          <w:sz w:val="17"/>
          <w:szCs w:val="17"/>
          <w:color w:val="000000"/>
        </w:rPr>
        <w:t>Reviews with management and provides oversight</w:t>
      </w:r>
      <w:r>
        <w:rPr>
          <w:rFonts w:ascii="Times New Roman" w:cs="Times New Roman" w:eastAsia="Times New Roman" w:hAnsi="Times New Roman"/>
          <w:sz w:val="17"/>
          <w:szCs w:val="17"/>
          <w:color w:val="4CCEDE"/>
        </w:rPr>
        <w:t xml:space="preserve"> </w:t>
      </w:r>
      <w:r>
        <w:rPr>
          <w:rFonts w:ascii="Arial" w:cs="Arial" w:eastAsia="Arial" w:hAnsi="Arial"/>
          <w:sz w:val="17"/>
          <w:szCs w:val="17"/>
          <w:color w:val="000000"/>
        </w:rPr>
        <w:t>regarding the Company’s innovation strategies.</w:t>
      </w:r>
    </w:p>
    <w:p>
      <w:pPr>
        <w:spacing w:after="0" w:line="24" w:lineRule="exact"/>
        <w:rPr>
          <w:sz w:val="20"/>
          <w:szCs w:val="20"/>
          <w:color w:val="auto"/>
        </w:rPr>
      </w:pPr>
    </w:p>
    <w:p>
      <w:pPr>
        <w:ind w:right="100" w:hanging="111"/>
        <w:spacing w:after="0" w:line="243"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and monitors the effectiveness of</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productivity programs and innovation initiatives intended to enhance efficiency, lower costs, increase revenue and support the sustainability of the Company’s products.</w:t>
      </w:r>
    </w:p>
    <w:p>
      <w:pPr>
        <w:spacing w:after="0" w:line="71" w:lineRule="exact"/>
        <w:rPr>
          <w:sz w:val="20"/>
          <w:szCs w:val="20"/>
          <w:color w:val="auto"/>
        </w:rPr>
      </w:pPr>
    </w:p>
    <w:p>
      <w:pPr>
        <w:ind w:right="280" w:hanging="111"/>
        <w:spacing w:after="0" w:line="274" w:lineRule="auto"/>
        <w:rPr>
          <w:sz w:val="20"/>
          <w:szCs w:val="20"/>
          <w:color w:val="auto"/>
        </w:rPr>
      </w:pPr>
      <w:r>
        <w:rPr>
          <w:rFonts w:ascii="Times New Roman" w:cs="Times New Roman" w:eastAsia="Times New Roman" w:hAnsi="Times New Roman"/>
          <w:sz w:val="17"/>
          <w:szCs w:val="17"/>
          <w:color w:val="4CCEDE"/>
        </w:rPr>
        <w:t xml:space="preserve">o </w:t>
      </w:r>
      <w:r>
        <w:rPr>
          <w:rFonts w:ascii="Arial" w:cs="Arial" w:eastAsia="Arial" w:hAnsi="Arial"/>
          <w:sz w:val="17"/>
          <w:szCs w:val="17"/>
          <w:color w:val="000000"/>
        </w:rPr>
        <w:t>Discusses with management, the emerging trends,</w:t>
      </w:r>
      <w:r>
        <w:rPr>
          <w:rFonts w:ascii="Times New Roman" w:cs="Times New Roman" w:eastAsia="Times New Roman" w:hAnsi="Times New Roman"/>
          <w:sz w:val="17"/>
          <w:szCs w:val="17"/>
          <w:color w:val="4CCEDE"/>
        </w:rPr>
        <w:t xml:space="preserve"> </w:t>
      </w:r>
      <w:r>
        <w:rPr>
          <w:rFonts w:ascii="Arial" w:cs="Arial" w:eastAsia="Arial" w:hAnsi="Arial"/>
          <w:sz w:val="17"/>
          <w:szCs w:val="17"/>
          <w:color w:val="000000"/>
        </w:rPr>
        <w:t>new technologies, and disruptive forces that may impact the Company’s competitive position.</w:t>
      </w:r>
    </w:p>
    <w:p>
      <w:pPr>
        <w:spacing w:after="0" w:line="44" w:lineRule="exact"/>
        <w:rPr>
          <w:sz w:val="20"/>
          <w:szCs w:val="20"/>
          <w:color w:val="auto"/>
        </w:rPr>
      </w:pPr>
    </w:p>
    <w:p>
      <w:pPr>
        <w:ind w:right="220" w:hanging="111"/>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Reports to the Board concerning implementation of</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EHS, quality and ESG compliance policies and assists the Board in ensuring Ashland’s compliance with those policies.</w:t>
      </w:r>
    </w:p>
    <w:p>
      <w:pPr>
        <w:spacing w:after="0" w:line="68" w:lineRule="exact"/>
        <w:rPr>
          <w:sz w:val="20"/>
          <w:szCs w:val="20"/>
          <w:color w:val="auto"/>
        </w:rPr>
      </w:pPr>
    </w:p>
    <w:p>
      <w:pPr>
        <w:ind w:right="120" w:hanging="111"/>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and approves EHS and environmental ESG</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performance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633730</wp:posOffset>
            </wp:positionV>
            <wp:extent cx="57607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73" w:lineRule="exact"/>
        <w:rPr>
          <w:sz w:val="20"/>
          <w:szCs w:val="20"/>
          <w:color w:val="auto"/>
        </w:rPr>
      </w:pPr>
    </w:p>
    <w:p>
      <w:pPr>
        <w:sectPr>
          <w:pgSz w:w="11900" w:h="16838" w:orient="portrait"/>
          <w:cols w:equalWidth="0" w:num="2">
            <w:col w:w="4280" w:space="480"/>
            <w:col w:w="4320"/>
          </w:cols>
          <w:pgMar w:left="1400" w:top="769" w:right="14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726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867F7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57607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240" w:type="dxa"/>
            <w:vAlign w:val="bottom"/>
          </w:tcPr>
          <w:p>
            <w:pPr>
              <w:ind w:left="120"/>
              <w:spacing w:after="0"/>
              <w:rPr>
                <w:sz w:val="20"/>
                <w:szCs w:val="20"/>
                <w:color w:val="auto"/>
              </w:rPr>
            </w:pPr>
            <w:r>
              <w:rPr>
                <w:rFonts w:ascii="Arial" w:cs="Arial" w:eastAsia="Arial" w:hAnsi="Arial"/>
                <w:sz w:val="27"/>
                <w:szCs w:val="27"/>
                <w:b w:val="1"/>
                <w:bCs w:val="1"/>
                <w:color w:val="4CCEDE"/>
              </w:rPr>
              <w:t>governance and nominating</w:t>
            </w:r>
          </w:p>
        </w:tc>
        <w:tc>
          <w:tcPr>
            <w:tcW w:w="4840" w:type="dxa"/>
            <w:vAlign w:val="bottom"/>
          </w:tcPr>
          <w:p>
            <w:pPr>
              <w:ind w:left="520"/>
              <w:spacing w:after="0"/>
              <w:rPr>
                <w:sz w:val="20"/>
                <w:szCs w:val="20"/>
                <w:color w:val="auto"/>
              </w:rPr>
            </w:pPr>
            <w:r>
              <w:rPr>
                <w:rFonts w:ascii="Arial" w:cs="Arial" w:eastAsia="Arial" w:hAnsi="Arial"/>
                <w:sz w:val="27"/>
                <w:szCs w:val="27"/>
                <w:b w:val="1"/>
                <w:bCs w:val="1"/>
                <w:color w:val="867F7C"/>
              </w:rPr>
              <w:t xml:space="preserve">meetings in fiscal 2025: </w:t>
            </w:r>
            <w:r>
              <w:rPr>
                <w:rFonts w:ascii="Arial" w:cs="Arial" w:eastAsia="Arial" w:hAnsi="Arial"/>
                <w:sz w:val="27"/>
                <w:szCs w:val="27"/>
                <w:color w:val="867F7C"/>
              </w:rPr>
              <w:t>4</w:t>
            </w:r>
          </w:p>
        </w:tc>
      </w:tr>
      <w:tr>
        <w:trPr>
          <w:trHeight w:val="367"/>
        </w:trPr>
        <w:tc>
          <w:tcPr>
            <w:tcW w:w="4240" w:type="dxa"/>
            <w:vAlign w:val="bottom"/>
            <w:tcBorders>
              <w:bottom w:val="single" w:sz="8" w:color="867F7C"/>
            </w:tcBorders>
          </w:tcPr>
          <w:p>
            <w:pPr>
              <w:ind w:left="120"/>
              <w:spacing w:after="0"/>
              <w:rPr>
                <w:sz w:val="20"/>
                <w:szCs w:val="20"/>
                <w:color w:val="auto"/>
              </w:rPr>
            </w:pPr>
            <w:r>
              <w:rPr>
                <w:rFonts w:ascii="Arial" w:cs="Arial" w:eastAsia="Arial" w:hAnsi="Arial"/>
                <w:sz w:val="27"/>
                <w:szCs w:val="27"/>
                <w:b w:val="1"/>
                <w:bCs w:val="1"/>
                <w:color w:val="4CCEDE"/>
              </w:rPr>
              <w:t>committee</w:t>
            </w:r>
          </w:p>
        </w:tc>
        <w:tc>
          <w:tcPr>
            <w:tcW w:w="4840" w:type="dxa"/>
            <w:vAlign w:val="bottom"/>
            <w:tcBorders>
              <w:bottom w:val="single" w:sz="8" w:color="867F7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5074920" cy="10972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7492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tabs>
          <w:tab w:leader="none" w:pos="2260" w:val="left"/>
          <w:tab w:leader="none" w:pos="4520" w:val="left"/>
          <w:tab w:leader="none" w:pos="6800" w:val="left"/>
        </w:tabs>
        <w:rPr>
          <w:sz w:val="20"/>
          <w:szCs w:val="20"/>
          <w:color w:val="auto"/>
        </w:rPr>
      </w:pPr>
      <w:r>
        <w:rPr>
          <w:rFonts w:ascii="Arial" w:cs="Arial" w:eastAsia="Arial" w:hAnsi="Arial"/>
          <w:sz w:val="14"/>
          <w:szCs w:val="14"/>
          <w:color w:val="auto"/>
        </w:rPr>
        <w:t>Jerome A. Peribere</w:t>
      </w:r>
      <w:r>
        <w:rPr>
          <w:sz w:val="20"/>
          <w:szCs w:val="20"/>
          <w:color w:val="auto"/>
        </w:rPr>
        <w:tab/>
      </w:r>
      <w:r>
        <w:rPr>
          <w:rFonts w:ascii="Arial" w:cs="Arial" w:eastAsia="Arial" w:hAnsi="Arial"/>
          <w:sz w:val="14"/>
          <w:szCs w:val="14"/>
          <w:color w:val="auto"/>
        </w:rPr>
        <w:t>Sanat Chattopadhyay</w:t>
      </w:r>
      <w:r>
        <w:rPr>
          <w:sz w:val="20"/>
          <w:szCs w:val="20"/>
          <w:color w:val="auto"/>
        </w:rPr>
        <w:tab/>
      </w:r>
      <w:r>
        <w:rPr>
          <w:rFonts w:ascii="Arial" w:cs="Arial" w:eastAsia="Arial" w:hAnsi="Arial"/>
          <w:sz w:val="14"/>
          <w:szCs w:val="14"/>
          <w:color w:val="auto"/>
        </w:rPr>
        <w:t>Suzan F. Harrison</w:t>
      </w:r>
      <w:r>
        <w:rPr>
          <w:sz w:val="20"/>
          <w:szCs w:val="20"/>
          <w:color w:val="auto"/>
        </w:rPr>
        <w:tab/>
      </w:r>
      <w:r>
        <w:rPr>
          <w:rFonts w:ascii="Arial" w:cs="Arial" w:eastAsia="Arial" w:hAnsi="Arial"/>
          <w:sz w:val="14"/>
          <w:szCs w:val="14"/>
          <w:color w:val="auto"/>
        </w:rPr>
        <w:t>Ashish K. Kulkarni</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4CCEDE"/>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57607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1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867F7C"/>
        </w:rPr>
        <w:t>summary of responsibilities</w:t>
      </w:r>
    </w:p>
    <w:p>
      <w:pPr>
        <w:spacing w:after="0" w:line="112" w:lineRule="exact"/>
        <w:rPr>
          <w:sz w:val="20"/>
          <w:szCs w:val="20"/>
          <w:color w:val="auto"/>
        </w:rPr>
      </w:pPr>
    </w:p>
    <w:p>
      <w:pPr>
        <w:ind w:left="220" w:right="50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Recommends nominees for the Board and its</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committees.</w:t>
      </w:r>
    </w:p>
    <w:p>
      <w:pPr>
        <w:spacing w:after="0" w:line="47" w:lineRule="exact"/>
        <w:rPr>
          <w:sz w:val="20"/>
          <w:szCs w:val="20"/>
          <w:color w:val="auto"/>
        </w:rPr>
      </w:pPr>
    </w:p>
    <w:p>
      <w:pPr>
        <w:ind w:left="220" w:right="34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suggested potential candidates for the</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Board.</w:t>
      </w:r>
    </w:p>
    <w:p>
      <w:pPr>
        <w:spacing w:after="0" w:line="47" w:lineRule="exact"/>
        <w:rPr>
          <w:sz w:val="20"/>
          <w:szCs w:val="20"/>
          <w:color w:val="auto"/>
        </w:rPr>
      </w:pPr>
    </w:p>
    <w:p>
      <w:pPr>
        <w:ind w:left="22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Recommends desirable size and composition of the</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Board and its committees.</w:t>
      </w:r>
    </w:p>
    <w:p>
      <w:pPr>
        <w:spacing w:after="0" w:line="47" w:lineRule="exact"/>
        <w:rPr>
          <w:sz w:val="20"/>
          <w:szCs w:val="20"/>
          <w:color w:val="auto"/>
        </w:rPr>
      </w:pPr>
    </w:p>
    <w:p>
      <w:pPr>
        <w:ind w:left="220" w:right="60" w:hanging="109"/>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Recommends to the Board, programs and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procedures relating to director evaluation, retention and resignation.</w:t>
      </w:r>
    </w:p>
    <w:p>
      <w:pPr>
        <w:spacing w:after="0" w:line="62" w:lineRule="exact"/>
        <w:rPr>
          <w:sz w:val="20"/>
          <w:szCs w:val="20"/>
          <w:color w:val="auto"/>
        </w:rPr>
      </w:pPr>
    </w:p>
    <w:p>
      <w:pPr>
        <w:ind w:left="220" w:right="100" w:hanging="109"/>
        <w:spacing w:after="0" w:line="274" w:lineRule="auto"/>
        <w:rPr>
          <w:sz w:val="20"/>
          <w:szCs w:val="20"/>
          <w:color w:val="auto"/>
        </w:rPr>
      </w:pPr>
      <w:r>
        <w:rPr>
          <w:rFonts w:ascii="Times New Roman" w:cs="Times New Roman" w:eastAsia="Times New Roman" w:hAnsi="Times New Roman"/>
          <w:sz w:val="17"/>
          <w:szCs w:val="17"/>
          <w:color w:val="4CCEDE"/>
        </w:rPr>
        <w:t xml:space="preserve">o </w:t>
      </w:r>
      <w:r>
        <w:rPr>
          <w:rFonts w:ascii="Arial" w:cs="Arial" w:eastAsia="Arial" w:hAnsi="Arial"/>
          <w:sz w:val="17"/>
          <w:szCs w:val="17"/>
          <w:color w:val="000000"/>
        </w:rPr>
        <w:t>Reviews corporate governance guidelines,</w:t>
      </w:r>
      <w:r>
        <w:rPr>
          <w:rFonts w:ascii="Times New Roman" w:cs="Times New Roman" w:eastAsia="Times New Roman" w:hAnsi="Times New Roman"/>
          <w:sz w:val="17"/>
          <w:szCs w:val="17"/>
          <w:color w:val="4CCEDE"/>
        </w:rPr>
        <w:t xml:space="preserve"> </w:t>
      </w:r>
      <w:r>
        <w:rPr>
          <w:rFonts w:ascii="Arial" w:cs="Arial" w:eastAsia="Arial" w:hAnsi="Arial"/>
          <w:sz w:val="17"/>
          <w:szCs w:val="17"/>
          <w:color w:val="000000"/>
        </w:rPr>
        <w:t>corporate charters and proposed amendments to Ashland’s Certificate of Incorporation and By-laws.</w:t>
      </w:r>
    </w:p>
    <w:p>
      <w:pPr>
        <w:spacing w:after="0" w:line="45" w:lineRule="exact"/>
        <w:rPr>
          <w:sz w:val="20"/>
          <w:szCs w:val="20"/>
          <w:color w:val="auto"/>
        </w:rPr>
      </w:pPr>
    </w:p>
    <w:p>
      <w:pPr>
        <w:ind w:left="220" w:right="50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transactions pursuant to the Related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Person Transaction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both"/>
        <w:ind w:left="120" w:right="860" w:hanging="109"/>
        <w:spacing w:after="0" w:line="274" w:lineRule="auto"/>
        <w:rPr>
          <w:sz w:val="20"/>
          <w:szCs w:val="20"/>
          <w:color w:val="auto"/>
        </w:rPr>
      </w:pPr>
      <w:r>
        <w:rPr>
          <w:rFonts w:ascii="Times New Roman" w:cs="Times New Roman" w:eastAsia="Times New Roman" w:hAnsi="Times New Roman"/>
          <w:sz w:val="17"/>
          <w:szCs w:val="17"/>
          <w:color w:val="4CCEDE"/>
        </w:rPr>
        <w:t xml:space="preserve">o </w:t>
      </w:r>
      <w:r>
        <w:rPr>
          <w:rFonts w:ascii="Arial" w:cs="Arial" w:eastAsia="Arial" w:hAnsi="Arial"/>
          <w:sz w:val="17"/>
          <w:szCs w:val="17"/>
          <w:color w:val="000000"/>
        </w:rPr>
        <w:t>Assists the Board in ensuring the Board’s</w:t>
      </w:r>
      <w:r>
        <w:rPr>
          <w:rFonts w:ascii="Times New Roman" w:cs="Times New Roman" w:eastAsia="Times New Roman" w:hAnsi="Times New Roman"/>
          <w:sz w:val="17"/>
          <w:szCs w:val="17"/>
          <w:color w:val="4CCEDE"/>
        </w:rPr>
        <w:t xml:space="preserve"> </w:t>
      </w:r>
      <w:r>
        <w:rPr>
          <w:rFonts w:ascii="Arial" w:cs="Arial" w:eastAsia="Arial" w:hAnsi="Arial"/>
          <w:sz w:val="17"/>
          <w:szCs w:val="17"/>
          <w:color w:val="000000"/>
        </w:rPr>
        <w:t>independence as it exercises its corporate governance and oversight roles.</w:t>
      </w:r>
    </w:p>
    <w:p>
      <w:pPr>
        <w:spacing w:after="0" w:line="44" w:lineRule="exact"/>
        <w:rPr>
          <w:sz w:val="20"/>
          <w:szCs w:val="20"/>
          <w:color w:val="auto"/>
        </w:rPr>
      </w:pPr>
    </w:p>
    <w:p>
      <w:pPr>
        <w:ind w:left="120" w:right="200" w:hanging="109"/>
        <w:spacing w:after="0" w:line="246"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the evaluation of the Board, exercises</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oversight of Ashland’s ESG activities and monitors Ashland’s external ESG communication strategy, including Ashland’s ESG report.</w:t>
      </w:r>
    </w:p>
    <w:p>
      <w:pPr>
        <w:spacing w:after="0" w:line="68" w:lineRule="exact"/>
        <w:rPr>
          <w:sz w:val="20"/>
          <w:szCs w:val="20"/>
          <w:color w:val="auto"/>
        </w:rPr>
      </w:pPr>
    </w:p>
    <w:p>
      <w:pPr>
        <w:ind w:left="120" w:right="38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the process for succession planning for</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the Board.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all committee charters.</w:t>
      </w:r>
    </w:p>
    <w:p>
      <w:pPr>
        <w:spacing w:after="0" w:line="116" w:lineRule="exact"/>
        <w:rPr>
          <w:sz w:val="20"/>
          <w:szCs w:val="20"/>
          <w:color w:val="auto"/>
        </w:rPr>
      </w:pPr>
    </w:p>
    <w:p>
      <w:pPr>
        <w:ind w:left="120" w:right="240" w:hanging="109"/>
        <w:spacing w:after="0" w:line="269"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Reviews and makes recommendations to address</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stockholder proposals.</w:t>
      </w:r>
    </w:p>
    <w:p>
      <w:pPr>
        <w:spacing w:after="0" w:line="47" w:lineRule="exact"/>
        <w:rPr>
          <w:sz w:val="20"/>
          <w:szCs w:val="20"/>
          <w:color w:val="auto"/>
        </w:rPr>
      </w:pPr>
    </w:p>
    <w:p>
      <w:pPr>
        <w:ind w:left="120" w:right="120" w:hanging="109"/>
        <w:spacing w:after="0" w:line="252" w:lineRule="auto"/>
        <w:rPr>
          <w:sz w:val="20"/>
          <w:szCs w:val="20"/>
          <w:color w:val="auto"/>
        </w:rPr>
      </w:pPr>
      <w:r>
        <w:rPr>
          <w:rFonts w:ascii="Times New Roman" w:cs="Times New Roman" w:eastAsia="Times New Roman" w:hAnsi="Times New Roman"/>
          <w:sz w:val="18"/>
          <w:szCs w:val="18"/>
          <w:color w:val="4CCEDE"/>
        </w:rPr>
        <w:t xml:space="preserve">o </w:t>
      </w:r>
      <w:r>
        <w:rPr>
          <w:rFonts w:ascii="Arial" w:cs="Arial" w:eastAsia="Arial" w:hAnsi="Arial"/>
          <w:sz w:val="18"/>
          <w:szCs w:val="18"/>
          <w:color w:val="000000"/>
        </w:rPr>
        <w:t>Oversees the administration of the equity plans and</w:t>
      </w:r>
      <w:r>
        <w:rPr>
          <w:rFonts w:ascii="Times New Roman" w:cs="Times New Roman" w:eastAsia="Times New Roman" w:hAnsi="Times New Roman"/>
          <w:sz w:val="18"/>
          <w:szCs w:val="18"/>
          <w:color w:val="4CCEDE"/>
        </w:rPr>
        <w:t xml:space="preserve"> </w:t>
      </w:r>
      <w:r>
        <w:rPr>
          <w:rFonts w:ascii="Arial" w:cs="Arial" w:eastAsia="Arial" w:hAnsi="Arial"/>
          <w:sz w:val="18"/>
          <w:szCs w:val="18"/>
          <w:color w:val="000000"/>
        </w:rPr>
        <w:t>awards, solely with respect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68580</wp:posOffset>
            </wp:positionV>
            <wp:extent cx="57607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400"/>
            <w:col w:w="4340"/>
          </w:cols>
          <w:pgMar w:left="1400" w:top="769" w:right="141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board effectiveness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CCEDE"/>
        </w:rPr>
        <w:t>meetings, attendance and executive sessions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Directors are expected to attend all meetings of the Board and of the committees on which they serve. In addition, Ashland has a policy and practice of strongly encouraging all directors to attend the Annual Meeting. During fiscal 2025, 8 meetings of the Board were held. Each incumbent director attended at least 80% of the total meetings of the Board and the Committees on which he or she served. Overall attendance at Board and Committee meetings was 98%. All directors were present at the Annual Meeting held on January 21, 2025. The independent directors meet in executive session at each regularly scheduled meeting of the Board, and at other times as they may determine appropriate. The Audit and Compensation Committees of the Board meet in executive session during every regular committee meeting. Other Board committees meet in executive session at the discretion of the committee members.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8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color w:val="867F7C"/>
        </w:rPr>
        <w:t>corporate governance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4CCEDE"/>
        </w:rPr>
        <w:t>director orientation and continuing education</w:t>
      </w:r>
    </w:p>
    <w:p>
      <w:pPr>
        <w:spacing w:after="0" w:line="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directors are required to participate in an orientation program within a reasonable time after being elected to serve as a director. The orientation program includes background materials and meetings with senior management on subjects that would assist them in discharging their duties as directors. All directors are encouraged to stay abreast of developing trends applicable to Ashland's business and specific to service as a director. Ashland periodically identifies third party-provided continuing education programs and sponsors the attendance of any director who wishes to attend such programs. Directors may also be expected to participate in other continuing education programs relating to Ashland’s business, corporate governance or other issues pertaining to their directorships in order to maintain the necessary level of expertise to perform their responsibilities as directors. In addition, Ashland provides all directors with membership in the National Association of Corporate Directors.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4CCEDE"/>
        </w:rPr>
        <w:t>annual board performance assessments</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is committed to continuous improvement and uses annual self-assessments to determine whether it and its committees are functioning effectively. The G&amp;N Committee receives comments from all directors and reports to the Board with an annual assessment of the Board’s performance. The assessment focuses on the Board’s contribution to the Company and specifically focuses on areas in which the Board or management believes the Board or any of its committees could improve.</w:t>
      </w:r>
    </w:p>
    <w:p>
      <w:pPr>
        <w:spacing w:after="0" w:line="153" w:lineRule="exact"/>
        <w:rPr>
          <w:sz w:val="20"/>
          <w:szCs w:val="20"/>
          <w:color w:val="auto"/>
        </w:rPr>
      </w:pPr>
    </w:p>
    <w:p>
      <w:pPr>
        <w:ind w:left="726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867F7C"/>
        </w:rPr>
        <w:t>corporate governance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board’s role of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5764530" cy="1167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4530" cy="116776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3"/>
          <w:szCs w:val="23"/>
          <w:color w:val="FFFFFF"/>
        </w:rPr>
        <w:t>full board</w:t>
      </w:r>
    </w:p>
    <w:p>
      <w:pPr>
        <w:spacing w:after="0" w:line="225" w:lineRule="exact"/>
        <w:rPr>
          <w:sz w:val="20"/>
          <w:szCs w:val="20"/>
          <w:color w:val="auto"/>
        </w:rPr>
      </w:pPr>
    </w:p>
    <w:p>
      <w:pPr>
        <w:jc w:val="both"/>
        <w:ind w:left="120" w:right="120"/>
        <w:spacing w:after="0" w:line="254" w:lineRule="auto"/>
        <w:rPr>
          <w:sz w:val="20"/>
          <w:szCs w:val="20"/>
          <w:color w:val="auto"/>
        </w:rPr>
      </w:pPr>
      <w:r>
        <w:rPr>
          <w:rFonts w:ascii="Arial" w:cs="Arial" w:eastAsia="Arial" w:hAnsi="Arial"/>
          <w:sz w:val="16"/>
          <w:szCs w:val="16"/>
          <w:color w:val="auto"/>
        </w:rPr>
        <w:t>Has ultimate oversight responsibility with respect to Ashland’s risk management strategies and processes. This includes receiving regular reports from, and working with, the management team to determine and assess the Company’s philosophy and strategy towards risk management and mitigation. The Board reviews in detail the Company’s most significant risks and whether management is responding consistently within the Company’s overall risk management and mitigation strategy. The following Ashland Board committees further assist the Board in fulfilling its oversight responsibilities with respect to certain areas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81280</wp:posOffset>
            </wp:positionV>
            <wp:extent cx="5109210" cy="2807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09210" cy="280733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387"/>
        </w:trPr>
        <w:tc>
          <w:tcPr>
            <w:tcW w:w="2200" w:type="dxa"/>
            <w:vAlign w:val="bottom"/>
            <w:tcBorders>
              <w:left w:val="single" w:sz="8" w:color="867F7C"/>
              <w:right w:val="single" w:sz="8" w:color="867F7C"/>
            </w:tcBorders>
            <w:vMerge w:val="restart"/>
            <w:shd w:val="clear" w:color="auto" w:fill="867F7C"/>
          </w:tcPr>
          <w:p>
            <w:pPr>
              <w:ind w:left="840"/>
              <w:spacing w:after="0"/>
              <w:rPr>
                <w:sz w:val="20"/>
                <w:szCs w:val="20"/>
                <w:color w:val="auto"/>
              </w:rPr>
            </w:pPr>
            <w:r>
              <w:rPr>
                <w:rFonts w:ascii="Arial" w:cs="Arial" w:eastAsia="Arial" w:hAnsi="Arial"/>
                <w:sz w:val="23"/>
                <w:szCs w:val="23"/>
                <w:color w:val="FFFFFF"/>
              </w:rPr>
              <w:t>audit</w:t>
            </w:r>
          </w:p>
        </w:tc>
        <w:tc>
          <w:tcPr>
            <w:tcW w:w="100" w:type="dxa"/>
            <w:vAlign w:val="bottom"/>
            <w:tcBorders>
              <w:right w:val="single" w:sz="8" w:color="867F7C"/>
            </w:tcBorders>
          </w:tcPr>
          <w:p>
            <w:pPr>
              <w:spacing w:after="0"/>
              <w:rPr>
                <w:sz w:val="24"/>
                <w:szCs w:val="24"/>
                <w:color w:val="auto"/>
              </w:rPr>
            </w:pPr>
          </w:p>
        </w:tc>
        <w:tc>
          <w:tcPr>
            <w:tcW w:w="2180" w:type="dxa"/>
            <w:vAlign w:val="bottom"/>
            <w:tcBorders>
              <w:right w:val="single" w:sz="8" w:color="867F7C"/>
            </w:tcBorders>
            <w:shd w:val="clear" w:color="auto" w:fill="867F7C"/>
          </w:tcPr>
          <w:p>
            <w:pPr>
              <w:ind w:left="140"/>
              <w:spacing w:after="0"/>
              <w:rPr>
                <w:sz w:val="20"/>
                <w:szCs w:val="20"/>
                <w:color w:val="auto"/>
              </w:rPr>
            </w:pPr>
            <w:r>
              <w:rPr>
                <w:rFonts w:ascii="Arial" w:cs="Arial" w:eastAsia="Arial" w:hAnsi="Arial"/>
                <w:sz w:val="23"/>
                <w:szCs w:val="23"/>
                <w:color w:val="FFFFFF"/>
              </w:rPr>
              <w:t>sustainability and</w:t>
            </w:r>
          </w:p>
        </w:tc>
        <w:tc>
          <w:tcPr>
            <w:tcW w:w="0" w:type="dxa"/>
            <w:vAlign w:val="bottom"/>
          </w:tcPr>
          <w:p>
            <w:pPr>
              <w:spacing w:after="0"/>
              <w:rPr>
                <w:sz w:val="1"/>
                <w:szCs w:val="1"/>
                <w:color w:val="auto"/>
              </w:rPr>
            </w:pPr>
          </w:p>
        </w:tc>
      </w:tr>
      <w:tr>
        <w:trPr>
          <w:trHeight w:val="95"/>
        </w:trPr>
        <w:tc>
          <w:tcPr>
            <w:tcW w:w="2200" w:type="dxa"/>
            <w:vAlign w:val="bottom"/>
            <w:tcBorders>
              <w:left w:val="single" w:sz="8" w:color="867F7C"/>
              <w:right w:val="single" w:sz="8" w:color="867F7C"/>
            </w:tcBorders>
            <w:vMerge w:val="continue"/>
            <w:shd w:val="clear" w:color="auto" w:fill="867F7C"/>
          </w:tcPr>
          <w:p>
            <w:pPr>
              <w:spacing w:after="0"/>
              <w:rPr>
                <w:sz w:val="8"/>
                <w:szCs w:val="8"/>
                <w:color w:val="auto"/>
              </w:rPr>
            </w:pPr>
          </w:p>
        </w:tc>
        <w:tc>
          <w:tcPr>
            <w:tcW w:w="100" w:type="dxa"/>
            <w:vAlign w:val="bottom"/>
            <w:tcBorders>
              <w:right w:val="single" w:sz="8" w:color="867F7C"/>
            </w:tcBorders>
          </w:tcPr>
          <w:p>
            <w:pPr>
              <w:spacing w:after="0"/>
              <w:rPr>
                <w:sz w:val="8"/>
                <w:szCs w:val="8"/>
                <w:color w:val="auto"/>
              </w:rPr>
            </w:pPr>
          </w:p>
        </w:tc>
        <w:tc>
          <w:tcPr>
            <w:tcW w:w="2180" w:type="dxa"/>
            <w:vAlign w:val="bottom"/>
            <w:tcBorders>
              <w:right w:val="single" w:sz="8" w:color="867F7C"/>
            </w:tcBorders>
            <w:vMerge w:val="restart"/>
            <w:shd w:val="clear" w:color="auto" w:fill="867F7C"/>
          </w:tcPr>
          <w:p>
            <w:pPr>
              <w:ind w:left="460"/>
              <w:spacing w:after="0"/>
              <w:rPr>
                <w:sz w:val="20"/>
                <w:szCs w:val="20"/>
                <w:color w:val="auto"/>
              </w:rPr>
            </w:pPr>
            <w:r>
              <w:rPr>
                <w:rFonts w:ascii="Arial" w:cs="Arial" w:eastAsia="Arial" w:hAnsi="Arial"/>
                <w:sz w:val="23"/>
                <w:szCs w:val="23"/>
                <w:color w:val="FFFFFF"/>
              </w:rPr>
              <w:t>productivity</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vMerge w:val="restart"/>
            <w:shd w:val="clear" w:color="auto" w:fill="867F7C"/>
          </w:tcPr>
          <w:p>
            <w:pPr>
              <w:ind w:left="560"/>
              <w:spacing w:after="0"/>
              <w:rPr>
                <w:sz w:val="20"/>
                <w:szCs w:val="20"/>
                <w:color w:val="auto"/>
              </w:rPr>
            </w:pPr>
            <w:r>
              <w:rPr>
                <w:rFonts w:ascii="Arial" w:cs="Arial" w:eastAsia="Arial" w:hAnsi="Arial"/>
                <w:sz w:val="23"/>
                <w:szCs w:val="23"/>
                <w:color w:val="FFFFFF"/>
              </w:rPr>
              <w:t>committee</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vMerge w:val="continue"/>
            <w:shd w:val="clear" w:color="auto" w:fill="867F7C"/>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200" w:type="dxa"/>
            <w:vAlign w:val="bottom"/>
            <w:tcBorders>
              <w:left w:val="single" w:sz="8" w:color="867F7C"/>
              <w:right w:val="single" w:sz="8" w:color="867F7C"/>
            </w:tcBorders>
            <w:vMerge w:val="continue"/>
            <w:shd w:val="clear" w:color="auto" w:fill="867F7C"/>
          </w:tcPr>
          <w:p>
            <w:pPr>
              <w:spacing w:after="0"/>
              <w:rPr>
                <w:sz w:val="10"/>
                <w:szCs w:val="10"/>
                <w:color w:val="auto"/>
              </w:rPr>
            </w:pPr>
          </w:p>
        </w:tc>
        <w:tc>
          <w:tcPr>
            <w:tcW w:w="100" w:type="dxa"/>
            <w:vAlign w:val="bottom"/>
            <w:tcBorders>
              <w:right w:val="single" w:sz="8" w:color="867F7C"/>
            </w:tcBorders>
          </w:tcPr>
          <w:p>
            <w:pPr>
              <w:spacing w:after="0"/>
              <w:rPr>
                <w:sz w:val="10"/>
                <w:szCs w:val="10"/>
                <w:color w:val="auto"/>
              </w:rPr>
            </w:pPr>
          </w:p>
        </w:tc>
        <w:tc>
          <w:tcPr>
            <w:tcW w:w="2180" w:type="dxa"/>
            <w:vAlign w:val="bottom"/>
            <w:tcBorders>
              <w:right w:val="single" w:sz="8" w:color="867F7C"/>
            </w:tcBorders>
            <w:vMerge w:val="restart"/>
            <w:shd w:val="clear" w:color="auto" w:fill="867F7C"/>
          </w:tcPr>
          <w:p>
            <w:pPr>
              <w:ind w:left="540"/>
              <w:spacing w:after="0"/>
              <w:rPr>
                <w:sz w:val="20"/>
                <w:szCs w:val="20"/>
                <w:color w:val="auto"/>
              </w:rPr>
            </w:pPr>
            <w:r>
              <w:rPr>
                <w:rFonts w:ascii="Arial" w:cs="Arial" w:eastAsia="Arial" w:hAnsi="Arial"/>
                <w:sz w:val="23"/>
                <w:szCs w:val="23"/>
                <w:color w:val="FFFFFF"/>
              </w:rPr>
              <w:t>committee</w:t>
            </w:r>
          </w:p>
        </w:tc>
        <w:tc>
          <w:tcPr>
            <w:tcW w:w="0" w:type="dxa"/>
            <w:vAlign w:val="bottom"/>
          </w:tcPr>
          <w:p>
            <w:pPr>
              <w:spacing w:after="0"/>
              <w:rPr>
                <w:sz w:val="1"/>
                <w:szCs w:val="1"/>
                <w:color w:val="auto"/>
              </w:rPr>
            </w:pPr>
          </w:p>
        </w:tc>
      </w:tr>
      <w:tr>
        <w:trPr>
          <w:trHeight w:val="203"/>
        </w:trPr>
        <w:tc>
          <w:tcPr>
            <w:tcW w:w="2200" w:type="dxa"/>
            <w:vAlign w:val="bottom"/>
            <w:tcBorders>
              <w:left w:val="single" w:sz="8" w:color="867F7C"/>
              <w:bottom w:val="single" w:sz="8" w:color="867F7C"/>
              <w:right w:val="single" w:sz="8" w:color="867F7C"/>
            </w:tcBorders>
            <w:shd w:val="clear" w:color="auto" w:fill="867F7C"/>
          </w:tcPr>
          <w:p>
            <w:pPr>
              <w:spacing w:after="0"/>
              <w:rPr>
                <w:sz w:val="17"/>
                <w:szCs w:val="17"/>
                <w:color w:val="auto"/>
              </w:rPr>
            </w:pPr>
          </w:p>
        </w:tc>
        <w:tc>
          <w:tcPr>
            <w:tcW w:w="100" w:type="dxa"/>
            <w:vAlign w:val="bottom"/>
            <w:tcBorders>
              <w:right w:val="single" w:sz="8" w:color="867F7C"/>
            </w:tcBorders>
          </w:tcPr>
          <w:p>
            <w:pPr>
              <w:spacing w:after="0"/>
              <w:rPr>
                <w:sz w:val="17"/>
                <w:szCs w:val="17"/>
                <w:color w:val="auto"/>
              </w:rPr>
            </w:pPr>
          </w:p>
        </w:tc>
        <w:tc>
          <w:tcPr>
            <w:tcW w:w="2180" w:type="dxa"/>
            <w:vAlign w:val="bottom"/>
            <w:tcBorders>
              <w:bottom w:val="single" w:sz="8" w:color="867F7C"/>
              <w:right w:val="single" w:sz="8" w:color="867F7C"/>
            </w:tcBorders>
            <w:vMerge w:val="continue"/>
            <w:shd w:val="clear" w:color="auto" w:fill="867F7C"/>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Maintains responsibility for</w:t>
            </w:r>
          </w:p>
        </w:tc>
        <w:tc>
          <w:tcPr>
            <w:tcW w:w="100" w:type="dxa"/>
            <w:vAlign w:val="bottom"/>
            <w:tcBorders>
              <w:right w:val="single" w:sz="8" w:color="867F7C"/>
            </w:tcBorders>
          </w:tcPr>
          <w:p>
            <w:pPr>
              <w:spacing w:after="0"/>
              <w:rPr>
                <w:sz w:val="22"/>
                <w:szCs w:val="22"/>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Monitors the Company’s</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overseeing risks related to</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adherence to</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Ashland’s financial</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environmental, health,</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reporting, audit process,</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safety, and product safety</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internal controls over</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laws and regulations,</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financial reporting and</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sustainability strategies,</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disclosure controls,</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initiatives, and</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procedures, information</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performance, and ongoing</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and cybersecurity</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improvements in</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programs as well as the</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productivity across</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global ethics and</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operational areas, with</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ind w:left="120"/>
              <w:spacing w:after="0"/>
              <w:rPr>
                <w:sz w:val="20"/>
                <w:szCs w:val="20"/>
                <w:color w:val="auto"/>
              </w:rPr>
            </w:pPr>
            <w:r>
              <w:rPr>
                <w:rFonts w:ascii="Arial" w:cs="Arial" w:eastAsia="Arial" w:hAnsi="Arial"/>
                <w:sz w:val="16"/>
                <w:szCs w:val="16"/>
                <w:color w:val="auto"/>
              </w:rPr>
              <w:t>compliance program.</w:t>
            </w: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attention to stewardship,</w:t>
            </w:r>
          </w:p>
        </w:tc>
        <w:tc>
          <w:tcPr>
            <w:tcW w:w="0" w:type="dxa"/>
            <w:vAlign w:val="bottom"/>
          </w:tcPr>
          <w:p>
            <w:pPr>
              <w:spacing w:after="0"/>
              <w:rPr>
                <w:sz w:val="1"/>
                <w:szCs w:val="1"/>
                <w:color w:val="auto"/>
              </w:rPr>
            </w:pPr>
          </w:p>
        </w:tc>
      </w:tr>
      <w:tr>
        <w:trPr>
          <w:trHeight w:val="189"/>
        </w:trPr>
        <w:tc>
          <w:tcPr>
            <w:tcW w:w="2200" w:type="dxa"/>
            <w:vAlign w:val="bottom"/>
            <w:tcBorders>
              <w:left w:val="single" w:sz="8" w:color="867F7C"/>
              <w:right w:val="single" w:sz="8" w:color="867F7C"/>
            </w:tcBorders>
          </w:tcPr>
          <w:p>
            <w:pPr>
              <w:spacing w:after="0"/>
              <w:rPr>
                <w:sz w:val="16"/>
                <w:szCs w:val="16"/>
                <w:color w:val="auto"/>
              </w:rPr>
            </w:pPr>
          </w:p>
        </w:tc>
        <w:tc>
          <w:tcPr>
            <w:tcW w:w="100" w:type="dxa"/>
            <w:vAlign w:val="bottom"/>
            <w:tcBorders>
              <w:right w:val="single" w:sz="8" w:color="867F7C"/>
            </w:tcBorders>
          </w:tcPr>
          <w:p>
            <w:pPr>
              <w:spacing w:after="0"/>
              <w:rPr>
                <w:sz w:val="16"/>
                <w:szCs w:val="16"/>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innovation, and</w:t>
            </w:r>
          </w:p>
        </w:tc>
        <w:tc>
          <w:tcPr>
            <w:tcW w:w="0" w:type="dxa"/>
            <w:vAlign w:val="bottom"/>
          </w:tcPr>
          <w:p>
            <w:pPr>
              <w:spacing w:after="0"/>
              <w:rPr>
                <w:sz w:val="1"/>
                <w:szCs w:val="1"/>
                <w:color w:val="auto"/>
              </w:rPr>
            </w:pPr>
          </w:p>
        </w:tc>
      </w:tr>
      <w:tr>
        <w:trPr>
          <w:trHeight w:val="215"/>
        </w:trPr>
        <w:tc>
          <w:tcPr>
            <w:tcW w:w="2200" w:type="dxa"/>
            <w:vAlign w:val="bottom"/>
            <w:tcBorders>
              <w:left w:val="single" w:sz="8" w:color="867F7C"/>
              <w:right w:val="single" w:sz="8" w:color="867F7C"/>
            </w:tcBorders>
          </w:tcPr>
          <w:p>
            <w:pPr>
              <w:spacing w:after="0"/>
              <w:rPr>
                <w:sz w:val="18"/>
                <w:szCs w:val="18"/>
                <w:color w:val="auto"/>
              </w:rPr>
            </w:pPr>
          </w:p>
        </w:tc>
        <w:tc>
          <w:tcPr>
            <w:tcW w:w="100" w:type="dxa"/>
            <w:vAlign w:val="bottom"/>
            <w:tcBorders>
              <w:right w:val="single" w:sz="8" w:color="867F7C"/>
            </w:tcBorders>
          </w:tcPr>
          <w:p>
            <w:pPr>
              <w:spacing w:after="0"/>
              <w:rPr>
                <w:sz w:val="18"/>
                <w:szCs w:val="18"/>
                <w:color w:val="auto"/>
              </w:rPr>
            </w:pPr>
          </w:p>
        </w:tc>
        <w:tc>
          <w:tcPr>
            <w:tcW w:w="2180" w:type="dxa"/>
            <w:vAlign w:val="bottom"/>
            <w:tcBorders>
              <w:right w:val="single" w:sz="8" w:color="867F7C"/>
            </w:tcBorders>
          </w:tcPr>
          <w:p>
            <w:pPr>
              <w:ind w:left="100"/>
              <w:spacing w:after="0"/>
              <w:rPr>
                <w:sz w:val="20"/>
                <w:szCs w:val="20"/>
                <w:color w:val="auto"/>
              </w:rPr>
            </w:pPr>
            <w:r>
              <w:rPr>
                <w:rFonts w:ascii="Arial" w:cs="Arial" w:eastAsia="Arial" w:hAnsi="Arial"/>
                <w:sz w:val="16"/>
                <w:szCs w:val="16"/>
                <w:color w:val="auto"/>
              </w:rPr>
              <w:t>stakeholder interests.</w:t>
            </w:r>
          </w:p>
        </w:tc>
        <w:tc>
          <w:tcPr>
            <w:tcW w:w="0" w:type="dxa"/>
            <w:vAlign w:val="bottom"/>
          </w:tcPr>
          <w:p>
            <w:pPr>
              <w:spacing w:after="0"/>
              <w:rPr>
                <w:sz w:val="1"/>
                <w:szCs w:val="1"/>
                <w:color w:val="auto"/>
              </w:rPr>
            </w:pPr>
          </w:p>
        </w:tc>
      </w:tr>
      <w:tr>
        <w:trPr>
          <w:trHeight w:val="178"/>
        </w:trPr>
        <w:tc>
          <w:tcPr>
            <w:tcW w:w="2200" w:type="dxa"/>
            <w:vAlign w:val="bottom"/>
            <w:tcBorders>
              <w:left w:val="single" w:sz="8" w:color="867F7C"/>
              <w:right w:val="single" w:sz="8" w:color="867F7C"/>
            </w:tcBorders>
          </w:tcPr>
          <w:p>
            <w:pPr>
              <w:spacing w:after="0"/>
              <w:rPr>
                <w:sz w:val="15"/>
                <w:szCs w:val="15"/>
                <w:color w:val="auto"/>
              </w:rPr>
            </w:pPr>
          </w:p>
        </w:tc>
        <w:tc>
          <w:tcPr>
            <w:tcW w:w="100" w:type="dxa"/>
            <w:vAlign w:val="bottom"/>
            <w:tcBorders>
              <w:right w:val="single" w:sz="8" w:color="867F7C"/>
            </w:tcBorders>
          </w:tcPr>
          <w:p>
            <w:pPr>
              <w:spacing w:after="0"/>
              <w:rPr>
                <w:sz w:val="15"/>
                <w:szCs w:val="15"/>
                <w:color w:val="auto"/>
              </w:rPr>
            </w:pPr>
          </w:p>
        </w:tc>
        <w:tc>
          <w:tcPr>
            <w:tcW w:w="2180" w:type="dxa"/>
            <w:vAlign w:val="bottom"/>
            <w:tcBorders>
              <w:right w:val="single" w:sz="8" w:color="867F7C"/>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867F7C"/>
              <w:bottom w:val="single" w:sz="8" w:color="867F7C"/>
              <w:right w:val="single" w:sz="8" w:color="867F7C"/>
            </w:tcBorders>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tcBorders>
              <w:bottom w:val="single" w:sz="8" w:color="867F7C"/>
              <w:right w:val="single" w:sz="8" w:color="867F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-72390</wp:posOffset>
            </wp:positionV>
            <wp:extent cx="3429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5760720" cy="574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0720" cy="574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right="260" w:hanging="220"/>
        <w:spacing w:after="0" w:line="296" w:lineRule="auto"/>
        <w:rPr>
          <w:sz w:val="20"/>
          <w:szCs w:val="20"/>
          <w:color w:val="auto"/>
        </w:rPr>
      </w:pPr>
      <w:r>
        <w:rPr>
          <w:rFonts w:ascii="Arial" w:cs="Arial" w:eastAsia="Arial" w:hAnsi="Arial"/>
          <w:sz w:val="23"/>
          <w:szCs w:val="23"/>
          <w:color w:val="FFFFFF"/>
        </w:rPr>
        <w:t>compensation committee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Monitors and evaluates the compensation and benefits structure of the Company, including providing guidance on philosophy and policy matters and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1041400</wp:posOffset>
            </wp:positionV>
            <wp:extent cx="9398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000000"/>
                        </a:clrFrom>
                        <a:clrTo>
                          <a:srgbClr val="000000">
                            <a:alpha val="0"/>
                          </a:srgbClr>
                        </a:clrTo>
                      </a:clrChange>
                      <a:extLst>
                        <a:ext uri="{28A0092B-C50C-407E-A947-70E740481C1C}"/>
                      </a:extLst>
                    </a:blip>
                    <a:srcRect/>
                    <a:stretch>
                      <a:fillRect/>
                    </a:stretch>
                  </pic:blipFill>
                  <pic:spPr bwMode="auto">
                    <a:xfrm>
                      <a:off x="0" y="0"/>
                      <a:ext cx="93980" cy="20574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1041400</wp:posOffset>
            </wp:positionV>
            <wp:extent cx="9398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9398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FFFFFF"/>
        </w:rPr>
        <w:t>governance</w:t>
      </w:r>
    </w:p>
    <w:p>
      <w:pPr>
        <w:spacing w:after="0" w:line="41" w:lineRule="exact"/>
        <w:rPr>
          <w:sz w:val="20"/>
          <w:szCs w:val="20"/>
          <w:color w:val="auto"/>
        </w:rPr>
      </w:pPr>
    </w:p>
    <w:p>
      <w:pPr>
        <w:ind w:left="480" w:right="380" w:hanging="292"/>
        <w:spacing w:after="0" w:line="276" w:lineRule="auto"/>
        <w:rPr>
          <w:sz w:val="20"/>
          <w:szCs w:val="20"/>
          <w:color w:val="auto"/>
        </w:rPr>
      </w:pPr>
      <w:r>
        <w:rPr>
          <w:rFonts w:ascii="Arial" w:cs="Arial" w:eastAsia="Arial" w:hAnsi="Arial"/>
          <w:sz w:val="23"/>
          <w:szCs w:val="23"/>
          <w:color w:val="FFFFFF"/>
        </w:rPr>
        <w:t>and nominating committee</w:t>
      </w:r>
    </w:p>
    <w:p>
      <w:pPr>
        <w:spacing w:after="0" w:line="10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Conducts an annual review of nominees to the Board and is charged with developing and recommending to the Board corporate governance principles and policies and Board committee structure, leadership and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803910</wp:posOffset>
            </wp:positionV>
            <wp:extent cx="9398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000000"/>
                        </a:clrFrom>
                        <a:clrTo>
                          <a:srgbClr val="000000">
                            <a:alpha val="0"/>
                          </a:srgbClr>
                        </a:clrTo>
                      </a:clrChange>
                      <a:extLst>
                        <a:ext uri="{28A0092B-C50C-407E-A947-70E740481C1C}"/>
                      </a:extLst>
                    </a:blip>
                    <a:srcRect/>
                    <a:stretch>
                      <a:fillRect/>
                    </a:stretch>
                  </pic:blipFill>
                  <pic:spPr bwMode="auto">
                    <a:xfrm>
                      <a:off x="0" y="0"/>
                      <a:ext cx="93980" cy="20574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803910</wp:posOffset>
            </wp:positionV>
            <wp:extent cx="9398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93980" cy="205740"/>
                    </a:xfrm>
                    <a:prstGeom prst="rect">
                      <a:avLst/>
                    </a:prstGeom>
                    <a:noFill/>
                  </pic:spPr>
                </pic:pic>
              </a:graphicData>
            </a:graphic>
          </wp:anchor>
        </w:drawing>
      </w:r>
    </w:p>
    <w:p>
      <w:pPr>
        <w:spacing w:after="0" w:line="1411" w:lineRule="exact"/>
        <w:rPr>
          <w:sz w:val="20"/>
          <w:szCs w:val="20"/>
          <w:color w:val="auto"/>
        </w:rPr>
      </w:pPr>
    </w:p>
    <w:p>
      <w:pPr>
        <w:sectPr>
          <w:pgSz w:w="11900" w:h="16838" w:orient="portrait"/>
          <w:cols w:equalWidth="0" w:num="3">
            <w:col w:w="4480" w:space="180"/>
            <w:col w:w="1940" w:space="320"/>
            <w:col w:w="2160"/>
          </w:cols>
          <w:pgMar w:left="1400" w:top="769" w:right="1419" w:bottom="1440" w:gutter="0" w:footer="0" w:header="0"/>
          <w:type w:val="continuous"/>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3"/>
          <w:szCs w:val="23"/>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760720" cy="3511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60720" cy="351155"/>
                    </a:xfrm>
                    <a:prstGeom prst="rect">
                      <a:avLst/>
                    </a:prstGeom>
                    <a:noFill/>
                  </pic:spPr>
                </pic:pic>
              </a:graphicData>
            </a:graphic>
          </wp:anchor>
        </w:drawing>
      </w:r>
    </w:p>
    <w:p>
      <w:pPr>
        <w:spacing w:after="0" w:line="205"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Is responsible for the day-to-day management of risk, and reports periodically to the Board and specific committees on current and emerging risks and the Company’s approach to avoiding and mitigating risk exposure.</w:t>
      </w:r>
    </w:p>
    <w:p>
      <w:pPr>
        <w:spacing w:after="0" w:line="370"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director independence and certain relationships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has adopted Director Independence Standards (the “Standards”) to assist in its determination of director independence. These Standards are available to stockholders on Ashland’s website (https://investor.ashland.com/committee-details/director-independence-standards). To qualify as independent under these Standards, the Board must affirmatively determine that a director has no material relationship with Ashland, other than as a director.</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Pursuant to the Standards, Ashland’s Board undertakes an annual review of director independence. During this review, the Board considers relationships and transactions between, on the one hand, each director or nominee, any member of his or her immediate family, and his or her affiliates, and on the other hand, Ashland and its subsidiaries and affiliates. As provided for in the Standards, the purpose of this review is to determine whether any such relationships or transactions are inconsistent with a determination that the director or nominee is independent.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10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color w:val="867F7C"/>
        </w:rPr>
        <w:t>corporate governance</w:t>
      </w:r>
    </w:p>
    <w:p>
      <w:pPr>
        <w:spacing w:after="0" w:line="3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a result of the annual director independence review, Ashland's Board affirmatively determined that Messrs. Bishop, Chattopadhyay, Peribere, Tozier, and Dr. Kulkarni and Mses. Harrison and Main are each independent of Ashland and its affiliates. Mr. Novo, Ashland’s Chief Executive Officer and Chair of the Board, is the only director determined not to be independent of Ashland. In addition, the Board has affirmatively determined that all members of the Audit Committee, Compensation Committee and G&amp;N Committee are independent under SEC rules and the applicable listing standards of the NYSE.</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normal course of business, Ashland has transactions with other corporations where certain Ashland directors serve as executive officers. The following relationships between Ashland and the director-affiliated entity were considered for purposes of evaluating director independence, but are not material pursuant to the Standards, and the transactions are not a “Related Person Transactions,” as defined in the Related Person Transaction Policy:</w:t>
      </w:r>
    </w:p>
    <w:p>
      <w:pPr>
        <w:spacing w:after="0" w:line="122" w:lineRule="exact"/>
        <w:rPr>
          <w:sz w:val="20"/>
          <w:szCs w:val="20"/>
          <w:color w:val="auto"/>
        </w:rPr>
      </w:pPr>
    </w:p>
    <w:p>
      <w:pPr>
        <w:jc w:val="both"/>
        <w:ind w:left="440"/>
        <w:spacing w:after="0" w:line="253" w:lineRule="auto"/>
        <w:rPr>
          <w:sz w:val="20"/>
          <w:szCs w:val="20"/>
          <w:color w:val="auto"/>
        </w:rPr>
      </w:pPr>
      <w:r>
        <w:rPr>
          <w:rFonts w:ascii="Arial" w:cs="Arial" w:eastAsia="Arial" w:hAnsi="Arial"/>
          <w:sz w:val="18"/>
          <w:szCs w:val="18"/>
          <w:color w:val="auto"/>
        </w:rPr>
        <w:t>Sanat Chattopadhyay, a director of Ashland, currently serves as the Executive Vice President of Merck &amp; Co (“Merck”). During fiscal 2025, the Company paid approximately $79,900 to Merck for certain products and the Company received $9,726,654 from Merck for certain products.</w:t>
      </w:r>
    </w:p>
    <w:p>
      <w:pPr>
        <w:spacing w:after="0" w:line="115" w:lineRule="exact"/>
        <w:rPr>
          <w:sz w:val="20"/>
          <w:szCs w:val="20"/>
          <w:color w:val="auto"/>
        </w:rPr>
      </w:pPr>
    </w:p>
    <w:p>
      <w:pPr>
        <w:jc w:val="both"/>
        <w:ind w:left="440"/>
        <w:spacing w:after="0" w:line="247" w:lineRule="auto"/>
        <w:rPr>
          <w:sz w:val="20"/>
          <w:szCs w:val="20"/>
          <w:color w:val="auto"/>
        </w:rPr>
      </w:pPr>
      <w:r>
        <w:rPr>
          <w:rFonts w:ascii="Arial" w:cs="Arial" w:eastAsia="Arial" w:hAnsi="Arial"/>
          <w:sz w:val="18"/>
          <w:szCs w:val="18"/>
          <w:color w:val="auto"/>
        </w:rPr>
        <w:t>Scott A. Tozier, a director of Ashland, served as the strategic advisor to the CEO of Albemarle Corporation (“Albemarle”) until his retirement in February 2025 and previously served as the Executive Vice President and Chief Financial Officer of Albemarle until November 2023. During fiscal 2025, the Company paid approximately $403,817 to Albemarle for certain products.</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Board determined that these transactions were conducted in the ordinary course of business and were not material to either party, and therefore did not impair Mr. Chattopadhyay’s or Mr. Tozier’s independence.</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There are no material legal proceedings to which any director, director nominee or executive officer of Ashland is a party adverse to Ashland or any of its subsidiaries or has a material interest adverse to Ashland or any of its subsidiaries.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no family relationships between any director of Ashland, executive officer of Ashland or person nominated or chosen to become a director or executive officer of Ashland.</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related person transaction policy</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Federal securities laws require Ashland to describe any transaction since the beginning of the last fiscal year, or any currently proposed transaction, in which (i) Ashland was or is to be a participant, (ii) the amount involved exceeds $120,000 and (iii) in which any related person had or will have a direct or indirect material interest. Related persons include directors and executive officers, nominees for director, beneficial owners of more than 5% of our stock, and any immediate family members of any of the foregoing. There have been no transactions since October 1, 2024, nor are there any currently proposed transactions, in which (i) Ashland was or is to be a participant, (ii) the amount involved exceeded or will exceed $120,000 and (iii) any related person had or will have a direct or indirect material interest. Ashland is also required to describe its policies and procedures for the review, approval or ratification of any Related Person Transaction.</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Pursuant to Ashland’s written Related Person Transaction Policy (“Policy”), the G&amp;N Committee is responsible for reviewing the material facts of any transactions that could potentially be “transactions with related persons”. The Policy covers any transaction, arrangement or relationship or series of similar transactions, arrangements or relationships (including any indebtedness or guarantee of indebtedness) in which (1) the aggregate amount involved will or may be expected to exceed $120,000 in any fiscal year, (2) Ashland is a participant, and (3) any related person has or will have a direct or indirect interest (other than solely as a result of being a director or a less than 10% beneficial owner of another entity). Transactions between Ashland and any firm, corporation or entity in which a related person is an executive officer or general partner, or in which any related persons collectively hold more than 10% of the ownership interests, are also subject to review under the Policy.</w:t>
      </w:r>
    </w:p>
    <w:p>
      <w:pPr>
        <w:spacing w:after="0" w:line="160"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867F7C"/>
        </w:rPr>
        <w:t>corporate governance</w:t>
      </w:r>
    </w:p>
    <w:p>
      <w:pPr>
        <w:spacing w:after="0" w:line="3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Policy, Ashland’s directors and executive officers are required to identify annually, and on an as-occurring basis, potential transactions with related persons or their firms that meet the criteria set forth in the Policy, and management is required to forward all such disclosures to the G&amp;N Committee. The G&amp;N Committee reviews each disclosed transaction. The G&amp;N Committee has discretion to approve, disapprove or otherwise act if a transaction is deemed to be a Related Person Transaction subject to the Policy. Only disinterested members of the G&amp;N Committee may participate in the determinations made with regard to a particular transaction. If it is impractical to convene a meeting of the G&amp;N Committee, the Chair of the G&amp;N Committee is authorized to make a determination and promptly report such determination in writing to the other G&amp;N Committee members. All determinations made under the Policy are required to be reported to the full Board.</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Under the Policy and consistent with SEC regulations, certain transactions are not Related Person Transactions, even if such transactions exceed $120,000 in a fiscal year. Those exceptions are:</w:t>
      </w:r>
    </w:p>
    <w:p>
      <w:pPr>
        <w:spacing w:after="0" w:line="46"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4CCEDE"/>
        </w:rPr>
      </w:pPr>
      <w:r>
        <w:rPr>
          <w:rFonts w:ascii="Arial" w:cs="Arial" w:eastAsia="Arial" w:hAnsi="Arial"/>
          <w:sz w:val="18"/>
          <w:szCs w:val="18"/>
          <w:color w:val="auto"/>
        </w:rPr>
        <w:t>Compensation to a director or executive officer which is or will be disclosed in Ashland’s proxy statement;</w:t>
      </w:r>
    </w:p>
    <w:p>
      <w:pPr>
        <w:spacing w:after="0" w:line="116"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22"/>
        </w:numPr>
        <w:rPr>
          <w:rFonts w:ascii="Times New Roman" w:cs="Times New Roman" w:eastAsia="Times New Roman" w:hAnsi="Times New Roman"/>
          <w:sz w:val="18"/>
          <w:szCs w:val="18"/>
          <w:color w:val="4CCEDE"/>
        </w:rPr>
      </w:pPr>
      <w:r>
        <w:rPr>
          <w:rFonts w:ascii="Arial" w:cs="Arial" w:eastAsia="Arial" w:hAnsi="Arial"/>
          <w:sz w:val="18"/>
          <w:szCs w:val="18"/>
          <w:color w:val="auto"/>
        </w:rPr>
        <w:t>Compensation to an executive officer which is approved by the Compensation Committee and would have been disclosed in Ashland’s proxy statement if the executive officer was a “named executive officer”;</w:t>
      </w:r>
    </w:p>
    <w:p>
      <w:pPr>
        <w:spacing w:after="0" w:line="46" w:lineRule="exact"/>
        <w:rPr>
          <w:rFonts w:ascii="Times New Roman" w:cs="Times New Roman" w:eastAsia="Times New Roman" w:hAnsi="Times New Roman"/>
          <w:sz w:val="18"/>
          <w:szCs w:val="18"/>
          <w:color w:val="4CCEDE"/>
        </w:rPr>
      </w:pPr>
    </w:p>
    <w:p>
      <w:pPr>
        <w:jc w:val="both"/>
        <w:ind w:left="240" w:hanging="232"/>
        <w:spacing w:after="0" w:line="252" w:lineRule="auto"/>
        <w:tabs>
          <w:tab w:leader="none" w:pos="240" w:val="left"/>
        </w:tabs>
        <w:numPr>
          <w:ilvl w:val="0"/>
          <w:numId w:val="22"/>
        </w:numPr>
        <w:rPr>
          <w:rFonts w:ascii="Times New Roman" w:cs="Times New Roman" w:eastAsia="Times New Roman" w:hAnsi="Times New Roman"/>
          <w:sz w:val="18"/>
          <w:szCs w:val="18"/>
          <w:color w:val="4CCEDE"/>
        </w:rPr>
      </w:pPr>
      <w:r>
        <w:rPr>
          <w:rFonts w:ascii="Arial" w:cs="Arial" w:eastAsia="Arial" w:hAnsi="Arial"/>
          <w:sz w:val="18"/>
          <w:szCs w:val="18"/>
          <w:color w:val="auto"/>
        </w:rPr>
        <w:t>A transaction in which the rates or charges involved are determined by competitive bids, or which involves common, contract carrier or public utility services at rates or charges fixed in conformity with law or governmental authority;</w:t>
      </w:r>
    </w:p>
    <w:p>
      <w:pPr>
        <w:spacing w:after="0" w:line="62"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22"/>
        </w:numPr>
        <w:rPr>
          <w:rFonts w:ascii="Times New Roman" w:cs="Times New Roman" w:eastAsia="Times New Roman" w:hAnsi="Times New Roman"/>
          <w:sz w:val="18"/>
          <w:szCs w:val="18"/>
          <w:color w:val="4CCEDE"/>
        </w:rPr>
      </w:pPr>
      <w:r>
        <w:rPr>
          <w:rFonts w:ascii="Arial" w:cs="Arial" w:eastAsia="Arial" w:hAnsi="Arial"/>
          <w:sz w:val="18"/>
          <w:szCs w:val="18"/>
          <w:color w:val="auto"/>
        </w:rPr>
        <w:t>A transaction that involves services as a bank depository of funds, transfer agent, registrar, indenture trustee or similar services; and</w:t>
      </w:r>
    </w:p>
    <w:p>
      <w:pPr>
        <w:spacing w:after="0" w:line="46"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22"/>
        </w:numPr>
        <w:rPr>
          <w:rFonts w:ascii="Times New Roman" w:cs="Times New Roman" w:eastAsia="Times New Roman" w:hAnsi="Times New Roman"/>
          <w:sz w:val="18"/>
          <w:szCs w:val="18"/>
          <w:color w:val="4CCEDE"/>
        </w:rPr>
      </w:pPr>
      <w:r>
        <w:rPr>
          <w:rFonts w:ascii="Arial" w:cs="Arial" w:eastAsia="Arial" w:hAnsi="Arial"/>
          <w:sz w:val="18"/>
          <w:szCs w:val="18"/>
          <w:color w:val="auto"/>
        </w:rPr>
        <w:t>A transaction in which the related person’s interest arises solely from the ownership of Ashland Common Stock and all stockholders receive the same benefit on a pro rata basis.</w:t>
      </w:r>
    </w:p>
    <w:p>
      <w:pPr>
        <w:spacing w:after="0" w:line="252"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corporate governance guidelines</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has adopted Corporate Governance Guidelines to support its ongoing commitment to strong governance practices. These guidelines provide the framework for the Board’s oversight of Ashland’s affairs and include a general description of the Board’s purpose, director qualifications, independence standards, and retirement and resignation policies, as well as other responsibilities. The Corporate Governance Guidelines require at least two-thirds of Ashland’s directors be independent, as defined in the Standards, which incorporate the independence requirements of SEC rules and the listing standards of the NYSE. A copy of Ashland’s current Corporate Governance Guidelines is available on Company’s investor website at http://investor.ashland.com and may also be obtained in print at no cost to any stockholder upon request.</w:t>
      </w:r>
    </w:p>
    <w:p>
      <w:pPr>
        <w:spacing w:after="0" w:line="278"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global code of conduct</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Ashland’s Global Code of Conduct applies to all directors officers, and employees, including the principal executive officer, principal financial officer, principal accounting officer and persons performing similar functions. The code promotes honest and ethical conduct, compliance with applicable laws, rules and regulations, timely reporting of any violations, and full, fair, accurate, and understandable disclosure in the Company’s filings with the SEC. Ashland intends to disclose any amendments to, or waivers of, the Code (to the extent applicable to Ashland’s directors and executive officers) on the Company’s website or in a Current Report on Form 8-K. A copy of the current Global Code of Conduct is available on Ashland’s website at http://investor.ashland.com and is also available in print at no cost to any stockholder upon request.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12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867F7C"/>
        </w:rPr>
        <w:t>corporate governance</w:t>
      </w:r>
    </w:p>
    <w:p>
      <w:pPr>
        <w:spacing w:after="0" w:line="296"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insider trading policy</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Ashland has adopted an Insider Trading Policy (the “Insider Trading Policy”) that establishes clear rules for directors, officers, and employees regarding the purchase, sale, and other disposition of Ashland securities. We believe our Insider Trading Policy is reasonably designed to promote compliance with applicable insider trading laws, rules, regulations, and listing standards relevant to the Company.</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defining the procedures governing trading in Ashland securities, the Insider Trading Policy outlines restrictions during blackout periods and specifies pre-clearance requirements for certain transactions by designated individuals. These measures are intended to prevent the misuse of material non-public information, protect the integrity of financial markets, and maintain the trust of stockholders and the investing public. Ashland also provides regular education on the policy's requirements and the potential consequences of violations, which may include disciplinary actions or legal penalties. By adhering to the policy, all directors, officers, and employees help uphold Ashland’s commitment to ethical business practices and regulatory compliance.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communication with directors</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has established a process by which stockholders and other interested parties may communicate with the Board. Persons interested in communicating with the Board, or with a specific member or Committee of the Board, may do so by writing to the Lead Independent Director in care of the Company’s Corporate Secretary, 8145 Blazer Drive, Wilmington, DE 19808. Communications directed to the Lead Independent Director will be reviewed by the Corporate Secretary and distributed to the Lead Independent Director as well as to other individual directors, as appropriate, depending on the subject matter and facts and circumstances outlined in the correspondence. Communications that are not related to the duties and responsibilities of the Board, or are otherwise inappropriate, will not be forwarded to the Lead Independent Director, although all communications directed to the Board will be available to any director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486410</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867F7C"/>
        </w:rPr>
        <w:t>director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54"/>
          <w:szCs w:val="54"/>
          <w:color w:val="867F7C"/>
        </w:rPr>
        <w:t>director compensation</w:t>
      </w:r>
    </w:p>
    <w:p>
      <w:pPr>
        <w:spacing w:after="0" w:line="200" w:lineRule="exact"/>
        <w:rPr>
          <w:sz w:val="20"/>
          <w:szCs w:val="20"/>
          <w:color w:val="auto"/>
        </w:rPr>
      </w:pP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Ashland’s non-employee director compensation program is designed to attract and retain highly qualified directors and further align their interests with those of our stockholders. The Compensation Committee reviews the director compensation program on an annual basis and recommends proposed changes for approval by the Board. As part of this review, the Compensation Committee considers the significant amount of time expended, and the skill level required, by each non-employee director in fulfilling his or her duties on the Board, each director’s role and involvement on the Board and its committees and the market compensation practices and levels of our peer companies.</w:t>
      </w: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2025 annual non-employee director compensation program</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CCEDE"/>
        </w:rPr>
        <w:t>annual cash retainer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annual cash retainers for the Board and the additional cash retainers paid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 and committee chairs under the 2025 non-employee director compensation program:</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Retainer Type</w:t>
            </w:r>
          </w:p>
        </w:tc>
        <w:tc>
          <w:tcPr>
            <w:tcW w:w="480" w:type="dxa"/>
            <w:vAlign w:val="bottom"/>
            <w:tcBorders>
              <w:bottom w:val="single" w:sz="8" w:color="EFEBE9"/>
            </w:tcBorders>
            <w:shd w:val="clear" w:color="auto" w:fill="EFEBE9"/>
          </w:tcPr>
          <w:p>
            <w:pPr>
              <w:spacing w:after="0"/>
              <w:rPr>
                <w:sz w:val="15"/>
                <w:szCs w:val="15"/>
                <w:color w:val="auto"/>
              </w:rPr>
            </w:pPr>
          </w:p>
        </w:tc>
        <w:tc>
          <w:tcPr>
            <w:tcW w:w="1080" w:type="dxa"/>
            <w:vAlign w:val="bottom"/>
            <w:tcBorders>
              <w:bottom w:val="single" w:sz="8" w:color="EFEBE9"/>
            </w:tcBorders>
            <w:shd w:val="clear" w:color="auto" w:fill="EFEBE9"/>
          </w:tcPr>
          <w:p>
            <w:pPr>
              <w:jc w:val="right"/>
              <w:ind w:right="328"/>
              <w:spacing w:after="0"/>
              <w:rPr>
                <w:sz w:val="20"/>
                <w:szCs w:val="20"/>
                <w:color w:val="auto"/>
              </w:rPr>
            </w:pPr>
            <w:r>
              <w:rPr>
                <w:rFonts w:ascii="Arial" w:cs="Arial" w:eastAsia="Arial" w:hAnsi="Arial"/>
                <w:sz w:val="14"/>
                <w:szCs w:val="14"/>
                <w:b w:val="1"/>
                <w:bCs w:val="1"/>
                <w:color w:val="867F7C"/>
              </w:rPr>
              <w:t>Annually</w:t>
            </w:r>
          </w:p>
        </w:tc>
      </w:tr>
      <w:tr>
        <w:trPr>
          <w:trHeight w:val="198"/>
        </w:trPr>
        <w:tc>
          <w:tcPr>
            <w:tcW w:w="75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Director Retainer</w:t>
            </w:r>
          </w:p>
        </w:tc>
        <w:tc>
          <w:tcPr>
            <w:tcW w:w="4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100,000</w:t>
            </w:r>
          </w:p>
        </w:tc>
      </w:tr>
      <w:tr>
        <w:trPr>
          <w:trHeight w:val="196"/>
        </w:trPr>
        <w:tc>
          <w:tcPr>
            <w:tcW w:w="75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Lead Independent Director Retainer</w:t>
            </w:r>
          </w:p>
        </w:tc>
        <w:tc>
          <w:tcPr>
            <w:tcW w:w="4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35,000</w:t>
            </w:r>
          </w:p>
        </w:tc>
      </w:tr>
      <w:tr>
        <w:trPr>
          <w:trHeight w:val="196"/>
        </w:trPr>
        <w:tc>
          <w:tcPr>
            <w:tcW w:w="75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Audit Committee Chair Retainer</w:t>
            </w:r>
          </w:p>
        </w:tc>
        <w:tc>
          <w:tcPr>
            <w:tcW w:w="4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20,000</w:t>
            </w:r>
          </w:p>
        </w:tc>
      </w:tr>
      <w:tr>
        <w:trPr>
          <w:trHeight w:val="196"/>
        </w:trPr>
        <w:tc>
          <w:tcPr>
            <w:tcW w:w="75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Compensation Committee Chair Retainer</w:t>
            </w:r>
          </w:p>
        </w:tc>
        <w:tc>
          <w:tcPr>
            <w:tcW w:w="4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18,750</w:t>
            </w:r>
          </w:p>
        </w:tc>
      </w:tr>
      <w:tr>
        <w:trPr>
          <w:trHeight w:val="196"/>
        </w:trPr>
        <w:tc>
          <w:tcPr>
            <w:tcW w:w="75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All Other Committees Chair Retainer</w:t>
            </w:r>
          </w:p>
        </w:tc>
        <w:tc>
          <w:tcPr>
            <w:tcW w:w="4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15,000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4CCEDE"/>
        </w:rPr>
        <w:t>restricted stock units</w:t>
      </w:r>
    </w:p>
    <w:p>
      <w:pPr>
        <w:spacing w:after="0" w:line="16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Under the 2025 non-employee director compensation program, directors also receive an annual grant of restricted stock units having an aggregate value on the grant date of $ 150,000 (pro-rated as applicable for less than a full year of service). The restricted stock units vest one year after date of grant. Upon the payment of dividends on the Company’s common stock, directors receive dividend equivalents in the form of additional restricted stock units. Upon a “change in control” of Ashland, the restricted stock units immediately vest.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4CCEDE"/>
        </w:rPr>
        <w:t>deferred compensation plan</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Non-employee directors are eligible to participate in the Deferred Compensation Plan for Non-Employee Directors, a non-qualified deferred compensation plan. Non-employee directors who make an election to defer part or all of any annual cash retainer may have the deferred amounts held as common stock units (share equivalents) in a hypothetical Ashland Common Stock Fund or invested under the other available investment options under the Directors’ Deferral Plan. They may also defer their restricted stock units under this program. The payout of the amounts deferred occurs upon termination of service by the director. Directors may elect to receive the payout in a single lump sum or in installments not to exceed 15 years. Upon a “change in control” of Ashland (as defined in the Deferred Compensation Plan for Non-Employee Directors), amounts deferred in a director’s deferral accounts will be distributed pursuant to each director’s election and valued at the time of the distribution.</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stock ownership guidelines for directors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considers Ashland Common Stock ownership by directors to be of utmost importance. The Board believes that such ownership enhances the commitment of directors to Ashland’s future and enhances the alignment of their interests with those of Ashland’s other stockholders. The Board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14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867F7C"/>
        </w:rPr>
        <w:t>director compensation</w:t>
      </w:r>
    </w:p>
    <w:p>
      <w:pPr>
        <w:spacing w:after="0" w:line="3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has therefore established minimum stock ownership guidelines for non-employee directors which require each director to own Ashland Common Stock having a value of at least five times his or her base annual cash retainer of $100,000. Each newly elected director has five years from the year first elected to the Board to reach this ownership level. The following table shows each non-employee directors compliance status with the Ashland’s director stock ownership guidelines as of September 30,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shd w:val="clear" w:color="auto" w:fill="EFEBE9"/>
          </w:tcPr>
          <w:p>
            <w:pPr>
              <w:spacing w:after="0"/>
              <w:rPr>
                <w:sz w:val="14"/>
                <w:szCs w:val="14"/>
                <w:color w:val="auto"/>
              </w:rPr>
            </w:pPr>
          </w:p>
        </w:tc>
        <w:tc>
          <w:tcPr>
            <w:tcW w:w="2420" w:type="dxa"/>
            <w:vAlign w:val="bottom"/>
            <w:shd w:val="clear" w:color="auto" w:fill="EFEBE9"/>
          </w:tcPr>
          <w:p>
            <w:pPr>
              <w:jc w:val="center"/>
              <w:ind w:left="1328"/>
              <w:spacing w:after="0"/>
              <w:rPr>
                <w:sz w:val="20"/>
                <w:szCs w:val="20"/>
                <w:color w:val="auto"/>
              </w:rPr>
            </w:pPr>
            <w:r>
              <w:rPr>
                <w:rFonts w:ascii="Arial" w:cs="Arial" w:eastAsia="Arial" w:hAnsi="Arial"/>
                <w:sz w:val="14"/>
                <w:szCs w:val="14"/>
                <w:b w:val="1"/>
                <w:bCs w:val="1"/>
                <w:color w:val="867F7C"/>
              </w:rPr>
              <w:t>Total Shares</w:t>
            </w:r>
          </w:p>
        </w:tc>
        <w:tc>
          <w:tcPr>
            <w:tcW w:w="1060" w:type="dxa"/>
            <w:vAlign w:val="bottom"/>
            <w:shd w:val="clear" w:color="auto" w:fill="EFEBE9"/>
          </w:tcPr>
          <w:p>
            <w:pPr>
              <w:jc w:val="center"/>
              <w:ind w:right="11"/>
              <w:spacing w:after="0"/>
              <w:rPr>
                <w:sz w:val="20"/>
                <w:szCs w:val="20"/>
                <w:color w:val="auto"/>
              </w:rPr>
            </w:pPr>
            <w:r>
              <w:rPr>
                <w:rFonts w:ascii="Arial" w:cs="Arial" w:eastAsia="Arial" w:hAnsi="Arial"/>
                <w:sz w:val="14"/>
                <w:szCs w:val="14"/>
                <w:b w:val="1"/>
                <w:bCs w:val="1"/>
                <w:color w:val="867F7C"/>
              </w:rPr>
              <w:t>Total Shares</w:t>
            </w:r>
          </w:p>
        </w:tc>
        <w:tc>
          <w:tcPr>
            <w:tcW w:w="1040" w:type="dxa"/>
            <w:vAlign w:val="bottom"/>
            <w:shd w:val="clear" w:color="auto" w:fill="EFEBE9"/>
          </w:tcPr>
          <w:p>
            <w:pPr>
              <w:spacing w:after="0"/>
              <w:rPr>
                <w:sz w:val="14"/>
                <w:szCs w:val="14"/>
                <w:color w:val="auto"/>
              </w:rPr>
            </w:pPr>
          </w:p>
        </w:tc>
        <w:tc>
          <w:tcPr>
            <w:tcW w:w="1500" w:type="dxa"/>
            <w:vAlign w:val="bottom"/>
            <w:shd w:val="clear" w:color="auto" w:fill="EFEBE9"/>
          </w:tcPr>
          <w:p>
            <w:pPr>
              <w:spacing w:after="0"/>
              <w:rPr>
                <w:sz w:val="14"/>
                <w:szCs w:val="14"/>
                <w:color w:val="auto"/>
              </w:rPr>
            </w:pPr>
          </w:p>
        </w:tc>
      </w:tr>
      <w:tr>
        <w:trPr>
          <w:trHeight w:val="144"/>
        </w:trPr>
        <w:tc>
          <w:tcPr>
            <w:tcW w:w="3060" w:type="dxa"/>
            <w:vAlign w:val="bottom"/>
            <w:shd w:val="clear" w:color="auto" w:fill="EFEBE9"/>
          </w:tcPr>
          <w:p>
            <w:pPr>
              <w:spacing w:after="0"/>
              <w:rPr>
                <w:sz w:val="12"/>
                <w:szCs w:val="12"/>
                <w:color w:val="auto"/>
              </w:rPr>
            </w:pPr>
          </w:p>
        </w:tc>
        <w:tc>
          <w:tcPr>
            <w:tcW w:w="2420" w:type="dxa"/>
            <w:vAlign w:val="bottom"/>
            <w:shd w:val="clear" w:color="auto" w:fill="EFEBE9"/>
          </w:tcPr>
          <w:p>
            <w:pPr>
              <w:jc w:val="center"/>
              <w:ind w:left="1368"/>
              <w:spacing w:after="0" w:line="145" w:lineRule="exact"/>
              <w:rPr>
                <w:sz w:val="20"/>
                <w:szCs w:val="20"/>
                <w:color w:val="auto"/>
              </w:rPr>
            </w:pPr>
            <w:r>
              <w:rPr>
                <w:rFonts w:ascii="Arial" w:cs="Arial" w:eastAsia="Arial" w:hAnsi="Arial"/>
                <w:sz w:val="14"/>
                <w:szCs w:val="14"/>
                <w:b w:val="1"/>
                <w:bCs w:val="1"/>
                <w:color w:val="867F7C"/>
              </w:rPr>
              <w:t>Required</w:t>
            </w:r>
          </w:p>
        </w:tc>
        <w:tc>
          <w:tcPr>
            <w:tcW w:w="106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Held</w:t>
            </w:r>
          </w:p>
        </w:tc>
        <w:tc>
          <w:tcPr>
            <w:tcW w:w="1040" w:type="dxa"/>
            <w:vAlign w:val="bottom"/>
            <w:shd w:val="clear" w:color="auto" w:fill="EFEBE9"/>
          </w:tcPr>
          <w:p>
            <w:pPr>
              <w:jc w:val="center"/>
              <w:ind w:right="68"/>
              <w:spacing w:after="0" w:line="145" w:lineRule="exact"/>
              <w:rPr>
                <w:sz w:val="20"/>
                <w:szCs w:val="20"/>
                <w:color w:val="auto"/>
              </w:rPr>
            </w:pPr>
            <w:r>
              <w:rPr>
                <w:rFonts w:ascii="Arial" w:cs="Arial" w:eastAsia="Arial" w:hAnsi="Arial"/>
                <w:sz w:val="14"/>
                <w:szCs w:val="14"/>
                <w:b w:val="1"/>
                <w:bCs w:val="1"/>
                <w:color w:val="867F7C"/>
              </w:rPr>
              <w:t>Guidelines</w:t>
            </w:r>
          </w:p>
        </w:tc>
        <w:tc>
          <w:tcPr>
            <w:tcW w:w="1500" w:type="dxa"/>
            <w:vAlign w:val="bottom"/>
            <w:shd w:val="clear" w:color="auto" w:fill="EFEBE9"/>
          </w:tcPr>
          <w:p>
            <w:pPr>
              <w:jc w:val="center"/>
              <w:ind w:right="8"/>
              <w:spacing w:after="0" w:line="145" w:lineRule="exact"/>
              <w:rPr>
                <w:sz w:val="20"/>
                <w:szCs w:val="20"/>
                <w:color w:val="auto"/>
              </w:rPr>
            </w:pPr>
            <w:r>
              <w:rPr>
                <w:rFonts w:ascii="Arial" w:cs="Arial" w:eastAsia="Arial" w:hAnsi="Arial"/>
                <w:sz w:val="14"/>
                <w:szCs w:val="14"/>
                <w:b w:val="1"/>
                <w:bCs w:val="1"/>
                <w:color w:val="867F7C"/>
              </w:rPr>
              <w:t>Ownership</w:t>
            </w:r>
          </w:p>
        </w:tc>
      </w:tr>
      <w:tr>
        <w:trPr>
          <w:trHeight w:val="189"/>
        </w:trPr>
        <w:tc>
          <w:tcPr>
            <w:tcW w:w="306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Name</w:t>
            </w:r>
          </w:p>
        </w:tc>
        <w:tc>
          <w:tcPr>
            <w:tcW w:w="2420" w:type="dxa"/>
            <w:vAlign w:val="bottom"/>
            <w:shd w:val="clear" w:color="auto" w:fill="EFEBE9"/>
          </w:tcPr>
          <w:p>
            <w:pPr>
              <w:jc w:val="center"/>
              <w:ind w:left="1348"/>
              <w:spacing w:after="0" w:line="189" w:lineRule="exact"/>
              <w:rPr>
                <w:sz w:val="20"/>
                <w:szCs w:val="20"/>
                <w:color w:val="auto"/>
              </w:rPr>
            </w:pPr>
            <w:r>
              <w:rPr>
                <w:rFonts w:ascii="Arial" w:cs="Arial" w:eastAsia="Arial" w:hAnsi="Arial"/>
                <w:sz w:val="14"/>
                <w:szCs w:val="14"/>
                <w:b w:val="1"/>
                <w:bCs w:val="1"/>
                <w:color w:val="867F7C"/>
                <w:w w:val="85"/>
              </w:rPr>
              <w:t>(#)</w:t>
            </w:r>
            <w:r>
              <w:rPr>
                <w:rFonts w:ascii="Arial" w:cs="Arial" w:eastAsia="Arial" w:hAnsi="Arial"/>
                <w:sz w:val="19"/>
                <w:szCs w:val="19"/>
                <w:b w:val="1"/>
                <w:bCs w:val="1"/>
                <w:color w:val="867F7C"/>
                <w:w w:val="85"/>
                <w:vertAlign w:val="superscript"/>
              </w:rPr>
              <w:t>(1)</w:t>
            </w:r>
          </w:p>
        </w:tc>
        <w:tc>
          <w:tcPr>
            <w:tcW w:w="1060" w:type="dxa"/>
            <w:vAlign w:val="bottom"/>
            <w:shd w:val="clear" w:color="auto" w:fill="EFEBE9"/>
          </w:tcPr>
          <w:p>
            <w:pPr>
              <w:jc w:val="center"/>
              <w:spacing w:after="0" w:line="189" w:lineRule="exact"/>
              <w:rPr>
                <w:sz w:val="20"/>
                <w:szCs w:val="20"/>
                <w:color w:val="auto"/>
              </w:rPr>
            </w:pPr>
            <w:r>
              <w:rPr>
                <w:rFonts w:ascii="Arial" w:cs="Arial" w:eastAsia="Arial" w:hAnsi="Arial"/>
                <w:sz w:val="21"/>
                <w:szCs w:val="21"/>
                <w:b w:val="1"/>
                <w:bCs w:val="1"/>
                <w:color w:val="867F7C"/>
                <w:vertAlign w:val="subscript"/>
              </w:rPr>
              <w:t>(#)</w:t>
            </w:r>
            <w:r>
              <w:rPr>
                <w:rFonts w:ascii="Arial" w:cs="Arial" w:eastAsia="Arial" w:hAnsi="Arial"/>
                <w:sz w:val="8"/>
                <w:szCs w:val="8"/>
                <w:b w:val="1"/>
                <w:bCs w:val="1"/>
                <w:color w:val="867F7C"/>
              </w:rPr>
              <w:t>(2)(3)</w:t>
            </w:r>
          </w:p>
        </w:tc>
        <w:tc>
          <w:tcPr>
            <w:tcW w:w="1040" w:type="dxa"/>
            <w:vAlign w:val="bottom"/>
            <w:shd w:val="clear" w:color="auto" w:fill="EFEBE9"/>
          </w:tcPr>
          <w:p>
            <w:pPr>
              <w:jc w:val="center"/>
              <w:ind w:right="28"/>
              <w:spacing w:after="0"/>
              <w:rPr>
                <w:sz w:val="20"/>
                <w:szCs w:val="20"/>
                <w:color w:val="auto"/>
              </w:rPr>
            </w:pPr>
            <w:r>
              <w:rPr>
                <w:rFonts w:ascii="Arial" w:cs="Arial" w:eastAsia="Arial" w:hAnsi="Arial"/>
                <w:sz w:val="14"/>
                <w:szCs w:val="14"/>
                <w:b w:val="1"/>
                <w:bCs w:val="1"/>
                <w:color w:val="867F7C"/>
              </w:rPr>
              <w:t>Met</w:t>
            </w:r>
          </w:p>
        </w:tc>
        <w:tc>
          <w:tcPr>
            <w:tcW w:w="1500" w:type="dxa"/>
            <w:vAlign w:val="bottom"/>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7"/>
              </w:rPr>
              <w:t>Deadline</w:t>
            </w:r>
            <w:r>
              <w:rPr>
                <w:rFonts w:ascii="Arial" w:cs="Arial" w:eastAsia="Arial" w:hAnsi="Arial"/>
                <w:sz w:val="19"/>
                <w:szCs w:val="19"/>
                <w:color w:val="867F7C"/>
                <w:w w:val="97"/>
                <w:vertAlign w:val="superscript"/>
              </w:rPr>
              <w:t>(4)</w:t>
            </w:r>
          </w:p>
        </w:tc>
      </w:tr>
      <w:tr>
        <w:trPr>
          <w:trHeight w:val="162"/>
        </w:trPr>
        <w:tc>
          <w:tcPr>
            <w:tcW w:w="30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Steven D. Bishop</w:t>
            </w:r>
          </w:p>
        </w:tc>
        <w:tc>
          <w:tcPr>
            <w:tcW w:w="242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0D0D0D"/>
              </w:rPr>
              <w:t>10,436</w:t>
            </w:r>
          </w:p>
        </w:tc>
        <w:tc>
          <w:tcPr>
            <w:tcW w:w="1060" w:type="dxa"/>
            <w:vAlign w:val="bottom"/>
            <w:tcBorders>
              <w:bottom w:val="single" w:sz="8" w:color="867F7C"/>
            </w:tcBorders>
          </w:tcPr>
          <w:p>
            <w:pPr>
              <w:jc w:val="right"/>
              <w:ind w:right="31"/>
              <w:spacing w:after="0"/>
              <w:rPr>
                <w:sz w:val="20"/>
                <w:szCs w:val="20"/>
                <w:color w:val="auto"/>
              </w:rPr>
            </w:pPr>
            <w:r>
              <w:rPr>
                <w:rFonts w:ascii="Arial" w:cs="Arial" w:eastAsia="Arial" w:hAnsi="Arial"/>
                <w:sz w:val="14"/>
                <w:szCs w:val="14"/>
                <w:color w:val="0D0D0D"/>
              </w:rPr>
              <w:t>9,925</w:t>
            </w:r>
          </w:p>
        </w:tc>
        <w:tc>
          <w:tcPr>
            <w:tcW w:w="1040" w:type="dxa"/>
            <w:vAlign w:val="bottom"/>
            <w:tcBorders>
              <w:bottom w:val="single" w:sz="8" w:color="867F7C"/>
            </w:tcBorders>
          </w:tcPr>
          <w:p>
            <w:pPr>
              <w:jc w:val="center"/>
              <w:ind w:right="28"/>
              <w:spacing w:after="0"/>
              <w:rPr>
                <w:sz w:val="20"/>
                <w:szCs w:val="20"/>
                <w:color w:val="auto"/>
              </w:rPr>
            </w:pPr>
            <w:r>
              <w:rPr>
                <w:rFonts w:ascii="Arial" w:cs="Arial" w:eastAsia="Arial" w:hAnsi="Arial"/>
                <w:sz w:val="14"/>
                <w:szCs w:val="14"/>
                <w:color w:val="0D0D0D"/>
                <w:w w:val="98"/>
              </w:rPr>
              <w:t>N</w:t>
            </w:r>
          </w:p>
        </w:tc>
        <w:tc>
          <w:tcPr>
            <w:tcW w:w="150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July 2027</w:t>
            </w:r>
          </w:p>
        </w:tc>
      </w:tr>
      <w:tr>
        <w:trPr>
          <w:trHeight w:val="155"/>
        </w:trPr>
        <w:tc>
          <w:tcPr>
            <w:tcW w:w="30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Sanat Chattopadhyay</w:t>
            </w:r>
          </w:p>
        </w:tc>
        <w:tc>
          <w:tcPr>
            <w:tcW w:w="242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0D0D0D"/>
              </w:rPr>
              <w:t>10,436</w:t>
            </w:r>
          </w:p>
        </w:tc>
        <w:tc>
          <w:tcPr>
            <w:tcW w:w="1060" w:type="dxa"/>
            <w:vAlign w:val="bottom"/>
            <w:tcBorders>
              <w:bottom w:val="single" w:sz="8" w:color="867F7C"/>
            </w:tcBorders>
          </w:tcPr>
          <w:p>
            <w:pPr>
              <w:jc w:val="right"/>
              <w:ind w:right="31"/>
              <w:spacing w:after="0" w:line="155" w:lineRule="exact"/>
              <w:rPr>
                <w:sz w:val="20"/>
                <w:szCs w:val="20"/>
                <w:color w:val="auto"/>
              </w:rPr>
            </w:pPr>
            <w:r>
              <w:rPr>
                <w:rFonts w:ascii="Arial" w:cs="Arial" w:eastAsia="Arial" w:hAnsi="Arial"/>
                <w:sz w:val="14"/>
                <w:szCs w:val="14"/>
                <w:color w:val="0D0D0D"/>
              </w:rPr>
              <w:t>5,486</w:t>
            </w:r>
          </w:p>
        </w:tc>
        <w:tc>
          <w:tcPr>
            <w:tcW w:w="1040" w:type="dxa"/>
            <w:vAlign w:val="bottom"/>
            <w:tcBorders>
              <w:bottom w:val="single" w:sz="8" w:color="867F7C"/>
            </w:tcBorders>
          </w:tcPr>
          <w:p>
            <w:pPr>
              <w:jc w:val="center"/>
              <w:ind w:right="28"/>
              <w:spacing w:after="0" w:line="155" w:lineRule="exact"/>
              <w:rPr>
                <w:sz w:val="20"/>
                <w:szCs w:val="20"/>
                <w:color w:val="auto"/>
              </w:rPr>
            </w:pPr>
            <w:r>
              <w:rPr>
                <w:rFonts w:ascii="Arial" w:cs="Arial" w:eastAsia="Arial" w:hAnsi="Arial"/>
                <w:sz w:val="14"/>
                <w:szCs w:val="14"/>
                <w:color w:val="0D0D0D"/>
                <w:w w:val="98"/>
              </w:rPr>
              <w:t>N</w:t>
            </w:r>
          </w:p>
        </w:tc>
        <w:tc>
          <w:tcPr>
            <w:tcW w:w="150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November 2028</w:t>
            </w:r>
          </w:p>
        </w:tc>
      </w:tr>
      <w:tr>
        <w:trPr>
          <w:trHeight w:val="156"/>
        </w:trPr>
        <w:tc>
          <w:tcPr>
            <w:tcW w:w="30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Suzan F. Harrison</w:t>
            </w:r>
          </w:p>
        </w:tc>
        <w:tc>
          <w:tcPr>
            <w:tcW w:w="242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0D0D0D"/>
              </w:rPr>
              <w:t>10,436</w:t>
            </w:r>
          </w:p>
        </w:tc>
        <w:tc>
          <w:tcPr>
            <w:tcW w:w="1060" w:type="dxa"/>
            <w:vAlign w:val="bottom"/>
            <w:tcBorders>
              <w:bottom w:val="single" w:sz="8" w:color="867F7C"/>
            </w:tcBorders>
          </w:tcPr>
          <w:p>
            <w:pPr>
              <w:jc w:val="right"/>
              <w:ind w:right="31"/>
              <w:spacing w:after="0" w:line="155" w:lineRule="exact"/>
              <w:rPr>
                <w:sz w:val="20"/>
                <w:szCs w:val="20"/>
                <w:color w:val="auto"/>
              </w:rPr>
            </w:pPr>
            <w:r>
              <w:rPr>
                <w:rFonts w:ascii="Arial" w:cs="Arial" w:eastAsia="Arial" w:hAnsi="Arial"/>
                <w:sz w:val="14"/>
                <w:szCs w:val="14"/>
                <w:color w:val="0D0D0D"/>
              </w:rPr>
              <w:t>6,040</w:t>
            </w:r>
          </w:p>
        </w:tc>
        <w:tc>
          <w:tcPr>
            <w:tcW w:w="1040" w:type="dxa"/>
            <w:vAlign w:val="bottom"/>
            <w:tcBorders>
              <w:bottom w:val="single" w:sz="8" w:color="867F7C"/>
            </w:tcBorders>
          </w:tcPr>
          <w:p>
            <w:pPr>
              <w:jc w:val="center"/>
              <w:ind w:right="28"/>
              <w:spacing w:after="0" w:line="155" w:lineRule="exact"/>
              <w:rPr>
                <w:sz w:val="20"/>
                <w:szCs w:val="20"/>
                <w:color w:val="auto"/>
              </w:rPr>
            </w:pPr>
            <w:r>
              <w:rPr>
                <w:rFonts w:ascii="Arial" w:cs="Arial" w:eastAsia="Arial" w:hAnsi="Arial"/>
                <w:sz w:val="14"/>
                <w:szCs w:val="14"/>
                <w:color w:val="0D0D0D"/>
                <w:w w:val="98"/>
              </w:rPr>
              <w:t>N</w:t>
            </w:r>
          </w:p>
        </w:tc>
        <w:tc>
          <w:tcPr>
            <w:tcW w:w="150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July 2027</w:t>
            </w:r>
          </w:p>
        </w:tc>
      </w:tr>
      <w:tr>
        <w:trPr>
          <w:trHeight w:val="208"/>
        </w:trPr>
        <w:tc>
          <w:tcPr>
            <w:tcW w:w="30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Ashish Kulkarni</w:t>
            </w:r>
          </w:p>
        </w:tc>
        <w:tc>
          <w:tcPr>
            <w:tcW w:w="242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0D0D0D"/>
              </w:rPr>
              <w:t>10,436</w:t>
            </w:r>
          </w:p>
        </w:tc>
        <w:tc>
          <w:tcPr>
            <w:tcW w:w="1060" w:type="dxa"/>
            <w:vAlign w:val="bottom"/>
            <w:tcBorders>
              <w:bottom w:val="single" w:sz="8" w:color="867F7C"/>
            </w:tcBorders>
          </w:tcPr>
          <w:p>
            <w:pPr>
              <w:jc w:val="right"/>
              <w:ind w:right="31"/>
              <w:spacing w:after="0"/>
              <w:rPr>
                <w:sz w:val="20"/>
                <w:szCs w:val="20"/>
                <w:color w:val="auto"/>
              </w:rPr>
            </w:pPr>
            <w:r>
              <w:rPr>
                <w:rFonts w:ascii="Arial" w:cs="Arial" w:eastAsia="Arial" w:hAnsi="Arial"/>
                <w:sz w:val="14"/>
                <w:szCs w:val="14"/>
                <w:color w:val="0D0D0D"/>
              </w:rPr>
              <w:t>3,130</w:t>
            </w:r>
          </w:p>
        </w:tc>
        <w:tc>
          <w:tcPr>
            <w:tcW w:w="1040" w:type="dxa"/>
            <w:vAlign w:val="bottom"/>
            <w:tcBorders>
              <w:bottom w:val="single" w:sz="8" w:color="867F7C"/>
            </w:tcBorders>
          </w:tcPr>
          <w:p>
            <w:pPr>
              <w:jc w:val="center"/>
              <w:ind w:right="28"/>
              <w:spacing w:after="0"/>
              <w:rPr>
                <w:sz w:val="20"/>
                <w:szCs w:val="20"/>
                <w:color w:val="auto"/>
              </w:rPr>
            </w:pPr>
            <w:r>
              <w:rPr>
                <w:rFonts w:ascii="Arial" w:cs="Arial" w:eastAsia="Arial" w:hAnsi="Arial"/>
                <w:sz w:val="14"/>
                <w:szCs w:val="14"/>
                <w:color w:val="0D0D0D"/>
                <w:w w:val="98"/>
              </w:rPr>
              <w:t>N</w:t>
            </w:r>
          </w:p>
        </w:tc>
        <w:tc>
          <w:tcPr>
            <w:tcW w:w="150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April 2029</w:t>
            </w:r>
          </w:p>
        </w:tc>
      </w:tr>
      <w:tr>
        <w:trPr>
          <w:trHeight w:val="157"/>
        </w:trPr>
        <w:tc>
          <w:tcPr>
            <w:tcW w:w="3060" w:type="dxa"/>
            <w:vAlign w:val="bottom"/>
            <w:tcBorders>
              <w:bottom w:val="single" w:sz="8" w:color="867F7C"/>
            </w:tcBorders>
          </w:tcPr>
          <w:p>
            <w:pPr>
              <w:ind w:left="100"/>
              <w:spacing w:after="0" w:line="157" w:lineRule="exact"/>
              <w:rPr>
                <w:sz w:val="20"/>
                <w:szCs w:val="20"/>
                <w:color w:val="auto"/>
              </w:rPr>
            </w:pPr>
            <w:r>
              <w:rPr>
                <w:rFonts w:ascii="Arial" w:cs="Arial" w:eastAsia="Arial" w:hAnsi="Arial"/>
                <w:sz w:val="14"/>
                <w:szCs w:val="14"/>
                <w:b w:val="1"/>
                <w:bCs w:val="1"/>
                <w:color w:val="4CCEDE"/>
              </w:rPr>
              <w:t>Susan L. Main</w:t>
            </w:r>
          </w:p>
        </w:tc>
        <w:tc>
          <w:tcPr>
            <w:tcW w:w="2420" w:type="dxa"/>
            <w:vAlign w:val="bottom"/>
            <w:tcBorders>
              <w:bottom w:val="single" w:sz="8" w:color="867F7C"/>
            </w:tcBorders>
          </w:tcPr>
          <w:p>
            <w:pPr>
              <w:jc w:val="right"/>
              <w:spacing w:after="0" w:line="157" w:lineRule="exact"/>
              <w:rPr>
                <w:sz w:val="20"/>
                <w:szCs w:val="20"/>
                <w:color w:val="auto"/>
              </w:rPr>
            </w:pPr>
            <w:r>
              <w:rPr>
                <w:rFonts w:ascii="Arial" w:cs="Arial" w:eastAsia="Arial" w:hAnsi="Arial"/>
                <w:sz w:val="14"/>
                <w:szCs w:val="14"/>
                <w:color w:val="0D0D0D"/>
              </w:rPr>
              <w:t>10,436</w:t>
            </w:r>
          </w:p>
        </w:tc>
        <w:tc>
          <w:tcPr>
            <w:tcW w:w="1060" w:type="dxa"/>
            <w:vAlign w:val="bottom"/>
            <w:tcBorders>
              <w:bottom w:val="single" w:sz="8" w:color="867F7C"/>
            </w:tcBorders>
          </w:tcPr>
          <w:p>
            <w:pPr>
              <w:jc w:val="right"/>
              <w:ind w:right="31"/>
              <w:spacing w:after="0" w:line="157" w:lineRule="exact"/>
              <w:rPr>
                <w:sz w:val="20"/>
                <w:szCs w:val="20"/>
                <w:color w:val="auto"/>
              </w:rPr>
            </w:pPr>
            <w:r>
              <w:rPr>
                <w:rFonts w:ascii="Arial" w:cs="Arial" w:eastAsia="Arial" w:hAnsi="Arial"/>
                <w:sz w:val="14"/>
                <w:szCs w:val="14"/>
                <w:color w:val="0D0D0D"/>
              </w:rPr>
              <w:t>13,941</w:t>
            </w:r>
          </w:p>
        </w:tc>
        <w:tc>
          <w:tcPr>
            <w:tcW w:w="1040" w:type="dxa"/>
            <w:vAlign w:val="bottom"/>
            <w:tcBorders>
              <w:bottom w:val="single" w:sz="8" w:color="867F7C"/>
            </w:tcBorders>
          </w:tcPr>
          <w:p>
            <w:pPr>
              <w:jc w:val="center"/>
              <w:ind w:right="28"/>
              <w:spacing w:after="0" w:line="157" w:lineRule="exact"/>
              <w:rPr>
                <w:sz w:val="20"/>
                <w:szCs w:val="20"/>
                <w:color w:val="auto"/>
              </w:rPr>
            </w:pPr>
            <w:r>
              <w:rPr>
                <w:rFonts w:ascii="Arial" w:cs="Arial" w:eastAsia="Arial" w:hAnsi="Arial"/>
                <w:sz w:val="14"/>
                <w:szCs w:val="14"/>
                <w:color w:val="0D0D0D"/>
              </w:rPr>
              <w:t>Y</w:t>
            </w:r>
          </w:p>
        </w:tc>
        <w:tc>
          <w:tcPr>
            <w:tcW w:w="1500" w:type="dxa"/>
            <w:vAlign w:val="bottom"/>
            <w:tcBorders>
              <w:bottom w:val="single" w:sz="8" w:color="867F7C"/>
            </w:tcBorders>
          </w:tcPr>
          <w:p>
            <w:pPr>
              <w:spacing w:after="0"/>
              <w:rPr>
                <w:sz w:val="13"/>
                <w:szCs w:val="13"/>
                <w:color w:val="auto"/>
              </w:rPr>
            </w:pPr>
          </w:p>
        </w:tc>
      </w:tr>
      <w:tr>
        <w:trPr>
          <w:trHeight w:val="155"/>
        </w:trPr>
        <w:tc>
          <w:tcPr>
            <w:tcW w:w="30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Jerome A. Peribere</w:t>
            </w:r>
          </w:p>
        </w:tc>
        <w:tc>
          <w:tcPr>
            <w:tcW w:w="242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0D0D0D"/>
              </w:rPr>
              <w:t>10,436</w:t>
            </w:r>
          </w:p>
        </w:tc>
        <w:tc>
          <w:tcPr>
            <w:tcW w:w="1060" w:type="dxa"/>
            <w:vAlign w:val="bottom"/>
            <w:tcBorders>
              <w:bottom w:val="single" w:sz="8" w:color="867F7C"/>
            </w:tcBorders>
          </w:tcPr>
          <w:p>
            <w:pPr>
              <w:jc w:val="right"/>
              <w:ind w:right="31"/>
              <w:spacing w:after="0" w:line="155" w:lineRule="exact"/>
              <w:rPr>
                <w:sz w:val="20"/>
                <w:szCs w:val="20"/>
                <w:color w:val="auto"/>
              </w:rPr>
            </w:pPr>
            <w:r>
              <w:rPr>
                <w:rFonts w:ascii="Arial" w:cs="Arial" w:eastAsia="Arial" w:hAnsi="Arial"/>
                <w:sz w:val="14"/>
                <w:szCs w:val="14"/>
                <w:color w:val="0D0D0D"/>
              </w:rPr>
              <w:t>10,904</w:t>
            </w:r>
          </w:p>
        </w:tc>
        <w:tc>
          <w:tcPr>
            <w:tcW w:w="1040" w:type="dxa"/>
            <w:vAlign w:val="bottom"/>
            <w:tcBorders>
              <w:bottom w:val="single" w:sz="8" w:color="867F7C"/>
            </w:tcBorders>
          </w:tcPr>
          <w:p>
            <w:pPr>
              <w:jc w:val="center"/>
              <w:ind w:right="28"/>
              <w:spacing w:after="0" w:line="155" w:lineRule="exact"/>
              <w:rPr>
                <w:sz w:val="20"/>
                <w:szCs w:val="20"/>
                <w:color w:val="auto"/>
              </w:rPr>
            </w:pPr>
            <w:r>
              <w:rPr>
                <w:rFonts w:ascii="Arial" w:cs="Arial" w:eastAsia="Arial" w:hAnsi="Arial"/>
                <w:sz w:val="14"/>
                <w:szCs w:val="14"/>
                <w:color w:val="0D0D0D"/>
              </w:rPr>
              <w:t>Y</w:t>
            </w:r>
          </w:p>
        </w:tc>
        <w:tc>
          <w:tcPr>
            <w:tcW w:w="1500" w:type="dxa"/>
            <w:vAlign w:val="bottom"/>
            <w:tcBorders>
              <w:bottom w:val="single" w:sz="8" w:color="867F7C"/>
            </w:tcBorders>
          </w:tcPr>
          <w:p>
            <w:pPr>
              <w:spacing w:after="0"/>
              <w:rPr>
                <w:sz w:val="13"/>
                <w:szCs w:val="13"/>
                <w:color w:val="auto"/>
              </w:rPr>
            </w:pPr>
          </w:p>
        </w:tc>
      </w:tr>
      <w:tr>
        <w:trPr>
          <w:trHeight w:val="209"/>
        </w:trPr>
        <w:tc>
          <w:tcPr>
            <w:tcW w:w="30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Scott Tozier</w:t>
            </w:r>
          </w:p>
        </w:tc>
        <w:tc>
          <w:tcPr>
            <w:tcW w:w="242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0D0D0D"/>
              </w:rPr>
              <w:t>10,436</w:t>
            </w:r>
          </w:p>
        </w:tc>
        <w:tc>
          <w:tcPr>
            <w:tcW w:w="1060" w:type="dxa"/>
            <w:vAlign w:val="bottom"/>
            <w:tcBorders>
              <w:bottom w:val="single" w:sz="8" w:color="867F7C"/>
            </w:tcBorders>
          </w:tcPr>
          <w:p>
            <w:pPr>
              <w:jc w:val="right"/>
              <w:ind w:right="31"/>
              <w:spacing w:after="0"/>
              <w:rPr>
                <w:sz w:val="20"/>
                <w:szCs w:val="20"/>
                <w:color w:val="auto"/>
              </w:rPr>
            </w:pPr>
            <w:r>
              <w:rPr>
                <w:rFonts w:ascii="Arial" w:cs="Arial" w:eastAsia="Arial" w:hAnsi="Arial"/>
                <w:sz w:val="14"/>
                <w:szCs w:val="14"/>
                <w:color w:val="0D0D0D"/>
              </w:rPr>
              <w:t>3,283</w:t>
            </w:r>
          </w:p>
        </w:tc>
        <w:tc>
          <w:tcPr>
            <w:tcW w:w="1040" w:type="dxa"/>
            <w:vAlign w:val="bottom"/>
            <w:tcBorders>
              <w:bottom w:val="single" w:sz="8" w:color="867F7C"/>
            </w:tcBorders>
          </w:tcPr>
          <w:p>
            <w:pPr>
              <w:jc w:val="center"/>
              <w:ind w:right="28"/>
              <w:spacing w:after="0"/>
              <w:rPr>
                <w:sz w:val="20"/>
                <w:szCs w:val="20"/>
                <w:color w:val="auto"/>
              </w:rPr>
            </w:pPr>
            <w:r>
              <w:rPr>
                <w:rFonts w:ascii="Arial" w:cs="Arial" w:eastAsia="Arial" w:hAnsi="Arial"/>
                <w:sz w:val="14"/>
                <w:szCs w:val="14"/>
                <w:color w:val="0D0D0D"/>
                <w:w w:val="98"/>
              </w:rPr>
              <w:t>N</w:t>
            </w:r>
          </w:p>
        </w:tc>
        <w:tc>
          <w:tcPr>
            <w:tcW w:w="150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April 2029</w:t>
            </w:r>
          </w:p>
        </w:tc>
      </w:tr>
    </w:tbl>
    <w:p>
      <w:pPr>
        <w:spacing w:after="0" w:line="193" w:lineRule="exact"/>
        <w:rPr>
          <w:sz w:val="20"/>
          <w:szCs w:val="20"/>
          <w:color w:val="auto"/>
        </w:rPr>
      </w:pPr>
    </w:p>
    <w:p>
      <w:pPr>
        <w:jc w:val="both"/>
        <w:ind w:left="220" w:hanging="212"/>
        <w:spacing w:after="0" w:line="228" w:lineRule="auto"/>
        <w:tabs>
          <w:tab w:leader="none" w:pos="220" w:val="left"/>
        </w:tabs>
        <w:numPr>
          <w:ilvl w:val="0"/>
          <w:numId w:val="2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Under Ashland’s stock ownership guidelines, each non-employee director is required to own at least five times the annual cash retainer (which for fiscal 2025 was $100,000). The number shown in this column represents the number of shares each non-employee director is required to own, calculated using the $47.91 share price of Ashland Common Stock as of September 30, 2025.</w:t>
      </w:r>
    </w:p>
    <w:p>
      <w:pPr>
        <w:spacing w:after="0" w:line="80" w:lineRule="exact"/>
        <w:rPr>
          <w:rFonts w:ascii="Times New Roman" w:cs="Times New Roman" w:eastAsia="Times New Roman" w:hAnsi="Times New Roman"/>
          <w:sz w:val="19"/>
          <w:szCs w:val="19"/>
          <w:color w:val="auto"/>
          <w:vertAlign w:val="superscript"/>
        </w:rPr>
      </w:pPr>
    </w:p>
    <w:p>
      <w:pPr>
        <w:jc w:val="both"/>
        <w:ind w:left="220" w:hanging="212"/>
        <w:spacing w:after="0" w:line="228" w:lineRule="auto"/>
        <w:tabs>
          <w:tab w:leader="none" w:pos="220" w:val="left"/>
        </w:tabs>
        <w:numPr>
          <w:ilvl w:val="0"/>
          <w:numId w:val="2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number shown in this column represents the total number of shares of Ashland Common Stock held by each non-employee director as of September 30, 2025. For purposes of Ashland’s stock ownership guidelines, “ownership” includes unvested restricted stock and/or restricted stock units.</w:t>
      </w:r>
    </w:p>
    <w:p>
      <w:pPr>
        <w:spacing w:after="0" w:line="80" w:lineRule="exact"/>
        <w:rPr>
          <w:rFonts w:ascii="Times New Roman" w:cs="Times New Roman" w:eastAsia="Times New Roman" w:hAnsi="Times New Roman"/>
          <w:sz w:val="19"/>
          <w:szCs w:val="19"/>
          <w:color w:val="auto"/>
          <w:vertAlign w:val="superscript"/>
        </w:rPr>
      </w:pPr>
    </w:p>
    <w:p>
      <w:pPr>
        <w:ind w:left="220" w:hanging="212"/>
        <w:spacing w:after="0" w:line="222" w:lineRule="auto"/>
        <w:tabs>
          <w:tab w:leader="none" w:pos="220" w:val="left"/>
        </w:tabs>
        <w:numPr>
          <w:ilvl w:val="0"/>
          <w:numId w:val="2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Includes unvested restricted stock units in the amount of 2,098 for Messrs. Bishop, Chattopadhyay, Kulkarni, Peribere, and Tozier and Mses. Harrison and Main.</w:t>
      </w:r>
    </w:p>
    <w:p>
      <w:pPr>
        <w:spacing w:after="0" w:line="80"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2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This column contains the stock ownership compliance deadlines for the directors who have not yet fulfilled their stock ownership obligations.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2025 director compensation table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compensation paid to Ashland’s non-employee directors for fiscal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shd w:val="clear" w:color="auto" w:fill="EFEBE9"/>
          </w:tcPr>
          <w:p>
            <w:pPr>
              <w:spacing w:after="0"/>
              <w:rPr>
                <w:sz w:val="14"/>
                <w:szCs w:val="14"/>
                <w:color w:val="auto"/>
              </w:rPr>
            </w:pPr>
          </w:p>
        </w:tc>
        <w:tc>
          <w:tcPr>
            <w:tcW w:w="12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Fees Earned</w:t>
            </w:r>
          </w:p>
        </w:tc>
        <w:tc>
          <w:tcPr>
            <w:tcW w:w="900" w:type="dxa"/>
            <w:vAlign w:val="bottom"/>
            <w:shd w:val="clear" w:color="auto" w:fill="EFEBE9"/>
          </w:tcPr>
          <w:p>
            <w:pPr>
              <w:spacing w:after="0"/>
              <w:rPr>
                <w:sz w:val="14"/>
                <w:szCs w:val="14"/>
                <w:color w:val="auto"/>
              </w:rPr>
            </w:pPr>
          </w:p>
        </w:tc>
        <w:tc>
          <w:tcPr>
            <w:tcW w:w="1260" w:type="dxa"/>
            <w:vAlign w:val="bottom"/>
            <w:shd w:val="clear" w:color="auto" w:fill="EFEBE9"/>
          </w:tcPr>
          <w:p>
            <w:pPr>
              <w:spacing w:after="0"/>
              <w:rPr>
                <w:sz w:val="14"/>
                <w:szCs w:val="14"/>
                <w:color w:val="auto"/>
              </w:rPr>
            </w:pPr>
          </w:p>
        </w:tc>
        <w:tc>
          <w:tcPr>
            <w:tcW w:w="900" w:type="dxa"/>
            <w:vAlign w:val="bottom"/>
            <w:shd w:val="clear" w:color="auto" w:fill="EFEBE9"/>
          </w:tcPr>
          <w:p>
            <w:pPr>
              <w:spacing w:after="0"/>
              <w:rPr>
                <w:sz w:val="14"/>
                <w:szCs w:val="14"/>
                <w:color w:val="auto"/>
              </w:rPr>
            </w:pPr>
          </w:p>
        </w:tc>
      </w:tr>
      <w:tr>
        <w:trPr>
          <w:trHeight w:val="162"/>
        </w:trPr>
        <w:tc>
          <w:tcPr>
            <w:tcW w:w="4760" w:type="dxa"/>
            <w:vAlign w:val="bottom"/>
            <w:shd w:val="clear" w:color="auto" w:fill="EFEBE9"/>
          </w:tcPr>
          <w:p>
            <w:pPr>
              <w:spacing w:after="0"/>
              <w:rPr>
                <w:sz w:val="14"/>
                <w:szCs w:val="14"/>
                <w:color w:val="auto"/>
              </w:rPr>
            </w:pPr>
          </w:p>
        </w:tc>
        <w:tc>
          <w:tcPr>
            <w:tcW w:w="12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w w:val="99"/>
              </w:rPr>
              <w:t>or</w:t>
            </w:r>
          </w:p>
        </w:tc>
        <w:tc>
          <w:tcPr>
            <w:tcW w:w="900" w:type="dxa"/>
            <w:vAlign w:val="bottom"/>
            <w:shd w:val="clear" w:color="auto" w:fill="EFEBE9"/>
          </w:tcPr>
          <w:p>
            <w:pPr>
              <w:jc w:val="center"/>
              <w:ind w:right="48"/>
              <w:spacing w:after="0"/>
              <w:rPr>
                <w:sz w:val="20"/>
                <w:szCs w:val="20"/>
                <w:color w:val="auto"/>
              </w:rPr>
            </w:pPr>
            <w:r>
              <w:rPr>
                <w:rFonts w:ascii="Arial" w:cs="Arial" w:eastAsia="Arial" w:hAnsi="Arial"/>
                <w:sz w:val="14"/>
                <w:szCs w:val="14"/>
                <w:b w:val="1"/>
                <w:bCs w:val="1"/>
                <w:color w:val="867F7C"/>
                <w:w w:val="99"/>
              </w:rPr>
              <w:t>Stock</w:t>
            </w:r>
          </w:p>
        </w:tc>
        <w:tc>
          <w:tcPr>
            <w:tcW w:w="1260" w:type="dxa"/>
            <w:vAlign w:val="bottom"/>
            <w:shd w:val="clear" w:color="auto" w:fill="EFEBE9"/>
          </w:tcPr>
          <w:p>
            <w:pPr>
              <w:jc w:val="center"/>
              <w:ind w:right="168"/>
              <w:spacing w:after="0"/>
              <w:rPr>
                <w:sz w:val="20"/>
                <w:szCs w:val="20"/>
                <w:color w:val="auto"/>
              </w:rPr>
            </w:pPr>
            <w:r>
              <w:rPr>
                <w:rFonts w:ascii="Arial" w:cs="Arial" w:eastAsia="Arial" w:hAnsi="Arial"/>
                <w:sz w:val="14"/>
                <w:szCs w:val="14"/>
                <w:b w:val="1"/>
                <w:bCs w:val="1"/>
                <w:color w:val="867F7C"/>
              </w:rPr>
              <w:t>All Other</w:t>
            </w:r>
          </w:p>
        </w:tc>
        <w:tc>
          <w:tcPr>
            <w:tcW w:w="900" w:type="dxa"/>
            <w:vAlign w:val="bottom"/>
            <w:shd w:val="clear" w:color="auto" w:fill="EFEBE9"/>
          </w:tcPr>
          <w:p>
            <w:pPr>
              <w:spacing w:after="0"/>
              <w:rPr>
                <w:sz w:val="14"/>
                <w:szCs w:val="14"/>
                <w:color w:val="auto"/>
              </w:rPr>
            </w:pPr>
          </w:p>
        </w:tc>
      </w:tr>
      <w:tr>
        <w:trPr>
          <w:trHeight w:val="144"/>
        </w:trPr>
        <w:tc>
          <w:tcPr>
            <w:tcW w:w="4760" w:type="dxa"/>
            <w:vAlign w:val="bottom"/>
            <w:shd w:val="clear" w:color="auto" w:fill="EFEBE9"/>
          </w:tcPr>
          <w:p>
            <w:pPr>
              <w:spacing w:after="0"/>
              <w:rPr>
                <w:sz w:val="12"/>
                <w:szCs w:val="12"/>
                <w:color w:val="auto"/>
              </w:rPr>
            </w:pPr>
          </w:p>
        </w:tc>
        <w:tc>
          <w:tcPr>
            <w:tcW w:w="126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Paid in Cash</w:t>
            </w:r>
          </w:p>
        </w:tc>
        <w:tc>
          <w:tcPr>
            <w:tcW w:w="900" w:type="dxa"/>
            <w:vAlign w:val="bottom"/>
            <w:shd w:val="clear" w:color="auto" w:fill="EFEBE9"/>
          </w:tcPr>
          <w:p>
            <w:pPr>
              <w:jc w:val="center"/>
              <w:ind w:right="68"/>
              <w:spacing w:after="0" w:line="145" w:lineRule="exact"/>
              <w:rPr>
                <w:sz w:val="20"/>
                <w:szCs w:val="20"/>
                <w:color w:val="auto"/>
              </w:rPr>
            </w:pPr>
            <w:r>
              <w:rPr>
                <w:rFonts w:ascii="Arial" w:cs="Arial" w:eastAsia="Arial" w:hAnsi="Arial"/>
                <w:sz w:val="14"/>
                <w:szCs w:val="14"/>
                <w:b w:val="1"/>
                <w:bCs w:val="1"/>
                <w:color w:val="867F7C"/>
              </w:rPr>
              <w:t>Awards</w:t>
            </w:r>
          </w:p>
        </w:tc>
        <w:tc>
          <w:tcPr>
            <w:tcW w:w="1260" w:type="dxa"/>
            <w:vAlign w:val="bottom"/>
            <w:shd w:val="clear" w:color="auto" w:fill="EFEBE9"/>
          </w:tcPr>
          <w:p>
            <w:pPr>
              <w:jc w:val="center"/>
              <w:ind w:right="148"/>
              <w:spacing w:after="0" w:line="145" w:lineRule="exact"/>
              <w:rPr>
                <w:sz w:val="20"/>
                <w:szCs w:val="20"/>
                <w:color w:val="auto"/>
              </w:rPr>
            </w:pPr>
            <w:r>
              <w:rPr>
                <w:rFonts w:ascii="Arial" w:cs="Arial" w:eastAsia="Arial" w:hAnsi="Arial"/>
                <w:sz w:val="14"/>
                <w:szCs w:val="14"/>
                <w:b w:val="1"/>
                <w:bCs w:val="1"/>
                <w:color w:val="867F7C"/>
              </w:rPr>
              <w:t>Compensation</w:t>
            </w:r>
          </w:p>
        </w:tc>
        <w:tc>
          <w:tcPr>
            <w:tcW w:w="900" w:type="dxa"/>
            <w:vAlign w:val="bottom"/>
            <w:shd w:val="clear" w:color="auto" w:fill="EFEBE9"/>
          </w:tcPr>
          <w:p>
            <w:pPr>
              <w:jc w:val="right"/>
              <w:ind w:right="248"/>
              <w:spacing w:after="0" w:line="145" w:lineRule="exact"/>
              <w:rPr>
                <w:sz w:val="20"/>
                <w:szCs w:val="20"/>
                <w:color w:val="auto"/>
              </w:rPr>
            </w:pPr>
            <w:r>
              <w:rPr>
                <w:rFonts w:ascii="Arial" w:cs="Arial" w:eastAsia="Arial" w:hAnsi="Arial"/>
                <w:sz w:val="14"/>
                <w:szCs w:val="14"/>
                <w:b w:val="1"/>
                <w:bCs w:val="1"/>
                <w:color w:val="867F7C"/>
              </w:rPr>
              <w:t>Total</w:t>
            </w:r>
          </w:p>
        </w:tc>
      </w:tr>
      <w:tr>
        <w:trPr>
          <w:trHeight w:val="210"/>
        </w:trPr>
        <w:tc>
          <w:tcPr>
            <w:tcW w:w="476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Name</w:t>
            </w:r>
          </w:p>
        </w:tc>
        <w:tc>
          <w:tcPr>
            <w:tcW w:w="1260" w:type="dxa"/>
            <w:vAlign w:val="bottom"/>
            <w:tcBorders>
              <w:bottom w:val="single" w:sz="8" w:color="EFEBE9"/>
            </w:tcBorders>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1"/>
              </w:rPr>
              <w:t>($)</w:t>
            </w:r>
            <w:r>
              <w:rPr>
                <w:rFonts w:ascii="Arial" w:cs="Arial" w:eastAsia="Arial" w:hAnsi="Arial"/>
                <w:sz w:val="19"/>
                <w:szCs w:val="19"/>
                <w:b w:val="1"/>
                <w:bCs w:val="1"/>
                <w:color w:val="867F7C"/>
                <w:w w:val="91"/>
                <w:vertAlign w:val="superscript"/>
              </w:rPr>
              <w:t>(1)</w:t>
            </w:r>
          </w:p>
        </w:tc>
        <w:tc>
          <w:tcPr>
            <w:tcW w:w="900" w:type="dxa"/>
            <w:vAlign w:val="bottom"/>
            <w:tcBorders>
              <w:bottom w:val="single" w:sz="8" w:color="EFEBE9"/>
            </w:tcBorders>
            <w:shd w:val="clear" w:color="auto" w:fill="EFEBE9"/>
          </w:tcPr>
          <w:p>
            <w:pPr>
              <w:jc w:val="center"/>
              <w:ind w:right="48"/>
              <w:spacing w:after="0" w:line="189" w:lineRule="exact"/>
              <w:rPr>
                <w:sz w:val="20"/>
                <w:szCs w:val="20"/>
                <w:color w:val="auto"/>
              </w:rPr>
            </w:pPr>
            <w:r>
              <w:rPr>
                <w:rFonts w:ascii="Arial" w:cs="Arial" w:eastAsia="Arial" w:hAnsi="Arial"/>
                <w:sz w:val="14"/>
                <w:szCs w:val="14"/>
                <w:b w:val="1"/>
                <w:bCs w:val="1"/>
                <w:color w:val="867F7C"/>
                <w:w w:val="91"/>
              </w:rPr>
              <w:t>($)</w:t>
            </w:r>
            <w:r>
              <w:rPr>
                <w:rFonts w:ascii="Arial" w:cs="Arial" w:eastAsia="Arial" w:hAnsi="Arial"/>
                <w:sz w:val="19"/>
                <w:szCs w:val="19"/>
                <w:b w:val="1"/>
                <w:bCs w:val="1"/>
                <w:color w:val="867F7C"/>
                <w:w w:val="91"/>
                <w:vertAlign w:val="superscript"/>
              </w:rPr>
              <w:t>(2)</w:t>
            </w:r>
          </w:p>
        </w:tc>
        <w:tc>
          <w:tcPr>
            <w:tcW w:w="1260" w:type="dxa"/>
            <w:vAlign w:val="bottom"/>
            <w:tcBorders>
              <w:bottom w:val="single" w:sz="8" w:color="EFEBE9"/>
            </w:tcBorders>
            <w:shd w:val="clear" w:color="auto" w:fill="EFEBE9"/>
          </w:tcPr>
          <w:p>
            <w:pPr>
              <w:jc w:val="center"/>
              <w:ind w:right="168"/>
              <w:spacing w:after="0"/>
              <w:rPr>
                <w:sz w:val="20"/>
                <w:szCs w:val="20"/>
                <w:color w:val="auto"/>
              </w:rPr>
            </w:pPr>
            <w:r>
              <w:rPr>
                <w:rFonts w:ascii="Arial" w:cs="Arial" w:eastAsia="Arial" w:hAnsi="Arial"/>
                <w:sz w:val="14"/>
                <w:szCs w:val="14"/>
                <w:b w:val="1"/>
                <w:bCs w:val="1"/>
                <w:color w:val="867F7C"/>
              </w:rPr>
              <w:t>($)</w:t>
            </w:r>
          </w:p>
        </w:tc>
        <w:tc>
          <w:tcPr>
            <w:tcW w:w="900" w:type="dxa"/>
            <w:vAlign w:val="bottom"/>
            <w:tcBorders>
              <w:bottom w:val="single" w:sz="8" w:color="EFEBE9"/>
            </w:tcBorders>
            <w:shd w:val="clear" w:color="auto" w:fill="EFEBE9"/>
          </w:tcPr>
          <w:p>
            <w:pPr>
              <w:jc w:val="right"/>
              <w:ind w:right="348"/>
              <w:spacing w:after="0"/>
              <w:rPr>
                <w:sz w:val="20"/>
                <w:szCs w:val="20"/>
                <w:color w:val="auto"/>
              </w:rPr>
            </w:pPr>
            <w:r>
              <w:rPr>
                <w:rFonts w:ascii="Arial" w:cs="Arial" w:eastAsia="Arial" w:hAnsi="Arial"/>
                <w:sz w:val="14"/>
                <w:szCs w:val="14"/>
                <w:b w:val="1"/>
                <w:bCs w:val="1"/>
                <w:color w:val="867F7C"/>
              </w:rPr>
              <w:t>($)</w:t>
            </w:r>
          </w:p>
        </w:tc>
      </w:tr>
      <w:tr>
        <w:trPr>
          <w:trHeight w:val="201"/>
        </w:trPr>
        <w:tc>
          <w:tcPr>
            <w:tcW w:w="47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Steven D. Bishop</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100,000</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249,978</w:t>
            </w:r>
          </w:p>
        </w:tc>
      </w:tr>
      <w:tr>
        <w:trPr>
          <w:trHeight w:val="196"/>
        </w:trPr>
        <w:tc>
          <w:tcPr>
            <w:tcW w:w="47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Sanat Chattopadhyay</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110,417</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260,395</w:t>
            </w:r>
          </w:p>
        </w:tc>
      </w:tr>
      <w:tr>
        <w:trPr>
          <w:trHeight w:val="196"/>
        </w:trPr>
        <w:tc>
          <w:tcPr>
            <w:tcW w:w="47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Suzan F. Harrison</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118,322</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268,300</w:t>
            </w:r>
          </w:p>
        </w:tc>
      </w:tr>
      <w:tr>
        <w:trPr>
          <w:trHeight w:val="197"/>
        </w:trPr>
        <w:tc>
          <w:tcPr>
            <w:tcW w:w="4760" w:type="dxa"/>
            <w:vAlign w:val="bottom"/>
            <w:tcBorders>
              <w:bottom w:val="single" w:sz="8" w:color="867F7C"/>
            </w:tcBorders>
          </w:tcPr>
          <w:p>
            <w:pPr>
              <w:ind w:left="100"/>
              <w:spacing w:after="0" w:line="197" w:lineRule="exact"/>
              <w:rPr>
                <w:sz w:val="20"/>
                <w:szCs w:val="20"/>
                <w:color w:val="auto"/>
              </w:rPr>
            </w:pPr>
            <w:r>
              <w:rPr>
                <w:rFonts w:ascii="Arial" w:cs="Arial" w:eastAsia="Arial" w:hAnsi="Arial"/>
                <w:sz w:val="14"/>
                <w:szCs w:val="14"/>
                <w:b w:val="1"/>
                <w:bCs w:val="1"/>
                <w:color w:val="4CCEDE"/>
              </w:rPr>
              <w:t>Wetteny Joseph</w:t>
            </w:r>
            <w:r>
              <w:rPr>
                <w:rFonts w:ascii="Arial" w:cs="Arial" w:eastAsia="Arial" w:hAnsi="Arial"/>
                <w:sz w:val="19"/>
                <w:szCs w:val="19"/>
                <w:b w:val="1"/>
                <w:bCs w:val="1"/>
                <w:color w:val="4CCEDE"/>
                <w:vertAlign w:val="superscript"/>
              </w:rPr>
              <w:t>(3)</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30,833</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30,833</w:t>
            </w:r>
          </w:p>
        </w:tc>
      </w:tr>
      <w:tr>
        <w:trPr>
          <w:trHeight w:val="195"/>
        </w:trPr>
        <w:tc>
          <w:tcPr>
            <w:tcW w:w="47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Ashish K. Kulkarni</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100,000</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249,978</w:t>
            </w:r>
          </w:p>
        </w:tc>
      </w:tr>
      <w:tr>
        <w:trPr>
          <w:trHeight w:val="196"/>
        </w:trPr>
        <w:tc>
          <w:tcPr>
            <w:tcW w:w="47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Susan L. Main</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135,000</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284,978</w:t>
            </w:r>
          </w:p>
        </w:tc>
      </w:tr>
      <w:tr>
        <w:trPr>
          <w:trHeight w:val="197"/>
        </w:trPr>
        <w:tc>
          <w:tcPr>
            <w:tcW w:w="4760" w:type="dxa"/>
            <w:vAlign w:val="bottom"/>
            <w:tcBorders>
              <w:bottom w:val="single" w:sz="8" w:color="867F7C"/>
            </w:tcBorders>
          </w:tcPr>
          <w:p>
            <w:pPr>
              <w:ind w:left="100"/>
              <w:spacing w:after="0" w:line="197" w:lineRule="exact"/>
              <w:rPr>
                <w:sz w:val="20"/>
                <w:szCs w:val="20"/>
                <w:color w:val="auto"/>
              </w:rPr>
            </w:pPr>
            <w:r>
              <w:rPr>
                <w:rFonts w:ascii="Arial" w:cs="Arial" w:eastAsia="Arial" w:hAnsi="Arial"/>
                <w:sz w:val="14"/>
                <w:szCs w:val="14"/>
                <w:b w:val="1"/>
                <w:bCs w:val="1"/>
                <w:color w:val="4CCEDE"/>
              </w:rPr>
              <w:t>Sergio Pedreiro</w:t>
            </w:r>
            <w:r>
              <w:rPr>
                <w:rFonts w:ascii="Arial" w:cs="Arial" w:eastAsia="Arial" w:hAnsi="Arial"/>
                <w:sz w:val="19"/>
                <w:szCs w:val="19"/>
                <w:b w:val="1"/>
                <w:bCs w:val="1"/>
                <w:color w:val="4CCEDE"/>
                <w:vertAlign w:val="superscript"/>
              </w:rPr>
              <w:t>(3)</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120,000</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269,978</w:t>
            </w:r>
          </w:p>
        </w:tc>
      </w:tr>
      <w:tr>
        <w:trPr>
          <w:trHeight w:val="195"/>
        </w:trPr>
        <w:tc>
          <w:tcPr>
            <w:tcW w:w="47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Jerome A. Peribere</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115,000</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264,978</w:t>
            </w:r>
          </w:p>
        </w:tc>
      </w:tr>
      <w:tr>
        <w:trPr>
          <w:trHeight w:val="197"/>
        </w:trPr>
        <w:tc>
          <w:tcPr>
            <w:tcW w:w="4760" w:type="dxa"/>
            <w:vAlign w:val="bottom"/>
            <w:tcBorders>
              <w:bottom w:val="single" w:sz="8" w:color="867F7C"/>
            </w:tcBorders>
          </w:tcPr>
          <w:p>
            <w:pPr>
              <w:ind w:left="100"/>
              <w:spacing w:after="0" w:line="197" w:lineRule="exact"/>
              <w:rPr>
                <w:sz w:val="20"/>
                <w:szCs w:val="20"/>
                <w:color w:val="auto"/>
              </w:rPr>
            </w:pPr>
            <w:r>
              <w:rPr>
                <w:rFonts w:ascii="Arial" w:cs="Arial" w:eastAsia="Arial" w:hAnsi="Arial"/>
                <w:sz w:val="14"/>
                <w:szCs w:val="14"/>
                <w:b w:val="1"/>
                <w:bCs w:val="1"/>
                <w:color w:val="4CCEDE"/>
              </w:rPr>
              <w:t>Janice J. Teal</w:t>
            </w:r>
            <w:r>
              <w:rPr>
                <w:rFonts w:ascii="Arial" w:cs="Arial" w:eastAsia="Arial" w:hAnsi="Arial"/>
                <w:sz w:val="19"/>
                <w:szCs w:val="19"/>
                <w:b w:val="1"/>
                <w:bCs w:val="1"/>
                <w:color w:val="4CCEDE"/>
                <w:vertAlign w:val="superscript"/>
              </w:rPr>
              <w:t>(3)</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6,708</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6,708</w:t>
            </w:r>
          </w:p>
        </w:tc>
      </w:tr>
      <w:tr>
        <w:trPr>
          <w:trHeight w:val="195"/>
        </w:trPr>
        <w:tc>
          <w:tcPr>
            <w:tcW w:w="47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Scott A. Tozier</w:t>
            </w:r>
          </w:p>
        </w:tc>
        <w:tc>
          <w:tcPr>
            <w:tcW w:w="126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100,055</w:t>
            </w:r>
          </w:p>
        </w:tc>
        <w:tc>
          <w:tcPr>
            <w:tcW w:w="9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149,978</w:t>
            </w:r>
          </w:p>
        </w:tc>
        <w:tc>
          <w:tcPr>
            <w:tcW w:w="1260" w:type="dxa"/>
            <w:vAlign w:val="bottom"/>
            <w:tcBorders>
              <w:bottom w:val="single" w:sz="8" w:color="867F7C"/>
            </w:tcBorders>
          </w:tcPr>
          <w:p>
            <w:pPr>
              <w:ind w:left="9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250,033</w:t>
            </w:r>
          </w:p>
        </w:tc>
      </w:tr>
    </w:tbl>
    <w:p>
      <w:pPr>
        <w:spacing w:after="0" w:line="193" w:lineRule="exact"/>
        <w:rPr>
          <w:sz w:val="20"/>
          <w:szCs w:val="20"/>
          <w:color w:val="auto"/>
        </w:rPr>
      </w:pPr>
    </w:p>
    <w:p>
      <w:pPr>
        <w:ind w:left="220" w:right="20" w:hanging="212"/>
        <w:spacing w:after="0" w:line="222" w:lineRule="auto"/>
        <w:tabs>
          <w:tab w:leader="none" w:pos="220" w:val="left"/>
        </w:tabs>
        <w:numPr>
          <w:ilvl w:val="0"/>
          <w:numId w:val="24"/>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For fiscal 2025 Messrs. Bishop, Chattopadhyay and Ms. Harrison each elected to defer all or a portion of their fees into the Directors’ Deferral Plan.</w:t>
      </w:r>
    </w:p>
    <w:p>
      <w:pPr>
        <w:spacing w:after="0" w:line="134" w:lineRule="exact"/>
        <w:rPr>
          <w:rFonts w:ascii="Times New Roman" w:cs="Times New Roman" w:eastAsia="Times New Roman" w:hAnsi="Times New Roman"/>
          <w:sz w:val="19"/>
          <w:szCs w:val="19"/>
          <w:color w:val="auto"/>
          <w:vertAlign w:val="superscript"/>
        </w:rPr>
      </w:pPr>
    </w:p>
    <w:p>
      <w:pPr>
        <w:jc w:val="both"/>
        <w:ind w:left="220" w:hanging="212"/>
        <w:spacing w:after="0"/>
        <w:tabs>
          <w:tab w:leader="none" w:pos="220" w:val="left"/>
        </w:tabs>
        <w:numPr>
          <w:ilvl w:val="0"/>
          <w:numId w:val="24"/>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values reported in this column represent the aggregate grant date fair value of restricted stock unit awards granted in fiscal 2025 computed in accordance with FASB ASC Topic 718. These restricted stock unit awards do not require assumptions in computing their grant date fair value under generally accepted accounting principles. The number of restricted stock unit awards received is rounded down to the nearest whole share. The grant date fair value per share of each restricted stock unit was $73.16 per share of Ashland Common Stock.</w:t>
      </w:r>
    </w:p>
    <w:p>
      <w:pPr>
        <w:spacing w:after="0" w:line="292"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867F7C"/>
        </w:rPr>
        <w:t>director compensation</w:t>
      </w:r>
    </w:p>
    <w:p>
      <w:pPr>
        <w:spacing w:after="0" w:line="316" w:lineRule="exact"/>
        <w:rPr>
          <w:sz w:val="20"/>
          <w:szCs w:val="20"/>
          <w:color w:val="auto"/>
        </w:rPr>
      </w:pPr>
    </w:p>
    <w:p>
      <w:pPr>
        <w:ind w:left="220" w:hanging="212"/>
        <w:spacing w:after="0" w:line="222" w:lineRule="auto"/>
        <w:tabs>
          <w:tab w:leader="none" w:pos="220" w:val="left"/>
        </w:tabs>
        <w:numPr>
          <w:ilvl w:val="0"/>
          <w:numId w:val="25"/>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Mr. Joseph and Dr. Teal did not stand for re-election at the Annual Meeting on January 21, 2025. Sergio Pedreiro resigned from the Ashland Board on September 30,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16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22" w:name="page23"/>
    <w:bookmarkEnd w:id="22"/>
    <w:p>
      <w:pPr>
        <w:ind w:left="5840"/>
        <w:spacing w:after="0"/>
        <w:rPr>
          <w:sz w:val="20"/>
          <w:szCs w:val="20"/>
          <w:color w:val="auto"/>
        </w:rPr>
      </w:pPr>
      <w:r>
        <w:rPr>
          <w:rFonts w:ascii="Arial" w:cs="Arial" w:eastAsia="Arial" w:hAnsi="Arial"/>
          <w:sz w:val="17"/>
          <w:szCs w:val="17"/>
          <w:color w:val="867F7C"/>
        </w:rPr>
        <w:t>director diversity, skills and qualifications</w:t>
      </w:r>
    </w:p>
    <w:p>
      <w:pPr>
        <w:spacing w:after="0" w:line="172" w:lineRule="exact"/>
        <w:rPr>
          <w:sz w:val="20"/>
          <w:szCs w:val="20"/>
          <w:color w:val="auto"/>
        </w:rPr>
      </w:pPr>
    </w:p>
    <w:p>
      <w:pPr>
        <w:ind w:right="2620"/>
        <w:spacing w:after="0" w:line="262" w:lineRule="auto"/>
        <w:rPr>
          <w:sz w:val="20"/>
          <w:szCs w:val="20"/>
          <w:color w:val="auto"/>
        </w:rPr>
      </w:pPr>
      <w:r>
        <w:rPr>
          <w:rFonts w:ascii="Arial" w:cs="Arial" w:eastAsia="Arial" w:hAnsi="Arial"/>
          <w:sz w:val="54"/>
          <w:szCs w:val="54"/>
          <w:color w:val="867F7C"/>
        </w:rPr>
        <w:t>director diversity, skills and qualifications</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G&amp;N Committee identifies, evaluates, and recommends to the Board qualified director candidates to be nominated for election at each annual meeting of stockholders. The G&amp;N Committee selects each director nominee based on the nominee’s skills, achievements and experience. The G&amp;N Committee reviews all director candidates in accordance with its charter and Ashland’s Corporate Governance Guidelines and will identify qualified individuals consistent with criteria approved by the Board. The G&amp;N Committee has sole discretion and authority to retain, compensate, and terminate independent professional search firms to identify and suggest director candidates from time to time.</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Stockholders may also recommend director candidates by providing prior written notice to the G&amp;N Committee. Page 79 of this Proxy Statement provides important information for stockholders seeking to submit a potential candidate or candidates for consideration for election at the 2026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board diversity and tenure</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Board strives to maintain an independent and diverse group of qualified director nominees that bring diverse backgrounds and viewpoints and that reflect the diversity of our stockholders, employees, customers, guests and communities. The following charts provides the gender and racial/ethnic diversity and years of tenure of our director nominees. More information about our director nominees can be found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760720" cy="1156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6072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director nominee skills and qualifications</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G&amp;N Committee strives to select individuals as director nominees who exhibit the highest personal and professional integrity, who have demonstrated exceptional ability and judgment and who shall be most effective in serving the interests of Ashland’s stockholders. The following matrix identifies certain skills and experience that the G&amp;N Committee and the Board believe that the Board, as a collective group must have for the effective oversight of Ashland and our strategy. The table is intended to serve as a high-level summary and not an exhaustive list of each director nominee's skills, capabilities or contributions to the Board. The biographies of the director nominees on page 20 includes more information about our directors’ relevant skills, experience and qualifications.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867F7C"/>
        </w:rPr>
        <w:t>director diversity,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137795</wp:posOffset>
            </wp:positionV>
            <wp:extent cx="5408930" cy="8058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0893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867F7C"/>
        </w:rPr>
        <w:t>experience and skills relevant to oversight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29210</wp:posOffset>
            </wp:positionV>
            <wp:extent cx="54089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61" w:lineRule="exact"/>
        <w:rPr>
          <w:sz w:val="20"/>
          <w:szCs w:val="20"/>
          <w:color w:val="auto"/>
        </w:rPr>
      </w:pPr>
    </w:p>
    <w:p>
      <w:pPr>
        <w:ind w:left="340" w:right="4919"/>
        <w:spacing w:after="0" w:line="267" w:lineRule="auto"/>
        <w:rPr>
          <w:sz w:val="20"/>
          <w:szCs w:val="20"/>
          <w:color w:val="auto"/>
        </w:rPr>
      </w:pPr>
      <w:r>
        <w:rPr>
          <w:rFonts w:ascii="Arial" w:cs="Arial" w:eastAsia="Arial" w:hAnsi="Arial"/>
          <w:sz w:val="15"/>
          <w:szCs w:val="15"/>
          <w:b w:val="1"/>
          <w:bCs w:val="1"/>
          <w:color w:val="4CCEDE"/>
        </w:rPr>
        <w:t xml:space="preserve">CEO experience: </w:t>
      </w:r>
      <w:r>
        <w:rPr>
          <w:rFonts w:ascii="Arial" w:cs="Arial" w:eastAsia="Arial" w:hAnsi="Arial"/>
          <w:sz w:val="15"/>
          <w:szCs w:val="15"/>
          <w:color w:val="000000"/>
        </w:rPr>
        <w:t>past or current experience serving as</w:t>
      </w:r>
      <w:r>
        <w:rPr>
          <w:rFonts w:ascii="Arial" w:cs="Arial" w:eastAsia="Arial" w:hAnsi="Arial"/>
          <w:sz w:val="15"/>
          <w:szCs w:val="15"/>
          <w:b w:val="1"/>
          <w:bCs w:val="1"/>
          <w:color w:val="4CCEDE"/>
        </w:rPr>
        <w:t xml:space="preserve"> </w:t>
      </w:r>
      <w:r>
        <w:rPr>
          <w:rFonts w:ascii="Arial" w:cs="Arial" w:eastAsia="Arial" w:hAnsi="Arial"/>
          <w:sz w:val="15"/>
          <w:szCs w:val="15"/>
          <w:color w:val="000000"/>
        </w:rPr>
        <w:t>a public company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-230505</wp:posOffset>
            </wp:positionV>
            <wp:extent cx="540893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08930" cy="240030"/>
                    </a:xfrm>
                    <a:prstGeom prst="rect">
                      <a:avLst/>
                    </a:prstGeom>
                    <a:noFill/>
                  </pic:spPr>
                </pic:pic>
              </a:graphicData>
            </a:graphic>
          </wp:anchor>
        </w:drawing>
      </w:r>
    </w:p>
    <w:p>
      <w:pPr>
        <w:spacing w:after="0" w:line="15" w:lineRule="exact"/>
        <w:rPr>
          <w:sz w:val="20"/>
          <w:szCs w:val="20"/>
          <w:color w:val="auto"/>
        </w:rPr>
      </w:pPr>
    </w:p>
    <w:p>
      <w:pPr>
        <w:ind w:left="340" w:right="5039"/>
        <w:spacing w:after="0" w:line="246" w:lineRule="auto"/>
        <w:rPr>
          <w:sz w:val="20"/>
          <w:szCs w:val="20"/>
          <w:color w:val="auto"/>
        </w:rPr>
      </w:pPr>
      <w:r>
        <w:rPr>
          <w:rFonts w:ascii="Arial" w:cs="Arial" w:eastAsia="Arial" w:hAnsi="Arial"/>
          <w:sz w:val="15"/>
          <w:szCs w:val="15"/>
          <w:b w:val="1"/>
          <w:bCs w:val="1"/>
          <w:color w:val="4CCEDE"/>
        </w:rPr>
        <w:t xml:space="preserve">corporate governance: </w:t>
      </w:r>
      <w:r>
        <w:rPr>
          <w:rFonts w:ascii="Arial" w:cs="Arial" w:eastAsia="Arial" w:hAnsi="Arial"/>
          <w:sz w:val="15"/>
          <w:szCs w:val="15"/>
          <w:color w:val="000000"/>
        </w:rPr>
        <w:t>governance expertise gained</w:t>
      </w:r>
      <w:r>
        <w:rPr>
          <w:rFonts w:ascii="Arial" w:cs="Arial" w:eastAsia="Arial" w:hAnsi="Arial"/>
          <w:sz w:val="15"/>
          <w:szCs w:val="15"/>
          <w:b w:val="1"/>
          <w:bCs w:val="1"/>
          <w:color w:val="4CCEDE"/>
        </w:rPr>
        <w:t xml:space="preserve"> </w:t>
      </w:r>
      <w:r>
        <w:rPr>
          <w:rFonts w:ascii="Arial" w:cs="Arial" w:eastAsia="Arial" w:hAnsi="Arial"/>
          <w:sz w:val="15"/>
          <w:szCs w:val="15"/>
          <w:color w:val="000000"/>
        </w:rPr>
        <w:t>through board service or experience as a public company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1270</wp:posOffset>
            </wp:positionV>
            <wp:extent cx="54089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-220980</wp:posOffset>
            </wp:positionV>
            <wp:extent cx="102870" cy="102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-220980</wp:posOffset>
            </wp:positionV>
            <wp:extent cx="102870" cy="1028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-220980</wp:posOffset>
            </wp:positionV>
            <wp:extent cx="102870" cy="102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-220980</wp:posOffset>
            </wp:positionV>
            <wp:extent cx="102870" cy="1028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-220980</wp:posOffset>
            </wp:positionV>
            <wp:extent cx="10287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-220980</wp:posOffset>
            </wp:positionV>
            <wp:extent cx="10287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-220980</wp:posOffset>
            </wp:positionV>
            <wp:extent cx="10287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-220980</wp:posOffset>
            </wp:positionV>
            <wp:extent cx="10287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-280670</wp:posOffset>
            </wp:positionV>
            <wp:extent cx="214630"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7" w:lineRule="exact"/>
        <w:rPr>
          <w:sz w:val="20"/>
          <w:szCs w:val="20"/>
          <w:color w:val="auto"/>
        </w:rPr>
      </w:pPr>
    </w:p>
    <w:p>
      <w:pPr>
        <w:ind w:left="340" w:right="5159"/>
        <w:spacing w:after="0" w:line="236" w:lineRule="auto"/>
        <w:rPr>
          <w:sz w:val="20"/>
          <w:szCs w:val="20"/>
          <w:color w:val="auto"/>
        </w:rPr>
      </w:pPr>
      <w:r>
        <w:rPr>
          <w:rFonts w:ascii="Arial" w:cs="Arial" w:eastAsia="Arial" w:hAnsi="Arial"/>
          <w:sz w:val="15"/>
          <w:szCs w:val="15"/>
          <w:b w:val="1"/>
          <w:bCs w:val="1"/>
          <w:color w:val="4CCEDE"/>
        </w:rPr>
        <w:t xml:space="preserve">financial/accounting: </w:t>
      </w:r>
      <w:r>
        <w:rPr>
          <w:rFonts w:ascii="Arial" w:cs="Arial" w:eastAsia="Arial" w:hAnsi="Arial"/>
          <w:sz w:val="15"/>
          <w:szCs w:val="15"/>
          <w:color w:val="000000"/>
        </w:rPr>
        <w:t>experience in a financial</w:t>
      </w:r>
      <w:r>
        <w:rPr>
          <w:rFonts w:ascii="Arial" w:cs="Arial" w:eastAsia="Arial" w:hAnsi="Arial"/>
          <w:sz w:val="15"/>
          <w:szCs w:val="15"/>
          <w:b w:val="1"/>
          <w:bCs w:val="1"/>
          <w:color w:val="4CCEDE"/>
        </w:rPr>
        <w:t xml:space="preserve"> </w:t>
      </w:r>
      <w:r>
        <w:rPr>
          <w:rFonts w:ascii="Arial" w:cs="Arial" w:eastAsia="Arial" w:hAnsi="Arial"/>
          <w:sz w:val="15"/>
          <w:szCs w:val="15"/>
          <w:color w:val="000000"/>
        </w:rPr>
        <w:t>leadership role (i.e., CFO, CAO, Controller, etc.) requiring an understanding of financial statements, financial reporting, financial transactions, and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5080</wp:posOffset>
            </wp:positionV>
            <wp:extent cx="54089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-320040</wp:posOffset>
            </wp:positionV>
            <wp:extent cx="10287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-320040</wp:posOffset>
            </wp:positionV>
            <wp:extent cx="102870"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-379730</wp:posOffset>
            </wp:positionV>
            <wp:extent cx="21463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3" w:lineRule="exact"/>
        <w:rPr>
          <w:sz w:val="20"/>
          <w:szCs w:val="20"/>
          <w:color w:val="auto"/>
        </w:rPr>
      </w:pPr>
    </w:p>
    <w:p>
      <w:pPr>
        <w:ind w:left="340" w:right="5379"/>
        <w:spacing w:after="0" w:line="246" w:lineRule="auto"/>
        <w:rPr>
          <w:sz w:val="20"/>
          <w:szCs w:val="20"/>
          <w:color w:val="auto"/>
        </w:rPr>
      </w:pPr>
      <w:r>
        <w:rPr>
          <w:rFonts w:ascii="Arial" w:cs="Arial" w:eastAsia="Arial" w:hAnsi="Arial"/>
          <w:sz w:val="15"/>
          <w:szCs w:val="15"/>
          <w:b w:val="1"/>
          <w:bCs w:val="1"/>
          <w:color w:val="4CCEDE"/>
        </w:rPr>
        <w:t xml:space="preserve">cybersecurity and information technology: </w:t>
      </w:r>
      <w:r>
        <w:rPr>
          <w:rFonts w:ascii="Arial" w:cs="Arial" w:eastAsia="Arial" w:hAnsi="Arial"/>
          <w:sz w:val="15"/>
          <w:szCs w:val="15"/>
          <w:color w:val="000000"/>
        </w:rPr>
        <w:t>experience overseeing an information technology program and managing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1270</wp:posOffset>
            </wp:positionV>
            <wp:extent cx="54089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-220980</wp:posOffset>
            </wp:positionV>
            <wp:extent cx="10287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-220980</wp:posOffset>
            </wp:positionV>
            <wp:extent cx="10287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-280670</wp:posOffset>
            </wp:positionV>
            <wp:extent cx="21463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7" w:lineRule="exact"/>
        <w:rPr>
          <w:sz w:val="20"/>
          <w:szCs w:val="20"/>
          <w:color w:val="auto"/>
        </w:rPr>
      </w:pPr>
    </w:p>
    <w:p>
      <w:pPr>
        <w:ind w:left="340" w:right="4939"/>
        <w:spacing w:after="0" w:line="239" w:lineRule="auto"/>
        <w:rPr>
          <w:sz w:val="20"/>
          <w:szCs w:val="20"/>
          <w:color w:val="auto"/>
        </w:rPr>
      </w:pPr>
      <w:r>
        <w:rPr>
          <w:rFonts w:ascii="Arial" w:cs="Arial" w:eastAsia="Arial" w:hAnsi="Arial"/>
          <w:sz w:val="15"/>
          <w:szCs w:val="15"/>
          <w:b w:val="1"/>
          <w:bCs w:val="1"/>
          <w:color w:val="4CCEDE"/>
        </w:rPr>
        <w:t xml:space="preserve">legal/regulatory/public policy: </w:t>
      </w:r>
      <w:r>
        <w:rPr>
          <w:rFonts w:ascii="Arial" w:cs="Arial" w:eastAsia="Arial" w:hAnsi="Arial"/>
          <w:sz w:val="15"/>
          <w:szCs w:val="15"/>
          <w:color w:val="000000"/>
        </w:rPr>
        <w:t>experience with</w:t>
      </w:r>
      <w:r>
        <w:rPr>
          <w:rFonts w:ascii="Arial" w:cs="Arial" w:eastAsia="Arial" w:hAnsi="Arial"/>
          <w:sz w:val="15"/>
          <w:szCs w:val="15"/>
          <w:b w:val="1"/>
          <w:bCs w:val="1"/>
          <w:color w:val="4CCEDE"/>
        </w:rPr>
        <w:t xml:space="preserve"> </w:t>
      </w:r>
      <w:r>
        <w:rPr>
          <w:rFonts w:ascii="Arial" w:cs="Arial" w:eastAsia="Arial" w:hAnsi="Arial"/>
          <w:sz w:val="15"/>
          <w:szCs w:val="15"/>
          <w:color w:val="000000"/>
        </w:rPr>
        <w:t>governmental regulations applicable to the company’s industry, experience in legal and regulatory compliance, lobbying, advocacy and 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wp:posOffset>
            </wp:positionV>
            <wp:extent cx="54089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-269240</wp:posOffset>
            </wp:positionV>
            <wp:extent cx="10287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-269240</wp:posOffset>
            </wp:positionV>
            <wp:extent cx="10287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-269240</wp:posOffset>
            </wp:positionV>
            <wp:extent cx="10287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-269240</wp:posOffset>
            </wp:positionV>
            <wp:extent cx="10287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-328930</wp:posOffset>
            </wp:positionV>
            <wp:extent cx="21463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867F7C"/>
        </w:rPr>
        <w:t>experience and skills relevant to oversight of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29210</wp:posOffset>
            </wp:positionV>
            <wp:extent cx="54089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08930" cy="8890"/>
                    </a:xfrm>
                    <a:prstGeom prst="rect">
                      <a:avLst/>
                    </a:prstGeom>
                    <a:noFill/>
                  </pic:spPr>
                </pic:pic>
              </a:graphicData>
            </a:graphic>
          </wp:anchor>
        </w:drawing>
      </w:r>
    </w:p>
    <w:p>
      <w:pPr>
        <w:spacing w:after="0" w:line="61" w:lineRule="exact"/>
        <w:rPr>
          <w:sz w:val="20"/>
          <w:szCs w:val="20"/>
          <w:color w:val="auto"/>
        </w:rPr>
      </w:pPr>
    </w:p>
    <w:p>
      <w:pPr>
        <w:ind w:left="340" w:right="4939"/>
        <w:spacing w:after="0" w:line="267" w:lineRule="auto"/>
        <w:rPr>
          <w:sz w:val="20"/>
          <w:szCs w:val="20"/>
          <w:color w:val="auto"/>
        </w:rPr>
      </w:pPr>
      <w:r>
        <w:rPr>
          <w:rFonts w:ascii="Arial" w:cs="Arial" w:eastAsia="Arial" w:hAnsi="Arial"/>
          <w:sz w:val="15"/>
          <w:szCs w:val="15"/>
          <w:b w:val="1"/>
          <w:bCs w:val="1"/>
          <w:color w:val="4CCEDE"/>
        </w:rPr>
        <w:t xml:space="preserve">chemicals industry: </w:t>
      </w:r>
      <w:r>
        <w:rPr>
          <w:rFonts w:ascii="Arial" w:cs="Arial" w:eastAsia="Arial" w:hAnsi="Arial"/>
          <w:sz w:val="15"/>
          <w:szCs w:val="15"/>
          <w:color w:val="000000"/>
        </w:rPr>
        <w:t>demonstrated experience working</w:t>
      </w:r>
      <w:r>
        <w:rPr>
          <w:rFonts w:ascii="Arial" w:cs="Arial" w:eastAsia="Arial" w:hAnsi="Arial"/>
          <w:sz w:val="15"/>
          <w:szCs w:val="15"/>
          <w:b w:val="1"/>
          <w:bCs w:val="1"/>
          <w:color w:val="4CCEDE"/>
        </w:rPr>
        <w:t xml:space="preserve"> </w:t>
      </w:r>
      <w:r>
        <w:rPr>
          <w:rFonts w:ascii="Arial" w:cs="Arial" w:eastAsia="Arial" w:hAnsi="Arial"/>
          <w:sz w:val="15"/>
          <w:szCs w:val="15"/>
          <w:color w:val="000000"/>
        </w:rPr>
        <w:t>the in the chemicals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-230505</wp:posOffset>
            </wp:positionV>
            <wp:extent cx="5408930"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08930" cy="240030"/>
                    </a:xfrm>
                    <a:prstGeom prst="rect">
                      <a:avLst/>
                    </a:prstGeom>
                    <a:noFill/>
                  </pic:spPr>
                </pic:pic>
              </a:graphicData>
            </a:graphic>
          </wp:anchor>
        </w:drawing>
      </w:r>
    </w:p>
    <w:p>
      <w:pPr>
        <w:spacing w:after="0" w:line="15" w:lineRule="exact"/>
        <w:rPr>
          <w:sz w:val="20"/>
          <w:szCs w:val="20"/>
          <w:color w:val="auto"/>
        </w:rPr>
      </w:pPr>
    </w:p>
    <w:p>
      <w:pPr>
        <w:ind w:left="340" w:right="4979"/>
        <w:spacing w:after="0" w:line="239" w:lineRule="auto"/>
        <w:rPr>
          <w:sz w:val="20"/>
          <w:szCs w:val="20"/>
          <w:color w:val="auto"/>
        </w:rPr>
      </w:pPr>
      <w:r>
        <w:rPr>
          <w:rFonts w:ascii="Arial" w:cs="Arial" w:eastAsia="Arial" w:hAnsi="Arial"/>
          <w:sz w:val="15"/>
          <w:szCs w:val="15"/>
          <w:b w:val="1"/>
          <w:bCs w:val="1"/>
          <w:color w:val="4CCEDE"/>
        </w:rPr>
        <w:t xml:space="preserve">manufacturing/operational experience: </w:t>
      </w:r>
      <w:r>
        <w:rPr>
          <w:rFonts w:ascii="Arial" w:cs="Arial" w:eastAsia="Arial" w:hAnsi="Arial"/>
          <w:sz w:val="15"/>
          <w:szCs w:val="15"/>
          <w:color w:val="000000"/>
        </w:rPr>
        <w:t>senior</w:t>
      </w:r>
      <w:r>
        <w:rPr>
          <w:rFonts w:ascii="Arial" w:cs="Arial" w:eastAsia="Arial" w:hAnsi="Arial"/>
          <w:sz w:val="15"/>
          <w:szCs w:val="15"/>
          <w:b w:val="1"/>
          <w:bCs w:val="1"/>
          <w:color w:val="4CCEDE"/>
        </w:rPr>
        <w:t xml:space="preserve"> </w:t>
      </w:r>
      <w:r>
        <w:rPr>
          <w:rFonts w:ascii="Arial" w:cs="Arial" w:eastAsia="Arial" w:hAnsi="Arial"/>
          <w:sz w:val="15"/>
          <w:szCs w:val="15"/>
          <w:color w:val="000000"/>
        </w:rPr>
        <w:t>leadership experience managing and/or overseeing the manufacturing operations/supply chain of a private or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wp:posOffset>
            </wp:positionV>
            <wp:extent cx="54089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-269240</wp:posOffset>
            </wp:positionV>
            <wp:extent cx="102870"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-269240</wp:posOffset>
            </wp:positionV>
            <wp:extent cx="10287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-269240</wp:posOffset>
            </wp:positionV>
            <wp:extent cx="10287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-269240</wp:posOffset>
            </wp:positionV>
            <wp:extent cx="10287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-269240</wp:posOffset>
            </wp:positionV>
            <wp:extent cx="10287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-269240</wp:posOffset>
            </wp:positionV>
            <wp:extent cx="10287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-269240</wp:posOffset>
            </wp:positionV>
            <wp:extent cx="10287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-328930</wp:posOffset>
            </wp:positionV>
            <wp:extent cx="21463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2" w:lineRule="exact"/>
        <w:rPr>
          <w:sz w:val="20"/>
          <w:szCs w:val="20"/>
          <w:color w:val="auto"/>
        </w:rPr>
      </w:pPr>
    </w:p>
    <w:p>
      <w:pPr>
        <w:ind w:left="340" w:right="4979"/>
        <w:spacing w:after="0" w:line="239" w:lineRule="auto"/>
        <w:rPr>
          <w:sz w:val="20"/>
          <w:szCs w:val="20"/>
          <w:color w:val="auto"/>
        </w:rPr>
      </w:pPr>
      <w:r>
        <w:rPr>
          <w:rFonts w:ascii="Arial" w:cs="Arial" w:eastAsia="Arial" w:hAnsi="Arial"/>
          <w:sz w:val="15"/>
          <w:szCs w:val="15"/>
          <w:b w:val="1"/>
          <w:bCs w:val="1"/>
          <w:color w:val="4CCEDE"/>
        </w:rPr>
        <w:t xml:space="preserve">global business strategy and management: </w:t>
      </w:r>
      <w:r>
        <w:rPr>
          <w:rFonts w:ascii="Arial" w:cs="Arial" w:eastAsia="Arial" w:hAnsi="Arial"/>
          <w:sz w:val="15"/>
          <w:szCs w:val="15"/>
          <w:color w:val="000000"/>
        </w:rPr>
        <w:t>experience driving business success in global markets, with an understanding of global issues that affect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wp:posOffset>
            </wp:positionV>
            <wp:extent cx="54089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-269240</wp:posOffset>
            </wp:positionV>
            <wp:extent cx="10287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-269240</wp:posOffset>
            </wp:positionV>
            <wp:extent cx="10287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-269240</wp:posOffset>
            </wp:positionV>
            <wp:extent cx="10287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-269240</wp:posOffset>
            </wp:positionV>
            <wp:extent cx="10287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-269240</wp:posOffset>
            </wp:positionV>
            <wp:extent cx="10287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-269240</wp:posOffset>
            </wp:positionV>
            <wp:extent cx="10287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-269240</wp:posOffset>
            </wp:positionV>
            <wp:extent cx="10287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-269240</wp:posOffset>
            </wp:positionV>
            <wp:extent cx="10287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-328930</wp:posOffset>
            </wp:positionV>
            <wp:extent cx="214630" cy="2139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spacing w:after="0" w:line="22" w:lineRule="exact"/>
        <w:rPr>
          <w:sz w:val="20"/>
          <w:szCs w:val="20"/>
          <w:color w:val="auto"/>
        </w:rPr>
      </w:pPr>
    </w:p>
    <w:p>
      <w:pPr>
        <w:ind w:left="340" w:right="5259"/>
        <w:spacing w:after="0" w:line="246" w:lineRule="auto"/>
        <w:rPr>
          <w:sz w:val="20"/>
          <w:szCs w:val="20"/>
          <w:color w:val="auto"/>
        </w:rPr>
      </w:pPr>
      <w:r>
        <w:rPr>
          <w:rFonts w:ascii="Arial" w:cs="Arial" w:eastAsia="Arial" w:hAnsi="Arial"/>
          <w:sz w:val="15"/>
          <w:szCs w:val="15"/>
          <w:b w:val="1"/>
          <w:bCs w:val="1"/>
          <w:color w:val="4CCEDE"/>
        </w:rPr>
        <w:t xml:space="preserve">business development, M&amp;A: </w:t>
      </w:r>
      <w:r>
        <w:rPr>
          <w:rFonts w:ascii="Arial" w:cs="Arial" w:eastAsia="Arial" w:hAnsi="Arial"/>
          <w:sz w:val="15"/>
          <w:szCs w:val="15"/>
          <w:color w:val="000000"/>
        </w:rPr>
        <w:t>experience leading</w:t>
      </w:r>
      <w:r>
        <w:rPr>
          <w:rFonts w:ascii="Arial" w:cs="Arial" w:eastAsia="Arial" w:hAnsi="Arial"/>
          <w:sz w:val="15"/>
          <w:szCs w:val="15"/>
          <w:b w:val="1"/>
          <w:bCs w:val="1"/>
          <w:color w:val="4CCEDE"/>
        </w:rPr>
        <w:t xml:space="preserve"> </w:t>
      </w:r>
      <w:r>
        <w:rPr>
          <w:rFonts w:ascii="Arial" w:cs="Arial" w:eastAsia="Arial" w:hAnsi="Arial"/>
          <w:sz w:val="15"/>
          <w:szCs w:val="15"/>
          <w:color w:val="000000"/>
        </w:rPr>
        <w:t>growth through acquisitions and other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1270</wp:posOffset>
            </wp:positionV>
            <wp:extent cx="54089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-220980</wp:posOffset>
            </wp:positionV>
            <wp:extent cx="10287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-220980</wp:posOffset>
            </wp:positionV>
            <wp:extent cx="10287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-220980</wp:posOffset>
            </wp:positionV>
            <wp:extent cx="10287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-220980</wp:posOffset>
            </wp:positionV>
            <wp:extent cx="102870"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-220980</wp:posOffset>
            </wp:positionV>
            <wp:extent cx="102870" cy="102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-220980</wp:posOffset>
            </wp:positionV>
            <wp:extent cx="102870" cy="1028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-220980</wp:posOffset>
            </wp:positionV>
            <wp:extent cx="102870" cy="102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-220980</wp:posOffset>
            </wp:positionV>
            <wp:extent cx="102870" cy="102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-280670</wp:posOffset>
            </wp:positionV>
            <wp:extent cx="214630"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7" w:lineRule="exact"/>
        <w:rPr>
          <w:sz w:val="20"/>
          <w:szCs w:val="20"/>
          <w:color w:val="auto"/>
        </w:rPr>
      </w:pPr>
    </w:p>
    <w:p>
      <w:pPr>
        <w:ind w:left="340" w:right="4899"/>
        <w:spacing w:after="0" w:line="248" w:lineRule="auto"/>
        <w:rPr>
          <w:sz w:val="20"/>
          <w:szCs w:val="20"/>
          <w:color w:val="auto"/>
        </w:rPr>
      </w:pPr>
      <w:r>
        <w:rPr>
          <w:rFonts w:ascii="Arial" w:cs="Arial" w:eastAsia="Arial" w:hAnsi="Arial"/>
          <w:sz w:val="15"/>
          <w:szCs w:val="15"/>
          <w:b w:val="1"/>
          <w:bCs w:val="1"/>
          <w:color w:val="4CCEDE"/>
        </w:rPr>
        <w:t xml:space="preserve">sales and marketing: </w:t>
      </w:r>
      <w:r>
        <w:rPr>
          <w:rFonts w:ascii="Arial" w:cs="Arial" w:eastAsia="Arial" w:hAnsi="Arial"/>
          <w:sz w:val="15"/>
          <w:szCs w:val="15"/>
          <w:color w:val="000000"/>
        </w:rPr>
        <w:t>senior level experience</w:t>
      </w:r>
      <w:r>
        <w:rPr>
          <w:rFonts w:ascii="Arial" w:cs="Arial" w:eastAsia="Arial" w:hAnsi="Arial"/>
          <w:sz w:val="15"/>
          <w:szCs w:val="15"/>
          <w:b w:val="1"/>
          <w:bCs w:val="1"/>
          <w:color w:val="4CCEDE"/>
        </w:rPr>
        <w:t xml:space="preserve"> </w:t>
      </w:r>
      <w:r>
        <w:rPr>
          <w:rFonts w:ascii="Arial" w:cs="Arial" w:eastAsia="Arial" w:hAnsi="Arial"/>
          <w:sz w:val="15"/>
          <w:szCs w:val="15"/>
          <w:color w:val="000000"/>
        </w:rPr>
        <w:t>managing sales and marketing strategies relevant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111760</wp:posOffset>
            </wp:positionV>
            <wp:extent cx="54089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-110490</wp:posOffset>
            </wp:positionV>
            <wp:extent cx="102870"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-110490</wp:posOffset>
            </wp:positionV>
            <wp:extent cx="102870" cy="1028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-110490</wp:posOffset>
            </wp:positionV>
            <wp:extent cx="102870"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-110490</wp:posOffset>
            </wp:positionV>
            <wp:extent cx="102870"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-110490</wp:posOffset>
            </wp:positionV>
            <wp:extent cx="102870"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21463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91" w:lineRule="exact"/>
        <w:rPr>
          <w:sz w:val="20"/>
          <w:szCs w:val="20"/>
          <w:color w:val="auto"/>
        </w:rPr>
      </w:pPr>
    </w:p>
    <w:p>
      <w:pPr>
        <w:ind w:left="340" w:right="4979"/>
        <w:spacing w:after="0" w:line="246" w:lineRule="auto"/>
        <w:rPr>
          <w:sz w:val="20"/>
          <w:szCs w:val="20"/>
          <w:color w:val="auto"/>
        </w:rPr>
      </w:pPr>
      <w:r>
        <w:rPr>
          <w:rFonts w:ascii="Arial" w:cs="Arial" w:eastAsia="Arial" w:hAnsi="Arial"/>
          <w:sz w:val="15"/>
          <w:szCs w:val="15"/>
          <w:b w:val="1"/>
          <w:bCs w:val="1"/>
          <w:color w:val="4CCEDE"/>
        </w:rPr>
        <w:t xml:space="preserve">sustainability: </w:t>
      </w:r>
      <w:r>
        <w:rPr>
          <w:rFonts w:ascii="Arial" w:cs="Arial" w:eastAsia="Arial" w:hAnsi="Arial"/>
          <w:sz w:val="15"/>
          <w:szCs w:val="15"/>
          <w:color w:val="000000"/>
        </w:rPr>
        <w:t>experience in operating a sustainable</w:t>
      </w:r>
      <w:r>
        <w:rPr>
          <w:rFonts w:ascii="Arial" w:cs="Arial" w:eastAsia="Arial" w:hAnsi="Arial"/>
          <w:sz w:val="15"/>
          <w:szCs w:val="15"/>
          <w:b w:val="1"/>
          <w:bCs w:val="1"/>
          <w:color w:val="4CCEDE"/>
        </w:rPr>
        <w:t xml:space="preserve"> </w:t>
      </w:r>
      <w:r>
        <w:rPr>
          <w:rFonts w:ascii="Arial" w:cs="Arial" w:eastAsia="Arial" w:hAnsi="Arial"/>
          <w:sz w:val="15"/>
          <w:szCs w:val="15"/>
          <w:color w:val="000000"/>
        </w:rPr>
        <w:t>business and/or the oversight of environmental matters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1270</wp:posOffset>
            </wp:positionV>
            <wp:extent cx="54089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-220980</wp:posOffset>
            </wp:positionV>
            <wp:extent cx="102870" cy="1028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-220980</wp:posOffset>
            </wp:positionV>
            <wp:extent cx="10287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-220980</wp:posOffset>
            </wp:positionV>
            <wp:extent cx="102870"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-220980</wp:posOffset>
            </wp:positionV>
            <wp:extent cx="102870" cy="1028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-280670</wp:posOffset>
            </wp:positionV>
            <wp:extent cx="214630" cy="2139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spacing w:after="0" w:line="17" w:lineRule="exact"/>
        <w:rPr>
          <w:sz w:val="20"/>
          <w:szCs w:val="20"/>
          <w:color w:val="auto"/>
        </w:rPr>
      </w:pPr>
    </w:p>
    <w:p>
      <w:pPr>
        <w:ind w:left="340" w:right="4879"/>
        <w:spacing w:after="0" w:line="246" w:lineRule="auto"/>
        <w:rPr>
          <w:sz w:val="20"/>
          <w:szCs w:val="20"/>
          <w:color w:val="auto"/>
        </w:rPr>
      </w:pPr>
      <w:r>
        <w:rPr>
          <w:rFonts w:ascii="Arial" w:cs="Arial" w:eastAsia="Arial" w:hAnsi="Arial"/>
          <w:sz w:val="15"/>
          <w:szCs w:val="15"/>
          <w:b w:val="1"/>
          <w:bCs w:val="1"/>
          <w:color w:val="4CCEDE"/>
        </w:rPr>
        <w:t xml:space="preserve">technology &amp; innovation: </w:t>
      </w:r>
      <w:r>
        <w:rPr>
          <w:rFonts w:ascii="Arial" w:cs="Arial" w:eastAsia="Arial" w:hAnsi="Arial"/>
          <w:sz w:val="15"/>
          <w:szCs w:val="15"/>
          <w:color w:val="000000"/>
        </w:rPr>
        <w:t>experience developing and</w:t>
      </w:r>
      <w:r>
        <w:rPr>
          <w:rFonts w:ascii="Arial" w:cs="Arial" w:eastAsia="Arial" w:hAnsi="Arial"/>
          <w:sz w:val="15"/>
          <w:szCs w:val="15"/>
          <w:b w:val="1"/>
          <w:bCs w:val="1"/>
          <w:color w:val="4CCEDE"/>
        </w:rPr>
        <w:t xml:space="preserve"> </w:t>
      </w:r>
      <w:r>
        <w:rPr>
          <w:rFonts w:ascii="Arial" w:cs="Arial" w:eastAsia="Arial" w:hAnsi="Arial"/>
          <w:sz w:val="15"/>
          <w:szCs w:val="15"/>
          <w:color w:val="000000"/>
        </w:rPr>
        <w:t>assessing new product designs and technological trends and/or efficiency improvements through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1270</wp:posOffset>
            </wp:positionV>
            <wp:extent cx="54089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-220980</wp:posOffset>
            </wp:positionV>
            <wp:extent cx="102870"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-220980</wp:posOffset>
            </wp:positionV>
            <wp:extent cx="102870" cy="102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-220980</wp:posOffset>
            </wp:positionV>
            <wp:extent cx="10287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-220980</wp:posOffset>
            </wp:positionV>
            <wp:extent cx="102870" cy="1028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-220980</wp:posOffset>
            </wp:positionV>
            <wp:extent cx="102870" cy="1028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-220980</wp:posOffset>
            </wp:positionV>
            <wp:extent cx="102870"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-280670</wp:posOffset>
            </wp:positionV>
            <wp:extent cx="214630"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7" w:lineRule="exact"/>
        <w:rPr>
          <w:sz w:val="20"/>
          <w:szCs w:val="20"/>
          <w:color w:val="auto"/>
        </w:rPr>
      </w:pPr>
    </w:p>
    <w:p>
      <w:pPr>
        <w:ind w:left="340" w:right="4939"/>
        <w:spacing w:after="0" w:line="267" w:lineRule="auto"/>
        <w:rPr>
          <w:sz w:val="20"/>
          <w:szCs w:val="20"/>
          <w:color w:val="auto"/>
        </w:rPr>
      </w:pPr>
      <w:r>
        <w:rPr>
          <w:rFonts w:ascii="Arial" w:cs="Arial" w:eastAsia="Arial" w:hAnsi="Arial"/>
          <w:sz w:val="15"/>
          <w:szCs w:val="15"/>
          <w:b w:val="1"/>
          <w:bCs w:val="1"/>
          <w:color w:val="4CCEDE"/>
        </w:rPr>
        <w:t xml:space="preserve">investor engagement: </w:t>
      </w:r>
      <w:r>
        <w:rPr>
          <w:rFonts w:ascii="Arial" w:cs="Arial" w:eastAsia="Arial" w:hAnsi="Arial"/>
          <w:sz w:val="15"/>
          <w:szCs w:val="15"/>
          <w:color w:val="000000"/>
        </w:rPr>
        <w:t>experience communicating with</w:t>
      </w:r>
      <w:r>
        <w:rPr>
          <w:rFonts w:ascii="Arial" w:cs="Arial" w:eastAsia="Arial" w:hAnsi="Arial"/>
          <w:sz w:val="15"/>
          <w:szCs w:val="15"/>
          <w:b w:val="1"/>
          <w:bCs w:val="1"/>
          <w:color w:val="4CCEDE"/>
        </w:rPr>
        <w:t xml:space="preserve"> </w:t>
      </w:r>
      <w:r>
        <w:rPr>
          <w:rFonts w:ascii="Arial" w:cs="Arial" w:eastAsia="Arial" w:hAnsi="Arial"/>
          <w:sz w:val="15"/>
          <w:szCs w:val="15"/>
          <w:color w:val="000000"/>
        </w:rPr>
        <w:t>analysts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-230505</wp:posOffset>
            </wp:positionV>
            <wp:extent cx="5408930"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08930" cy="240030"/>
                    </a:xfrm>
                    <a:prstGeom prst="rect">
                      <a:avLst/>
                    </a:prstGeom>
                    <a:noFill/>
                  </pic:spPr>
                </pic:pic>
              </a:graphicData>
            </a:graphic>
          </wp:anchor>
        </w:drawing>
      </w:r>
    </w:p>
    <w:p>
      <w:pPr>
        <w:spacing w:after="0" w:line="15" w:lineRule="exact"/>
        <w:rPr>
          <w:sz w:val="20"/>
          <w:szCs w:val="20"/>
          <w:color w:val="auto"/>
        </w:rPr>
      </w:pPr>
    </w:p>
    <w:p>
      <w:pPr>
        <w:ind w:left="340" w:right="5119"/>
        <w:spacing w:after="0" w:line="239" w:lineRule="auto"/>
        <w:rPr>
          <w:sz w:val="20"/>
          <w:szCs w:val="20"/>
          <w:color w:val="auto"/>
        </w:rPr>
      </w:pPr>
      <w:r>
        <w:rPr>
          <w:rFonts w:ascii="Arial" w:cs="Arial" w:eastAsia="Arial" w:hAnsi="Arial"/>
          <w:sz w:val="15"/>
          <w:szCs w:val="15"/>
          <w:b w:val="1"/>
          <w:bCs w:val="1"/>
          <w:color w:val="4CCEDE"/>
        </w:rPr>
        <w:t xml:space="preserve">human capital management: </w:t>
      </w:r>
      <w:r>
        <w:rPr>
          <w:rFonts w:ascii="Arial" w:cs="Arial" w:eastAsia="Arial" w:hAnsi="Arial"/>
          <w:sz w:val="15"/>
          <w:szCs w:val="15"/>
          <w:color w:val="000000"/>
        </w:rPr>
        <w:t>experience in</w:t>
      </w:r>
      <w:r>
        <w:rPr>
          <w:rFonts w:ascii="Arial" w:cs="Arial" w:eastAsia="Arial" w:hAnsi="Arial"/>
          <w:sz w:val="15"/>
          <w:szCs w:val="15"/>
          <w:b w:val="1"/>
          <w:bCs w:val="1"/>
          <w:color w:val="4CCEDE"/>
        </w:rPr>
        <w:t xml:space="preserve"> </w:t>
      </w:r>
      <w:r>
        <w:rPr>
          <w:rFonts w:ascii="Arial" w:cs="Arial" w:eastAsia="Arial" w:hAnsi="Arial"/>
          <w:sz w:val="15"/>
          <w:szCs w:val="15"/>
          <w:color w:val="000000"/>
        </w:rPr>
        <w:t>organizational management and talent development, compensation matters and oversight of social issues, such as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wp:posOffset>
            </wp:positionV>
            <wp:extent cx="54089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-269240</wp:posOffset>
            </wp:positionV>
            <wp:extent cx="102870" cy="1028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-269240</wp:posOffset>
            </wp:positionV>
            <wp:extent cx="10287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-269240</wp:posOffset>
            </wp:positionV>
            <wp:extent cx="102870"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-269240</wp:posOffset>
            </wp:positionV>
            <wp:extent cx="102870" cy="102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-269240</wp:posOffset>
            </wp:positionV>
            <wp:extent cx="10287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-269240</wp:posOffset>
            </wp:positionV>
            <wp:extent cx="10287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-269240</wp:posOffset>
            </wp:positionV>
            <wp:extent cx="10287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-328930</wp:posOffset>
            </wp:positionV>
            <wp:extent cx="21463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18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59"/>
          </w:cols>
          <w:pgMar w:left="1400" w:top="769" w:right="1440" w:bottom="1440" w:gutter="0" w:footer="0" w:header="0"/>
        </w:sectPr>
      </w:pPr>
    </w:p>
    <w:bookmarkStart w:id="24" w:name="page25"/>
    <w:bookmarkEnd w:id="24"/>
    <w:p>
      <w:pPr>
        <w:spacing w:after="0"/>
        <w:rPr>
          <w:sz w:val="20"/>
          <w:szCs w:val="20"/>
          <w:color w:val="auto"/>
        </w:rPr>
      </w:pPr>
      <w:r>
        <w:rPr>
          <w:rFonts w:ascii="Arial" w:cs="Arial" w:eastAsia="Arial" w:hAnsi="Arial"/>
          <w:sz w:val="54"/>
          <w:szCs w:val="54"/>
          <w:color w:val="867F7C"/>
        </w:rPr>
        <w:t>proposal one — election of directors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overview</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Stockholders are being asked to elect eight directors. The eight individuals nominated by the Board for election as directors at the 2026 Annual Meeting are Steven D. Bishop, Sanat Chattopadhyay, Suzan F. Harrison, Dr. Ashish K. Kulkarni, Susan L. Main, Guillermo Novo, Jerome A. Peribere and Scott A. Tozier.</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Each of the director nominees satisfies the independence criteria set forth in the corporate governance standards of the New York Stock Exchange, other than Mr. Novo, Ashland’s Chair of the Board and Chief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required vote</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provided under Article V of Ashland’s Certificate of Incorporation, the affirmative vote of a majority of votes cast with respect to each director nominee will be required for the nominee to be elected. A majority of votes cast means that the number of votes cast “for” a director nominee must exceed the number of votes cast “against” that director nominee. Abstentions and broker non-votes will not be counted as votes cast either for or against the nominees and will have no effect on the election of nominees.</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Pursuant to Ashland’s Certificate of Incorporation, any nominee who is serving as a director at the time of an uncontested election who fails to receive a greater number of votes “for” his or her election than votes “against” his or her election shall submit an offer to resign from the Board no later than two weeks after the certification of the stockholder vote. Pursuant to the Board of Directors’ resignation policy, which is included in Ashland’s Corporate Governance Guidelines and published on Ashland’s website (http://investor.ashland.com), the Board will decide, through a process managed by the G&amp;N Committee, whether to accept the resignation within 90 days following the date of the stockholder meeting. The Company will then promptly disclose the Board’s decision and reasons therefor. As a condition to his or her nomination, each person nominated by the G&amp;N Committee must agree in advance to abide by the policy. All eight of your Board’s director nominees have agreed to abide by the policy.</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submit a validly executed proxy card or voting instruction form but do not specify how you want to vote your shares with respect to the election of directors, then your shares will be voted in line with the Board’s recommendation with respect to the proposal, i.e., FOR the eight nominees proposed by your Board and named in this Proxy Statement. Should any of your Board’s nominees be unable or unwilling to stand for election at the time of the Annual Meeting, the proxies named on your proxy card may vote for a replacement nominee recommended by the Board, or the Board may reduce the number of directors to be elected at the Annual Meeting. At this time, the Board knows of no reason why any of the Board’s nominees would not be able to serve as a director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60720" cy="4629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60720" cy="462915"/>
                    </a:xfrm>
                    <a:prstGeom prst="rect">
                      <a:avLst/>
                    </a:prstGeom>
                    <a:noFill/>
                  </pic:spPr>
                </pic:pic>
              </a:graphicData>
            </a:graphic>
          </wp:anchor>
        </w:drawing>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The Board of Directors unanimously recommends that stockholders vote </w:t>
      </w:r>
      <w:r>
        <w:rPr>
          <w:rFonts w:ascii="Arial" w:cs="Arial" w:eastAsia="Arial" w:hAnsi="Arial"/>
          <w:sz w:val="18"/>
          <w:szCs w:val="18"/>
          <w:b w:val="1"/>
          <w:bCs w:val="1"/>
          <w:color w:val="4CCEDE"/>
        </w:rPr>
        <w:t>FOR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our eight nominees for director.</w:t>
      </w:r>
    </w:p>
    <w:p>
      <w:pPr>
        <w:spacing w:after="0" w:line="200" w:lineRule="exact"/>
        <w:rPr>
          <w:sz w:val="20"/>
          <w:szCs w:val="20"/>
          <w:color w:val="auto"/>
        </w:rPr>
      </w:pPr>
    </w:p>
    <w:p>
      <w:pPr>
        <w:spacing w:after="0" w:line="312"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055" w:right="1419" w:bottom="1440" w:gutter="0" w:footer="0" w:header="0"/>
        </w:sectPr>
      </w:pPr>
    </w:p>
    <w:bookmarkStart w:id="25" w:name="page26"/>
    <w:bookmarkEnd w:id="25"/>
    <w:p>
      <w:pPr>
        <w:spacing w:after="0"/>
        <w:rPr>
          <w:sz w:val="20"/>
          <w:szCs w:val="20"/>
          <w:color w:val="auto"/>
        </w:rPr>
      </w:pPr>
      <w:r>
        <w:rPr>
          <w:rFonts w:ascii="Arial" w:cs="Arial" w:eastAsia="Arial" w:hAnsi="Arial"/>
          <w:sz w:val="54"/>
          <w:szCs w:val="54"/>
          <w:color w:val="867F7C"/>
        </w:rPr>
        <w:t>director nominees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sets forth information as to each director nominee for election, including their age, experience (including principal occupation during the past five years, current public company directorships and public company directorships held during the past five years),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7607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Steven D.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414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60720" cy="1414145"/>
                    </a:xfrm>
                    <a:prstGeom prst="rect">
                      <a:avLst/>
                    </a:prstGeom>
                    <a:noFill/>
                  </pic:spPr>
                </pic:pic>
              </a:graphicData>
            </a:graphic>
          </wp:anchor>
        </w:drawing>
      </w:r>
    </w:p>
    <w:p>
      <w:pPr>
        <w:sectPr>
          <w:pgSz w:w="11900" w:h="16838" w:orient="portrait"/>
          <w:cols w:equalWidth="0" w:num="1">
            <w:col w:w="9080"/>
          </w:cols>
          <w:pgMar w:left="1400" w:top="1298"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principal occupation: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director since: </w:t>
      </w:r>
      <w:r>
        <w:rPr>
          <w:rFonts w:ascii="Arial" w:cs="Arial" w:eastAsia="Arial" w:hAnsi="Arial"/>
          <w:sz w:val="15"/>
          <w:szCs w:val="15"/>
          <w:color w:val="000000"/>
        </w:rPr>
        <w:t>2022</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age: </w:t>
      </w:r>
      <w:r>
        <w:rPr>
          <w:rFonts w:ascii="Arial" w:cs="Arial" w:eastAsia="Arial" w:hAnsi="Arial"/>
          <w:sz w:val="15"/>
          <w:szCs w:val="15"/>
          <w:color w:val="000000"/>
        </w:rPr>
        <w:t>61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independent: </w:t>
      </w:r>
      <w:r>
        <w:rPr>
          <w:rFonts w:ascii="Arial" w:cs="Arial" w:eastAsia="Arial" w:hAnsi="Arial"/>
          <w:sz w:val="15"/>
          <w:szCs w:val="15"/>
          <w:color w:val="000000"/>
        </w:rPr>
        <w:t>Yes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jc w:val="both"/>
        <w:ind w:left="5" w:right="20"/>
        <w:spacing w:after="0" w:line="233" w:lineRule="auto"/>
        <w:rPr>
          <w:sz w:val="20"/>
          <w:szCs w:val="20"/>
          <w:color w:val="auto"/>
        </w:rPr>
      </w:pPr>
      <w:r>
        <w:rPr>
          <w:rFonts w:ascii="Arial" w:cs="Arial" w:eastAsia="Arial" w:hAnsi="Arial"/>
          <w:sz w:val="15"/>
          <w:szCs w:val="15"/>
          <w:color w:val="auto"/>
        </w:rPr>
        <w:t>Steven D. Bishop, retired from Procter &amp; Gamble (NYSE: PG) in 2022 as Chief Executive Officer of Procter and Gamble Healthcare, a role that he held since 2019. Mr. Bishop joined Procter &amp; Gamble in 1986 and spent nearly 36 years with Procter &amp; Gamble in various senior leadership roles, including Group President from 2015 to 2018.</w:t>
      </w:r>
    </w:p>
    <w:p>
      <w:pPr>
        <w:spacing w:after="0" w:line="49"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education:</w:t>
      </w:r>
    </w:p>
    <w:p>
      <w:pPr>
        <w:spacing w:after="0" w:line="8" w:lineRule="exact"/>
        <w:rPr>
          <w:sz w:val="20"/>
          <w:szCs w:val="20"/>
          <w:color w:val="auto"/>
        </w:rPr>
      </w:pPr>
    </w:p>
    <w:p>
      <w:pPr>
        <w:ind w:left="5" w:right="1020"/>
        <w:spacing w:after="0" w:line="244" w:lineRule="auto"/>
        <w:rPr>
          <w:sz w:val="20"/>
          <w:szCs w:val="20"/>
          <w:color w:val="auto"/>
        </w:rPr>
      </w:pPr>
      <w:r>
        <w:rPr>
          <w:rFonts w:ascii="Arial" w:cs="Arial" w:eastAsia="Arial" w:hAnsi="Arial"/>
          <w:sz w:val="15"/>
          <w:szCs w:val="15"/>
          <w:color w:val="auto"/>
        </w:rPr>
        <w:t>Mr. Bishop holds a Bachelor of Science degree in Agricultural Economics from Purdue University.</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other public company boards: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auto"/>
        </w:rPr>
        <w:t>None.</w:t>
      </w:r>
    </w:p>
    <w:p>
      <w:pPr>
        <w:spacing w:after="0" w:line="6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director qualifications:</w:t>
      </w:r>
    </w:p>
    <w:p>
      <w:pPr>
        <w:ind w:left="5"/>
        <w:spacing w:after="0" w:line="236" w:lineRule="auto"/>
        <w:rPr>
          <w:sz w:val="20"/>
          <w:szCs w:val="20"/>
          <w:color w:val="auto"/>
        </w:rPr>
      </w:pPr>
      <w:r>
        <w:rPr>
          <w:rFonts w:ascii="Arial" w:cs="Arial" w:eastAsia="Arial" w:hAnsi="Arial"/>
          <w:sz w:val="15"/>
          <w:szCs w:val="15"/>
          <w:color w:val="auto"/>
        </w:rPr>
        <w:t>Mr. Bishop has significant knowledge and expertise in global P&amp;L management,</w:t>
      </w:r>
    </w:p>
    <w:p>
      <w:pPr>
        <w:ind w:left="5" w:right="20"/>
        <w:spacing w:after="0" w:line="236" w:lineRule="auto"/>
        <w:rPr>
          <w:sz w:val="20"/>
          <w:szCs w:val="20"/>
          <w:color w:val="auto"/>
        </w:rPr>
      </w:pPr>
      <w:r>
        <w:rPr>
          <w:rFonts w:ascii="Arial" w:cs="Arial" w:eastAsia="Arial" w:hAnsi="Arial"/>
          <w:sz w:val="15"/>
          <w:szCs w:val="15"/>
          <w:color w:val="auto"/>
        </w:rPr>
        <w:t>strategy development, innovation, marketing and brand management, operations, and organization development across varying countries and cultures, including public company chief executive officer experience.</w:t>
      </w:r>
    </w:p>
    <w:p>
      <w:pPr>
        <w:spacing w:after="0" w:line="4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board committees:</w:t>
      </w:r>
    </w:p>
    <w:p>
      <w:pPr>
        <w:ind w:left="185" w:hanging="185"/>
        <w:spacing w:after="0" w:line="235" w:lineRule="auto"/>
        <w:tabs>
          <w:tab w:leader="none" w:pos="185" w:val="left"/>
        </w:tabs>
        <w:numPr>
          <w:ilvl w:val="0"/>
          <w:numId w:val="26"/>
        </w:numPr>
        <w:rPr>
          <w:rFonts w:ascii="Times New Roman" w:cs="Times New Roman" w:eastAsia="Times New Roman" w:hAnsi="Times New Roman"/>
          <w:sz w:val="15"/>
          <w:szCs w:val="15"/>
          <w:color w:val="4CCEDE"/>
        </w:rPr>
      </w:pPr>
      <w:r>
        <w:rPr>
          <w:rFonts w:ascii="Arial" w:cs="Arial" w:eastAsia="Arial" w:hAnsi="Arial"/>
          <w:sz w:val="15"/>
          <w:szCs w:val="15"/>
          <w:color w:val="auto"/>
        </w:rPr>
        <w:t>Compensation</w:t>
      </w:r>
    </w:p>
    <w:p>
      <w:pPr>
        <w:ind w:left="185" w:hanging="185"/>
        <w:spacing w:after="0"/>
        <w:tabs>
          <w:tab w:leader="none" w:pos="185" w:val="left"/>
        </w:tabs>
        <w:numPr>
          <w:ilvl w:val="0"/>
          <w:numId w:val="26"/>
        </w:numPr>
        <w:rPr>
          <w:rFonts w:ascii="Times New Roman" w:cs="Times New Roman" w:eastAsia="Times New Roman" w:hAnsi="Times New Roman"/>
          <w:sz w:val="15"/>
          <w:szCs w:val="15"/>
          <w:color w:val="4CCEDE"/>
        </w:rPr>
      </w:pPr>
      <w:r>
        <w:rPr>
          <w:rFonts w:ascii="Arial" w:cs="Arial" w:eastAsia="Arial" w:hAnsi="Arial"/>
          <w:sz w:val="15"/>
          <w:szCs w:val="15"/>
          <w:color w:val="auto"/>
        </w:rPr>
        <w:t>Sustainability and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46355</wp:posOffset>
            </wp:positionV>
            <wp:extent cx="57607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-1413510</wp:posOffset>
            </wp:positionH>
            <wp:positionV relativeFrom="paragraph">
              <wp:posOffset>192405</wp:posOffset>
            </wp:positionV>
            <wp:extent cx="57607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315"/>
            <w:col w:w="6845"/>
          </w:cols>
          <w:pgMar w:left="1400" w:top="1298" w:right="141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Sanat Chattopadhyay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423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60720" cy="1423035"/>
                    </a:xfrm>
                    <a:prstGeom prst="rect">
                      <a:avLst/>
                    </a:prstGeom>
                    <a:noFill/>
                  </pic:spPr>
                </pic:pic>
              </a:graphicData>
            </a:graphic>
          </wp:anchor>
        </w:drawing>
      </w:r>
    </w:p>
    <w:p>
      <w:pPr>
        <w:sectPr>
          <w:pgSz w:w="11900" w:h="16838" w:orient="portrait"/>
          <w:cols w:equalWidth="0" w:num="1">
            <w:col w:w="9080"/>
          </w:cols>
          <w:pgMar w:left="1400" w:top="1298"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principal occupation:</w:t>
      </w:r>
    </w:p>
    <w:p>
      <w:pPr>
        <w:spacing w:after="0" w:line="19" w:lineRule="exact"/>
        <w:rPr>
          <w:sz w:val="20"/>
          <w:szCs w:val="20"/>
          <w:color w:val="auto"/>
        </w:rPr>
      </w:pPr>
    </w:p>
    <w:p>
      <w:pPr>
        <w:ind w:right="220"/>
        <w:spacing w:after="0" w:line="236" w:lineRule="auto"/>
        <w:rPr>
          <w:sz w:val="20"/>
          <w:szCs w:val="20"/>
          <w:color w:val="auto"/>
        </w:rPr>
      </w:pPr>
      <w:r>
        <w:rPr>
          <w:rFonts w:ascii="Arial" w:cs="Arial" w:eastAsia="Arial" w:hAnsi="Arial"/>
          <w:sz w:val="15"/>
          <w:szCs w:val="15"/>
          <w:color w:val="auto"/>
        </w:rPr>
        <w:t>Executive Vice President and President, Merck &amp; Co., Inc.</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director since: </w:t>
      </w:r>
      <w:r>
        <w:rPr>
          <w:rFonts w:ascii="Arial" w:cs="Arial" w:eastAsia="Arial" w:hAnsi="Arial"/>
          <w:sz w:val="15"/>
          <w:szCs w:val="15"/>
          <w:color w:val="000000"/>
        </w:rPr>
        <w:t>2023</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age: </w:t>
      </w:r>
      <w:r>
        <w:rPr>
          <w:rFonts w:ascii="Arial" w:cs="Arial" w:eastAsia="Arial" w:hAnsi="Arial"/>
          <w:sz w:val="15"/>
          <w:szCs w:val="15"/>
          <w:color w:val="000000"/>
        </w:rPr>
        <w:t>66</w:t>
      </w:r>
    </w:p>
    <w:p>
      <w:pPr>
        <w:spacing w:after="0"/>
        <w:rPr>
          <w:sz w:val="20"/>
          <w:szCs w:val="20"/>
          <w:color w:val="auto"/>
        </w:rPr>
      </w:pPr>
      <w:r>
        <w:rPr>
          <w:rFonts w:ascii="Arial" w:cs="Arial" w:eastAsia="Arial" w:hAnsi="Arial"/>
          <w:sz w:val="19"/>
          <w:szCs w:val="19"/>
          <w:b w:val="1"/>
          <w:bCs w:val="1"/>
          <w:color w:val="867F7C"/>
        </w:rPr>
        <w:t xml:space="preserve">independent: </w:t>
      </w:r>
      <w:r>
        <w:rPr>
          <w:rFonts w:ascii="Arial" w:cs="Arial" w:eastAsia="Arial" w:hAnsi="Arial"/>
          <w:sz w:val="15"/>
          <w:szCs w:val="15"/>
          <w:color w:val="000000"/>
        </w:rPr>
        <w:t>Yes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ind w:left="5" w:right="1000"/>
        <w:spacing w:after="0" w:line="232" w:lineRule="auto"/>
        <w:rPr>
          <w:sz w:val="20"/>
          <w:szCs w:val="20"/>
          <w:color w:val="auto"/>
        </w:rPr>
      </w:pPr>
      <w:r>
        <w:rPr>
          <w:rFonts w:ascii="Arial" w:cs="Arial" w:eastAsia="Arial" w:hAnsi="Arial"/>
          <w:sz w:val="15"/>
          <w:szCs w:val="15"/>
          <w:color w:val="auto"/>
        </w:rPr>
        <w:t>Sanat Chattopadhyay is the Executive Vice President and President, Manufacturing Division of Merck &amp; Co. (“Merck”) (NYSE: MRK), a global biopharmaceutical company, a position he has held since 2016. From 2009 to 2016, Mr. Chattopadhyay served as the Senior Vice President of Operations at Merck. Prior to joining Merck, Mr. Chattopadhyay served in various senior executive roles at Wyeth Pharmaceuticals.</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education:</w:t>
      </w:r>
    </w:p>
    <w:p>
      <w:pPr>
        <w:spacing w:after="0" w:line="18" w:lineRule="exact"/>
        <w:rPr>
          <w:sz w:val="20"/>
          <w:szCs w:val="20"/>
          <w:color w:val="auto"/>
        </w:rPr>
      </w:pPr>
    </w:p>
    <w:p>
      <w:pPr>
        <w:jc w:val="both"/>
        <w:ind w:left="5" w:right="20"/>
        <w:spacing w:after="0" w:line="233" w:lineRule="auto"/>
        <w:rPr>
          <w:sz w:val="20"/>
          <w:szCs w:val="20"/>
          <w:color w:val="auto"/>
        </w:rPr>
      </w:pPr>
      <w:r>
        <w:rPr>
          <w:rFonts w:ascii="Arial" w:cs="Arial" w:eastAsia="Arial" w:hAnsi="Arial"/>
          <w:sz w:val="15"/>
          <w:szCs w:val="15"/>
          <w:color w:val="auto"/>
        </w:rPr>
        <w:t>Mr. Chattopadhyay holds a Bachelor of Science degree in Chemical Engineering from Jadavpur University, Kolkata, India and a post-graduate degree in Industrial Engineering from the Indian Institute of Management (IIM Mumbai), formerly known as the National Institute for Training in Industrial Engineering (NITIE Mumbai).</w:t>
      </w:r>
    </w:p>
    <w:p>
      <w:pPr>
        <w:spacing w:after="0" w:line="49"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other public company boards: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auto"/>
        </w:rPr>
        <w:t>None.</w:t>
      </w:r>
    </w:p>
    <w:p>
      <w:pPr>
        <w:spacing w:after="0" w:line="6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director qualifications:</w:t>
      </w:r>
    </w:p>
    <w:p>
      <w:pPr>
        <w:spacing w:after="0" w:line="8" w:lineRule="exact"/>
        <w:rPr>
          <w:sz w:val="20"/>
          <w:szCs w:val="20"/>
          <w:color w:val="auto"/>
        </w:rPr>
      </w:pPr>
    </w:p>
    <w:p>
      <w:pPr>
        <w:ind w:left="5" w:right="1080"/>
        <w:spacing w:after="0" w:line="233" w:lineRule="auto"/>
        <w:rPr>
          <w:sz w:val="20"/>
          <w:szCs w:val="20"/>
          <w:color w:val="auto"/>
        </w:rPr>
      </w:pPr>
      <w:r>
        <w:rPr>
          <w:rFonts w:ascii="Arial" w:cs="Arial" w:eastAsia="Arial" w:hAnsi="Arial"/>
          <w:sz w:val="15"/>
          <w:szCs w:val="15"/>
          <w:color w:val="auto"/>
        </w:rPr>
        <w:t>Mr. Chattopadhyay brings extensive leadership and business knowledge and experience, including, but not limited to, experience in international business operations, global supply chain management, innovation, P&amp;L management, mergers and acquisitions and strategy development and execution.</w:t>
      </w:r>
    </w:p>
    <w:p>
      <w:pPr>
        <w:spacing w:after="0" w:line="49"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board committees:</w:t>
      </w:r>
    </w:p>
    <w:p>
      <w:pPr>
        <w:ind w:left="185" w:hanging="185"/>
        <w:spacing w:after="0" w:line="235" w:lineRule="auto"/>
        <w:tabs>
          <w:tab w:leader="none" w:pos="185" w:val="left"/>
        </w:tabs>
        <w:numPr>
          <w:ilvl w:val="0"/>
          <w:numId w:val="27"/>
        </w:numPr>
        <w:rPr>
          <w:rFonts w:ascii="Times New Roman" w:cs="Times New Roman" w:eastAsia="Times New Roman" w:hAnsi="Times New Roman"/>
          <w:sz w:val="15"/>
          <w:szCs w:val="15"/>
          <w:color w:val="4CCEDE"/>
        </w:rPr>
      </w:pPr>
      <w:r>
        <w:rPr>
          <w:rFonts w:ascii="Arial" w:cs="Arial" w:eastAsia="Arial" w:hAnsi="Arial"/>
          <w:sz w:val="15"/>
          <w:szCs w:val="15"/>
          <w:color w:val="auto"/>
        </w:rPr>
        <w:t>Sustainability and Productivity (Chair)</w:t>
      </w:r>
    </w:p>
    <w:p>
      <w:pPr>
        <w:ind w:left="185" w:hanging="185"/>
        <w:spacing w:after="0"/>
        <w:tabs>
          <w:tab w:leader="none" w:pos="185" w:val="left"/>
        </w:tabs>
        <w:numPr>
          <w:ilvl w:val="0"/>
          <w:numId w:val="27"/>
        </w:numPr>
        <w:rPr>
          <w:rFonts w:ascii="Times New Roman" w:cs="Times New Roman" w:eastAsia="Times New Roman" w:hAnsi="Times New Roman"/>
          <w:sz w:val="15"/>
          <w:szCs w:val="15"/>
          <w:color w:val="4CCEDE"/>
        </w:rPr>
      </w:pPr>
      <w:r>
        <w:rPr>
          <w:rFonts w:ascii="Arial" w:cs="Arial" w:eastAsia="Arial" w:hAnsi="Arial"/>
          <w:sz w:val="15"/>
          <w:szCs w:val="15"/>
          <w:color w:val="auto"/>
        </w:rPr>
        <w:t>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46355</wp:posOffset>
            </wp:positionV>
            <wp:extent cx="57607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315"/>
            <w:col w:w="6845"/>
          </w:cols>
          <w:pgMar w:left="1400" w:top="1298" w:right="141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20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298" w:right="141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color w:val="867F7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57607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Suzan F.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423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60720" cy="142303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principal occupation: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ind w:right="860"/>
        <w:spacing w:after="0" w:line="233" w:lineRule="auto"/>
        <w:rPr>
          <w:sz w:val="20"/>
          <w:szCs w:val="20"/>
          <w:color w:val="auto"/>
        </w:rPr>
      </w:pPr>
      <w:r>
        <w:rPr>
          <w:rFonts w:ascii="Arial" w:cs="Arial" w:eastAsia="Arial" w:hAnsi="Arial"/>
          <w:sz w:val="15"/>
          <w:szCs w:val="15"/>
          <w:color w:val="auto"/>
        </w:rPr>
        <w:t>Suzan F. Harrison retired from the Colgate Palmolive Company (NYSE: CL) in 2019 as President of Global Oral Care. From 1983 to 2019, Ms. Harrison held a variety of senior leadership positions at Colgate Palmolive including as President of Hill’s Pet Nutrition Inc. North America from 2009 to 2011.</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education:</w:t>
      </w:r>
    </w:p>
    <w:p>
      <w:pPr>
        <w:spacing w:after="0" w:line="8" w:lineRule="exact"/>
        <w:rPr>
          <w:sz w:val="20"/>
          <w:szCs w:val="20"/>
          <w:color w:val="auto"/>
        </w:rPr>
      </w:pPr>
    </w:p>
    <w:p>
      <w:pPr>
        <w:ind w:right="1160"/>
        <w:spacing w:after="0" w:line="236" w:lineRule="auto"/>
        <w:rPr>
          <w:sz w:val="20"/>
          <w:szCs w:val="20"/>
          <w:color w:val="auto"/>
        </w:rPr>
      </w:pPr>
      <w:r>
        <w:rPr>
          <w:rFonts w:ascii="Arial" w:cs="Arial" w:eastAsia="Arial" w:hAnsi="Arial"/>
          <w:sz w:val="15"/>
          <w:szCs w:val="15"/>
          <w:color w:val="auto"/>
        </w:rPr>
        <w:t>Ms. Harrison holds a Bachelor of Science degree in marketing and business from Binghamton University and a Master of Business Administration from the New York University’s Stern School of Business.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other public company boards:</w:t>
      </w:r>
    </w:p>
    <w:p>
      <w:pPr>
        <w:spacing w:after="0" w:line="8"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Since May 2017, Ms. Harrison has served on the Board of Archer-Daniels-Midland (NYSE: ADM) and as Chair of the Sustainability and Technology Committee and as a member of the Audit Committee. Ms. Harrison also serves on the Board of Smurfit Westrock plc (NYSE: SW) and as a member of the Audit Committee and the Nominating and Corporate Governance Committee, roles she has held since January 2020.</w:t>
      </w:r>
    </w:p>
    <w:p>
      <w:pPr>
        <w:spacing w:after="0" w:line="34" w:lineRule="exact"/>
        <w:rPr>
          <w:sz w:val="20"/>
          <w:szCs w:val="20"/>
          <w:color w:val="auto"/>
        </w:rPr>
      </w:pPr>
    </w:p>
    <w:p>
      <w:pPr>
        <w:sectPr>
          <w:pgSz w:w="11900" w:h="16838" w:orient="portrait"/>
          <w:cols w:equalWidth="0" w:num="2">
            <w:col w:w="1920" w:space="380"/>
            <w:col w:w="6780"/>
          </w:cols>
          <w:pgMar w:left="1400" w:top="769" w:right="1419" w:bottom="1440" w:gutter="0" w:footer="0" w:header="0"/>
          <w:type w:val="continuous"/>
        </w:sectPr>
      </w:pPr>
    </w:p>
    <w:p>
      <w:pPr>
        <w:spacing w:after="0"/>
        <w:rPr>
          <w:sz w:val="20"/>
          <w:szCs w:val="20"/>
          <w:color w:val="auto"/>
        </w:rPr>
      </w:pPr>
      <w:r>
        <w:rPr>
          <w:rFonts w:ascii="Arial" w:cs="Arial" w:eastAsia="Arial" w:hAnsi="Arial"/>
          <w:sz w:val="19"/>
          <w:szCs w:val="19"/>
          <w:b w:val="1"/>
          <w:bCs w:val="1"/>
          <w:color w:val="867F7C"/>
        </w:rPr>
        <w:t xml:space="preserve">director since: </w:t>
      </w:r>
      <w:r>
        <w:rPr>
          <w:rFonts w:ascii="Arial" w:cs="Arial" w:eastAsia="Arial" w:hAnsi="Arial"/>
          <w:sz w:val="15"/>
          <w:szCs w:val="15"/>
          <w:color w:val="000000"/>
        </w:rPr>
        <w:t>2022</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age: </w:t>
      </w:r>
      <w:r>
        <w:rPr>
          <w:rFonts w:ascii="Arial" w:cs="Arial" w:eastAsia="Arial" w:hAnsi="Arial"/>
          <w:sz w:val="15"/>
          <w:szCs w:val="15"/>
          <w:color w:val="000000"/>
        </w:rPr>
        <w:t>68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independent: </w:t>
      </w:r>
      <w:r>
        <w:rPr>
          <w:rFonts w:ascii="Arial" w:cs="Arial" w:eastAsia="Arial" w:hAnsi="Arial"/>
          <w:sz w:val="15"/>
          <w:szCs w:val="15"/>
          <w:color w:val="000000"/>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867F7C"/>
        </w:rPr>
        <w:t>director qualifications:</w:t>
      </w:r>
    </w:p>
    <w:p>
      <w:pPr>
        <w:spacing w:after="0" w:line="236" w:lineRule="auto"/>
        <w:rPr>
          <w:sz w:val="20"/>
          <w:szCs w:val="20"/>
          <w:color w:val="auto"/>
        </w:rPr>
      </w:pPr>
      <w:r>
        <w:rPr>
          <w:rFonts w:ascii="Arial" w:cs="Arial" w:eastAsia="Arial" w:hAnsi="Arial"/>
          <w:sz w:val="15"/>
          <w:szCs w:val="15"/>
          <w:color w:val="auto"/>
        </w:rPr>
        <w:t>Ms. Harrison has extensive global business experience, consumer markets</w:t>
      </w:r>
    </w:p>
    <w:p>
      <w:pPr>
        <w:ind w:right="20"/>
        <w:spacing w:after="0"/>
        <w:rPr>
          <w:sz w:val="20"/>
          <w:szCs w:val="20"/>
          <w:color w:val="auto"/>
        </w:rPr>
      </w:pPr>
      <w:r>
        <w:rPr>
          <w:rFonts w:ascii="Arial" w:cs="Arial" w:eastAsia="Arial" w:hAnsi="Arial"/>
          <w:sz w:val="15"/>
          <w:szCs w:val="15"/>
          <w:color w:val="auto"/>
        </w:rPr>
        <w:t>experience, as well as innovation experience and risk management experience. Ms. Harrison also brings significant experience gained from service on the board of directors of other public companies.</w:t>
      </w:r>
    </w:p>
    <w:p>
      <w:pPr>
        <w:spacing w:after="0" w:line="200" w:lineRule="exact"/>
        <w:rPr>
          <w:sz w:val="20"/>
          <w:szCs w:val="20"/>
          <w:color w:val="auto"/>
        </w:rPr>
      </w:pPr>
    </w:p>
    <w:p>
      <w:pPr>
        <w:sectPr>
          <w:pgSz w:w="11900" w:h="16838" w:orient="portrait"/>
          <w:cols w:equalWidth="0" w:num="2">
            <w:col w:w="1700" w:space="600"/>
            <w:col w:w="6780"/>
          </w:cols>
          <w:pgMar w:left="1400" w:top="769" w:right="1419" w:bottom="1440" w:gutter="0" w:footer="0" w:header="0"/>
          <w:type w:val="continuous"/>
        </w:sectPr>
      </w:pPr>
    </w:p>
    <w:p>
      <w:pPr>
        <w:spacing w:after="0" w:line="12"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867F7C"/>
        </w:rPr>
        <w:t>board committees:</w:t>
      </w:r>
    </w:p>
    <w:p>
      <w:pPr>
        <w:ind w:left="2300"/>
        <w:spacing w:after="0" w:line="235" w:lineRule="auto"/>
        <w:rPr>
          <w:sz w:val="20"/>
          <w:szCs w:val="20"/>
          <w:color w:val="auto"/>
        </w:rPr>
      </w:pPr>
      <w:r>
        <w:rPr>
          <w:rFonts w:ascii="Times New Roman" w:cs="Times New Roman" w:eastAsia="Times New Roman" w:hAnsi="Times New Roman"/>
          <w:sz w:val="15"/>
          <w:szCs w:val="15"/>
          <w:color w:val="4CCEDE"/>
        </w:rPr>
        <w:t xml:space="preserve">o  </w:t>
      </w:r>
      <w:r>
        <w:rPr>
          <w:rFonts w:ascii="Arial" w:cs="Arial" w:eastAsia="Arial" w:hAnsi="Arial"/>
          <w:sz w:val="15"/>
          <w:szCs w:val="15"/>
          <w:color w:val="000000"/>
        </w:rPr>
        <w:t>Compensation (Chair)</w:t>
      </w:r>
    </w:p>
    <w:p>
      <w:pPr>
        <w:ind w:left="2300"/>
        <w:spacing w:after="0"/>
        <w:rPr>
          <w:sz w:val="20"/>
          <w:szCs w:val="20"/>
          <w:color w:val="auto"/>
        </w:rPr>
      </w:pPr>
      <w:r>
        <w:rPr>
          <w:rFonts w:ascii="Times New Roman" w:cs="Times New Roman" w:eastAsia="Times New Roman" w:hAnsi="Times New Roman"/>
          <w:sz w:val="15"/>
          <w:szCs w:val="15"/>
          <w:color w:val="4CCEDE"/>
        </w:rPr>
        <w:t xml:space="preserve">o  </w:t>
      </w:r>
      <w:r>
        <w:rPr>
          <w:rFonts w:ascii="Arial" w:cs="Arial" w:eastAsia="Arial" w:hAnsi="Arial"/>
          <w:sz w:val="15"/>
          <w:szCs w:val="15"/>
          <w:color w:val="000000"/>
        </w:rPr>
        <w:t>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607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57607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Ashish K. Kulkarni,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3970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60720" cy="139700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principal occupation:</w:t>
      </w:r>
    </w:p>
    <w:p>
      <w:pPr>
        <w:spacing w:after="0" w:line="18" w:lineRule="exact"/>
        <w:rPr>
          <w:sz w:val="20"/>
          <w:szCs w:val="20"/>
          <w:color w:val="auto"/>
        </w:rPr>
      </w:pPr>
    </w:p>
    <w:p>
      <w:pPr>
        <w:ind w:right="260"/>
        <w:spacing w:after="0" w:line="244" w:lineRule="auto"/>
        <w:rPr>
          <w:sz w:val="20"/>
          <w:szCs w:val="20"/>
          <w:color w:val="auto"/>
        </w:rPr>
      </w:pPr>
      <w:r>
        <w:rPr>
          <w:rFonts w:ascii="Arial" w:cs="Arial" w:eastAsia="Arial" w:hAnsi="Arial"/>
          <w:sz w:val="15"/>
          <w:szCs w:val="15"/>
          <w:color w:val="auto"/>
        </w:rPr>
        <w:t>Chief Executive Officer of Kebotix, Inc.</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 xml:space="preserve">director since: </w:t>
      </w:r>
      <w:r>
        <w:rPr>
          <w:rFonts w:ascii="Arial" w:cs="Arial" w:eastAsia="Arial" w:hAnsi="Arial"/>
          <w:sz w:val="15"/>
          <w:szCs w:val="15"/>
          <w:color w:val="000000"/>
        </w:rPr>
        <w:t>2024</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 xml:space="preserve">age: </w:t>
      </w:r>
      <w:r>
        <w:rPr>
          <w:rFonts w:ascii="Arial" w:cs="Arial" w:eastAsia="Arial" w:hAnsi="Arial"/>
          <w:sz w:val="15"/>
          <w:szCs w:val="15"/>
          <w:color w:val="000000"/>
        </w:rPr>
        <w:t>56</w:t>
      </w:r>
    </w:p>
    <w:p>
      <w:pPr>
        <w:spacing w:after="0"/>
        <w:rPr>
          <w:sz w:val="20"/>
          <w:szCs w:val="20"/>
          <w:color w:val="auto"/>
        </w:rPr>
      </w:pPr>
      <w:r>
        <w:rPr>
          <w:rFonts w:ascii="Arial" w:cs="Arial" w:eastAsia="Arial" w:hAnsi="Arial"/>
          <w:sz w:val="20"/>
          <w:szCs w:val="20"/>
          <w:b w:val="1"/>
          <w:bCs w:val="1"/>
          <w:color w:val="867F7C"/>
        </w:rPr>
        <w:t xml:space="preserve">independent: </w:t>
      </w:r>
      <w:r>
        <w:rPr>
          <w:rFonts w:ascii="Arial" w:cs="Arial" w:eastAsia="Arial" w:hAnsi="Arial"/>
          <w:sz w:val="15"/>
          <w:szCs w:val="15"/>
          <w:color w:val="000000"/>
        </w:rPr>
        <w:t>Yes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jc w:val="both"/>
        <w:ind w:left="5" w:right="120"/>
        <w:spacing w:after="0" w:line="228" w:lineRule="auto"/>
        <w:rPr>
          <w:sz w:val="20"/>
          <w:szCs w:val="20"/>
          <w:color w:val="auto"/>
        </w:rPr>
      </w:pPr>
      <w:r>
        <w:rPr>
          <w:rFonts w:ascii="Arial" w:cs="Arial" w:eastAsia="Arial" w:hAnsi="Arial"/>
          <w:sz w:val="15"/>
          <w:szCs w:val="15"/>
          <w:color w:val="auto"/>
        </w:rPr>
        <w:t>Dr. Ashish K. Kulkarni has served as the Chief Executive Officer of Kebotix, Inc., a startup company focused on commercializing artificial intelligence methods into new material commercialization since 2022. From 2020 to 2022, Dr. Kulkarni served as Executive Vice President and Chief Innovation Officer of GAF. From 2016 to 2019, Dr. Kulkarni served as the Executive Vice President and Chief Technology and Innovation Officer of Avantar, Inc. (NYSE: AVTR), a global manufacturer and distributor in the biopharmaceutical, healthcare, education and government and advanced technologies and applied materials industries. From 2010 to 2016, Dr. Kulkarni was Chief Technology and Innovation Officer of Celanese Corporation (NYSE: CE). Dr. Kulkarni also held various leadership positions at United Technologies Corporation, American Standard and General Electric (NYSE: GE).</w:t>
      </w:r>
    </w:p>
    <w:p>
      <w:pPr>
        <w:spacing w:after="0" w:line="5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education:</w:t>
      </w:r>
    </w:p>
    <w:p>
      <w:pPr>
        <w:spacing w:after="0" w:line="8" w:lineRule="exact"/>
        <w:rPr>
          <w:sz w:val="20"/>
          <w:szCs w:val="20"/>
          <w:color w:val="auto"/>
        </w:rPr>
      </w:pPr>
    </w:p>
    <w:p>
      <w:pPr>
        <w:ind w:left="5" w:right="860"/>
        <w:spacing w:after="0" w:line="244" w:lineRule="auto"/>
        <w:rPr>
          <w:sz w:val="20"/>
          <w:szCs w:val="20"/>
          <w:color w:val="auto"/>
        </w:rPr>
      </w:pPr>
      <w:r>
        <w:rPr>
          <w:rFonts w:ascii="Arial" w:cs="Arial" w:eastAsia="Arial" w:hAnsi="Arial"/>
          <w:sz w:val="15"/>
          <w:szCs w:val="15"/>
          <w:color w:val="auto"/>
        </w:rPr>
        <w:t>Dr. Kulkarni holds a Ph.D. in Chemical Engineering and a Master of Science in Chemical Engineering from Rensselaer Polytechnic Institute.</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other public company boards:</w:t>
      </w:r>
    </w:p>
    <w:p>
      <w:pPr>
        <w:spacing w:after="0" w:line="13" w:lineRule="exact"/>
        <w:rPr>
          <w:sz w:val="20"/>
          <w:szCs w:val="20"/>
          <w:color w:val="auto"/>
        </w:rPr>
      </w:pPr>
    </w:p>
    <w:p>
      <w:pPr>
        <w:ind w:left="5"/>
        <w:spacing w:after="0"/>
        <w:rPr>
          <w:sz w:val="20"/>
          <w:szCs w:val="20"/>
          <w:color w:val="auto"/>
        </w:rPr>
      </w:pPr>
      <w:r>
        <w:rPr>
          <w:rFonts w:ascii="Arial" w:cs="Arial" w:eastAsia="Arial" w:hAnsi="Arial"/>
          <w:sz w:val="15"/>
          <w:szCs w:val="15"/>
          <w:color w:val="auto"/>
        </w:rPr>
        <w:t>None</w:t>
      </w:r>
      <w:r>
        <w:rPr>
          <w:rFonts w:ascii="Arial" w:cs="Arial" w:eastAsia="Arial" w:hAnsi="Arial"/>
          <w:sz w:val="16"/>
          <w:szCs w:val="16"/>
          <w:color w:val="auto"/>
        </w:rPr>
        <w:t>.</w:t>
      </w:r>
    </w:p>
    <w:p>
      <w:pPr>
        <w:spacing w:after="0" w:line="7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director qualifications:</w:t>
      </w:r>
    </w:p>
    <w:p>
      <w:pPr>
        <w:spacing w:after="0" w:line="8" w:lineRule="exact"/>
        <w:rPr>
          <w:sz w:val="20"/>
          <w:szCs w:val="20"/>
          <w:color w:val="auto"/>
        </w:rPr>
      </w:pPr>
    </w:p>
    <w:p>
      <w:pPr>
        <w:jc w:val="both"/>
        <w:ind w:left="5" w:right="120"/>
        <w:spacing w:after="0" w:line="236" w:lineRule="auto"/>
        <w:rPr>
          <w:sz w:val="20"/>
          <w:szCs w:val="20"/>
          <w:color w:val="auto"/>
        </w:rPr>
      </w:pPr>
      <w:r>
        <w:rPr>
          <w:rFonts w:ascii="Arial" w:cs="Arial" w:eastAsia="Arial" w:hAnsi="Arial"/>
          <w:sz w:val="15"/>
          <w:szCs w:val="15"/>
          <w:color w:val="auto"/>
        </w:rPr>
        <w:t>Dr. Kulkarni brings significant experience over a 28-year career, in innovation models and methods, R&amp;D, strategic planning, technology including cybersecurity, artificial intelligence and robotics technologies for materials, business transformation credentials, and diversity.</w:t>
      </w:r>
    </w:p>
    <w:p>
      <w:pPr>
        <w:spacing w:after="0" w:line="4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board committees:</w:t>
      </w:r>
    </w:p>
    <w:p>
      <w:pPr>
        <w:ind w:left="185" w:hanging="185"/>
        <w:spacing w:after="0" w:line="235" w:lineRule="auto"/>
        <w:tabs>
          <w:tab w:leader="none" w:pos="185" w:val="left"/>
        </w:tabs>
        <w:numPr>
          <w:ilvl w:val="0"/>
          <w:numId w:val="28"/>
        </w:numPr>
        <w:rPr>
          <w:rFonts w:ascii="Times New Roman" w:cs="Times New Roman" w:eastAsia="Times New Roman" w:hAnsi="Times New Roman"/>
          <w:sz w:val="15"/>
          <w:szCs w:val="15"/>
          <w:color w:val="4CCEDE"/>
        </w:rPr>
      </w:pPr>
      <w:r>
        <w:rPr>
          <w:rFonts w:ascii="Arial" w:cs="Arial" w:eastAsia="Arial" w:hAnsi="Arial"/>
          <w:sz w:val="15"/>
          <w:szCs w:val="15"/>
          <w:color w:val="auto"/>
        </w:rPr>
        <w:t>Governance and Nominating</w:t>
      </w:r>
    </w:p>
    <w:p>
      <w:pPr>
        <w:ind w:left="185" w:hanging="185"/>
        <w:spacing w:after="0"/>
        <w:tabs>
          <w:tab w:leader="none" w:pos="185" w:val="left"/>
        </w:tabs>
        <w:numPr>
          <w:ilvl w:val="0"/>
          <w:numId w:val="28"/>
        </w:numPr>
        <w:rPr>
          <w:rFonts w:ascii="Times New Roman" w:cs="Times New Roman" w:eastAsia="Times New Roman" w:hAnsi="Times New Roman"/>
          <w:sz w:val="15"/>
          <w:szCs w:val="15"/>
          <w:color w:val="4CCEDE"/>
        </w:rPr>
      </w:pPr>
      <w:r>
        <w:rPr>
          <w:rFonts w:ascii="Arial" w:cs="Arial" w:eastAsia="Arial" w:hAnsi="Arial"/>
          <w:sz w:val="15"/>
          <w:szCs w:val="15"/>
          <w:color w:val="auto"/>
        </w:rPr>
        <w:t>Sustainability and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46355</wp:posOffset>
            </wp:positionV>
            <wp:extent cx="57607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235"/>
            <w:col w:w="6845"/>
          </w:cols>
          <w:pgMar w:left="1400" w:top="769" w:right="1419" w:bottom="1440" w:gutter="0" w:footer="0" w:header="0"/>
          <w:type w:val="continuous"/>
        </w:sectPr>
      </w:pPr>
    </w:p>
    <w:p>
      <w:pPr>
        <w:spacing w:after="0" w:line="277"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867F7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57607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Susan L.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414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60720" cy="1414145"/>
                    </a:xfrm>
                    <a:prstGeom prst="rect">
                      <a:avLst/>
                    </a:prstGeom>
                    <a:noFill/>
                  </pic:spPr>
                </pic:pic>
              </a:graphicData>
            </a:graphic>
          </wp:anchor>
        </w:drawing>
      </w:r>
    </w:p>
    <w:p>
      <w:pPr>
        <w:sectPr>
          <w:pgSz w:w="11900" w:h="16838" w:orient="portrait"/>
          <w:cols w:equalWidth="0" w:num="1">
            <w:col w:w="9060"/>
          </w:cols>
          <w:pgMar w:left="1400" w:top="769"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principal occupation: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director since: </w:t>
      </w:r>
      <w:r>
        <w:rPr>
          <w:rFonts w:ascii="Arial" w:cs="Arial" w:eastAsia="Arial" w:hAnsi="Arial"/>
          <w:sz w:val="15"/>
          <w:szCs w:val="15"/>
          <w:color w:val="000000"/>
        </w:rPr>
        <w:t>2017</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age: </w:t>
      </w:r>
      <w:r>
        <w:rPr>
          <w:rFonts w:ascii="Arial" w:cs="Arial" w:eastAsia="Arial" w:hAnsi="Arial"/>
          <w:sz w:val="16"/>
          <w:szCs w:val="16"/>
          <w:color w:val="000000"/>
        </w:rPr>
        <w:t>67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independent: </w:t>
      </w:r>
      <w:r>
        <w:rPr>
          <w:rFonts w:ascii="Arial" w:cs="Arial" w:eastAsia="Arial" w:hAnsi="Arial"/>
          <w:sz w:val="15"/>
          <w:szCs w:val="15"/>
          <w:color w:val="000000"/>
        </w:rPr>
        <w:t>Yes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ind w:right="960"/>
        <w:spacing w:after="0" w:line="231" w:lineRule="auto"/>
        <w:rPr>
          <w:sz w:val="20"/>
          <w:szCs w:val="20"/>
          <w:color w:val="auto"/>
        </w:rPr>
      </w:pPr>
      <w:r>
        <w:rPr>
          <w:rFonts w:ascii="Arial" w:cs="Arial" w:eastAsia="Arial" w:hAnsi="Arial"/>
          <w:sz w:val="15"/>
          <w:szCs w:val="15"/>
          <w:color w:val="auto"/>
        </w:rPr>
        <w:t>Susan L. Main retired from Teledyne Technologies Incorporated (NYSE: TDY) in 2023 as Senior Vice President and Chief Financial Officer. Prior to becoming Chief Financial Officer, she was Vice President and Controller of Teledyne for eight years. From 1999 to 2004, Ms. Main served as Vice President and Controller for Water Pik Technologies, Inc. She also held numerous financial roles at the former Allegheny Teledyne Incorporated in its government, industrial and commercial segments.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education:</w:t>
      </w:r>
    </w:p>
    <w:p>
      <w:pPr>
        <w:spacing w:after="0" w:line="18" w:lineRule="exact"/>
        <w:rPr>
          <w:sz w:val="20"/>
          <w:szCs w:val="20"/>
          <w:color w:val="auto"/>
        </w:rPr>
      </w:pPr>
    </w:p>
    <w:p>
      <w:pPr>
        <w:ind w:right="1620"/>
        <w:spacing w:after="0" w:line="244" w:lineRule="auto"/>
        <w:rPr>
          <w:sz w:val="20"/>
          <w:szCs w:val="20"/>
          <w:color w:val="auto"/>
        </w:rPr>
      </w:pPr>
      <w:r>
        <w:rPr>
          <w:rFonts w:ascii="Arial" w:cs="Arial" w:eastAsia="Arial" w:hAnsi="Arial"/>
          <w:sz w:val="15"/>
          <w:szCs w:val="15"/>
          <w:color w:val="auto"/>
        </w:rPr>
        <w:t>Ms. Main holds a Bachelor of Arts degree in Business Administration, with an emphasis in accounting, from California State University, Fullerton.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other public company boards:</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Since September 2023, Ms. Main has served on the Board of Allegion PLC (NYSE: ALLE) and as Chair of the Audit and Finance Committee. Ms. Main previously served on the Board of Garrett Motion Inc. (NASDAQ: GTX) from 2018 to 2021.</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director qualifications:</w:t>
      </w:r>
    </w:p>
    <w:p>
      <w:pPr>
        <w:spacing w:after="0" w:line="8" w:lineRule="exact"/>
        <w:rPr>
          <w:sz w:val="20"/>
          <w:szCs w:val="20"/>
          <w:color w:val="auto"/>
        </w:rPr>
      </w:pPr>
    </w:p>
    <w:p>
      <w:pPr>
        <w:jc w:val="both"/>
        <w:spacing w:after="0" w:line="225" w:lineRule="auto"/>
        <w:rPr>
          <w:sz w:val="20"/>
          <w:szCs w:val="20"/>
          <w:color w:val="auto"/>
        </w:rPr>
      </w:pPr>
      <w:r>
        <w:rPr>
          <w:rFonts w:ascii="Arial" w:cs="Arial" w:eastAsia="Arial" w:hAnsi="Arial"/>
          <w:sz w:val="15"/>
          <w:szCs w:val="15"/>
          <w:color w:val="auto"/>
        </w:rPr>
        <w:t>Ms. Main brings significant management and public company financial experience and knowledge to the Board in the areas of operations, risk oversight and corporate</w:t>
      </w:r>
    </w:p>
    <w:p>
      <w:pPr>
        <w:spacing w:after="0" w:line="226" w:lineRule="auto"/>
        <w:rPr>
          <w:sz w:val="20"/>
          <w:szCs w:val="20"/>
          <w:color w:val="auto"/>
        </w:rPr>
      </w:pPr>
      <w:r>
        <w:rPr>
          <w:rFonts w:ascii="Arial" w:cs="Arial" w:eastAsia="Arial" w:hAnsi="Arial"/>
          <w:sz w:val="15"/>
          <w:szCs w:val="15"/>
          <w:color w:val="auto"/>
        </w:rPr>
        <w:t>governance. Ms. Main is also an expert in accounting and financial reporting and has</w:t>
      </w:r>
    </w:p>
    <w:p>
      <w:pPr>
        <w:jc w:val="both"/>
        <w:spacing w:after="0" w:line="236" w:lineRule="auto"/>
        <w:rPr>
          <w:sz w:val="20"/>
          <w:szCs w:val="20"/>
          <w:color w:val="auto"/>
        </w:rPr>
      </w:pPr>
      <w:r>
        <w:rPr>
          <w:rFonts w:ascii="Arial" w:cs="Arial" w:eastAsia="Arial" w:hAnsi="Arial"/>
          <w:sz w:val="15"/>
          <w:szCs w:val="15"/>
          <w:color w:val="auto"/>
        </w:rPr>
        <w:t>significant knowledge and experience in accounting, finance and internal control over financial reporting in a public company environment. Ms. Main also brings significant experience gained from service on the board of directors of other public companies.</w:t>
      </w:r>
    </w:p>
    <w:p>
      <w:pPr>
        <w:spacing w:after="0" w:line="48" w:lineRule="exact"/>
        <w:rPr>
          <w:sz w:val="20"/>
          <w:szCs w:val="20"/>
          <w:color w:val="auto"/>
        </w:rPr>
      </w:pPr>
    </w:p>
    <w:p>
      <w:pPr>
        <w:sectPr>
          <w:pgSz w:w="11900" w:h="16838" w:orient="portrait"/>
          <w:cols w:equalWidth="0" w:num="2">
            <w:col w:w="1920" w:space="320"/>
            <w:col w:w="6820"/>
          </w:cols>
          <w:pgMar w:left="1400" w:top="769" w:right="1439" w:bottom="1440" w:gutter="0" w:footer="0" w:header="0"/>
          <w:type w:val="continuous"/>
        </w:sectPr>
      </w:pPr>
    </w:p>
    <w:p>
      <w:pPr>
        <w:ind w:left="2240"/>
        <w:spacing w:after="0"/>
        <w:rPr>
          <w:sz w:val="20"/>
          <w:szCs w:val="20"/>
          <w:color w:val="auto"/>
        </w:rPr>
      </w:pPr>
      <w:r>
        <w:rPr>
          <w:rFonts w:ascii="Arial" w:cs="Arial" w:eastAsia="Arial" w:hAnsi="Arial"/>
          <w:sz w:val="18"/>
          <w:szCs w:val="18"/>
          <w:b w:val="1"/>
          <w:bCs w:val="1"/>
          <w:color w:val="867F7C"/>
        </w:rPr>
        <w:t>board committees:</w:t>
      </w:r>
    </w:p>
    <w:p>
      <w:pPr>
        <w:spacing w:after="0" w:line="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4CCEDE"/>
        </w:rPr>
        <w:t xml:space="preserve">o  </w:t>
      </w:r>
      <w:r>
        <w:rPr>
          <w:rFonts w:ascii="Arial" w:cs="Arial" w:eastAsia="Arial" w:hAnsi="Arial"/>
          <w:sz w:val="15"/>
          <w:szCs w:val="15"/>
          <w:color w:val="000000"/>
        </w:rPr>
        <w:t>Audit</w:t>
      </w:r>
    </w:p>
    <w:p>
      <w:pPr>
        <w:ind w:left="2240"/>
        <w:spacing w:after="0"/>
        <w:rPr>
          <w:sz w:val="20"/>
          <w:szCs w:val="20"/>
          <w:color w:val="auto"/>
        </w:rPr>
      </w:pPr>
      <w:r>
        <w:rPr>
          <w:rFonts w:ascii="Times New Roman" w:cs="Times New Roman" w:eastAsia="Times New Roman" w:hAnsi="Times New Roman"/>
          <w:sz w:val="15"/>
          <w:szCs w:val="15"/>
          <w:color w:val="4CCEDE"/>
        </w:rPr>
        <w:t xml:space="preserve">o  </w:t>
      </w:r>
      <w:r>
        <w:rPr>
          <w:rFonts w:ascii="Arial" w:cs="Arial" w:eastAsia="Arial" w:hAnsi="Arial"/>
          <w:sz w:val="15"/>
          <w:szCs w:val="15"/>
          <w:color w:val="000000"/>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607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57607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423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60720" cy="1423035"/>
                    </a:xfrm>
                    <a:prstGeom prst="rect">
                      <a:avLst/>
                    </a:prstGeom>
                    <a:noFill/>
                  </pic:spPr>
                </pic:pic>
              </a:graphicData>
            </a:graphic>
          </wp:anchor>
        </w:drawing>
      </w:r>
    </w:p>
    <w:p>
      <w:pPr>
        <w:sectPr>
          <w:pgSz w:w="11900" w:h="16838" w:orient="portrait"/>
          <w:cols w:equalWidth="0" w:num="1">
            <w:col w:w="9060"/>
          </w:cols>
          <w:pgMar w:left="1400" w:top="769"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principal occupation:</w:t>
      </w:r>
    </w:p>
    <w:p>
      <w:pPr>
        <w:spacing w:after="0" w:line="19" w:lineRule="exact"/>
        <w:rPr>
          <w:sz w:val="20"/>
          <w:szCs w:val="20"/>
          <w:color w:val="auto"/>
        </w:rPr>
      </w:pPr>
    </w:p>
    <w:p>
      <w:pPr>
        <w:ind w:right="180"/>
        <w:spacing w:after="0" w:line="236" w:lineRule="auto"/>
        <w:rPr>
          <w:sz w:val="20"/>
          <w:szCs w:val="20"/>
          <w:color w:val="auto"/>
        </w:rPr>
      </w:pPr>
      <w:r>
        <w:rPr>
          <w:rFonts w:ascii="Arial" w:cs="Arial" w:eastAsia="Arial" w:hAnsi="Arial"/>
          <w:sz w:val="15"/>
          <w:szCs w:val="15"/>
          <w:color w:val="auto"/>
        </w:rPr>
        <w:t>Chair of the Board and Chief Executive Officer of Ashland Inc.</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director since: </w:t>
      </w:r>
      <w:r>
        <w:rPr>
          <w:rFonts w:ascii="Arial" w:cs="Arial" w:eastAsia="Arial" w:hAnsi="Arial"/>
          <w:sz w:val="15"/>
          <w:szCs w:val="15"/>
          <w:color w:val="000000"/>
        </w:rPr>
        <w:t>2019</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age: </w:t>
      </w:r>
      <w:r>
        <w:rPr>
          <w:rFonts w:ascii="Arial" w:cs="Arial" w:eastAsia="Arial" w:hAnsi="Arial"/>
          <w:sz w:val="15"/>
          <w:szCs w:val="15"/>
          <w:color w:val="000000"/>
        </w:rPr>
        <w:t>63</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independent: </w:t>
      </w:r>
      <w:r>
        <w:rPr>
          <w:rFonts w:ascii="Arial" w:cs="Arial" w:eastAsia="Arial" w:hAnsi="Arial"/>
          <w:sz w:val="15"/>
          <w:szCs w:val="15"/>
          <w:color w:val="000000"/>
        </w:rPr>
        <w:t>No</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jc w:val="both"/>
        <w:spacing w:after="0" w:line="225" w:lineRule="auto"/>
        <w:rPr>
          <w:sz w:val="20"/>
          <w:szCs w:val="20"/>
          <w:color w:val="auto"/>
        </w:rPr>
      </w:pPr>
      <w:r>
        <w:rPr>
          <w:rFonts w:ascii="Arial" w:cs="Arial" w:eastAsia="Arial" w:hAnsi="Arial"/>
          <w:sz w:val="15"/>
          <w:szCs w:val="15"/>
          <w:color w:val="auto"/>
        </w:rPr>
        <w:t>Guillermo Novo has served as the Chief Executive Officer of Ashland since December 2019 and has served as Chair of the Board since May 2019. Prior to joining the Company, Mr. Novo served on the Board of Versum Materials, Inc. (NYSE: VSM), and as the President and</w:t>
      </w:r>
    </w:p>
    <w:p>
      <w:pPr>
        <w:spacing w:after="0" w:line="1" w:lineRule="exact"/>
        <w:rPr>
          <w:sz w:val="20"/>
          <w:szCs w:val="20"/>
          <w:color w:val="auto"/>
        </w:rPr>
      </w:pPr>
    </w:p>
    <w:p>
      <w:pPr>
        <w:ind w:right="1000"/>
        <w:spacing w:after="0" w:line="225" w:lineRule="auto"/>
        <w:rPr>
          <w:sz w:val="20"/>
          <w:szCs w:val="20"/>
          <w:color w:val="auto"/>
        </w:rPr>
      </w:pPr>
      <w:r>
        <w:rPr>
          <w:rFonts w:ascii="Arial" w:cs="Arial" w:eastAsia="Arial" w:hAnsi="Arial"/>
          <w:sz w:val="15"/>
          <w:szCs w:val="15"/>
          <w:color w:val="auto"/>
        </w:rPr>
        <w:t>Chief Executive Officer from 2016 to 2019. From 2014 to 2016, Mr. Novo was the Executive Vice President, Materials Technologies, of Air Products and Chemicals, Inc. (“Air Products”) (NYSE: APD). Mr. Novo joined Air Products in September 2012 as Senior Vice President Electronics, Performance Materials, Strategy and Technology. Prior to joining Air Products, Mr. Novo was Group Vice President of Dow Chemical</w:t>
      </w:r>
    </w:p>
    <w:p>
      <w:pPr>
        <w:spacing w:after="0" w:line="1"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auto"/>
        </w:rPr>
        <w:t>Company (NYSE: DOW). Mr. Novo began his career in 1986 with Rohm and Haas Company (which merged with Dow in 2009) and served in various executive roles for 24 years.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education:</w:t>
      </w:r>
    </w:p>
    <w:p>
      <w:pPr>
        <w:spacing w:after="0" w:line="8" w:lineRule="exact"/>
        <w:rPr>
          <w:sz w:val="20"/>
          <w:szCs w:val="20"/>
          <w:color w:val="auto"/>
        </w:rPr>
      </w:pPr>
    </w:p>
    <w:p>
      <w:pPr>
        <w:jc w:val="both"/>
        <w:ind w:right="1480"/>
        <w:spacing w:after="0" w:line="236" w:lineRule="auto"/>
        <w:rPr>
          <w:sz w:val="20"/>
          <w:szCs w:val="20"/>
          <w:color w:val="auto"/>
        </w:rPr>
      </w:pPr>
      <w:r>
        <w:rPr>
          <w:rFonts w:ascii="Arial" w:cs="Arial" w:eastAsia="Arial" w:hAnsi="Arial"/>
          <w:sz w:val="15"/>
          <w:szCs w:val="15"/>
          <w:color w:val="auto"/>
        </w:rPr>
        <w:t>Mr. Novo holds a Bachelor of Science degree in industrial engineering from the University of Central Florida and a Master of Business Administration from the University of Michigan.</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other public company boards:</w:t>
      </w:r>
    </w:p>
    <w:p>
      <w:pPr>
        <w:spacing w:after="0" w:line="8" w:lineRule="exact"/>
        <w:rPr>
          <w:sz w:val="20"/>
          <w:szCs w:val="20"/>
          <w:color w:val="auto"/>
        </w:rPr>
      </w:pPr>
    </w:p>
    <w:p>
      <w:pPr>
        <w:jc w:val="both"/>
        <w:spacing w:after="0" w:line="225" w:lineRule="auto"/>
        <w:rPr>
          <w:sz w:val="20"/>
          <w:szCs w:val="20"/>
          <w:color w:val="auto"/>
        </w:rPr>
      </w:pPr>
      <w:r>
        <w:rPr>
          <w:rFonts w:ascii="Arial" w:cs="Arial" w:eastAsia="Arial" w:hAnsi="Arial"/>
          <w:sz w:val="15"/>
          <w:szCs w:val="15"/>
          <w:color w:val="auto"/>
        </w:rPr>
        <w:t>Since February 2021, Mr. Novo has served on the Board of PPG Industries, Inc. (NYSE: PPG) and as Chair of the Audit Committee and as a member of the Human Capital Management and Compensation Committee. Mr. Novo previously served on the</w:t>
      </w:r>
    </w:p>
    <w:p>
      <w:pPr>
        <w:spacing w:after="0" w:line="1" w:lineRule="exact"/>
        <w:rPr>
          <w:sz w:val="20"/>
          <w:szCs w:val="20"/>
          <w:color w:val="auto"/>
        </w:rPr>
      </w:pPr>
    </w:p>
    <w:p>
      <w:pPr>
        <w:ind w:right="900"/>
        <w:spacing w:after="0" w:line="236" w:lineRule="auto"/>
        <w:rPr>
          <w:sz w:val="20"/>
          <w:szCs w:val="20"/>
          <w:color w:val="auto"/>
        </w:rPr>
      </w:pPr>
      <w:r>
        <w:rPr>
          <w:rFonts w:ascii="Arial" w:cs="Arial" w:eastAsia="Arial" w:hAnsi="Arial"/>
          <w:sz w:val="15"/>
          <w:szCs w:val="15"/>
          <w:color w:val="auto"/>
        </w:rPr>
        <w:t>Board of Versum Materials Inc. (NYSE: VSM) from September 2016 to October 2019 and on the Board of Bemis Company Inc. (NYSE: BMS) and as a member of the Compensation, Nominating and Governance Committee from March 2018 to May 2019.</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director qualifications:</w:t>
      </w:r>
    </w:p>
    <w:p>
      <w:pPr>
        <w:spacing w:after="0" w:line="8" w:lineRule="exact"/>
        <w:rPr>
          <w:sz w:val="20"/>
          <w:szCs w:val="20"/>
          <w:color w:val="auto"/>
        </w:rPr>
      </w:pPr>
    </w:p>
    <w:p>
      <w:pPr>
        <w:ind w:right="1100"/>
        <w:spacing w:after="0" w:line="231" w:lineRule="auto"/>
        <w:rPr>
          <w:sz w:val="20"/>
          <w:szCs w:val="20"/>
          <w:color w:val="auto"/>
        </w:rPr>
      </w:pPr>
      <w:r>
        <w:rPr>
          <w:rFonts w:ascii="Arial" w:cs="Arial" w:eastAsia="Arial" w:hAnsi="Arial"/>
          <w:sz w:val="15"/>
          <w:szCs w:val="15"/>
          <w:color w:val="auto"/>
        </w:rPr>
        <w:t>Mr. Novo brings over thirty years of leadership experience in the specialty materials and specialty chemicals industries. With his public company and leadership roles, he brings significant experience and knowledge to the Board in the areas of business strategy, business operations, manufacturing, finance, accounting, risk oversight and corporate governance. Mr. Novo also brings significant experience gained from service on the board of directors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38100</wp:posOffset>
            </wp:positionV>
            <wp:extent cx="57607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320"/>
            <w:col w:w="6820"/>
          </w:cols>
          <w:pgMar w:left="1400" w:top="769" w:right="143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22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60"/>
          </w:cols>
          <w:pgMar w:left="1400" w:top="769" w:right="14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color w:val="867F7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57607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Jerome A. Peribere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423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60720" cy="142303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principal occupation: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director since: </w:t>
      </w:r>
      <w:r>
        <w:rPr>
          <w:rFonts w:ascii="Arial" w:cs="Arial" w:eastAsia="Arial" w:hAnsi="Arial"/>
          <w:sz w:val="15"/>
          <w:szCs w:val="15"/>
          <w:color w:val="000000"/>
        </w:rPr>
        <w:t>2018</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age: </w:t>
      </w:r>
      <w:r>
        <w:rPr>
          <w:rFonts w:ascii="Arial" w:cs="Arial" w:eastAsia="Arial" w:hAnsi="Arial"/>
          <w:sz w:val="15"/>
          <w:szCs w:val="15"/>
          <w:color w:val="000000"/>
        </w:rPr>
        <w:t>71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independent: </w:t>
      </w:r>
      <w:r>
        <w:rPr>
          <w:rFonts w:ascii="Arial" w:cs="Arial" w:eastAsia="Arial" w:hAnsi="Arial"/>
          <w:sz w:val="15"/>
          <w:szCs w:val="15"/>
          <w:color w:val="000000"/>
        </w:rPr>
        <w:t>Yes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jc w:val="both"/>
        <w:ind w:left="20" w:right="120"/>
        <w:spacing w:after="0" w:line="231" w:lineRule="auto"/>
        <w:rPr>
          <w:sz w:val="20"/>
          <w:szCs w:val="20"/>
          <w:color w:val="auto"/>
        </w:rPr>
      </w:pPr>
      <w:r>
        <w:rPr>
          <w:rFonts w:ascii="Arial" w:cs="Arial" w:eastAsia="Arial" w:hAnsi="Arial"/>
          <w:sz w:val="15"/>
          <w:szCs w:val="15"/>
          <w:color w:val="auto"/>
        </w:rPr>
        <w:t>Mr. Peribere retired from Sealed Air Corporation (NYSE: SEE) in December 2017 as President and Chief Executive Officer. Prior to becoming President and Chief Executive Officer, he was the President and Chief Operating Officer of Sealed Air. Prior to joining Sealed Air, Mr. Peribere worked at The Dow Chemical Company (NYSE: DOW) from 1977 to 2012. Mr. Peribere served in multiple managerial roles with Dow, including as Executive Vice President of Dow and President and Chief Executive Officer, Dow Advanced Materials, a unit of Dow, from 2010 to 2012.</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education:</w:t>
      </w:r>
    </w:p>
    <w:p>
      <w:pPr>
        <w:spacing w:after="0" w:line="8" w:lineRule="exact"/>
        <w:rPr>
          <w:sz w:val="20"/>
          <w:szCs w:val="20"/>
          <w:color w:val="auto"/>
        </w:rPr>
      </w:pPr>
    </w:p>
    <w:p>
      <w:pPr>
        <w:jc w:val="both"/>
        <w:ind w:left="20" w:right="20"/>
        <w:spacing w:after="0" w:line="244" w:lineRule="auto"/>
        <w:rPr>
          <w:sz w:val="20"/>
          <w:szCs w:val="20"/>
          <w:color w:val="auto"/>
        </w:rPr>
      </w:pPr>
      <w:r>
        <w:rPr>
          <w:rFonts w:ascii="Arial" w:cs="Arial" w:eastAsia="Arial" w:hAnsi="Arial"/>
          <w:sz w:val="15"/>
          <w:szCs w:val="15"/>
          <w:color w:val="auto"/>
        </w:rPr>
        <w:t>Mr. Peribere holds a degree in business economics and finance from the Institut D’Études Politiques in Paris, France.</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other public company boards:</w:t>
      </w:r>
    </w:p>
    <w:p>
      <w:pPr>
        <w:spacing w:after="0" w:line="8" w:lineRule="exact"/>
        <w:rPr>
          <w:sz w:val="20"/>
          <w:szCs w:val="20"/>
          <w:color w:val="auto"/>
        </w:rPr>
      </w:pPr>
    </w:p>
    <w:p>
      <w:pPr>
        <w:jc w:val="both"/>
        <w:ind w:left="20" w:right="20"/>
        <w:spacing w:after="0" w:line="236" w:lineRule="auto"/>
        <w:rPr>
          <w:sz w:val="20"/>
          <w:szCs w:val="20"/>
          <w:color w:val="auto"/>
        </w:rPr>
      </w:pPr>
      <w:r>
        <w:rPr>
          <w:rFonts w:ascii="Arial" w:cs="Arial" w:eastAsia="Arial" w:hAnsi="Arial"/>
          <w:sz w:val="15"/>
          <w:szCs w:val="15"/>
          <w:color w:val="auto"/>
        </w:rPr>
        <w:t>Since May 2013, Mr. Peribere has served on the Board of Xylem Inc. (NYSE: XYL) and as Chair of the Nominating and Governance Committee. Mr. Peribere previously served on the Board of Sealed Air Corporation (NYSE: SEE) from 2012 to 2017.</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director qualifications:</w:t>
      </w:r>
    </w:p>
    <w:p>
      <w:pPr>
        <w:spacing w:after="0" w:line="8" w:lineRule="exact"/>
        <w:rPr>
          <w:sz w:val="20"/>
          <w:szCs w:val="20"/>
          <w:color w:val="auto"/>
        </w:rPr>
      </w:pPr>
    </w:p>
    <w:p>
      <w:pPr>
        <w:jc w:val="both"/>
        <w:ind w:left="20" w:right="20"/>
        <w:spacing w:after="0"/>
        <w:rPr>
          <w:sz w:val="20"/>
          <w:szCs w:val="20"/>
          <w:color w:val="auto"/>
        </w:rPr>
      </w:pPr>
      <w:r>
        <w:rPr>
          <w:rFonts w:ascii="Arial" w:cs="Arial" w:eastAsia="Arial" w:hAnsi="Arial"/>
          <w:sz w:val="15"/>
          <w:szCs w:val="15"/>
          <w:color w:val="auto"/>
        </w:rPr>
        <w:t>Mr. Peribere has significant management and chemical industry experience. Mr. Peribere also has extensive experience in the areas of finance, international business operations, safety, environmental compliance, risk oversight and corporate governance. Mr. Peribere is fluent in accounting and financial reporting and has significant knowledge and experience in accounting, finance and internal control over financial reporting in a public company environment. Mr. Peribere also brings significant experience gained from service on the board of directors of other public companies.</w:t>
      </w:r>
    </w:p>
    <w:p>
      <w:pPr>
        <w:spacing w:after="0" w:line="183" w:lineRule="exact"/>
        <w:rPr>
          <w:sz w:val="20"/>
          <w:szCs w:val="20"/>
          <w:color w:val="auto"/>
        </w:rPr>
      </w:pPr>
    </w:p>
    <w:p>
      <w:pPr>
        <w:sectPr>
          <w:pgSz w:w="11900" w:h="16838" w:orient="portrait"/>
          <w:cols w:equalWidth="0" w:num="2">
            <w:col w:w="1920" w:space="320"/>
            <w:col w:w="6840"/>
          </w:cols>
          <w:pgMar w:left="1400" w:top="769" w:right="1419" w:bottom="1440" w:gutter="0" w:footer="0" w:header="0"/>
          <w:type w:val="continuous"/>
        </w:sectPr>
      </w:pPr>
    </w:p>
    <w:p>
      <w:pPr>
        <w:ind w:left="2240"/>
        <w:spacing w:after="0"/>
        <w:rPr>
          <w:sz w:val="20"/>
          <w:szCs w:val="20"/>
          <w:color w:val="auto"/>
        </w:rPr>
      </w:pPr>
      <w:r>
        <w:rPr>
          <w:rFonts w:ascii="Arial" w:cs="Arial" w:eastAsia="Arial" w:hAnsi="Arial"/>
          <w:sz w:val="19"/>
          <w:szCs w:val="19"/>
          <w:b w:val="1"/>
          <w:bCs w:val="1"/>
          <w:color w:val="867F7C"/>
        </w:rPr>
        <w:t>board committees:</w:t>
      </w:r>
    </w:p>
    <w:p>
      <w:pPr>
        <w:ind w:left="2420" w:hanging="185"/>
        <w:spacing w:after="0" w:line="235" w:lineRule="auto"/>
        <w:tabs>
          <w:tab w:leader="none" w:pos="2420" w:val="left"/>
        </w:tabs>
        <w:numPr>
          <w:ilvl w:val="0"/>
          <w:numId w:val="29"/>
        </w:numPr>
        <w:rPr>
          <w:rFonts w:ascii="Times New Roman" w:cs="Times New Roman" w:eastAsia="Times New Roman" w:hAnsi="Times New Roman"/>
          <w:sz w:val="15"/>
          <w:szCs w:val="15"/>
          <w:b w:val="1"/>
          <w:bCs w:val="1"/>
          <w:color w:val="4CCEDE"/>
        </w:rPr>
      </w:pPr>
      <w:r>
        <w:rPr>
          <w:rFonts w:ascii="Arial" w:cs="Arial" w:eastAsia="Arial" w:hAnsi="Arial"/>
          <w:sz w:val="15"/>
          <w:szCs w:val="15"/>
          <w:color w:val="auto"/>
        </w:rPr>
        <w:t>Audit</w:t>
      </w:r>
    </w:p>
    <w:p>
      <w:pPr>
        <w:ind w:left="2420" w:hanging="185"/>
        <w:spacing w:after="0"/>
        <w:tabs>
          <w:tab w:leader="none" w:pos="2420" w:val="left"/>
        </w:tabs>
        <w:numPr>
          <w:ilvl w:val="0"/>
          <w:numId w:val="29"/>
        </w:numPr>
        <w:rPr>
          <w:rFonts w:ascii="Times New Roman" w:cs="Times New Roman" w:eastAsia="Times New Roman" w:hAnsi="Times New Roman"/>
          <w:sz w:val="15"/>
          <w:szCs w:val="15"/>
          <w:b w:val="1"/>
          <w:bCs w:val="1"/>
          <w:color w:val="4CCEDE"/>
        </w:rPr>
      </w:pPr>
      <w:r>
        <w:rPr>
          <w:rFonts w:ascii="Arial" w:cs="Arial" w:eastAsia="Arial" w:hAnsi="Arial"/>
          <w:sz w:val="15"/>
          <w:szCs w:val="15"/>
          <w:color w:val="auto"/>
        </w:rPr>
        <w:t>Governance and Nominating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607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867F7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57607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6"/>
          <w:szCs w:val="26"/>
          <w:b w:val="1"/>
          <w:bCs w:val="1"/>
          <w:color w:val="4CCEDE"/>
        </w:rPr>
        <w:t>Scott A. Tozier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13798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60720" cy="1379855"/>
                    </a:xfrm>
                    <a:prstGeom prst="rect">
                      <a:avLst/>
                    </a:prstGeom>
                    <a:noFill/>
                  </pic:spPr>
                </pic:pic>
              </a:graphicData>
            </a:graphic>
          </wp:anchor>
        </w:drawing>
      </w:r>
    </w:p>
    <w:p>
      <w:pPr>
        <w:sectPr>
          <w:pgSz w:w="11900" w:h="16838" w:orient="portrait"/>
          <w:cols w:equalWidth="0" w:num="1">
            <w:col w:w="9059"/>
          </w:cols>
          <w:pgMar w:left="140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867F7C"/>
        </w:rPr>
        <w:t>principal occupation: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director since: </w:t>
      </w:r>
      <w:r>
        <w:rPr>
          <w:rFonts w:ascii="Arial" w:cs="Arial" w:eastAsia="Arial" w:hAnsi="Arial"/>
          <w:sz w:val="15"/>
          <w:szCs w:val="15"/>
          <w:color w:val="000000"/>
        </w:rPr>
        <w:t>2024</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age: </w:t>
      </w:r>
      <w:r>
        <w:rPr>
          <w:rFonts w:ascii="Arial" w:cs="Arial" w:eastAsia="Arial" w:hAnsi="Arial"/>
          <w:sz w:val="15"/>
          <w:szCs w:val="15"/>
          <w:color w:val="000000"/>
        </w:rPr>
        <w:t>59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867F7C"/>
        </w:rPr>
        <w:t xml:space="preserve">independent: </w:t>
      </w:r>
      <w:r>
        <w:rPr>
          <w:rFonts w:ascii="Arial" w:cs="Arial" w:eastAsia="Arial" w:hAnsi="Arial"/>
          <w:sz w:val="15"/>
          <w:szCs w:val="15"/>
          <w:color w:val="000000"/>
        </w:rPr>
        <w:t>Yes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professional experience:</w:t>
      </w:r>
    </w:p>
    <w:p>
      <w:pPr>
        <w:spacing w:after="0" w:line="8" w:lineRule="exact"/>
        <w:rPr>
          <w:sz w:val="20"/>
          <w:szCs w:val="20"/>
          <w:color w:val="auto"/>
        </w:rPr>
      </w:pPr>
    </w:p>
    <w:p>
      <w:pPr>
        <w:jc w:val="both"/>
        <w:ind w:left="5" w:right="99"/>
        <w:spacing w:after="0" w:line="233" w:lineRule="auto"/>
        <w:rPr>
          <w:sz w:val="20"/>
          <w:szCs w:val="20"/>
          <w:color w:val="auto"/>
        </w:rPr>
      </w:pPr>
      <w:r>
        <w:rPr>
          <w:rFonts w:ascii="Arial" w:cs="Arial" w:eastAsia="Arial" w:hAnsi="Arial"/>
          <w:sz w:val="15"/>
          <w:szCs w:val="15"/>
          <w:color w:val="auto"/>
        </w:rPr>
        <w:t>Scott A. Tozier retired from Albemarle Corporation (NYSE: ALB), a specialty chemicals manufacturing company, in February 2025 as the Strategic Advisor to the Chief Executive Officer, a role he held since 2023. From 2011 to 2023, Mr. Tozier served as Executive Vice President and Chief Financial Officer of Albemarle Corporation.</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education:</w:t>
      </w:r>
    </w:p>
    <w:p>
      <w:pPr>
        <w:spacing w:after="0" w:line="8" w:lineRule="exact"/>
        <w:rPr>
          <w:sz w:val="20"/>
          <w:szCs w:val="20"/>
          <w:color w:val="auto"/>
        </w:rPr>
      </w:pPr>
    </w:p>
    <w:p>
      <w:pPr>
        <w:jc w:val="both"/>
        <w:ind w:left="5" w:right="99"/>
        <w:spacing w:after="0" w:line="236" w:lineRule="auto"/>
        <w:rPr>
          <w:sz w:val="20"/>
          <w:szCs w:val="20"/>
          <w:color w:val="auto"/>
        </w:rPr>
      </w:pPr>
      <w:r>
        <w:rPr>
          <w:rFonts w:ascii="Arial" w:cs="Arial" w:eastAsia="Arial" w:hAnsi="Arial"/>
          <w:sz w:val="15"/>
          <w:szCs w:val="15"/>
          <w:color w:val="auto"/>
        </w:rPr>
        <w:t>Mr. Tozier holds a Bachelor of Business Administration in Accounting and Information Systems Analysis and Design from the University of Wisconsin and a Master of Business Administration with an emphasis in Corporate Strategy and Finance from the University of Michigan.</w:t>
      </w:r>
    </w:p>
    <w:p>
      <w:pPr>
        <w:spacing w:after="0" w:line="6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other public company boards:</w:t>
      </w:r>
    </w:p>
    <w:p>
      <w:pPr>
        <w:spacing w:after="0" w:line="8" w:lineRule="exact"/>
        <w:rPr>
          <w:sz w:val="20"/>
          <w:szCs w:val="20"/>
          <w:color w:val="auto"/>
        </w:rPr>
      </w:pPr>
    </w:p>
    <w:p>
      <w:pPr>
        <w:jc w:val="both"/>
        <w:ind w:left="5" w:right="99"/>
        <w:spacing w:after="0" w:line="232" w:lineRule="auto"/>
        <w:rPr>
          <w:sz w:val="20"/>
          <w:szCs w:val="20"/>
          <w:color w:val="auto"/>
        </w:rPr>
      </w:pPr>
      <w:r>
        <w:rPr>
          <w:rFonts w:ascii="Arial" w:cs="Arial" w:eastAsia="Arial" w:hAnsi="Arial"/>
          <w:sz w:val="15"/>
          <w:szCs w:val="15"/>
          <w:color w:val="auto"/>
        </w:rPr>
        <w:t>Since May 2024, Mr. Tozier has served on the Board of International Paper (NYSE: IP) and as a member of the Audit and Finance Committee and the Public Policy and Environment Committee. Mr. Tozier previously served on the Board of Garrett Motion Inc. (NASDAQ: GTX) and as Chair of the Audit and Finance Committee and a member of the Executive Compensation Committee from October 2018 to April 2021.</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director qualifications:</w:t>
      </w:r>
    </w:p>
    <w:p>
      <w:pPr>
        <w:spacing w:after="0" w:line="21" w:lineRule="exact"/>
        <w:rPr>
          <w:sz w:val="20"/>
          <w:szCs w:val="20"/>
          <w:color w:val="auto"/>
        </w:rPr>
      </w:pPr>
    </w:p>
    <w:p>
      <w:pPr>
        <w:jc w:val="both"/>
        <w:ind w:left="5" w:right="99"/>
        <w:spacing w:after="0" w:line="244" w:lineRule="auto"/>
        <w:rPr>
          <w:sz w:val="20"/>
          <w:szCs w:val="20"/>
          <w:color w:val="auto"/>
        </w:rPr>
      </w:pPr>
      <w:r>
        <w:rPr>
          <w:rFonts w:ascii="Arial" w:cs="Arial" w:eastAsia="Arial" w:hAnsi="Arial"/>
          <w:sz w:val="15"/>
          <w:szCs w:val="15"/>
          <w:color w:val="auto"/>
        </w:rPr>
        <w:t>Mr. Tozier brings significant experience over a 30-year career, in accounting, audit, corporate finance, risk management and executive leadership.</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867F7C"/>
        </w:rPr>
        <w:t>board committees:</w:t>
      </w:r>
    </w:p>
    <w:p>
      <w:pPr>
        <w:ind w:left="185" w:hanging="185"/>
        <w:spacing w:after="0" w:line="235" w:lineRule="auto"/>
        <w:tabs>
          <w:tab w:leader="none" w:pos="185" w:val="left"/>
        </w:tabs>
        <w:numPr>
          <w:ilvl w:val="0"/>
          <w:numId w:val="30"/>
        </w:numPr>
        <w:rPr>
          <w:rFonts w:ascii="Times New Roman" w:cs="Times New Roman" w:eastAsia="Times New Roman" w:hAnsi="Times New Roman"/>
          <w:sz w:val="15"/>
          <w:szCs w:val="15"/>
          <w:color w:val="4CCEDE"/>
        </w:rPr>
      </w:pPr>
      <w:r>
        <w:rPr>
          <w:rFonts w:ascii="Arial" w:cs="Arial" w:eastAsia="Arial" w:hAnsi="Arial"/>
          <w:sz w:val="15"/>
          <w:szCs w:val="15"/>
          <w:color w:val="auto"/>
        </w:rPr>
        <w:t>Audit (Chair)</w:t>
      </w:r>
    </w:p>
    <w:p>
      <w:pPr>
        <w:ind w:left="185" w:hanging="185"/>
        <w:spacing w:after="0"/>
        <w:tabs>
          <w:tab w:leader="none" w:pos="185" w:val="left"/>
        </w:tabs>
        <w:numPr>
          <w:ilvl w:val="0"/>
          <w:numId w:val="30"/>
        </w:numPr>
        <w:rPr>
          <w:rFonts w:ascii="Times New Roman" w:cs="Times New Roman" w:eastAsia="Times New Roman" w:hAnsi="Times New Roman"/>
          <w:sz w:val="15"/>
          <w:szCs w:val="15"/>
          <w:color w:val="4CCEDE"/>
        </w:rPr>
      </w:pPr>
      <w:r>
        <w:rPr>
          <w:rFonts w:ascii="Arial" w:cs="Arial" w:eastAsia="Arial" w:hAnsi="Arial"/>
          <w:sz w:val="15"/>
          <w:szCs w:val="15"/>
          <w:color w:val="auto"/>
        </w:rPr>
        <w:t>Sustainability and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46355</wp:posOffset>
            </wp:positionV>
            <wp:extent cx="57607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315"/>
            <w:col w:w="6824"/>
          </w:cols>
          <w:pgMar w:left="1400" w:top="769"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24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59"/>
          </w:cols>
          <w:pgMar w:left="1400" w:top="769"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54"/>
          <w:szCs w:val="54"/>
          <w:color w:val="867F7C"/>
        </w:rPr>
        <w:t>executive officers</w:t>
      </w:r>
    </w:p>
    <w:p>
      <w:pPr>
        <w:spacing w:after="0" w:line="200" w:lineRule="exact"/>
        <w:rPr>
          <w:sz w:val="20"/>
          <w:szCs w:val="20"/>
          <w:color w:val="auto"/>
        </w:rPr>
      </w:pPr>
    </w:p>
    <w:p>
      <w:pPr>
        <w:spacing w:after="0" w:line="232" w:lineRule="exact"/>
        <w:rPr>
          <w:sz w:val="20"/>
          <w:szCs w:val="20"/>
          <w:color w:val="auto"/>
        </w:rPr>
      </w:pPr>
    </w:p>
    <w:p>
      <w:pPr>
        <w:ind w:left="1960"/>
        <w:spacing w:after="0"/>
        <w:rPr>
          <w:sz w:val="20"/>
          <w:szCs w:val="20"/>
          <w:color w:val="auto"/>
        </w:rPr>
      </w:pPr>
      <w:r>
        <w:rPr>
          <w:rFonts w:ascii="Arial" w:cs="Arial" w:eastAsia="Arial" w:hAnsi="Arial"/>
          <w:sz w:val="27"/>
          <w:szCs w:val="27"/>
          <w:b w:val="1"/>
          <w:bCs w:val="1"/>
          <w:color w:val="4CCEDE"/>
        </w:rPr>
        <w:t>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5760720" cy="12433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60720" cy="1243330"/>
                    </a:xfrm>
                    <a:prstGeom prst="rect">
                      <a:avLst/>
                    </a:prstGeom>
                    <a:noFill/>
                  </pic:spPr>
                </pic:pic>
              </a:graphicData>
            </a:graphic>
          </wp:anchor>
        </w:drawing>
      </w:r>
    </w:p>
    <w:p>
      <w:pPr>
        <w:spacing w:after="0" w:line="94"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867F7C"/>
        </w:rPr>
        <w:t>Senior Vice President and Chief Financial Officer</w:t>
      </w:r>
    </w:p>
    <w:p>
      <w:pPr>
        <w:spacing w:after="0" w:line="104" w:lineRule="exact"/>
        <w:rPr>
          <w:sz w:val="20"/>
          <w:szCs w:val="20"/>
          <w:color w:val="auto"/>
        </w:rPr>
      </w:pPr>
    </w:p>
    <w:p>
      <w:pPr>
        <w:jc w:val="both"/>
        <w:ind w:left="1960"/>
        <w:spacing w:after="0" w:line="286" w:lineRule="auto"/>
        <w:rPr>
          <w:sz w:val="20"/>
          <w:szCs w:val="20"/>
          <w:color w:val="auto"/>
        </w:rPr>
      </w:pPr>
      <w:r>
        <w:rPr>
          <w:rFonts w:ascii="Arial" w:cs="Arial" w:eastAsia="Arial" w:hAnsi="Arial"/>
          <w:sz w:val="16"/>
          <w:szCs w:val="16"/>
          <w:color w:val="231F20"/>
        </w:rPr>
        <w:t>Mr. Whitaker, age 37, is Senior Vice President and Chief Financial Officer of Ashland, a position he has held since July 2025.</w:t>
      </w:r>
    </w:p>
    <w:p>
      <w:pPr>
        <w:spacing w:after="0" w:line="48" w:lineRule="exact"/>
        <w:rPr>
          <w:sz w:val="20"/>
          <w:szCs w:val="20"/>
          <w:color w:val="auto"/>
        </w:rPr>
      </w:pPr>
    </w:p>
    <w:p>
      <w:pPr>
        <w:jc w:val="both"/>
        <w:ind w:left="1960"/>
        <w:spacing w:after="0" w:line="256" w:lineRule="auto"/>
        <w:rPr>
          <w:sz w:val="20"/>
          <w:szCs w:val="20"/>
          <w:color w:val="auto"/>
        </w:rPr>
      </w:pPr>
      <w:r>
        <w:rPr>
          <w:rFonts w:ascii="Arial" w:cs="Arial" w:eastAsia="Arial" w:hAnsi="Arial"/>
          <w:sz w:val="16"/>
          <w:szCs w:val="16"/>
          <w:color w:val="231F20"/>
        </w:rPr>
        <w:t>Mr. Whitaker joined Ashland in 2015 and has held several positions of increasing responsibility in corporate development, treasury, financial planning and analysis (FP&amp;A) and investor relations. Prior to Ashland, Mr. Whitaker held roles outside of the company within private equity and transaction advisory services. He holds a Bachelor of Science degree in finance from Ohio State University and holds a Chartered Financial Analyst (CFA) designation.</w:t>
      </w:r>
    </w:p>
    <w:p>
      <w:pPr>
        <w:spacing w:after="0" w:line="354" w:lineRule="exact"/>
        <w:rPr>
          <w:sz w:val="20"/>
          <w:szCs w:val="20"/>
          <w:color w:val="auto"/>
        </w:rPr>
      </w:pPr>
    </w:p>
    <w:p>
      <w:pPr>
        <w:ind w:left="2020"/>
        <w:spacing w:after="0"/>
        <w:rPr>
          <w:sz w:val="20"/>
          <w:szCs w:val="20"/>
          <w:color w:val="auto"/>
        </w:rPr>
      </w:pPr>
      <w:r>
        <w:rPr>
          <w:rFonts w:ascii="Arial" w:cs="Arial" w:eastAsia="Arial" w:hAnsi="Arial"/>
          <w:sz w:val="27"/>
          <w:szCs w:val="27"/>
          <w:b w:val="1"/>
          <w:bCs w:val="1"/>
          <w:color w:val="4CCEDE"/>
        </w:rPr>
        <w:t>Dr. Osama M. Musa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5760720" cy="12433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60720" cy="1243330"/>
                    </a:xfrm>
                    <a:prstGeom prst="rect">
                      <a:avLst/>
                    </a:prstGeom>
                    <a:noFill/>
                  </pic:spPr>
                </pic:pic>
              </a:graphicData>
            </a:graphic>
          </wp:anchor>
        </w:drawing>
      </w:r>
    </w:p>
    <w:p>
      <w:pPr>
        <w:spacing w:after="0" w:line="94"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867F7C"/>
        </w:rPr>
        <w:t>Senior Vice President and Chief Technology Officer</w:t>
      </w:r>
    </w:p>
    <w:p>
      <w:pPr>
        <w:spacing w:after="0" w:line="104" w:lineRule="exact"/>
        <w:rPr>
          <w:sz w:val="20"/>
          <w:szCs w:val="20"/>
          <w:color w:val="auto"/>
        </w:rPr>
      </w:pPr>
    </w:p>
    <w:p>
      <w:pPr>
        <w:ind w:left="2020" w:right="380"/>
        <w:spacing w:after="0" w:line="286" w:lineRule="auto"/>
        <w:rPr>
          <w:sz w:val="20"/>
          <w:szCs w:val="20"/>
          <w:color w:val="auto"/>
        </w:rPr>
      </w:pPr>
      <w:r>
        <w:rPr>
          <w:rFonts w:ascii="Arial" w:cs="Arial" w:eastAsia="Arial" w:hAnsi="Arial"/>
          <w:sz w:val="16"/>
          <w:szCs w:val="16"/>
          <w:color w:val="231F20"/>
        </w:rPr>
        <w:t>Dr. Musa, age 57, is Senior Vice President of Ashland, a position he has held since 2018 and Chief Technology Officer, a position he has held since 2016.</w:t>
      </w:r>
    </w:p>
    <w:p>
      <w:pPr>
        <w:spacing w:after="0" w:line="48" w:lineRule="exact"/>
        <w:rPr>
          <w:sz w:val="20"/>
          <w:szCs w:val="20"/>
          <w:color w:val="auto"/>
        </w:rPr>
      </w:pPr>
    </w:p>
    <w:p>
      <w:pPr>
        <w:jc w:val="both"/>
        <w:ind w:left="2020"/>
        <w:spacing w:after="0" w:line="259" w:lineRule="auto"/>
        <w:rPr>
          <w:sz w:val="20"/>
          <w:szCs w:val="20"/>
          <w:color w:val="auto"/>
        </w:rPr>
      </w:pPr>
      <w:r>
        <w:rPr>
          <w:rFonts w:ascii="Arial" w:cs="Arial" w:eastAsia="Arial" w:hAnsi="Arial"/>
          <w:sz w:val="16"/>
          <w:szCs w:val="16"/>
          <w:color w:val="231F20"/>
        </w:rPr>
        <w:t>Dr. Musa holds a Ph.D. in organic chemistry from Wayne State University, where he also completed a post- doctoral fellowship. In addition, he received an M.S. in macromolecular chemistry from the University of Detroit Mercy, an M.S. degree in heterocyclic organic chemistry from the University of Jordan, and a B.S. in chemistry from Yarmouk University in Jordan.</w:t>
      </w:r>
    </w:p>
    <w:p>
      <w:pPr>
        <w:spacing w:after="0" w:line="352" w:lineRule="exact"/>
        <w:rPr>
          <w:sz w:val="20"/>
          <w:szCs w:val="20"/>
          <w:color w:val="auto"/>
        </w:rPr>
      </w:pPr>
    </w:p>
    <w:p>
      <w:pPr>
        <w:ind w:left="1960"/>
        <w:spacing w:after="0"/>
        <w:rPr>
          <w:sz w:val="20"/>
          <w:szCs w:val="20"/>
          <w:color w:val="auto"/>
        </w:rPr>
      </w:pPr>
      <w:r>
        <w:rPr>
          <w:rFonts w:ascii="Arial" w:cs="Arial" w:eastAsia="Arial" w:hAnsi="Arial"/>
          <w:sz w:val="27"/>
          <w:szCs w:val="27"/>
          <w:b w:val="1"/>
          <w:bCs w:val="1"/>
          <w:color w:val="4CCEDE"/>
        </w:rPr>
        <w:t>Alessandra Faccin 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5760720" cy="12426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60720" cy="1242695"/>
                    </a:xfrm>
                    <a:prstGeom prst="rect">
                      <a:avLst/>
                    </a:prstGeom>
                    <a:noFill/>
                  </pic:spPr>
                </pic:pic>
              </a:graphicData>
            </a:graphic>
          </wp:anchor>
        </w:drawing>
      </w:r>
    </w:p>
    <w:p>
      <w:pPr>
        <w:spacing w:after="0" w:line="94" w:lineRule="exact"/>
        <w:rPr>
          <w:sz w:val="20"/>
          <w:szCs w:val="20"/>
          <w:color w:val="auto"/>
        </w:rPr>
      </w:pPr>
    </w:p>
    <w:p>
      <w:pPr>
        <w:ind w:left="1960" w:right="1240"/>
        <w:spacing w:after="0" w:line="270" w:lineRule="auto"/>
        <w:rPr>
          <w:sz w:val="20"/>
          <w:szCs w:val="20"/>
          <w:color w:val="auto"/>
        </w:rPr>
      </w:pPr>
      <w:r>
        <w:rPr>
          <w:rFonts w:ascii="Arial" w:cs="Arial" w:eastAsia="Arial" w:hAnsi="Arial"/>
          <w:sz w:val="20"/>
          <w:szCs w:val="20"/>
          <w:b w:val="1"/>
          <w:bCs w:val="1"/>
          <w:color w:val="867F7C"/>
        </w:rPr>
        <w:t>Senior Vice President and General Manager, Life Sciences and Intermediates</w:t>
      </w:r>
    </w:p>
    <w:p>
      <w:pPr>
        <w:spacing w:after="0" w:line="32" w:lineRule="exact"/>
        <w:rPr>
          <w:sz w:val="20"/>
          <w:szCs w:val="20"/>
          <w:color w:val="auto"/>
        </w:rPr>
      </w:pPr>
    </w:p>
    <w:p>
      <w:pPr>
        <w:jc w:val="both"/>
        <w:ind w:left="1960"/>
        <w:spacing w:after="0" w:line="252" w:lineRule="auto"/>
        <w:rPr>
          <w:sz w:val="20"/>
          <w:szCs w:val="20"/>
          <w:color w:val="auto"/>
        </w:rPr>
      </w:pPr>
      <w:r>
        <w:rPr>
          <w:rFonts w:ascii="Arial" w:cs="Arial" w:eastAsia="Arial" w:hAnsi="Arial"/>
          <w:sz w:val="16"/>
          <w:szCs w:val="16"/>
          <w:color w:val="231F20"/>
        </w:rPr>
        <w:t>Ms. Faccin Assis, age 47, is Senior Vice President and General Manager, Life Sciences and Intermediates of Ashland, a position she has held since June 2024. Prior to joining Ashland, Ms. Faccin Assis served as President, Asia Pacific at Sealed Air Corporation from December 2021 to June 2024. She also served as Vice President, Treasurer from August 2020 to December 2021 and Vice President and General Manager, Product Care North America from January 2018 to July 2020. Ms. Faccin Assis joined Sealed Air Corporation in 2013, and held multiple senior leadership positions, including head of corporate financial planning and analysis. Her prior leadership experience includes positions at Dow Chemical and Rohm and Haas.</w:t>
      </w:r>
    </w:p>
    <w:p>
      <w:pPr>
        <w:spacing w:after="0" w:line="75" w:lineRule="exact"/>
        <w:rPr>
          <w:sz w:val="20"/>
          <w:szCs w:val="20"/>
          <w:color w:val="auto"/>
        </w:rPr>
      </w:pPr>
    </w:p>
    <w:p>
      <w:pPr>
        <w:jc w:val="both"/>
        <w:ind w:left="1960"/>
        <w:spacing w:after="0" w:line="266" w:lineRule="auto"/>
        <w:rPr>
          <w:sz w:val="20"/>
          <w:szCs w:val="20"/>
          <w:color w:val="auto"/>
        </w:rPr>
      </w:pPr>
      <w:r>
        <w:rPr>
          <w:rFonts w:ascii="Arial" w:cs="Arial" w:eastAsia="Arial" w:hAnsi="Arial"/>
          <w:sz w:val="16"/>
          <w:szCs w:val="16"/>
          <w:color w:val="231F20"/>
        </w:rPr>
        <w:t>Ms. Faccin Assis holds a Bachelor of Science degree in Business Administration from Fundação Getúlio Vargas in Brazil, and an Executive Master of Business Administration from Universidade de São Paulo in Brazil.</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25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867F7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5760720" cy="12426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60720" cy="12426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20"/>
        <w:spacing w:after="0"/>
        <w:rPr>
          <w:sz w:val="20"/>
          <w:szCs w:val="20"/>
          <w:color w:val="auto"/>
        </w:rPr>
      </w:pPr>
      <w:r>
        <w:rPr>
          <w:rFonts w:ascii="Arial" w:cs="Arial" w:eastAsia="Arial" w:hAnsi="Arial"/>
          <w:sz w:val="27"/>
          <w:szCs w:val="27"/>
          <w:b w:val="1"/>
          <w:bCs w:val="1"/>
          <w:color w:val="4CCEDE"/>
        </w:rPr>
        <w:t>James P.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27305</wp:posOffset>
            </wp:positionV>
            <wp:extent cx="44831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80"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867F7C"/>
        </w:rPr>
        <w:t>Senior Vice President and General Manager, Personal Care</w:t>
      </w:r>
    </w:p>
    <w:p>
      <w:pPr>
        <w:spacing w:after="0" w:line="104" w:lineRule="exact"/>
        <w:rPr>
          <w:sz w:val="20"/>
          <w:szCs w:val="20"/>
          <w:color w:val="auto"/>
        </w:rPr>
      </w:pPr>
    </w:p>
    <w:p>
      <w:pPr>
        <w:jc w:val="both"/>
        <w:ind w:left="2020"/>
        <w:spacing w:after="0" w:line="253" w:lineRule="auto"/>
        <w:rPr>
          <w:sz w:val="20"/>
          <w:szCs w:val="20"/>
          <w:color w:val="auto"/>
        </w:rPr>
      </w:pPr>
      <w:r>
        <w:rPr>
          <w:rFonts w:ascii="Arial" w:cs="Arial" w:eastAsia="Arial" w:hAnsi="Arial"/>
          <w:sz w:val="16"/>
          <w:szCs w:val="16"/>
          <w:color w:val="231F20"/>
        </w:rPr>
        <w:t>Mr. Minicucci, age 43, is Senior Vice President and General Manager, Personal Care of Ashland, a position he has held since April 2024. Previously, Mr. Minicucci served as Senior Vice President, Strategy, Mergers and Acquisitions, and Portfolio Management from May 2023 to May 2024. Previously, Mr. Minicucci served as the Senior Vice President and Global Head Specialty Gases at MERCK KGaA, Darmstadt, Germany from October 2019 to May 2023. Prior to that he served as Vice President and General Manager of Process Materials, Asia at Versum Materials from October 2016 to October 2019.</w:t>
      </w:r>
    </w:p>
    <w:p>
      <w:pPr>
        <w:spacing w:after="0" w:line="73" w:lineRule="exact"/>
        <w:rPr>
          <w:sz w:val="20"/>
          <w:szCs w:val="20"/>
          <w:color w:val="auto"/>
        </w:rPr>
      </w:pPr>
    </w:p>
    <w:p>
      <w:pPr>
        <w:jc w:val="both"/>
        <w:ind w:left="2020"/>
        <w:spacing w:after="0" w:line="286" w:lineRule="auto"/>
        <w:rPr>
          <w:sz w:val="20"/>
          <w:szCs w:val="20"/>
          <w:color w:val="auto"/>
        </w:rPr>
      </w:pPr>
      <w:r>
        <w:rPr>
          <w:rFonts w:ascii="Arial" w:cs="Arial" w:eastAsia="Arial" w:hAnsi="Arial"/>
          <w:sz w:val="16"/>
          <w:szCs w:val="16"/>
          <w:color w:val="231F20"/>
        </w:rPr>
        <w:t>Mr. Minicucci holds a Bachelor of Science and a Master of Science degree in Chemical Engineering from Northeastern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5760720" cy="12426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60720" cy="1242695"/>
                    </a:xfrm>
                    <a:prstGeom prst="rect">
                      <a:avLst/>
                    </a:prstGeom>
                    <a:noFill/>
                  </pic:spPr>
                </pic:pic>
              </a:graphicData>
            </a:graphic>
          </wp:anchor>
        </w:drawing>
      </w:r>
    </w:p>
    <w:p>
      <w:pPr>
        <w:spacing w:after="0" w:line="323" w:lineRule="exact"/>
        <w:rPr>
          <w:sz w:val="20"/>
          <w:szCs w:val="20"/>
          <w:color w:val="auto"/>
        </w:rPr>
      </w:pPr>
    </w:p>
    <w:p>
      <w:pPr>
        <w:ind w:left="2020"/>
        <w:spacing w:after="0"/>
        <w:rPr>
          <w:sz w:val="20"/>
          <w:szCs w:val="20"/>
          <w:color w:val="auto"/>
        </w:rPr>
      </w:pPr>
      <w:r>
        <w:rPr>
          <w:rFonts w:ascii="Arial" w:cs="Arial" w:eastAsia="Arial" w:hAnsi="Arial"/>
          <w:sz w:val="27"/>
          <w:szCs w:val="27"/>
          <w:b w:val="1"/>
          <w:bCs w:val="1"/>
          <w:color w:val="4CCEDE"/>
        </w:rPr>
        <w:t>Dago Caceres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27305</wp:posOffset>
            </wp:positionV>
            <wp:extent cx="44831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80"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867F7C"/>
        </w:rPr>
        <w:t>Senior Vice President and General Manager, Specialty Additives</w:t>
      </w:r>
    </w:p>
    <w:p>
      <w:pPr>
        <w:spacing w:after="0" w:line="104" w:lineRule="exact"/>
        <w:rPr>
          <w:sz w:val="20"/>
          <w:szCs w:val="20"/>
          <w:color w:val="auto"/>
        </w:rPr>
      </w:pPr>
    </w:p>
    <w:p>
      <w:pPr>
        <w:jc w:val="both"/>
        <w:ind w:left="2020"/>
        <w:spacing w:after="0" w:line="254" w:lineRule="auto"/>
        <w:rPr>
          <w:sz w:val="20"/>
          <w:szCs w:val="20"/>
          <w:color w:val="auto"/>
        </w:rPr>
      </w:pPr>
      <w:r>
        <w:rPr>
          <w:rFonts w:ascii="Arial" w:cs="Arial" w:eastAsia="Arial" w:hAnsi="Arial"/>
          <w:sz w:val="16"/>
          <w:szCs w:val="16"/>
          <w:color w:val="231F20"/>
        </w:rPr>
        <w:t>Mr. Caceres, age 53, is Senior Vice President and General Manager, Specialty Additives of Ashland, a position he has held since April 2024. Previously, Mr. Caceres served as global strategy director, IFF Pharma Solutions, from February 2021 to April 2024. He served as global strategic marketing leader, DuPont from August 2019 to February 2021. He has also held a variety of leadership positions and has extensive experience working with chemical and science-driven companies, including Dow Chemical, FMC BioPolymer, and Rohm and Hass.</w:t>
      </w:r>
    </w:p>
    <w:p>
      <w:pPr>
        <w:spacing w:after="0" w:line="74" w:lineRule="exact"/>
        <w:rPr>
          <w:sz w:val="20"/>
          <w:szCs w:val="20"/>
          <w:color w:val="auto"/>
        </w:rPr>
      </w:pPr>
    </w:p>
    <w:p>
      <w:pPr>
        <w:jc w:val="both"/>
        <w:ind w:left="2020"/>
        <w:spacing w:after="0" w:line="266" w:lineRule="auto"/>
        <w:rPr>
          <w:sz w:val="20"/>
          <w:szCs w:val="20"/>
          <w:color w:val="auto"/>
        </w:rPr>
      </w:pPr>
      <w:r>
        <w:rPr>
          <w:rFonts w:ascii="Arial" w:cs="Arial" w:eastAsia="Arial" w:hAnsi="Arial"/>
          <w:sz w:val="16"/>
          <w:szCs w:val="16"/>
          <w:color w:val="231F20"/>
        </w:rPr>
        <w:t>Mr. Caceres holds a Bachelor of Science degree in Chemical Engineering from the National University of Colombia and a Master of Business Administration in International Business and Marketing from the Moore Schools of Business at the University of South Carolina.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26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867F7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223520</wp:posOffset>
            </wp:positionV>
            <wp:extent cx="5760720" cy="12433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60720" cy="1243330"/>
                    </a:xfrm>
                    <a:prstGeom prst="rect">
                      <a:avLst/>
                    </a:prstGeom>
                    <a:noFill/>
                  </pic:spPr>
                </pic:pic>
              </a:graphicData>
            </a:graphic>
          </wp:anchor>
        </w:drawing>
      </w:r>
    </w:p>
    <w:p>
      <w:pPr>
        <w:spacing w:after="0" w:line="343" w:lineRule="exact"/>
        <w:rPr>
          <w:sz w:val="20"/>
          <w:szCs w:val="20"/>
          <w:color w:val="auto"/>
        </w:rPr>
      </w:pPr>
    </w:p>
    <w:p>
      <w:pPr>
        <w:ind w:left="1980"/>
        <w:spacing w:after="0"/>
        <w:rPr>
          <w:sz w:val="20"/>
          <w:szCs w:val="20"/>
          <w:color w:val="auto"/>
        </w:rPr>
      </w:pPr>
      <w:r>
        <w:rPr>
          <w:rFonts w:ascii="Arial" w:cs="Arial" w:eastAsia="Arial" w:hAnsi="Arial"/>
          <w:sz w:val="27"/>
          <w:szCs w:val="27"/>
          <w:b w:val="1"/>
          <w:bCs w:val="1"/>
          <w:color w:val="4CCEDE"/>
        </w:rPr>
        <w:t>Robin E. Lampkin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27305</wp:posOffset>
            </wp:positionV>
            <wp:extent cx="44831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80"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867F7C"/>
        </w:rPr>
        <w:t>Senior Vice President, General Counsel and Secretary</w:t>
      </w:r>
    </w:p>
    <w:p>
      <w:pPr>
        <w:spacing w:after="0" w:line="104" w:lineRule="exact"/>
        <w:rPr>
          <w:sz w:val="20"/>
          <w:szCs w:val="20"/>
          <w:color w:val="auto"/>
        </w:rPr>
      </w:pPr>
    </w:p>
    <w:p>
      <w:pPr>
        <w:jc w:val="both"/>
        <w:ind w:left="1980"/>
        <w:spacing w:after="0" w:line="253" w:lineRule="auto"/>
        <w:rPr>
          <w:sz w:val="20"/>
          <w:szCs w:val="20"/>
          <w:color w:val="auto"/>
        </w:rPr>
      </w:pPr>
      <w:r>
        <w:rPr>
          <w:rFonts w:ascii="Arial" w:cs="Arial" w:eastAsia="Arial" w:hAnsi="Arial"/>
          <w:sz w:val="16"/>
          <w:szCs w:val="16"/>
          <w:color w:val="231F20"/>
        </w:rPr>
        <w:t>Ms. Lampkin, age 62, is Senior Vice President, General Counsel and Secretary of Ashland, positions she has held since August 2023. Previously, Ms. Lampkin served as Vice President, Associate General Counsel, Chief Compliance Officer from January 2021 to August 2023. Prior to that, Ms. Lampkin served as Assistant General Counsel for Ashland’s Environmental, Product Regulatory, Trade and Governmental Affairs from January 2019 to January 2021. Ms. Lampkin joined Ashland in 1991 and during her 34-year tenure has held multiple leadership roles and has been active in tort litigation and global environmental regulatory and remediation.</w:t>
      </w:r>
    </w:p>
    <w:p>
      <w:pPr>
        <w:spacing w:after="0" w:line="73" w:lineRule="exact"/>
        <w:rPr>
          <w:sz w:val="20"/>
          <w:szCs w:val="20"/>
          <w:color w:val="auto"/>
        </w:rPr>
      </w:pPr>
    </w:p>
    <w:p>
      <w:pPr>
        <w:jc w:val="both"/>
        <w:ind w:left="1980"/>
        <w:spacing w:after="0" w:line="286" w:lineRule="auto"/>
        <w:rPr>
          <w:sz w:val="20"/>
          <w:szCs w:val="20"/>
          <w:color w:val="auto"/>
        </w:rPr>
      </w:pPr>
      <w:r>
        <w:rPr>
          <w:rFonts w:ascii="Arial" w:cs="Arial" w:eastAsia="Arial" w:hAnsi="Arial"/>
          <w:sz w:val="16"/>
          <w:szCs w:val="16"/>
          <w:color w:val="231F20"/>
        </w:rPr>
        <w:t>Ms. Lampkin holds a Bachelor of Arts in Criminology and a Juris Doctorate from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210820</wp:posOffset>
            </wp:positionV>
            <wp:extent cx="5760720" cy="12433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60720" cy="1243330"/>
                    </a:xfrm>
                    <a:prstGeom prst="rect">
                      <a:avLst/>
                    </a:prstGeom>
                    <a:noFill/>
                  </pic:spPr>
                </pic:pic>
              </a:graphicData>
            </a:graphic>
          </wp:anchor>
        </w:drawing>
      </w:r>
    </w:p>
    <w:p>
      <w:pPr>
        <w:spacing w:after="0" w:line="323" w:lineRule="exact"/>
        <w:rPr>
          <w:sz w:val="20"/>
          <w:szCs w:val="20"/>
          <w:color w:val="auto"/>
        </w:rPr>
      </w:pPr>
    </w:p>
    <w:p>
      <w:pPr>
        <w:ind w:left="1980"/>
        <w:spacing w:after="0"/>
        <w:rPr>
          <w:sz w:val="20"/>
          <w:szCs w:val="20"/>
          <w:color w:val="auto"/>
        </w:rPr>
      </w:pPr>
      <w:r>
        <w:rPr>
          <w:rFonts w:ascii="Arial" w:cs="Arial" w:eastAsia="Arial" w:hAnsi="Arial"/>
          <w:sz w:val="27"/>
          <w:szCs w:val="27"/>
          <w:b w:val="1"/>
          <w:bCs w:val="1"/>
          <w:color w:val="4CCEDE"/>
        </w:rPr>
        <w:t>Eileen Drury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27305</wp:posOffset>
            </wp:positionV>
            <wp:extent cx="44831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80"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867F7C"/>
        </w:rPr>
        <w:t>Senior Vice President and Chief Human Resources Officer</w:t>
      </w:r>
    </w:p>
    <w:p>
      <w:pPr>
        <w:spacing w:after="0" w:line="104" w:lineRule="exact"/>
        <w:rPr>
          <w:sz w:val="20"/>
          <w:szCs w:val="20"/>
          <w:color w:val="auto"/>
        </w:rPr>
      </w:pPr>
    </w:p>
    <w:p>
      <w:pPr>
        <w:jc w:val="both"/>
        <w:ind w:left="1980"/>
        <w:spacing w:after="0" w:line="256" w:lineRule="auto"/>
        <w:rPr>
          <w:sz w:val="20"/>
          <w:szCs w:val="20"/>
          <w:color w:val="auto"/>
        </w:rPr>
      </w:pPr>
      <w:r>
        <w:rPr>
          <w:rFonts w:ascii="Arial" w:cs="Arial" w:eastAsia="Arial" w:hAnsi="Arial"/>
          <w:sz w:val="16"/>
          <w:szCs w:val="16"/>
          <w:color w:val="231F20"/>
        </w:rPr>
        <w:t>Ms. Drury, age 57, is Senior Vice President and Chief Human Resources Officer of Ashland, a position she has held since November 2021. Previously, Ms. Drury held multiple leadership roles at Ashland, including Vice President Human Resources from August 2020 to November 2021 and Director, Human Resources from April 2019 to August 2020. Ms. Drury also served as an HR Business Partner for various groups within Ashland from 2011 to 2019.</w:t>
      </w:r>
    </w:p>
    <w:p>
      <w:pPr>
        <w:spacing w:after="0" w:line="72" w:lineRule="exact"/>
        <w:rPr>
          <w:sz w:val="20"/>
          <w:szCs w:val="20"/>
          <w:color w:val="auto"/>
        </w:rPr>
      </w:pPr>
    </w:p>
    <w:p>
      <w:pPr>
        <w:jc w:val="both"/>
        <w:ind w:left="1980" w:right="20"/>
        <w:spacing w:after="0" w:line="286" w:lineRule="auto"/>
        <w:rPr>
          <w:sz w:val="20"/>
          <w:szCs w:val="20"/>
          <w:color w:val="auto"/>
        </w:rPr>
      </w:pPr>
      <w:r>
        <w:rPr>
          <w:rFonts w:ascii="Arial" w:cs="Arial" w:eastAsia="Arial" w:hAnsi="Arial"/>
          <w:sz w:val="16"/>
          <w:szCs w:val="16"/>
          <w:color w:val="231F20"/>
        </w:rPr>
        <w:t>Ms. Drury holds a Master of Arts in Business Administration and Management and a Bachelor of Arts from Fairleigh Dickinson University.</w:t>
      </w:r>
    </w:p>
    <w:p>
      <w:pPr>
        <w:spacing w:after="0" w:line="200" w:lineRule="exact"/>
        <w:rPr>
          <w:sz w:val="20"/>
          <w:szCs w:val="20"/>
          <w:color w:val="auto"/>
        </w:rPr>
      </w:pPr>
    </w:p>
    <w:p>
      <w:pPr>
        <w:spacing w:after="0" w:line="333" w:lineRule="exact"/>
        <w:rPr>
          <w:sz w:val="20"/>
          <w:szCs w:val="20"/>
          <w:color w:val="auto"/>
        </w:rPr>
      </w:pPr>
    </w:p>
    <w:p>
      <w:pPr>
        <w:ind w:left="714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494665</wp:posOffset>
            </wp:positionV>
            <wp:extent cx="70377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-143510</wp:posOffset>
            </wp:positionV>
            <wp:extent cx="57607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40"/>
          </w:cols>
          <w:pgMar w:left="1440" w:top="769" w:right="1419" w:bottom="1440" w:gutter="0" w:footer="0" w:header="0"/>
        </w:sectPr>
      </w:pPr>
    </w:p>
    <w:bookmarkStart w:id="33" w:name="page34"/>
    <w:bookmarkEnd w:id="33"/>
    <w:p>
      <w:pPr>
        <w:ind w:right="1980"/>
        <w:spacing w:after="0" w:line="271" w:lineRule="auto"/>
        <w:rPr>
          <w:sz w:val="20"/>
          <w:szCs w:val="20"/>
          <w:color w:val="auto"/>
        </w:rPr>
      </w:pPr>
      <w:r>
        <w:rPr>
          <w:rFonts w:ascii="Arial" w:cs="Arial" w:eastAsia="Arial" w:hAnsi="Arial"/>
          <w:sz w:val="54"/>
          <w:szCs w:val="54"/>
          <w:color w:val="867F7C"/>
        </w:rPr>
        <w:t>compensation discussion and analysis</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Compensation Discussion and Analysis (“CD&amp;A”) provides a detailed description of our executive compensation philosophy and programs and the compensation decisions made by the Compensation Committee under those programs. This CD&amp;A focuses on the compensation of our named executive officers (“NEOs”) for fiscal 2025, who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Borders>
              <w:bottom w:val="single" w:sz="8" w:color="auto"/>
            </w:tcBorders>
            <w:shd w:val="clear" w:color="auto" w:fill="EFEBE9"/>
          </w:tcPr>
          <w:p>
            <w:pPr>
              <w:ind w:left="80"/>
              <w:spacing w:after="0"/>
              <w:rPr>
                <w:sz w:val="20"/>
                <w:szCs w:val="20"/>
                <w:color w:val="auto"/>
              </w:rPr>
            </w:pPr>
            <w:r>
              <w:rPr>
                <w:rFonts w:ascii="Arial" w:cs="Arial" w:eastAsia="Arial" w:hAnsi="Arial"/>
                <w:sz w:val="16"/>
                <w:szCs w:val="16"/>
                <w:b w:val="1"/>
                <w:bCs w:val="1"/>
                <w:color w:val="867F7C"/>
              </w:rPr>
              <w:t>Name</w:t>
            </w:r>
          </w:p>
        </w:tc>
        <w:tc>
          <w:tcPr>
            <w:tcW w:w="6660" w:type="dxa"/>
            <w:vAlign w:val="bottom"/>
            <w:tcBorders>
              <w:bottom w:val="single" w:sz="8" w:color="auto"/>
            </w:tcBorders>
            <w:shd w:val="clear" w:color="auto" w:fill="EFEBE9"/>
          </w:tcPr>
          <w:p>
            <w:pPr>
              <w:ind w:left="3380"/>
              <w:spacing w:after="0"/>
              <w:rPr>
                <w:sz w:val="20"/>
                <w:szCs w:val="20"/>
                <w:color w:val="auto"/>
              </w:rPr>
            </w:pPr>
            <w:r>
              <w:rPr>
                <w:rFonts w:ascii="Arial" w:cs="Arial" w:eastAsia="Arial" w:hAnsi="Arial"/>
                <w:sz w:val="16"/>
                <w:szCs w:val="16"/>
                <w:b w:val="1"/>
                <w:bCs w:val="1"/>
                <w:color w:val="867F7C"/>
              </w:rPr>
              <w:t>Title</w:t>
            </w:r>
          </w:p>
        </w:tc>
      </w:tr>
      <w:tr>
        <w:trPr>
          <w:trHeight w:val="250"/>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4CCEDE"/>
              </w:rPr>
              <w:t>Guillermo Novo</w:t>
            </w:r>
          </w:p>
        </w:tc>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Chair of the Board and Chief Executive Officer (“CEO”)</w:t>
            </w:r>
          </w:p>
        </w:tc>
      </w:tr>
      <w:tr>
        <w:trPr>
          <w:trHeight w:val="250"/>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4CCEDE"/>
              </w:rPr>
              <w:t>William Whitaker</w:t>
            </w:r>
          </w:p>
        </w:tc>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Senior Vice President and Chief Financial Officer (“CFO”)</w:t>
            </w:r>
          </w:p>
        </w:tc>
      </w:tr>
      <w:tr>
        <w:trPr>
          <w:trHeight w:val="250"/>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4CCEDE"/>
              </w:rPr>
              <w:t>Alessandra Faccin Assis</w:t>
            </w:r>
          </w:p>
        </w:tc>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Senior Vice President and GM Life Sciences and Intermediates</w:t>
            </w:r>
          </w:p>
        </w:tc>
      </w:tr>
      <w:tr>
        <w:trPr>
          <w:trHeight w:val="250"/>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4CCEDE"/>
              </w:rPr>
              <w:t>Dr. Osama M. Musa</w:t>
            </w:r>
          </w:p>
        </w:tc>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Senior Vice President and Chief Technology Officer</w:t>
            </w:r>
          </w:p>
        </w:tc>
      </w:tr>
      <w:tr>
        <w:trPr>
          <w:trHeight w:val="250"/>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4CCEDE"/>
              </w:rPr>
              <w:t>James Minicucci</w:t>
            </w:r>
          </w:p>
        </w:tc>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Senior Vice President and GM Personal Care</w:t>
            </w:r>
          </w:p>
        </w:tc>
      </w:tr>
      <w:tr>
        <w:trPr>
          <w:trHeight w:val="254"/>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4CCEDE"/>
              </w:rPr>
              <w:t>Karl Bostaph</w:t>
            </w:r>
            <w:r>
              <w:rPr>
                <w:rFonts w:ascii="Arial" w:cs="Arial" w:eastAsia="Arial" w:hAnsi="Arial"/>
                <w:sz w:val="21"/>
                <w:szCs w:val="21"/>
                <w:b w:val="1"/>
                <w:bCs w:val="1"/>
                <w:color w:val="4CCEDE"/>
                <w:vertAlign w:val="superscript"/>
              </w:rPr>
              <w:t>(1)</w:t>
            </w:r>
          </w:p>
        </w:tc>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Former Senior Vice President Operations</w:t>
            </w:r>
          </w:p>
        </w:tc>
      </w:tr>
      <w:tr>
        <w:trPr>
          <w:trHeight w:val="250"/>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4CCEDE"/>
              </w:rPr>
              <w:t>J. Kevin Willis</w:t>
            </w:r>
            <w:r>
              <w:rPr>
                <w:rFonts w:ascii="Arial" w:cs="Arial" w:eastAsia="Arial" w:hAnsi="Arial"/>
                <w:sz w:val="21"/>
                <w:szCs w:val="21"/>
                <w:b w:val="1"/>
                <w:bCs w:val="1"/>
                <w:color w:val="4CCEDE"/>
                <w:vertAlign w:val="superscript"/>
              </w:rPr>
              <w:t>(2)</w:t>
            </w:r>
          </w:p>
        </w:tc>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Former Senior Vice President and Chief Financial Officer</w:t>
            </w:r>
          </w:p>
        </w:tc>
      </w:tr>
    </w:tbl>
    <w:p>
      <w:pPr>
        <w:spacing w:after="0" w:line="151" w:lineRule="exact"/>
        <w:rPr>
          <w:sz w:val="20"/>
          <w:szCs w:val="20"/>
          <w:color w:val="auto"/>
        </w:rPr>
      </w:pPr>
    </w:p>
    <w:p>
      <w:pPr>
        <w:ind w:left="220" w:hanging="212"/>
        <w:spacing w:after="0"/>
        <w:tabs>
          <w:tab w:leader="none" w:pos="220" w:val="left"/>
        </w:tabs>
        <w:numPr>
          <w:ilvl w:val="0"/>
          <w:numId w:val="31"/>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Karl Bostaph retired from Ashland on October 1, 2025.</w:t>
      </w:r>
    </w:p>
    <w:p>
      <w:pPr>
        <w:ind w:left="220" w:hanging="212"/>
        <w:spacing w:after="0" w:line="193" w:lineRule="auto"/>
        <w:tabs>
          <w:tab w:leader="none" w:pos="220" w:val="left"/>
        </w:tabs>
        <w:numPr>
          <w:ilvl w:val="0"/>
          <w:numId w:val="31"/>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J. Kevin Willis resigned from Ashland on May 16, 2025.</w:t>
      </w:r>
    </w:p>
    <w:p>
      <w:pPr>
        <w:spacing w:after="0" w:line="276"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fiscal year 2025 performance highlights and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financial results for fiscal 2025 include:</w:t>
      </w:r>
    </w:p>
    <w:p>
      <w:pPr>
        <w:spacing w:after="0" w:line="104" w:lineRule="exact"/>
        <w:rPr>
          <w:sz w:val="20"/>
          <w:szCs w:val="20"/>
          <w:color w:val="auto"/>
        </w:rPr>
      </w:pPr>
    </w:p>
    <w:p>
      <w:pPr>
        <w:jc w:val="both"/>
        <w:ind w:left="240" w:hanging="232"/>
        <w:spacing w:after="0" w:line="252" w:lineRule="auto"/>
        <w:tabs>
          <w:tab w:leader="none" w:pos="240" w:val="left"/>
        </w:tabs>
        <w:numPr>
          <w:ilvl w:val="0"/>
          <w:numId w:val="32"/>
        </w:numPr>
        <w:rPr>
          <w:rFonts w:ascii="Times New Roman" w:cs="Times New Roman" w:eastAsia="Times New Roman" w:hAnsi="Times New Roman"/>
          <w:sz w:val="18"/>
          <w:szCs w:val="18"/>
          <w:color w:val="4CCEDE"/>
        </w:rPr>
      </w:pPr>
      <w:r>
        <w:rPr>
          <w:rFonts w:ascii="Arial" w:cs="Arial" w:eastAsia="Arial" w:hAnsi="Arial"/>
          <w:sz w:val="18"/>
          <w:szCs w:val="18"/>
          <w:color w:val="auto"/>
        </w:rPr>
        <w:t>Sales of $1,824 million in fiscal 2025 compared to $2,113 million in fiscal 2024. Portfolio Optimization initiatives including the curtailment or divestiture of lower margin products, reduced sales by approximately $208 million, or ten percent.</w:t>
      </w:r>
    </w:p>
    <w:p>
      <w:pPr>
        <w:spacing w:after="0" w:line="62" w:lineRule="exact"/>
        <w:rPr>
          <w:rFonts w:ascii="Times New Roman" w:cs="Times New Roman" w:eastAsia="Times New Roman" w:hAnsi="Times New Roman"/>
          <w:sz w:val="18"/>
          <w:szCs w:val="18"/>
          <w:color w:val="4CCEDE"/>
        </w:rPr>
      </w:pPr>
    </w:p>
    <w:p>
      <w:pPr>
        <w:jc w:val="both"/>
        <w:ind w:left="240" w:hanging="232"/>
        <w:spacing w:after="0" w:line="246" w:lineRule="auto"/>
        <w:tabs>
          <w:tab w:leader="none" w:pos="240" w:val="left"/>
        </w:tabs>
        <w:numPr>
          <w:ilvl w:val="0"/>
          <w:numId w:val="32"/>
        </w:numPr>
        <w:rPr>
          <w:rFonts w:ascii="Times New Roman" w:cs="Times New Roman" w:eastAsia="Times New Roman" w:hAnsi="Times New Roman"/>
          <w:sz w:val="18"/>
          <w:szCs w:val="18"/>
          <w:color w:val="4CCEDE"/>
        </w:rPr>
      </w:pPr>
      <w:r>
        <w:rPr>
          <w:rFonts w:ascii="Arial" w:cs="Arial" w:eastAsia="Arial" w:hAnsi="Arial"/>
          <w:sz w:val="18"/>
          <w:szCs w:val="18"/>
          <w:color w:val="auto"/>
        </w:rPr>
        <w:t>Operating loss of $775 million in fiscal 2025 compared to a loss of $26 million in fiscal 2024. Operating loss in fiscal 2025 included a $706 million goodwill impairment charge and a $175 million loss on the sale of the Avoca business line. Portfolio Optimization initiatives also had a significant impact on operating loss during fiscal 2025.</w:t>
      </w:r>
    </w:p>
    <w:p>
      <w:pPr>
        <w:spacing w:after="0" w:line="68" w:lineRule="exact"/>
        <w:rPr>
          <w:rFonts w:ascii="Times New Roman" w:cs="Times New Roman" w:eastAsia="Times New Roman" w:hAnsi="Times New Roman"/>
          <w:sz w:val="18"/>
          <w:szCs w:val="18"/>
          <w:color w:val="4CCEDE"/>
        </w:rPr>
      </w:pPr>
    </w:p>
    <w:p>
      <w:pPr>
        <w:jc w:val="both"/>
        <w:ind w:left="240" w:hanging="232"/>
        <w:spacing w:after="0" w:line="246" w:lineRule="auto"/>
        <w:tabs>
          <w:tab w:leader="none" w:pos="240" w:val="left"/>
        </w:tabs>
        <w:numPr>
          <w:ilvl w:val="0"/>
          <w:numId w:val="32"/>
        </w:numPr>
        <w:rPr>
          <w:rFonts w:ascii="Times New Roman" w:cs="Times New Roman" w:eastAsia="Times New Roman" w:hAnsi="Times New Roman"/>
          <w:sz w:val="18"/>
          <w:szCs w:val="18"/>
          <w:color w:val="4CCEDE"/>
        </w:rPr>
      </w:pPr>
      <w:r>
        <w:rPr>
          <w:rFonts w:ascii="Arial" w:cs="Arial" w:eastAsia="Arial" w:hAnsi="Arial"/>
          <w:sz w:val="18"/>
          <w:szCs w:val="18"/>
          <w:color w:val="auto"/>
        </w:rPr>
        <w:t>Loss from continuing operations of $822 million in fiscal 2025 compared to income of $199 million in fiscal 2024 and net loss of $845 million in fiscal 2025 compared to net income of $169 million in fiscal 2024. Both the loss from continuing operations and net loss in fiscal 2025 were also impacted by the goodwill impairment charge, the loss on sale from the Avoca business line and Portfolio Optimization initiatives.</w:t>
      </w:r>
    </w:p>
    <w:p>
      <w:pPr>
        <w:spacing w:after="0" w:line="68" w:lineRule="exact"/>
        <w:rPr>
          <w:rFonts w:ascii="Times New Roman" w:cs="Times New Roman" w:eastAsia="Times New Roman" w:hAnsi="Times New Roman"/>
          <w:sz w:val="18"/>
          <w:szCs w:val="18"/>
          <w:color w:val="4CCEDE"/>
        </w:rPr>
      </w:pPr>
    </w:p>
    <w:p>
      <w:pPr>
        <w:jc w:val="both"/>
        <w:ind w:left="240" w:hanging="232"/>
        <w:spacing w:after="0" w:line="253" w:lineRule="auto"/>
        <w:tabs>
          <w:tab w:leader="none" w:pos="240" w:val="left"/>
        </w:tabs>
        <w:numPr>
          <w:ilvl w:val="0"/>
          <w:numId w:val="32"/>
        </w:numPr>
        <w:rPr>
          <w:rFonts w:ascii="Times New Roman" w:cs="Times New Roman" w:eastAsia="Times New Roman" w:hAnsi="Times New Roman"/>
          <w:sz w:val="18"/>
          <w:szCs w:val="18"/>
          <w:color w:val="4CCEDE"/>
        </w:rPr>
      </w:pPr>
      <w:r>
        <w:rPr>
          <w:rFonts w:ascii="Arial" w:cs="Arial" w:eastAsia="Arial" w:hAnsi="Arial"/>
          <w:sz w:val="18"/>
          <w:szCs w:val="18"/>
          <w:color w:val="auto"/>
        </w:rPr>
        <w:t>Adjusted EBITDA of $401 million in fiscal 2025, down from $459 million in fiscal 2024, reflecting the impact of Portfolio Optimization, lower pricing, and reduced volumes. Portfolio Optimization reduced Adjusted EBITDA by $45 million, primarily due to the sale of the Nutraceuticals and Avoca business lines, as well as CMC and MC product line rationalizations.</w:t>
      </w:r>
      <w:r>
        <w:rPr>
          <w:rFonts w:ascii="Arial" w:cs="Arial" w:eastAsia="Arial" w:hAnsi="Arial"/>
          <w:sz w:val="24"/>
          <w:szCs w:val="24"/>
          <w:color w:val="auto"/>
          <w:vertAlign w:val="superscript"/>
        </w:rPr>
        <w:t>(1)</w:t>
      </w:r>
    </w:p>
    <w:p>
      <w:pPr>
        <w:spacing w:after="0" w:line="5"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Adjusted EBITDA is a non-GAAP financial measure that is reconciled to net income in Appendix A.</w:t>
      </w:r>
    </w:p>
    <w:p>
      <w:pPr>
        <w:spacing w:after="0" w:line="27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Throughout fiscal 2025, Ashland advanced its strategic priorities and delivered on key transformation initiatives. Ashland’s disciplined execution and strategic actions enabled Ashland to deliver resilient performance and strong margins despite a subdued demand environment and ongoing competitive pressures. Ashland completed its Portfolio Optimization with the sale of the Avoca business and implemented $30 million in restructuring cost savings. Significant progress was made on manufacturing</w:t>
      </w:r>
    </w:p>
    <w:p>
      <w:pPr>
        <w:spacing w:after="0" w:line="180"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867F7C"/>
        </w:rPr>
        <w:t>compensation discussion and analysis</w:t>
      </w:r>
    </w:p>
    <w:p>
      <w:pPr>
        <w:spacing w:after="0" w:line="3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network optimization, with the $60 million program well advanced and further productivity opportunities under evaluation. Ashland continued to invest in globalization, accelerating growth across several high-quality businesses. Innovation driven growth enriched the technology portfolio and capabilities, including an asset repurpose strategy to efficiently scale innovation. Disciplined capital allocation remained a core focus, as Ashland executed to maintain a strong and flexible balance sheet, optimize the portfolio and deliver value to stockholders. Collectively, these initiatives strengthen Ashland’s foundation and position the company to deliver durable growth and long-term stockholder value.</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Ashland achieved moderate success towards performance outcomes for the fiscal year 2025 annual incentive plan but did not meet the desired results for long-term performance grants with performance periods ending in fiscal 2025, with significantly reduced incentives earned under that program. These outcomes reflect our Compensation Committee’s commitment to designing an executive compensation program that aligns NEO compensation outcomes with Company performance and results for our stockholders.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(In millions) $</w:t>
            </w:r>
          </w:p>
        </w:tc>
        <w:tc>
          <w:tcPr>
            <w:tcW w:w="1680" w:type="dxa"/>
            <w:vAlign w:val="bottom"/>
            <w:tcBorders>
              <w:bottom w:val="single" w:sz="8" w:color="EFEBE9"/>
            </w:tcBorders>
            <w:shd w:val="clear" w:color="auto" w:fill="EFEBE9"/>
          </w:tcPr>
          <w:p>
            <w:pPr>
              <w:jc w:val="right"/>
              <w:ind w:right="508"/>
              <w:spacing w:after="0"/>
              <w:rPr>
                <w:sz w:val="20"/>
                <w:szCs w:val="20"/>
                <w:color w:val="auto"/>
              </w:rPr>
            </w:pPr>
            <w:r>
              <w:rPr>
                <w:rFonts w:ascii="Arial" w:cs="Arial" w:eastAsia="Arial" w:hAnsi="Arial"/>
                <w:sz w:val="14"/>
                <w:szCs w:val="14"/>
                <w:b w:val="1"/>
                <w:bCs w:val="1"/>
                <w:color w:val="867F7C"/>
              </w:rPr>
              <w:t>2025</w:t>
            </w:r>
          </w:p>
        </w:tc>
      </w:tr>
      <w:tr>
        <w:trPr>
          <w:trHeight w:val="153"/>
        </w:trPr>
        <w:tc>
          <w:tcPr>
            <w:tcW w:w="7400" w:type="dxa"/>
            <w:vAlign w:val="bottom"/>
          </w:tcPr>
          <w:p>
            <w:pPr>
              <w:ind w:left="100"/>
              <w:spacing w:after="0" w:line="153" w:lineRule="exact"/>
              <w:rPr>
                <w:sz w:val="20"/>
                <w:szCs w:val="20"/>
                <w:color w:val="auto"/>
              </w:rPr>
            </w:pPr>
            <w:r>
              <w:rPr>
                <w:rFonts w:ascii="Arial" w:cs="Arial" w:eastAsia="Arial" w:hAnsi="Arial"/>
                <w:sz w:val="14"/>
                <w:szCs w:val="14"/>
                <w:b w:val="1"/>
                <w:bCs w:val="1"/>
                <w:color w:val="4CCEDE"/>
              </w:rPr>
              <w:t>Sales</w:t>
            </w:r>
          </w:p>
        </w:tc>
        <w:tc>
          <w:tcPr>
            <w:tcW w:w="1680" w:type="dxa"/>
            <w:vAlign w:val="bottom"/>
          </w:tcPr>
          <w:p>
            <w:pPr>
              <w:spacing w:after="0"/>
              <w:rPr>
                <w:sz w:val="13"/>
                <w:szCs w:val="13"/>
                <w:color w:val="auto"/>
              </w:rPr>
            </w:pP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Life Science</w:t>
            </w:r>
          </w:p>
        </w:tc>
        <w:tc>
          <w:tcPr>
            <w:tcW w:w="1680" w:type="dxa"/>
            <w:vAlign w:val="bottom"/>
          </w:tcPr>
          <w:p>
            <w:pPr>
              <w:jc w:val="right"/>
              <w:spacing w:after="0"/>
              <w:rPr>
                <w:sz w:val="20"/>
                <w:szCs w:val="20"/>
                <w:color w:val="auto"/>
              </w:rPr>
            </w:pPr>
            <w:r>
              <w:rPr>
                <w:rFonts w:ascii="Arial" w:cs="Arial" w:eastAsia="Arial" w:hAnsi="Arial"/>
                <w:sz w:val="14"/>
                <w:szCs w:val="14"/>
                <w:color w:val="auto"/>
              </w:rPr>
              <w:t>$641</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Personal Care</w:t>
            </w:r>
          </w:p>
        </w:tc>
        <w:tc>
          <w:tcPr>
            <w:tcW w:w="1680" w:type="dxa"/>
            <w:vAlign w:val="bottom"/>
          </w:tcPr>
          <w:p>
            <w:pPr>
              <w:jc w:val="right"/>
              <w:spacing w:after="0"/>
              <w:rPr>
                <w:sz w:val="20"/>
                <w:szCs w:val="20"/>
                <w:color w:val="auto"/>
              </w:rPr>
            </w:pPr>
            <w:r>
              <w:rPr>
                <w:rFonts w:ascii="Arial" w:cs="Arial" w:eastAsia="Arial" w:hAnsi="Arial"/>
                <w:sz w:val="14"/>
                <w:szCs w:val="14"/>
                <w:color w:val="auto"/>
              </w:rPr>
              <w:t>577</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Specialty Additives</w:t>
            </w:r>
          </w:p>
        </w:tc>
        <w:tc>
          <w:tcPr>
            <w:tcW w:w="168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Intermediates</w:t>
            </w:r>
          </w:p>
        </w:tc>
        <w:tc>
          <w:tcPr>
            <w:tcW w:w="168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Intersegment sales</w:t>
            </w:r>
          </w:p>
        </w:tc>
        <w:tc>
          <w:tcPr>
            <w:tcW w:w="16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71"/>
        </w:trPr>
        <w:tc>
          <w:tcPr>
            <w:tcW w:w="7400" w:type="dxa"/>
            <w:vAlign w:val="bottom"/>
            <w:tcBorders>
              <w:bottom w:val="single" w:sz="8" w:color="867F7C"/>
            </w:tcBorders>
          </w:tcPr>
          <w:p>
            <w:pPr>
              <w:spacing w:after="0"/>
              <w:rPr>
                <w:sz w:val="14"/>
                <w:szCs w:val="14"/>
                <w:color w:val="auto"/>
              </w:rPr>
            </w:pPr>
          </w:p>
        </w:tc>
        <w:tc>
          <w:tcPr>
            <w:tcW w:w="16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$1,824</w:t>
            </w:r>
          </w:p>
        </w:tc>
      </w:tr>
      <w:tr>
        <w:trPr>
          <w:trHeight w:val="146"/>
        </w:trPr>
        <w:tc>
          <w:tcPr>
            <w:tcW w:w="7400" w:type="dxa"/>
            <w:vAlign w:val="bottom"/>
          </w:tcPr>
          <w:p>
            <w:pPr>
              <w:ind w:left="100"/>
              <w:spacing w:after="0" w:line="147" w:lineRule="exact"/>
              <w:rPr>
                <w:sz w:val="20"/>
                <w:szCs w:val="20"/>
                <w:color w:val="auto"/>
              </w:rPr>
            </w:pPr>
            <w:r>
              <w:rPr>
                <w:rFonts w:ascii="Arial" w:cs="Arial" w:eastAsia="Arial" w:hAnsi="Arial"/>
                <w:sz w:val="14"/>
                <w:szCs w:val="14"/>
                <w:b w:val="1"/>
                <w:bCs w:val="1"/>
                <w:color w:val="4CCEDE"/>
              </w:rPr>
              <w:t>Operating Income (Loss)</w:t>
            </w:r>
          </w:p>
        </w:tc>
        <w:tc>
          <w:tcPr>
            <w:tcW w:w="1680" w:type="dxa"/>
            <w:vAlign w:val="bottom"/>
          </w:tcPr>
          <w:p>
            <w:pPr>
              <w:spacing w:after="0"/>
              <w:rPr>
                <w:sz w:val="12"/>
                <w:szCs w:val="12"/>
                <w:color w:val="auto"/>
              </w:rPr>
            </w:pP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Life Sciences</w:t>
            </w:r>
          </w:p>
        </w:tc>
        <w:tc>
          <w:tcPr>
            <w:tcW w:w="168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Personal Care</w:t>
            </w:r>
          </w:p>
        </w:tc>
        <w:tc>
          <w:tcPr>
            <w:tcW w:w="16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Specialty Additives</w:t>
            </w:r>
          </w:p>
        </w:tc>
        <w:tc>
          <w:tcPr>
            <w:tcW w:w="168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Intermediates</w:t>
            </w:r>
          </w:p>
        </w:tc>
        <w:tc>
          <w:tcPr>
            <w:tcW w:w="16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Unallocated and other</w:t>
            </w:r>
          </w:p>
        </w:tc>
        <w:tc>
          <w:tcPr>
            <w:tcW w:w="168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171"/>
        </w:trPr>
        <w:tc>
          <w:tcPr>
            <w:tcW w:w="7400" w:type="dxa"/>
            <w:vAlign w:val="bottom"/>
            <w:tcBorders>
              <w:bottom w:val="single" w:sz="8" w:color="867F7C"/>
            </w:tcBorders>
          </w:tcPr>
          <w:p>
            <w:pPr>
              <w:spacing w:after="0"/>
              <w:rPr>
                <w:sz w:val="14"/>
                <w:szCs w:val="14"/>
                <w:color w:val="auto"/>
              </w:rPr>
            </w:pPr>
          </w:p>
        </w:tc>
        <w:tc>
          <w:tcPr>
            <w:tcW w:w="16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$(775)</w:t>
            </w:r>
          </w:p>
        </w:tc>
      </w:tr>
      <w:tr>
        <w:trPr>
          <w:trHeight w:val="146"/>
        </w:trPr>
        <w:tc>
          <w:tcPr>
            <w:tcW w:w="7400" w:type="dxa"/>
            <w:vAlign w:val="bottom"/>
          </w:tcPr>
          <w:p>
            <w:pPr>
              <w:ind w:left="100"/>
              <w:spacing w:after="0" w:line="146" w:lineRule="exact"/>
              <w:rPr>
                <w:sz w:val="20"/>
                <w:szCs w:val="20"/>
                <w:color w:val="auto"/>
              </w:rPr>
            </w:pPr>
            <w:r>
              <w:rPr>
                <w:rFonts w:ascii="Arial" w:cs="Arial" w:eastAsia="Arial" w:hAnsi="Arial"/>
                <w:sz w:val="12"/>
                <w:szCs w:val="12"/>
                <w:b w:val="1"/>
                <w:bCs w:val="1"/>
                <w:color w:val="4CCEDE"/>
              </w:rPr>
              <w:t>EBITDA</w:t>
            </w:r>
            <w:r>
              <w:rPr>
                <w:rFonts w:ascii="Arial" w:cs="Arial" w:eastAsia="Arial" w:hAnsi="Arial"/>
                <w:sz w:val="16"/>
                <w:szCs w:val="16"/>
                <w:b w:val="1"/>
                <w:bCs w:val="1"/>
                <w:color w:val="4CCEDE"/>
                <w:vertAlign w:val="superscript"/>
              </w:rPr>
              <w:t>(1)</w:t>
            </w:r>
          </w:p>
        </w:tc>
        <w:tc>
          <w:tcPr>
            <w:tcW w:w="1680" w:type="dxa"/>
            <w:vAlign w:val="bottom"/>
          </w:tcPr>
          <w:p>
            <w:pPr>
              <w:spacing w:after="0"/>
              <w:rPr>
                <w:sz w:val="12"/>
                <w:szCs w:val="12"/>
                <w:color w:val="auto"/>
              </w:rPr>
            </w:pP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Life Sciences</w:t>
            </w:r>
          </w:p>
        </w:tc>
        <w:tc>
          <w:tcPr>
            <w:tcW w:w="168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Personal Care</w:t>
            </w:r>
          </w:p>
        </w:tc>
        <w:tc>
          <w:tcPr>
            <w:tcW w:w="168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Specialty Additives</w:t>
            </w:r>
          </w:p>
        </w:tc>
        <w:tc>
          <w:tcPr>
            <w:tcW w:w="168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144"/>
        </w:trPr>
        <w:tc>
          <w:tcPr>
            <w:tcW w:w="7400" w:type="dxa"/>
            <w:vAlign w:val="bottom"/>
          </w:tcPr>
          <w:p>
            <w:pPr>
              <w:ind w:left="280"/>
              <w:spacing w:after="0" w:line="145" w:lineRule="exact"/>
              <w:rPr>
                <w:sz w:val="20"/>
                <w:szCs w:val="20"/>
                <w:color w:val="auto"/>
              </w:rPr>
            </w:pPr>
            <w:r>
              <w:rPr>
                <w:rFonts w:ascii="Arial" w:cs="Arial" w:eastAsia="Arial" w:hAnsi="Arial"/>
                <w:sz w:val="14"/>
                <w:szCs w:val="14"/>
                <w:color w:val="auto"/>
              </w:rPr>
              <w:t>Intermediates</w:t>
            </w:r>
          </w:p>
        </w:tc>
        <w:tc>
          <w:tcPr>
            <w:tcW w:w="1680" w:type="dxa"/>
            <w:vAlign w:val="bottom"/>
          </w:tcPr>
          <w:p>
            <w:pPr>
              <w:jc w:val="right"/>
              <w:spacing w:after="0" w:line="145" w:lineRule="exact"/>
              <w:rPr>
                <w:sz w:val="20"/>
                <w:szCs w:val="20"/>
                <w:color w:val="auto"/>
              </w:rPr>
            </w:pPr>
            <w:r>
              <w:rPr>
                <w:rFonts w:ascii="Arial" w:cs="Arial" w:eastAsia="Arial" w:hAnsi="Arial"/>
                <w:sz w:val="14"/>
                <w:szCs w:val="14"/>
                <w:color w:val="auto"/>
              </w:rPr>
              <w:t>21</w:t>
            </w:r>
          </w:p>
        </w:tc>
      </w:tr>
      <w:tr>
        <w:trPr>
          <w:trHeight w:val="180"/>
        </w:trPr>
        <w:tc>
          <w:tcPr>
            <w:tcW w:w="7400" w:type="dxa"/>
            <w:vAlign w:val="bottom"/>
          </w:tcPr>
          <w:p>
            <w:pPr>
              <w:ind w:left="280"/>
              <w:spacing w:after="0" w:line="180" w:lineRule="exact"/>
              <w:rPr>
                <w:sz w:val="20"/>
                <w:szCs w:val="20"/>
                <w:color w:val="auto"/>
              </w:rPr>
            </w:pPr>
            <w:r>
              <w:rPr>
                <w:rFonts w:ascii="Arial" w:cs="Arial" w:eastAsia="Arial" w:hAnsi="Arial"/>
                <w:sz w:val="14"/>
                <w:szCs w:val="14"/>
                <w:color w:val="auto"/>
              </w:rPr>
              <w:t>Unallocated and other</w:t>
            </w:r>
            <w:r>
              <w:rPr>
                <w:rFonts w:ascii="Arial" w:cs="Arial" w:eastAsia="Arial" w:hAnsi="Arial"/>
                <w:sz w:val="19"/>
                <w:szCs w:val="19"/>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171"/>
        </w:trPr>
        <w:tc>
          <w:tcPr>
            <w:tcW w:w="7400" w:type="dxa"/>
            <w:vAlign w:val="bottom"/>
            <w:tcBorders>
              <w:bottom w:val="single" w:sz="8" w:color="867F7C"/>
            </w:tcBorders>
          </w:tcPr>
          <w:p>
            <w:pPr>
              <w:spacing w:after="0"/>
              <w:rPr>
                <w:sz w:val="14"/>
                <w:szCs w:val="14"/>
                <w:color w:val="auto"/>
              </w:rPr>
            </w:pPr>
          </w:p>
        </w:tc>
        <w:tc>
          <w:tcPr>
            <w:tcW w:w="16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$(538)</w:t>
            </w:r>
          </w:p>
        </w:tc>
      </w:tr>
      <w:tr>
        <w:trPr>
          <w:trHeight w:val="146"/>
        </w:trPr>
        <w:tc>
          <w:tcPr>
            <w:tcW w:w="7400" w:type="dxa"/>
            <w:vAlign w:val="bottom"/>
          </w:tcPr>
          <w:p>
            <w:pPr>
              <w:ind w:left="100"/>
              <w:spacing w:after="0" w:line="146" w:lineRule="exact"/>
              <w:rPr>
                <w:sz w:val="20"/>
                <w:szCs w:val="20"/>
                <w:color w:val="auto"/>
              </w:rPr>
            </w:pPr>
            <w:r>
              <w:rPr>
                <w:rFonts w:ascii="Arial" w:cs="Arial" w:eastAsia="Arial" w:hAnsi="Arial"/>
                <w:sz w:val="12"/>
                <w:szCs w:val="12"/>
                <w:b w:val="1"/>
                <w:bCs w:val="1"/>
                <w:color w:val="4CCEDE"/>
              </w:rPr>
              <w:t>Adjusted EBITDA</w:t>
            </w:r>
            <w:r>
              <w:rPr>
                <w:rFonts w:ascii="Arial" w:cs="Arial" w:eastAsia="Arial" w:hAnsi="Arial"/>
                <w:sz w:val="16"/>
                <w:szCs w:val="16"/>
                <w:b w:val="1"/>
                <w:bCs w:val="1"/>
                <w:color w:val="4CCEDE"/>
                <w:vertAlign w:val="superscript"/>
              </w:rPr>
              <w:t>(1)</w:t>
            </w:r>
          </w:p>
        </w:tc>
        <w:tc>
          <w:tcPr>
            <w:tcW w:w="1680" w:type="dxa"/>
            <w:vAlign w:val="bottom"/>
          </w:tcPr>
          <w:p>
            <w:pPr>
              <w:spacing w:after="0"/>
              <w:rPr>
                <w:sz w:val="12"/>
                <w:szCs w:val="12"/>
                <w:color w:val="auto"/>
              </w:rPr>
            </w:pP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Life Sciences</w:t>
            </w:r>
          </w:p>
        </w:tc>
        <w:tc>
          <w:tcPr>
            <w:tcW w:w="168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Personal Care</w:t>
            </w:r>
          </w:p>
        </w:tc>
        <w:tc>
          <w:tcPr>
            <w:tcW w:w="168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Specialty Additives</w:t>
            </w:r>
          </w:p>
        </w:tc>
        <w:tc>
          <w:tcPr>
            <w:tcW w:w="16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Intermediates</w:t>
            </w:r>
          </w:p>
        </w:tc>
        <w:tc>
          <w:tcPr>
            <w:tcW w:w="16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2"/>
        </w:trPr>
        <w:tc>
          <w:tcPr>
            <w:tcW w:w="7400" w:type="dxa"/>
            <w:vAlign w:val="bottom"/>
          </w:tcPr>
          <w:p>
            <w:pPr>
              <w:ind w:left="280"/>
              <w:spacing w:after="0"/>
              <w:rPr>
                <w:sz w:val="20"/>
                <w:szCs w:val="20"/>
                <w:color w:val="auto"/>
              </w:rPr>
            </w:pPr>
            <w:r>
              <w:rPr>
                <w:rFonts w:ascii="Arial" w:cs="Arial" w:eastAsia="Arial" w:hAnsi="Arial"/>
                <w:sz w:val="14"/>
                <w:szCs w:val="14"/>
                <w:color w:val="auto"/>
              </w:rPr>
              <w:t>Unallocated and other</w:t>
            </w:r>
          </w:p>
        </w:tc>
        <w:tc>
          <w:tcPr>
            <w:tcW w:w="16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71"/>
        </w:trPr>
        <w:tc>
          <w:tcPr>
            <w:tcW w:w="7400" w:type="dxa"/>
            <w:vAlign w:val="bottom"/>
            <w:tcBorders>
              <w:bottom w:val="single" w:sz="8" w:color="867F7C"/>
            </w:tcBorders>
          </w:tcPr>
          <w:p>
            <w:pPr>
              <w:spacing w:after="0"/>
              <w:rPr>
                <w:sz w:val="14"/>
                <w:szCs w:val="14"/>
                <w:color w:val="auto"/>
              </w:rPr>
            </w:pPr>
          </w:p>
        </w:tc>
        <w:tc>
          <w:tcPr>
            <w:tcW w:w="16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$401</w:t>
            </w:r>
          </w:p>
        </w:tc>
      </w:tr>
    </w:tbl>
    <w:p>
      <w:pPr>
        <w:spacing w:after="0" w:line="112" w:lineRule="exact"/>
        <w:rPr>
          <w:sz w:val="20"/>
          <w:szCs w:val="20"/>
          <w:color w:val="auto"/>
        </w:rPr>
      </w:pPr>
    </w:p>
    <w:p>
      <w:pPr>
        <w:ind w:left="220" w:right="20" w:hanging="212"/>
        <w:spacing w:after="0" w:line="222" w:lineRule="auto"/>
        <w:tabs>
          <w:tab w:leader="none" w:pos="167"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EBITDA and Adjusted EBITDA are non-GAAP financial measures and are reconciled to net income for Ashland and operating income for each business unit in Appendix A.</w:t>
      </w:r>
    </w:p>
    <w:p>
      <w:pPr>
        <w:spacing w:after="0" w:line="7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Excludes income (loss) from discontinuing operations and other net periodic benefit loss (income).</w:t>
      </w:r>
    </w:p>
    <w:p>
      <w:pPr>
        <w:spacing w:after="0" w:line="155"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867F7C"/>
        </w:rPr>
        <w:t>compensation discussion and analysis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compensation philosophy</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executive compensation program is designed to create a pay-for-performance culture by aligning compensation to the achievement of our financial and strategic objectives and our stockholders’ interests. We strive to provide our NEOs with a compensation package that is aligned with our Compensation Peer Group (as defined below), with the expectation, based on a comparison to executives in the Compensation Peer Group and a review of other competitive market information, that above-target performance will result in above-median pay and below-target performance will result in below-median pay. The Compensation Committee annually reviews the base salaries and the annual and long-term target incentive opportunities of our NEOs to determine whether these programs competitively reward our NEOs for their services.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primary objectives of our executive compensation program and the guiding principles for setting and awarding executive compensation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57607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ind w:left="120"/>
              <w:spacing w:after="0"/>
              <w:rPr>
                <w:sz w:val="20"/>
                <w:szCs w:val="20"/>
                <w:color w:val="auto"/>
              </w:rPr>
            </w:pPr>
            <w:r>
              <w:rPr>
                <w:rFonts w:ascii="Arial" w:cs="Arial" w:eastAsia="Arial" w:hAnsi="Arial"/>
                <w:sz w:val="18"/>
                <w:szCs w:val="18"/>
                <w:b w:val="1"/>
                <w:bCs w:val="1"/>
                <w:color w:val="4CCEDE"/>
              </w:rPr>
              <w:t>Align the interests of</w:t>
            </w:r>
          </w:p>
        </w:tc>
        <w:tc>
          <w:tcPr>
            <w:tcW w:w="6260" w:type="dxa"/>
            <w:vAlign w:val="bottom"/>
          </w:tcPr>
          <w:p>
            <w:pPr>
              <w:ind w:left="100"/>
              <w:spacing w:after="0"/>
              <w:rPr>
                <w:sz w:val="20"/>
                <w:szCs w:val="20"/>
                <w:color w:val="auto"/>
              </w:rPr>
            </w:pPr>
            <w:r>
              <w:rPr>
                <w:rFonts w:ascii="Arial" w:cs="Arial" w:eastAsia="Arial" w:hAnsi="Arial"/>
                <w:sz w:val="18"/>
                <w:szCs w:val="18"/>
                <w:color w:val="auto"/>
              </w:rPr>
              <w:t>To closely align the interests of management with the interests of our</w:t>
            </w: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b w:val="1"/>
                <w:bCs w:val="1"/>
                <w:color w:val="4CCEDE"/>
              </w:rPr>
              <w:t>management with our</w:t>
            </w: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stockholders, a significant portion of each executive’s compensation is</w:t>
            </w: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b w:val="1"/>
                <w:bCs w:val="1"/>
                <w:color w:val="4CCEDE"/>
              </w:rPr>
              <w:t>stockholders</w:t>
            </w: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equity-based and is linked to building long-term stockholder value through</w:t>
            </w:r>
          </w:p>
        </w:tc>
      </w:tr>
      <w:tr>
        <w:trPr>
          <w:trHeight w:val="239"/>
        </w:trPr>
        <w:tc>
          <w:tcPr>
            <w:tcW w:w="282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the achievement of Ashland's financial and strategic objectives.</w:t>
            </w:r>
          </w:p>
        </w:tc>
      </w:tr>
      <w:tr>
        <w:trPr>
          <w:trHeight w:val="37"/>
        </w:trPr>
        <w:tc>
          <w:tcPr>
            <w:tcW w:w="2820" w:type="dxa"/>
            <w:vAlign w:val="bottom"/>
            <w:tcBorders>
              <w:bottom w:val="single" w:sz="8" w:color="867F7C"/>
            </w:tcBorders>
          </w:tcPr>
          <w:p>
            <w:pPr>
              <w:spacing w:after="0"/>
              <w:rPr>
                <w:sz w:val="3"/>
                <w:szCs w:val="3"/>
                <w:color w:val="auto"/>
              </w:rPr>
            </w:pPr>
          </w:p>
        </w:tc>
        <w:tc>
          <w:tcPr>
            <w:tcW w:w="6260" w:type="dxa"/>
            <w:vAlign w:val="bottom"/>
            <w:tcBorders>
              <w:bottom w:val="single" w:sz="8" w:color="867F7C"/>
            </w:tcBorders>
          </w:tcPr>
          <w:p>
            <w:pPr>
              <w:spacing w:after="0"/>
              <w:rPr>
                <w:sz w:val="3"/>
                <w:szCs w:val="3"/>
                <w:color w:val="auto"/>
              </w:rPr>
            </w:pPr>
          </w:p>
        </w:tc>
      </w:tr>
      <w:tr>
        <w:trPr>
          <w:trHeight w:val="231"/>
        </w:trPr>
        <w:tc>
          <w:tcPr>
            <w:tcW w:w="2820" w:type="dxa"/>
            <w:vAlign w:val="bottom"/>
          </w:tcPr>
          <w:p>
            <w:pPr>
              <w:ind w:left="120"/>
              <w:spacing w:after="0"/>
              <w:rPr>
                <w:sz w:val="20"/>
                <w:szCs w:val="20"/>
                <w:color w:val="auto"/>
              </w:rPr>
            </w:pPr>
            <w:r>
              <w:rPr>
                <w:rFonts w:ascii="Arial" w:cs="Arial" w:eastAsia="Arial" w:hAnsi="Arial"/>
                <w:sz w:val="18"/>
                <w:szCs w:val="18"/>
                <w:b w:val="1"/>
                <w:bCs w:val="1"/>
                <w:color w:val="4CCEDE"/>
              </w:rPr>
              <w:t>Provide incentive</w:t>
            </w:r>
          </w:p>
        </w:tc>
        <w:tc>
          <w:tcPr>
            <w:tcW w:w="6260" w:type="dxa"/>
            <w:vAlign w:val="bottom"/>
          </w:tcPr>
          <w:p>
            <w:pPr>
              <w:ind w:left="100"/>
              <w:spacing w:after="0"/>
              <w:rPr>
                <w:sz w:val="20"/>
                <w:szCs w:val="20"/>
                <w:color w:val="auto"/>
              </w:rPr>
            </w:pPr>
            <w:r>
              <w:rPr>
                <w:rFonts w:ascii="Arial" w:cs="Arial" w:eastAsia="Arial" w:hAnsi="Arial"/>
                <w:sz w:val="18"/>
                <w:szCs w:val="18"/>
                <w:color w:val="auto"/>
              </w:rPr>
              <w:t>Incentive  compensation  should  help  drive  business  strategy.  The</w:t>
            </w: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b w:val="1"/>
                <w:bCs w:val="1"/>
                <w:color w:val="4CCEDE"/>
              </w:rPr>
              <w:t>compensation that promotes</w:t>
            </w: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compensation program should encourage both the desired results and the</w:t>
            </w: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b w:val="1"/>
                <w:bCs w:val="1"/>
                <w:color w:val="4CCEDE"/>
              </w:rPr>
              <w:t>desired behavior without</w:t>
            </w: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right behaviors. It should help drive business strategy and strike a balance</w:t>
            </w: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b w:val="1"/>
                <w:bCs w:val="1"/>
                <w:color w:val="4CCEDE"/>
              </w:rPr>
              <w:t>encouraging unnecessary and</w:t>
            </w: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between short-term and long-term performance, while incorporating risk-</w:t>
            </w: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b w:val="1"/>
                <w:bCs w:val="1"/>
                <w:color w:val="4CCEDE"/>
              </w:rPr>
              <w:t>excessive risk</w:t>
            </w: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mitigating design features so that unnecessary or excessive risk is not</w:t>
            </w:r>
          </w:p>
        </w:tc>
      </w:tr>
      <w:tr>
        <w:trPr>
          <w:trHeight w:val="239"/>
        </w:trPr>
        <w:tc>
          <w:tcPr>
            <w:tcW w:w="282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encouraged.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7607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85"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b w:val="1"/>
          <w:bCs w:val="1"/>
          <w:color w:val="4CCEDE"/>
        </w:rPr>
        <w:t>Attract, retain and motivate executive talent by providing competitive levels of salary and target total pay</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Compensation should be competitive with those organizations with which we compete for top talent and attract and retain executive officers with the skills, experience and motivation to achieve stated Company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144780</wp:posOffset>
            </wp:positionV>
            <wp:extent cx="57607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600" w:space="320"/>
            <w:col w:w="6160"/>
          </w:cols>
          <w:pgMar w:left="1400" w:top="769" w:right="1419" w:bottom="1440" w:gutter="0" w:footer="0" w:header="0"/>
          <w:type w:val="continuous"/>
        </w:sectPr>
      </w:pPr>
    </w:p>
    <w:p>
      <w:pPr>
        <w:ind w:left="120"/>
        <w:spacing w:after="0" w:line="250" w:lineRule="auto"/>
        <w:rPr>
          <w:sz w:val="20"/>
          <w:szCs w:val="20"/>
          <w:color w:val="auto"/>
        </w:rPr>
      </w:pPr>
      <w:r>
        <w:rPr>
          <w:rFonts w:ascii="Arial" w:cs="Arial" w:eastAsia="Arial" w:hAnsi="Arial"/>
          <w:sz w:val="18"/>
          <w:szCs w:val="18"/>
          <w:b w:val="1"/>
          <w:bCs w:val="1"/>
          <w:color w:val="4CCEDE"/>
        </w:rPr>
        <w:t>Integrate with our performance management process of goal-setting and formal evaluation</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Arial" w:cs="Arial" w:eastAsia="Arial" w:hAnsi="Arial"/>
          <w:sz w:val="18"/>
          <w:szCs w:val="18"/>
          <w:color w:val="auto"/>
        </w:rPr>
        <w:t>Target-level goals should be aligned with the annual operating plan and be considered stretch yet achievable, based on an annual assessment of business conditions for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144780</wp:posOffset>
            </wp:positionV>
            <wp:extent cx="57607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2460" w:space="460"/>
            <w:col w:w="6160"/>
          </w:cols>
          <w:pgMar w:left="1400" w:top="769" w:right="141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30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color w:val="867F7C"/>
        </w:rPr>
        <w:t>compensation discussion and analysis</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4CCEDE"/>
        </w:rPr>
        <w:t>compensation governance practices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Compensation Committee intends to compensate our NEOs consistent with the objectives and design principles previously outlined. We have adopted the following compensation practices, which are intended to promote strong corporate governance and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7607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Independence of Committee</w:t>
            </w:r>
          </w:p>
        </w:tc>
        <w:tc>
          <w:tcPr>
            <w:tcW w:w="6400" w:type="dxa"/>
            <w:vAlign w:val="bottom"/>
          </w:tcPr>
          <w:p>
            <w:pPr>
              <w:ind w:left="240"/>
              <w:spacing w:after="0"/>
              <w:rPr>
                <w:sz w:val="20"/>
                <w:szCs w:val="20"/>
                <w:color w:val="auto"/>
              </w:rPr>
            </w:pPr>
            <w:r>
              <w:rPr>
                <w:rFonts w:ascii="Arial" w:cs="Arial" w:eastAsia="Arial" w:hAnsi="Arial"/>
                <w:sz w:val="17"/>
                <w:szCs w:val="17"/>
                <w:color w:val="auto"/>
              </w:rPr>
              <w:t>The Compensation Committee members satisfy both the NYSE’s general</w:t>
            </w:r>
          </w:p>
        </w:tc>
      </w:tr>
      <w:tr>
        <w:trPr>
          <w:trHeight w:val="189"/>
        </w:trPr>
        <w:tc>
          <w:tcPr>
            <w:tcW w:w="2680" w:type="dxa"/>
            <w:vAlign w:val="bottom"/>
          </w:tcPr>
          <w:p>
            <w:pPr>
              <w:ind w:left="120"/>
              <w:spacing w:after="0" w:line="189" w:lineRule="exact"/>
              <w:rPr>
                <w:sz w:val="20"/>
                <w:szCs w:val="20"/>
                <w:color w:val="auto"/>
              </w:rPr>
            </w:pPr>
            <w:r>
              <w:rPr>
                <w:rFonts w:ascii="Arial" w:cs="Arial" w:eastAsia="Arial" w:hAnsi="Arial"/>
                <w:sz w:val="17"/>
                <w:szCs w:val="17"/>
                <w:b w:val="1"/>
                <w:bCs w:val="1"/>
                <w:color w:val="4CCEDE"/>
              </w:rPr>
              <w:t>Members</w:t>
            </w: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independence standards for directors as well as its heightened standards for</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service on a Compensation Committee, and are “non-employee directors” under</w:t>
            </w:r>
          </w:p>
        </w:tc>
      </w:tr>
      <w:tr>
        <w:trPr>
          <w:trHeight w:val="225"/>
        </w:trPr>
        <w:tc>
          <w:tcPr>
            <w:tcW w:w="2680" w:type="dxa"/>
            <w:vAlign w:val="bottom"/>
          </w:tcPr>
          <w:p>
            <w:pPr>
              <w:spacing w:after="0"/>
              <w:rPr>
                <w:sz w:val="19"/>
                <w:szCs w:val="19"/>
                <w:color w:val="auto"/>
              </w:rPr>
            </w:pPr>
          </w:p>
        </w:tc>
        <w:tc>
          <w:tcPr>
            <w:tcW w:w="6400" w:type="dxa"/>
            <w:vAlign w:val="bottom"/>
          </w:tcPr>
          <w:p>
            <w:pPr>
              <w:ind w:left="240"/>
              <w:spacing w:after="0"/>
              <w:rPr>
                <w:sz w:val="20"/>
                <w:szCs w:val="20"/>
                <w:color w:val="auto"/>
              </w:rPr>
            </w:pPr>
            <w:r>
              <w:rPr>
                <w:rFonts w:ascii="Arial" w:cs="Arial" w:eastAsia="Arial" w:hAnsi="Arial"/>
                <w:sz w:val="17"/>
                <w:szCs w:val="17"/>
                <w:color w:val="auto"/>
              </w:rPr>
              <w:t>SEC rules.</w:t>
            </w:r>
          </w:p>
        </w:tc>
      </w:tr>
      <w:tr>
        <w:trPr>
          <w:trHeight w:val="40"/>
        </w:trPr>
        <w:tc>
          <w:tcPr>
            <w:tcW w:w="2680" w:type="dxa"/>
            <w:vAlign w:val="bottom"/>
            <w:tcBorders>
              <w:bottom w:val="single" w:sz="8" w:color="867F7C"/>
            </w:tcBorders>
          </w:tcPr>
          <w:p>
            <w:pPr>
              <w:spacing w:after="0"/>
              <w:rPr>
                <w:sz w:val="3"/>
                <w:szCs w:val="3"/>
                <w:color w:val="auto"/>
              </w:rPr>
            </w:pPr>
          </w:p>
        </w:tc>
        <w:tc>
          <w:tcPr>
            <w:tcW w:w="6400" w:type="dxa"/>
            <w:vAlign w:val="bottom"/>
            <w:tcBorders>
              <w:bottom w:val="single" w:sz="8" w:color="867F7C"/>
            </w:tcBorders>
          </w:tcPr>
          <w:p>
            <w:pPr>
              <w:spacing w:after="0"/>
              <w:rPr>
                <w:sz w:val="3"/>
                <w:szCs w:val="3"/>
                <w:color w:val="auto"/>
              </w:rPr>
            </w:pPr>
          </w:p>
        </w:tc>
      </w:tr>
      <w:tr>
        <w:trPr>
          <w:trHeight w:val="214"/>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Independent Compensation</w:t>
            </w:r>
          </w:p>
        </w:tc>
        <w:tc>
          <w:tcPr>
            <w:tcW w:w="6400" w:type="dxa"/>
            <w:vAlign w:val="bottom"/>
          </w:tcPr>
          <w:p>
            <w:pPr>
              <w:ind w:left="240"/>
              <w:spacing w:after="0"/>
              <w:rPr>
                <w:sz w:val="20"/>
                <w:szCs w:val="20"/>
                <w:color w:val="auto"/>
              </w:rPr>
            </w:pPr>
            <w:r>
              <w:rPr>
                <w:rFonts w:ascii="Arial" w:cs="Arial" w:eastAsia="Arial" w:hAnsi="Arial"/>
                <w:sz w:val="17"/>
                <w:szCs w:val="17"/>
                <w:color w:val="auto"/>
              </w:rPr>
              <w:t>The Compensation Committee retains and annually reviews the independence</w:t>
            </w:r>
          </w:p>
        </w:tc>
      </w:tr>
      <w:tr>
        <w:trPr>
          <w:trHeight w:val="235"/>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Consultant</w:t>
            </w:r>
          </w:p>
        </w:tc>
        <w:tc>
          <w:tcPr>
            <w:tcW w:w="6400" w:type="dxa"/>
            <w:vAlign w:val="bottom"/>
          </w:tcPr>
          <w:p>
            <w:pPr>
              <w:ind w:left="240"/>
              <w:spacing w:after="0"/>
              <w:rPr>
                <w:sz w:val="20"/>
                <w:szCs w:val="20"/>
                <w:color w:val="auto"/>
              </w:rPr>
            </w:pPr>
            <w:r>
              <w:rPr>
                <w:rFonts w:ascii="Arial" w:cs="Arial" w:eastAsia="Arial" w:hAnsi="Arial"/>
                <w:sz w:val="17"/>
                <w:szCs w:val="17"/>
                <w:color w:val="auto"/>
              </w:rPr>
              <w:t>of its compensation consultant.</w:t>
            </w:r>
          </w:p>
        </w:tc>
      </w:tr>
      <w:tr>
        <w:trPr>
          <w:trHeight w:val="31"/>
        </w:trPr>
        <w:tc>
          <w:tcPr>
            <w:tcW w:w="2680" w:type="dxa"/>
            <w:vAlign w:val="bottom"/>
            <w:tcBorders>
              <w:bottom w:val="single" w:sz="8" w:color="867F7C"/>
            </w:tcBorders>
          </w:tcPr>
          <w:p>
            <w:pPr>
              <w:spacing w:after="0"/>
              <w:rPr>
                <w:sz w:val="2"/>
                <w:szCs w:val="2"/>
                <w:color w:val="auto"/>
              </w:rPr>
            </w:pPr>
          </w:p>
        </w:tc>
        <w:tc>
          <w:tcPr>
            <w:tcW w:w="6400" w:type="dxa"/>
            <w:vAlign w:val="bottom"/>
            <w:tcBorders>
              <w:bottom w:val="single" w:sz="8" w:color="867F7C"/>
            </w:tcBorders>
          </w:tcPr>
          <w:p>
            <w:pPr>
              <w:spacing w:after="0"/>
              <w:rPr>
                <w:sz w:val="2"/>
                <w:szCs w:val="2"/>
                <w:color w:val="auto"/>
              </w:rPr>
            </w:pPr>
          </w:p>
        </w:tc>
      </w:tr>
      <w:tr>
        <w:trPr>
          <w:trHeight w:val="214"/>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Annual Risk Assessment</w:t>
            </w:r>
          </w:p>
        </w:tc>
        <w:tc>
          <w:tcPr>
            <w:tcW w:w="6400" w:type="dxa"/>
            <w:vAlign w:val="bottom"/>
          </w:tcPr>
          <w:p>
            <w:pPr>
              <w:ind w:left="240"/>
              <w:spacing w:after="0"/>
              <w:rPr>
                <w:sz w:val="20"/>
                <w:szCs w:val="20"/>
                <w:color w:val="auto"/>
              </w:rPr>
            </w:pPr>
            <w:r>
              <w:rPr>
                <w:rFonts w:ascii="Arial" w:cs="Arial" w:eastAsia="Arial" w:hAnsi="Arial"/>
                <w:sz w:val="17"/>
                <w:szCs w:val="17"/>
                <w:color w:val="auto"/>
              </w:rPr>
              <w:t>The Compensation Committee conducts an annual risk assessment of our</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executives, management, and designs plans and programs to ensure they are</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aligned with our compensation philosophy and do not encourage excessive risk</w:t>
            </w:r>
          </w:p>
        </w:tc>
      </w:tr>
      <w:tr>
        <w:trPr>
          <w:trHeight w:val="225"/>
        </w:trPr>
        <w:tc>
          <w:tcPr>
            <w:tcW w:w="2680" w:type="dxa"/>
            <w:vAlign w:val="bottom"/>
          </w:tcPr>
          <w:p>
            <w:pPr>
              <w:spacing w:after="0"/>
              <w:rPr>
                <w:sz w:val="19"/>
                <w:szCs w:val="19"/>
                <w:color w:val="auto"/>
              </w:rPr>
            </w:pPr>
          </w:p>
        </w:tc>
        <w:tc>
          <w:tcPr>
            <w:tcW w:w="6400" w:type="dxa"/>
            <w:vAlign w:val="bottom"/>
          </w:tcPr>
          <w:p>
            <w:pPr>
              <w:ind w:left="240"/>
              <w:spacing w:after="0"/>
              <w:rPr>
                <w:sz w:val="20"/>
                <w:szCs w:val="20"/>
                <w:color w:val="auto"/>
              </w:rPr>
            </w:pPr>
            <w:r>
              <w:rPr>
                <w:rFonts w:ascii="Arial" w:cs="Arial" w:eastAsia="Arial" w:hAnsi="Arial"/>
                <w:sz w:val="17"/>
                <w:szCs w:val="17"/>
                <w:color w:val="auto"/>
              </w:rPr>
              <w:t>taking.</w:t>
            </w:r>
          </w:p>
        </w:tc>
      </w:tr>
      <w:tr>
        <w:trPr>
          <w:trHeight w:val="40"/>
        </w:trPr>
        <w:tc>
          <w:tcPr>
            <w:tcW w:w="2680" w:type="dxa"/>
            <w:vAlign w:val="bottom"/>
            <w:tcBorders>
              <w:bottom w:val="single" w:sz="8" w:color="867F7C"/>
            </w:tcBorders>
          </w:tcPr>
          <w:p>
            <w:pPr>
              <w:spacing w:after="0"/>
              <w:rPr>
                <w:sz w:val="3"/>
                <w:szCs w:val="3"/>
                <w:color w:val="auto"/>
              </w:rPr>
            </w:pPr>
          </w:p>
        </w:tc>
        <w:tc>
          <w:tcPr>
            <w:tcW w:w="6400" w:type="dxa"/>
            <w:vAlign w:val="bottom"/>
            <w:tcBorders>
              <w:bottom w:val="single" w:sz="8" w:color="867F7C"/>
            </w:tcBorders>
          </w:tcPr>
          <w:p>
            <w:pPr>
              <w:spacing w:after="0"/>
              <w:rPr>
                <w:sz w:val="3"/>
                <w:szCs w:val="3"/>
                <w:color w:val="auto"/>
              </w:rPr>
            </w:pPr>
          </w:p>
        </w:tc>
      </w:tr>
      <w:tr>
        <w:trPr>
          <w:trHeight w:val="214"/>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Compensation at Risk</w:t>
            </w:r>
          </w:p>
        </w:tc>
        <w:tc>
          <w:tcPr>
            <w:tcW w:w="6400" w:type="dxa"/>
            <w:vAlign w:val="bottom"/>
          </w:tcPr>
          <w:p>
            <w:pPr>
              <w:ind w:left="240"/>
              <w:spacing w:after="0"/>
              <w:rPr>
                <w:sz w:val="20"/>
                <w:szCs w:val="20"/>
                <w:color w:val="auto"/>
              </w:rPr>
            </w:pPr>
            <w:r>
              <w:rPr>
                <w:rFonts w:ascii="Arial" w:cs="Arial" w:eastAsia="Arial" w:hAnsi="Arial"/>
                <w:sz w:val="17"/>
                <w:szCs w:val="17"/>
                <w:color w:val="auto"/>
              </w:rPr>
              <w:t>We grant a high percentage of at-risk compensation. We believe this is</w:t>
            </w:r>
          </w:p>
        </w:tc>
      </w:tr>
      <w:tr>
        <w:trPr>
          <w:trHeight w:val="225"/>
        </w:trPr>
        <w:tc>
          <w:tcPr>
            <w:tcW w:w="2680" w:type="dxa"/>
            <w:vAlign w:val="bottom"/>
          </w:tcPr>
          <w:p>
            <w:pPr>
              <w:spacing w:after="0"/>
              <w:rPr>
                <w:sz w:val="19"/>
                <w:szCs w:val="19"/>
                <w:color w:val="auto"/>
              </w:rPr>
            </w:pPr>
          </w:p>
        </w:tc>
        <w:tc>
          <w:tcPr>
            <w:tcW w:w="6400" w:type="dxa"/>
            <w:vAlign w:val="bottom"/>
          </w:tcPr>
          <w:p>
            <w:pPr>
              <w:ind w:left="240"/>
              <w:spacing w:after="0"/>
              <w:rPr>
                <w:sz w:val="20"/>
                <w:szCs w:val="20"/>
                <w:color w:val="auto"/>
              </w:rPr>
            </w:pPr>
            <w:r>
              <w:rPr>
                <w:rFonts w:ascii="Arial" w:cs="Arial" w:eastAsia="Arial" w:hAnsi="Arial"/>
                <w:sz w:val="17"/>
                <w:szCs w:val="17"/>
                <w:color w:val="auto"/>
              </w:rPr>
              <w:t>essential to creating a pay-for-performance culture.</w:t>
            </w:r>
          </w:p>
        </w:tc>
      </w:tr>
      <w:tr>
        <w:trPr>
          <w:trHeight w:val="41"/>
        </w:trPr>
        <w:tc>
          <w:tcPr>
            <w:tcW w:w="2680" w:type="dxa"/>
            <w:vAlign w:val="bottom"/>
            <w:tcBorders>
              <w:bottom w:val="single" w:sz="8" w:color="867F7C"/>
            </w:tcBorders>
          </w:tcPr>
          <w:p>
            <w:pPr>
              <w:spacing w:after="0"/>
              <w:rPr>
                <w:sz w:val="3"/>
                <w:szCs w:val="3"/>
                <w:color w:val="auto"/>
              </w:rPr>
            </w:pPr>
          </w:p>
        </w:tc>
        <w:tc>
          <w:tcPr>
            <w:tcW w:w="6400" w:type="dxa"/>
            <w:vAlign w:val="bottom"/>
            <w:tcBorders>
              <w:bottom w:val="single" w:sz="8" w:color="867F7C"/>
            </w:tcBorders>
          </w:tcPr>
          <w:p>
            <w:pPr>
              <w:spacing w:after="0"/>
              <w:rPr>
                <w:sz w:val="3"/>
                <w:szCs w:val="3"/>
                <w:color w:val="auto"/>
              </w:rPr>
            </w:pPr>
          </w:p>
        </w:tc>
      </w:tr>
      <w:tr>
        <w:trPr>
          <w:trHeight w:val="214"/>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Stock Ownership Guidelines</w:t>
            </w:r>
          </w:p>
        </w:tc>
        <w:tc>
          <w:tcPr>
            <w:tcW w:w="6400" w:type="dxa"/>
            <w:vAlign w:val="bottom"/>
          </w:tcPr>
          <w:p>
            <w:pPr>
              <w:ind w:left="240"/>
              <w:spacing w:after="0"/>
              <w:rPr>
                <w:sz w:val="20"/>
                <w:szCs w:val="20"/>
                <w:color w:val="auto"/>
              </w:rPr>
            </w:pPr>
            <w:r>
              <w:rPr>
                <w:rFonts w:ascii="Arial" w:cs="Arial" w:eastAsia="Arial" w:hAnsi="Arial"/>
                <w:sz w:val="17"/>
                <w:szCs w:val="17"/>
                <w:color w:val="auto"/>
              </w:rPr>
              <w:t>Our guidelines require executive officers to maintain an amount of equity equal</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to a multiple of base salary: (i) five times base salary for the CEO and (ii) three</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times base salary for all other Section 16 officers. Each officer is expected to</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achieve compliance with the guidelines by the fifth anniversary of the executive</w:t>
            </w:r>
          </w:p>
        </w:tc>
      </w:tr>
      <w:tr>
        <w:trPr>
          <w:trHeight w:val="225"/>
        </w:trPr>
        <w:tc>
          <w:tcPr>
            <w:tcW w:w="2680" w:type="dxa"/>
            <w:vAlign w:val="bottom"/>
          </w:tcPr>
          <w:p>
            <w:pPr>
              <w:spacing w:after="0"/>
              <w:rPr>
                <w:sz w:val="19"/>
                <w:szCs w:val="19"/>
                <w:color w:val="auto"/>
              </w:rPr>
            </w:pPr>
          </w:p>
        </w:tc>
        <w:tc>
          <w:tcPr>
            <w:tcW w:w="6400" w:type="dxa"/>
            <w:vAlign w:val="bottom"/>
          </w:tcPr>
          <w:p>
            <w:pPr>
              <w:ind w:left="240"/>
              <w:spacing w:after="0"/>
              <w:rPr>
                <w:sz w:val="20"/>
                <w:szCs w:val="20"/>
                <w:color w:val="auto"/>
              </w:rPr>
            </w:pPr>
            <w:r>
              <w:rPr>
                <w:rFonts w:ascii="Arial" w:cs="Arial" w:eastAsia="Arial" w:hAnsi="Arial"/>
                <w:sz w:val="17"/>
                <w:szCs w:val="17"/>
                <w:color w:val="auto"/>
              </w:rPr>
              <w:t>officer’s appointment.</w:t>
            </w:r>
          </w:p>
        </w:tc>
      </w:tr>
      <w:tr>
        <w:trPr>
          <w:trHeight w:val="40"/>
        </w:trPr>
        <w:tc>
          <w:tcPr>
            <w:tcW w:w="2680" w:type="dxa"/>
            <w:vAlign w:val="bottom"/>
            <w:tcBorders>
              <w:bottom w:val="single" w:sz="8" w:color="867F7C"/>
            </w:tcBorders>
          </w:tcPr>
          <w:p>
            <w:pPr>
              <w:spacing w:after="0"/>
              <w:rPr>
                <w:sz w:val="3"/>
                <w:szCs w:val="3"/>
                <w:color w:val="auto"/>
              </w:rPr>
            </w:pPr>
          </w:p>
        </w:tc>
        <w:tc>
          <w:tcPr>
            <w:tcW w:w="6400" w:type="dxa"/>
            <w:vAlign w:val="bottom"/>
            <w:tcBorders>
              <w:bottom w:val="single" w:sz="8" w:color="867F7C"/>
            </w:tcBorders>
          </w:tcPr>
          <w:p>
            <w:pPr>
              <w:spacing w:after="0"/>
              <w:rPr>
                <w:sz w:val="3"/>
                <w:szCs w:val="3"/>
                <w:color w:val="auto"/>
              </w:rPr>
            </w:pPr>
          </w:p>
        </w:tc>
      </w:tr>
      <w:tr>
        <w:trPr>
          <w:trHeight w:val="214"/>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Clawback Policy</w:t>
            </w:r>
          </w:p>
        </w:tc>
        <w:tc>
          <w:tcPr>
            <w:tcW w:w="6400" w:type="dxa"/>
            <w:vAlign w:val="bottom"/>
          </w:tcPr>
          <w:p>
            <w:pPr>
              <w:ind w:left="240"/>
              <w:spacing w:after="0"/>
              <w:rPr>
                <w:sz w:val="20"/>
                <w:szCs w:val="20"/>
                <w:color w:val="auto"/>
              </w:rPr>
            </w:pPr>
            <w:r>
              <w:rPr>
                <w:rFonts w:ascii="Arial" w:cs="Arial" w:eastAsia="Arial" w:hAnsi="Arial"/>
                <w:sz w:val="17"/>
                <w:szCs w:val="17"/>
                <w:color w:val="auto"/>
              </w:rPr>
              <w:t>Our Board of Directors has adopted a clawback policy in accordance with the</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rules of the New York Stock Exchange requirements, to recoup “excess”</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incentive compensation, if any, earned by current and former executive officers</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during a three year look back period in the event of a financial restatement due</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to material noncompliance with any financial reporting requirement under the</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securities  laws  (with  no  fault  required)  or  for  other  fraud,  material</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misrepresentation; material financial, reputational, or other harm; willful and</w:t>
            </w:r>
          </w:p>
        </w:tc>
      </w:tr>
      <w:tr>
        <w:trPr>
          <w:trHeight w:val="189"/>
        </w:trPr>
        <w:tc>
          <w:tcPr>
            <w:tcW w:w="2680" w:type="dxa"/>
            <w:vAlign w:val="bottom"/>
          </w:tcPr>
          <w:p>
            <w:pPr>
              <w:spacing w:after="0"/>
              <w:rPr>
                <w:sz w:val="16"/>
                <w:szCs w:val="16"/>
                <w:color w:val="auto"/>
              </w:rPr>
            </w:pPr>
          </w:p>
        </w:tc>
        <w:tc>
          <w:tcPr>
            <w:tcW w:w="6400" w:type="dxa"/>
            <w:vAlign w:val="bottom"/>
          </w:tcPr>
          <w:p>
            <w:pPr>
              <w:ind w:left="240"/>
              <w:spacing w:after="0" w:line="189" w:lineRule="exact"/>
              <w:rPr>
                <w:sz w:val="20"/>
                <w:szCs w:val="20"/>
                <w:color w:val="auto"/>
              </w:rPr>
            </w:pPr>
            <w:r>
              <w:rPr>
                <w:rFonts w:ascii="Arial" w:cs="Arial" w:eastAsia="Arial" w:hAnsi="Arial"/>
                <w:sz w:val="17"/>
                <w:szCs w:val="17"/>
                <w:color w:val="auto"/>
              </w:rPr>
              <w:t>material violations of code of conduct or other such policies; violation of</w:t>
            </w:r>
          </w:p>
        </w:tc>
      </w:tr>
      <w:tr>
        <w:trPr>
          <w:trHeight w:val="225"/>
        </w:trPr>
        <w:tc>
          <w:tcPr>
            <w:tcW w:w="2680" w:type="dxa"/>
            <w:vAlign w:val="bottom"/>
          </w:tcPr>
          <w:p>
            <w:pPr>
              <w:spacing w:after="0"/>
              <w:rPr>
                <w:sz w:val="19"/>
                <w:szCs w:val="19"/>
                <w:color w:val="auto"/>
              </w:rPr>
            </w:pPr>
          </w:p>
        </w:tc>
        <w:tc>
          <w:tcPr>
            <w:tcW w:w="6400" w:type="dxa"/>
            <w:vAlign w:val="bottom"/>
          </w:tcPr>
          <w:p>
            <w:pPr>
              <w:ind w:left="240"/>
              <w:spacing w:after="0"/>
              <w:rPr>
                <w:sz w:val="20"/>
                <w:szCs w:val="20"/>
                <w:color w:val="auto"/>
              </w:rPr>
            </w:pPr>
            <w:r>
              <w:rPr>
                <w:rFonts w:ascii="Arial" w:cs="Arial" w:eastAsia="Arial" w:hAnsi="Arial"/>
                <w:sz w:val="17"/>
                <w:szCs w:val="17"/>
                <w:color w:val="auto"/>
              </w:rPr>
              <w:t>restrictive covenants/agreements or other reasons for termination for cause.</w:t>
            </w:r>
          </w:p>
        </w:tc>
      </w:tr>
      <w:tr>
        <w:trPr>
          <w:trHeight w:val="40"/>
        </w:trPr>
        <w:tc>
          <w:tcPr>
            <w:tcW w:w="2680" w:type="dxa"/>
            <w:vAlign w:val="bottom"/>
            <w:tcBorders>
              <w:bottom w:val="single" w:sz="8" w:color="867F7C"/>
            </w:tcBorders>
          </w:tcPr>
          <w:p>
            <w:pPr>
              <w:spacing w:after="0"/>
              <w:rPr>
                <w:sz w:val="3"/>
                <w:szCs w:val="3"/>
                <w:color w:val="auto"/>
              </w:rPr>
            </w:pPr>
          </w:p>
        </w:tc>
        <w:tc>
          <w:tcPr>
            <w:tcW w:w="6400" w:type="dxa"/>
            <w:vAlign w:val="bottom"/>
            <w:tcBorders>
              <w:bottom w:val="single" w:sz="8" w:color="867F7C"/>
            </w:tcBorders>
          </w:tcPr>
          <w:p>
            <w:pPr>
              <w:spacing w:after="0"/>
              <w:rPr>
                <w:sz w:val="3"/>
                <w:szCs w:val="3"/>
                <w:color w:val="auto"/>
              </w:rPr>
            </w:pPr>
          </w:p>
        </w:tc>
      </w:tr>
      <w:tr>
        <w:trPr>
          <w:trHeight w:val="214"/>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Anti-Hedging and Pledging</w:t>
            </w:r>
          </w:p>
        </w:tc>
        <w:tc>
          <w:tcPr>
            <w:tcW w:w="6400" w:type="dxa"/>
            <w:vAlign w:val="bottom"/>
          </w:tcPr>
          <w:p>
            <w:pPr>
              <w:ind w:left="240"/>
              <w:spacing w:after="0"/>
              <w:rPr>
                <w:sz w:val="20"/>
                <w:szCs w:val="20"/>
                <w:color w:val="auto"/>
              </w:rPr>
            </w:pPr>
            <w:r>
              <w:rPr>
                <w:rFonts w:ascii="Arial" w:cs="Arial" w:eastAsia="Arial" w:hAnsi="Arial"/>
                <w:sz w:val="17"/>
                <w:szCs w:val="17"/>
                <w:color w:val="auto"/>
              </w:rPr>
              <w:t>We prohibit our executive officers from hedging or pledging Ashland securities.</w:t>
            </w:r>
          </w:p>
        </w:tc>
      </w:tr>
      <w:tr>
        <w:trPr>
          <w:trHeight w:val="235"/>
        </w:trPr>
        <w:tc>
          <w:tcPr>
            <w:tcW w:w="2680" w:type="dxa"/>
            <w:vAlign w:val="bottom"/>
          </w:tcPr>
          <w:p>
            <w:pPr>
              <w:ind w:left="120"/>
              <w:spacing w:after="0"/>
              <w:rPr>
                <w:sz w:val="20"/>
                <w:szCs w:val="20"/>
                <w:color w:val="auto"/>
              </w:rPr>
            </w:pPr>
            <w:r>
              <w:rPr>
                <w:rFonts w:ascii="Arial" w:cs="Arial" w:eastAsia="Arial" w:hAnsi="Arial"/>
                <w:sz w:val="17"/>
                <w:szCs w:val="17"/>
                <w:b w:val="1"/>
                <w:bCs w:val="1"/>
                <w:color w:val="4CCEDE"/>
              </w:rPr>
              <w:t>Policy</w:t>
            </w:r>
          </w:p>
        </w:tc>
        <w:tc>
          <w:tcPr>
            <w:tcW w:w="6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607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p>
      <w:pPr>
        <w:spacing w:after="0" w:line="76" w:lineRule="exact"/>
        <w:rPr>
          <w:sz w:val="20"/>
          <w:szCs w:val="20"/>
          <w:color w:val="auto"/>
        </w:rPr>
      </w:pPr>
    </w:p>
    <w:p>
      <w:pPr>
        <w:jc w:val="both"/>
        <w:ind w:left="120"/>
        <w:spacing w:after="0" w:line="256" w:lineRule="auto"/>
        <w:rPr>
          <w:sz w:val="20"/>
          <w:szCs w:val="20"/>
          <w:color w:val="auto"/>
        </w:rPr>
      </w:pPr>
      <w:r>
        <w:rPr>
          <w:rFonts w:ascii="Arial" w:cs="Arial" w:eastAsia="Arial" w:hAnsi="Arial"/>
          <w:sz w:val="17"/>
          <w:szCs w:val="17"/>
          <w:b w:val="1"/>
          <w:bCs w:val="1"/>
          <w:color w:val="4CCEDE"/>
        </w:rPr>
        <w:t>“Double triggers” in Change in Control Agreements and Salary Continuation Plan</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right="100"/>
        <w:spacing w:after="0" w:line="244" w:lineRule="auto"/>
        <w:rPr>
          <w:sz w:val="20"/>
          <w:szCs w:val="20"/>
          <w:color w:val="auto"/>
        </w:rPr>
      </w:pPr>
      <w:r>
        <w:rPr>
          <w:rFonts w:ascii="Arial" w:cs="Arial" w:eastAsia="Arial" w:hAnsi="Arial"/>
          <w:sz w:val="17"/>
          <w:szCs w:val="17"/>
          <w:color w:val="auto"/>
        </w:rPr>
        <w:t>The NEOs and other executive officers do not receive change in control cash severance unless their employment is terminated without cause (or by the executive for good reason) within a specified period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23495</wp:posOffset>
            </wp:positionV>
            <wp:extent cx="57607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660" w:space="260"/>
            <w:col w:w="6160"/>
          </w:cols>
          <w:pgMar w:left="1400" w:top="769" w:right="1419" w:bottom="1440" w:gutter="0" w:footer="0" w:header="0"/>
          <w:type w:val="continuous"/>
        </w:sectPr>
      </w:pPr>
    </w:p>
    <w:p>
      <w:pPr>
        <w:ind w:left="120"/>
        <w:spacing w:after="0" w:line="280" w:lineRule="auto"/>
        <w:rPr>
          <w:sz w:val="20"/>
          <w:szCs w:val="20"/>
          <w:color w:val="auto"/>
        </w:rPr>
      </w:pPr>
      <w:r>
        <w:rPr>
          <w:rFonts w:ascii="Arial" w:cs="Arial" w:eastAsia="Arial" w:hAnsi="Arial"/>
          <w:sz w:val="17"/>
          <w:szCs w:val="17"/>
          <w:b w:val="1"/>
          <w:bCs w:val="1"/>
          <w:color w:val="4CCEDE"/>
        </w:rPr>
        <w:t>No Tax Gross-Ups on Change in Control Benefits</w:t>
      </w:r>
    </w:p>
    <w:p>
      <w:pPr>
        <w:spacing w:after="0" w:line="20" w:lineRule="exact"/>
        <w:rPr>
          <w:sz w:val="20"/>
          <w:szCs w:val="20"/>
          <w:color w:val="auto"/>
        </w:rPr>
      </w:pPr>
      <w:r>
        <w:rPr>
          <w:sz w:val="20"/>
          <w:szCs w:val="20"/>
          <w:color w:val="auto"/>
        </w:rPr>
        <w:br w:type="column"/>
      </w:r>
    </w:p>
    <w:p>
      <w:pPr>
        <w:jc w:val="both"/>
        <w:ind w:right="100"/>
        <w:spacing w:after="0" w:line="249" w:lineRule="auto"/>
        <w:rPr>
          <w:sz w:val="20"/>
          <w:szCs w:val="20"/>
          <w:color w:val="auto"/>
        </w:rPr>
      </w:pPr>
      <w:r>
        <w:rPr>
          <w:rFonts w:ascii="Arial" w:cs="Arial" w:eastAsia="Arial" w:hAnsi="Arial"/>
          <w:sz w:val="17"/>
          <w:szCs w:val="17"/>
          <w:color w:val="auto"/>
        </w:rPr>
        <w:t>The NEOs and other executive officers are not entitled to tax gross ups in the event their change in control benefits are subject to “golden parachute” excise taxes under Section 280G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22225</wp:posOffset>
            </wp:positionV>
            <wp:extent cx="57607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540" w:space="380"/>
            <w:col w:w="6160"/>
          </w:cols>
          <w:pgMar w:left="1400" w:top="769" w:right="1419" w:bottom="1440" w:gutter="0" w:footer="0" w:header="0"/>
          <w:type w:val="continuous"/>
        </w:sectPr>
      </w:pPr>
    </w:p>
    <w:p>
      <w:pPr>
        <w:jc w:val="center"/>
        <w:ind w:right="-19"/>
        <w:spacing w:after="0"/>
        <w:tabs>
          <w:tab w:leader="none" w:pos="240" w:val="left"/>
        </w:tabs>
        <w:rPr>
          <w:sz w:val="20"/>
          <w:szCs w:val="20"/>
          <w:color w:val="auto"/>
        </w:rPr>
      </w:pPr>
      <w:r>
        <w:rPr>
          <w:rFonts w:ascii="Arial" w:cs="Arial" w:eastAsia="Arial" w:hAnsi="Arial"/>
          <w:sz w:val="17"/>
          <w:szCs w:val="17"/>
          <w:b w:val="1"/>
          <w:bCs w:val="1"/>
          <w:color w:val="4CCEDE"/>
        </w:rPr>
        <w:t>Equity Incentive Compensation</w:t>
      </w:r>
      <w:r>
        <w:rPr>
          <w:sz w:val="20"/>
          <w:szCs w:val="20"/>
          <w:color w:val="auto"/>
        </w:rPr>
        <w:tab/>
      </w:r>
      <w:r>
        <w:rPr>
          <w:rFonts w:ascii="Arial" w:cs="Arial" w:eastAsia="Arial" w:hAnsi="Arial"/>
          <w:sz w:val="17"/>
          <w:szCs w:val="17"/>
          <w:color w:val="auto"/>
        </w:rPr>
        <w:t>Our Ashland Global Holdings Inc. 2021 Omnibus Incentive Compensation Plan</w:t>
      </w:r>
    </w:p>
    <w:p>
      <w:pPr>
        <w:spacing w:after="0" w:line="10" w:lineRule="exact"/>
        <w:rPr>
          <w:sz w:val="20"/>
          <w:szCs w:val="20"/>
          <w:color w:val="auto"/>
        </w:rPr>
      </w:pPr>
    </w:p>
    <w:p>
      <w:pPr>
        <w:ind w:left="2920" w:right="100" w:hanging="2812"/>
        <w:spacing w:after="0" w:line="248" w:lineRule="auto"/>
        <w:tabs>
          <w:tab w:leader="none" w:pos="2900" w:val="left"/>
        </w:tabs>
        <w:rPr>
          <w:sz w:val="20"/>
          <w:szCs w:val="20"/>
          <w:color w:val="auto"/>
        </w:rPr>
      </w:pPr>
      <w:r>
        <w:rPr>
          <w:rFonts w:ascii="Arial" w:cs="Arial" w:eastAsia="Arial" w:hAnsi="Arial"/>
          <w:sz w:val="17"/>
          <w:szCs w:val="17"/>
          <w:b w:val="1"/>
          <w:bCs w:val="1"/>
          <w:color w:val="4CCEDE"/>
        </w:rPr>
        <w:t>Plan Best Practices</w:t>
      </w:r>
      <w:r>
        <w:rPr>
          <w:sz w:val="20"/>
          <w:szCs w:val="20"/>
          <w:color w:val="auto"/>
        </w:rPr>
        <w:tab/>
      </w:r>
      <w:r>
        <w:rPr>
          <w:rFonts w:ascii="Arial" w:cs="Arial" w:eastAsia="Arial" w:hAnsi="Arial"/>
          <w:sz w:val="17"/>
          <w:szCs w:val="17"/>
          <w:color w:val="auto"/>
        </w:rPr>
        <w:t>includes many best practices for equity compensation programs, such as minimum vesting periods and the absence of single-trigger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867F7C"/>
        </w:rPr>
        <w:t>compensation discussion and analysis</w:t>
      </w:r>
    </w:p>
    <w:p>
      <w:pPr>
        <w:spacing w:after="0" w:line="336"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elements of compensation and link to company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CCEDE"/>
        </w:rPr>
        <w:t>primary compensation elements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both fixed (salary) and variable (cash and equity incentive) compensation to our NEOs. The following table sets forth information regarding each of the three core elements of compensation for our NEOs in 2025, including a description of each element.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520" w:type="dxa"/>
            <w:vAlign w:val="bottom"/>
            <w:shd w:val="clear" w:color="auto" w:fill="EFEBE9"/>
          </w:tcPr>
          <w:p>
            <w:pPr>
              <w:ind w:left="120"/>
              <w:spacing w:after="0"/>
              <w:rPr>
                <w:sz w:val="20"/>
                <w:szCs w:val="20"/>
                <w:color w:val="auto"/>
              </w:rPr>
            </w:pPr>
            <w:r>
              <w:rPr>
                <w:rFonts w:ascii="Arial" w:cs="Arial" w:eastAsia="Arial" w:hAnsi="Arial"/>
                <w:sz w:val="18"/>
                <w:szCs w:val="18"/>
                <w:b w:val="1"/>
                <w:bCs w:val="1"/>
                <w:color w:val="867F7C"/>
              </w:rPr>
              <w:t>Compensation Element</w:t>
            </w:r>
          </w:p>
        </w:tc>
        <w:tc>
          <w:tcPr>
            <w:tcW w:w="6560" w:type="dxa"/>
            <w:vAlign w:val="bottom"/>
            <w:shd w:val="clear" w:color="auto" w:fill="EFEBE9"/>
          </w:tcPr>
          <w:p>
            <w:pPr>
              <w:ind w:left="2960"/>
              <w:spacing w:after="0"/>
              <w:rPr>
                <w:sz w:val="20"/>
                <w:szCs w:val="20"/>
                <w:color w:val="auto"/>
              </w:rPr>
            </w:pPr>
            <w:r>
              <w:rPr>
                <w:rFonts w:ascii="Arial" w:cs="Arial" w:eastAsia="Arial" w:hAnsi="Arial"/>
                <w:sz w:val="18"/>
                <w:szCs w:val="18"/>
                <w:b w:val="1"/>
                <w:bCs w:val="1"/>
                <w:color w:val="867F7C"/>
              </w:rPr>
              <w:t>Description</w:t>
            </w:r>
          </w:p>
        </w:tc>
      </w:tr>
      <w:tr>
        <w:trPr>
          <w:trHeight w:val="238"/>
        </w:trPr>
        <w:tc>
          <w:tcPr>
            <w:tcW w:w="2520" w:type="dxa"/>
            <w:vAlign w:val="bottom"/>
          </w:tcPr>
          <w:p>
            <w:pPr>
              <w:ind w:left="120"/>
              <w:spacing w:after="0"/>
              <w:rPr>
                <w:sz w:val="20"/>
                <w:szCs w:val="20"/>
                <w:color w:val="auto"/>
              </w:rPr>
            </w:pPr>
            <w:r>
              <w:rPr>
                <w:rFonts w:ascii="Arial" w:cs="Arial" w:eastAsia="Arial" w:hAnsi="Arial"/>
                <w:sz w:val="18"/>
                <w:szCs w:val="18"/>
                <w:b w:val="1"/>
                <w:bCs w:val="1"/>
                <w:color w:val="4CCEDE"/>
              </w:rPr>
              <w:t>Base Salary</w:t>
            </w:r>
          </w:p>
        </w:tc>
        <w:tc>
          <w:tcPr>
            <w:tcW w:w="6560" w:type="dxa"/>
            <w:vAlign w:val="bottom"/>
          </w:tcPr>
          <w:p>
            <w:pPr>
              <w:ind w:left="400"/>
              <w:spacing w:after="0"/>
              <w:rPr>
                <w:sz w:val="20"/>
                <w:szCs w:val="20"/>
                <w:color w:val="auto"/>
              </w:rPr>
            </w:pPr>
            <w:r>
              <w:rPr>
                <w:rFonts w:ascii="Arial" w:cs="Arial" w:eastAsia="Arial" w:hAnsi="Arial"/>
                <w:sz w:val="18"/>
                <w:szCs w:val="18"/>
                <w:color w:val="auto"/>
              </w:rPr>
              <w:t>Fixed  cash  compensation  based  on  each  executive  officer’s  role,</w:t>
            </w:r>
          </w:p>
        </w:tc>
      </w:tr>
      <w:tr>
        <w:trPr>
          <w:trHeight w:val="239"/>
        </w:trPr>
        <w:tc>
          <w:tcPr>
            <w:tcW w:w="2520" w:type="dxa"/>
            <w:vAlign w:val="bottom"/>
          </w:tcPr>
          <w:p>
            <w:pPr>
              <w:spacing w:after="0"/>
              <w:rPr>
                <w:sz w:val="20"/>
                <w:szCs w:val="20"/>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responsibilities, competitive market positioning, and individual performance.</w:t>
            </w:r>
          </w:p>
        </w:tc>
      </w:tr>
      <w:tr>
        <w:trPr>
          <w:trHeight w:val="37"/>
        </w:trPr>
        <w:tc>
          <w:tcPr>
            <w:tcW w:w="2520" w:type="dxa"/>
            <w:vAlign w:val="bottom"/>
            <w:tcBorders>
              <w:bottom w:val="single" w:sz="8" w:color="867F7C"/>
            </w:tcBorders>
          </w:tcPr>
          <w:p>
            <w:pPr>
              <w:spacing w:after="0"/>
              <w:rPr>
                <w:sz w:val="3"/>
                <w:szCs w:val="3"/>
                <w:color w:val="auto"/>
              </w:rPr>
            </w:pPr>
          </w:p>
        </w:tc>
        <w:tc>
          <w:tcPr>
            <w:tcW w:w="6560" w:type="dxa"/>
            <w:vAlign w:val="bottom"/>
            <w:tcBorders>
              <w:bottom w:val="single" w:sz="8" w:color="867F7C"/>
            </w:tcBorders>
          </w:tcPr>
          <w:p>
            <w:pPr>
              <w:spacing w:after="0"/>
              <w:rPr>
                <w:sz w:val="3"/>
                <w:szCs w:val="3"/>
                <w:color w:val="auto"/>
              </w:rPr>
            </w:pPr>
          </w:p>
        </w:tc>
      </w:tr>
      <w:tr>
        <w:trPr>
          <w:trHeight w:val="231"/>
        </w:trPr>
        <w:tc>
          <w:tcPr>
            <w:tcW w:w="2520" w:type="dxa"/>
            <w:vAlign w:val="bottom"/>
          </w:tcPr>
          <w:p>
            <w:pPr>
              <w:ind w:left="120"/>
              <w:spacing w:after="0"/>
              <w:rPr>
                <w:sz w:val="20"/>
                <w:szCs w:val="20"/>
                <w:color w:val="auto"/>
              </w:rPr>
            </w:pPr>
            <w:r>
              <w:rPr>
                <w:rFonts w:ascii="Arial" w:cs="Arial" w:eastAsia="Arial" w:hAnsi="Arial"/>
                <w:sz w:val="18"/>
                <w:szCs w:val="18"/>
                <w:b w:val="1"/>
                <w:bCs w:val="1"/>
                <w:color w:val="4CCEDE"/>
              </w:rPr>
              <w:t>Annual Incentive</w:t>
            </w:r>
          </w:p>
        </w:tc>
        <w:tc>
          <w:tcPr>
            <w:tcW w:w="6560" w:type="dxa"/>
            <w:vAlign w:val="bottom"/>
          </w:tcPr>
          <w:p>
            <w:pPr>
              <w:ind w:left="400"/>
              <w:spacing w:after="0"/>
              <w:rPr>
                <w:sz w:val="20"/>
                <w:szCs w:val="20"/>
                <w:color w:val="auto"/>
              </w:rPr>
            </w:pPr>
            <w:r>
              <w:rPr>
                <w:rFonts w:ascii="Arial" w:cs="Arial" w:eastAsia="Arial" w:hAnsi="Arial"/>
                <w:sz w:val="18"/>
                <w:szCs w:val="18"/>
                <w:color w:val="auto"/>
              </w:rPr>
              <w:t>Annual performance-based incentive cash compensation with target award</w:t>
            </w:r>
          </w:p>
        </w:tc>
      </w:tr>
      <w:tr>
        <w:trPr>
          <w:trHeight w:val="203"/>
        </w:trPr>
        <w:tc>
          <w:tcPr>
            <w:tcW w:w="2520" w:type="dxa"/>
            <w:vAlign w:val="bottom"/>
          </w:tcPr>
          <w:p>
            <w:pPr>
              <w:spacing w:after="0"/>
              <w:rPr>
                <w:sz w:val="17"/>
                <w:szCs w:val="17"/>
                <w:color w:val="auto"/>
              </w:rPr>
            </w:pPr>
          </w:p>
        </w:tc>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amounts for each executive officer. Actual bonus amounts may be higher or</w:t>
            </w:r>
          </w:p>
        </w:tc>
      </w:tr>
      <w:tr>
        <w:trPr>
          <w:trHeight w:val="203"/>
        </w:trPr>
        <w:tc>
          <w:tcPr>
            <w:tcW w:w="2520" w:type="dxa"/>
            <w:vAlign w:val="bottom"/>
          </w:tcPr>
          <w:p>
            <w:pPr>
              <w:spacing w:after="0"/>
              <w:rPr>
                <w:sz w:val="17"/>
                <w:szCs w:val="17"/>
                <w:color w:val="auto"/>
              </w:rPr>
            </w:pPr>
          </w:p>
        </w:tc>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lower  than  target  based  on  the  achievement  of  certain  Company</w:t>
            </w:r>
          </w:p>
        </w:tc>
      </w:tr>
      <w:tr>
        <w:trPr>
          <w:trHeight w:val="239"/>
        </w:trPr>
        <w:tc>
          <w:tcPr>
            <w:tcW w:w="2520" w:type="dxa"/>
            <w:vAlign w:val="bottom"/>
          </w:tcPr>
          <w:p>
            <w:pPr>
              <w:spacing w:after="0"/>
              <w:rPr>
                <w:sz w:val="20"/>
                <w:szCs w:val="20"/>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performance goals and individual performance.</w:t>
            </w:r>
          </w:p>
        </w:tc>
      </w:tr>
      <w:tr>
        <w:trPr>
          <w:trHeight w:val="36"/>
        </w:trPr>
        <w:tc>
          <w:tcPr>
            <w:tcW w:w="2520" w:type="dxa"/>
            <w:vAlign w:val="bottom"/>
            <w:tcBorders>
              <w:bottom w:val="single" w:sz="8" w:color="867F7C"/>
            </w:tcBorders>
          </w:tcPr>
          <w:p>
            <w:pPr>
              <w:spacing w:after="0"/>
              <w:rPr>
                <w:sz w:val="3"/>
                <w:szCs w:val="3"/>
                <w:color w:val="auto"/>
              </w:rPr>
            </w:pPr>
          </w:p>
        </w:tc>
        <w:tc>
          <w:tcPr>
            <w:tcW w:w="6560" w:type="dxa"/>
            <w:vAlign w:val="bottom"/>
            <w:tcBorders>
              <w:bottom w:val="single" w:sz="8" w:color="867F7C"/>
            </w:tcBorders>
          </w:tcPr>
          <w:p>
            <w:pPr>
              <w:spacing w:after="0"/>
              <w:rPr>
                <w:sz w:val="3"/>
                <w:szCs w:val="3"/>
                <w:color w:val="auto"/>
              </w:rPr>
            </w:pPr>
          </w:p>
        </w:tc>
      </w:tr>
      <w:tr>
        <w:trPr>
          <w:trHeight w:val="231"/>
        </w:trPr>
        <w:tc>
          <w:tcPr>
            <w:tcW w:w="2520" w:type="dxa"/>
            <w:vAlign w:val="bottom"/>
          </w:tcPr>
          <w:p>
            <w:pPr>
              <w:ind w:left="120"/>
              <w:spacing w:after="0"/>
              <w:rPr>
                <w:sz w:val="20"/>
                <w:szCs w:val="20"/>
                <w:color w:val="auto"/>
              </w:rPr>
            </w:pPr>
            <w:r>
              <w:rPr>
                <w:rFonts w:ascii="Arial" w:cs="Arial" w:eastAsia="Arial" w:hAnsi="Arial"/>
                <w:sz w:val="18"/>
                <w:szCs w:val="18"/>
                <w:b w:val="1"/>
                <w:bCs w:val="1"/>
                <w:color w:val="4CCEDE"/>
              </w:rPr>
              <w:t>Long-Term Incentive</w:t>
            </w:r>
          </w:p>
        </w:tc>
        <w:tc>
          <w:tcPr>
            <w:tcW w:w="6560" w:type="dxa"/>
            <w:vAlign w:val="bottom"/>
          </w:tcPr>
          <w:p>
            <w:pPr>
              <w:ind w:left="400"/>
              <w:spacing w:after="0"/>
              <w:rPr>
                <w:sz w:val="20"/>
                <w:szCs w:val="20"/>
                <w:color w:val="auto"/>
              </w:rPr>
            </w:pPr>
            <w:r>
              <w:rPr>
                <w:rFonts w:ascii="Arial" w:cs="Arial" w:eastAsia="Arial" w:hAnsi="Arial"/>
                <w:sz w:val="18"/>
                <w:szCs w:val="18"/>
                <w:color w:val="auto"/>
              </w:rPr>
              <w:t>Long-term incentives delivered through a blend of Performance Stock Units</w:t>
            </w:r>
          </w:p>
        </w:tc>
      </w:tr>
      <w:tr>
        <w:trPr>
          <w:trHeight w:val="203"/>
        </w:trPr>
        <w:tc>
          <w:tcPr>
            <w:tcW w:w="2520" w:type="dxa"/>
            <w:vAlign w:val="bottom"/>
          </w:tcPr>
          <w:p>
            <w:pPr>
              <w:spacing w:after="0"/>
              <w:rPr>
                <w:sz w:val="17"/>
                <w:szCs w:val="17"/>
                <w:color w:val="auto"/>
              </w:rPr>
            </w:pPr>
          </w:p>
        </w:tc>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(“PSUs”) and Restricted Stock Units (“RSUs”). Actual performance incentive</w:t>
            </w:r>
          </w:p>
        </w:tc>
      </w:tr>
      <w:tr>
        <w:trPr>
          <w:trHeight w:val="202"/>
        </w:trPr>
        <w:tc>
          <w:tcPr>
            <w:tcW w:w="2520" w:type="dxa"/>
            <w:vAlign w:val="bottom"/>
          </w:tcPr>
          <w:p>
            <w:pPr>
              <w:spacing w:after="0"/>
              <w:rPr>
                <w:sz w:val="17"/>
                <w:szCs w:val="17"/>
                <w:color w:val="auto"/>
              </w:rPr>
            </w:pPr>
          </w:p>
        </w:tc>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amounts may be higher or lower than target based on the achievement of</w:t>
            </w:r>
          </w:p>
        </w:tc>
      </w:tr>
      <w:tr>
        <w:trPr>
          <w:trHeight w:val="239"/>
        </w:trPr>
        <w:tc>
          <w:tcPr>
            <w:tcW w:w="2520" w:type="dxa"/>
            <w:vAlign w:val="bottom"/>
          </w:tcPr>
          <w:p>
            <w:pPr>
              <w:spacing w:after="0"/>
              <w:rPr>
                <w:sz w:val="20"/>
                <w:szCs w:val="20"/>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certain Company performance goals.</w:t>
            </w:r>
          </w:p>
        </w:tc>
      </w:tr>
      <w:tr>
        <w:trPr>
          <w:trHeight w:val="36"/>
        </w:trPr>
        <w:tc>
          <w:tcPr>
            <w:tcW w:w="2520" w:type="dxa"/>
            <w:vAlign w:val="bottom"/>
            <w:tcBorders>
              <w:bottom w:val="single" w:sz="8" w:color="867F7C"/>
            </w:tcBorders>
          </w:tcPr>
          <w:p>
            <w:pPr>
              <w:spacing w:after="0"/>
              <w:rPr>
                <w:sz w:val="3"/>
                <w:szCs w:val="3"/>
                <w:color w:val="auto"/>
              </w:rPr>
            </w:pPr>
          </w:p>
        </w:tc>
        <w:tc>
          <w:tcPr>
            <w:tcW w:w="6560" w:type="dxa"/>
            <w:vAlign w:val="bottom"/>
            <w:tcBorders>
              <w:bottom w:val="single" w:sz="8" w:color="867F7C"/>
            </w:tcBorders>
          </w:tcPr>
          <w:p>
            <w:pPr>
              <w:spacing w:after="0"/>
              <w:rPr>
                <w:sz w:val="3"/>
                <w:szCs w:val="3"/>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our NEOs’ compensation is performance-based and not guaranteed. The following table summarizes the key elements of our executive compensation program and describes why each element is provided:</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860" w:type="dxa"/>
            <w:vAlign w:val="bottom"/>
            <w:tcBorders>
              <w:top w:val="single" w:sz="8" w:color="867F7C"/>
              <w:left w:val="single" w:sz="8" w:color="867F7C"/>
              <w:bottom w:val="single" w:sz="8" w:color="EFEBE9"/>
              <w:right w:val="single" w:sz="8" w:color="867F7C"/>
            </w:tcBorders>
            <w:shd w:val="clear" w:color="auto" w:fill="EFEBE9"/>
          </w:tcPr>
          <w:p>
            <w:pPr>
              <w:spacing w:after="0"/>
              <w:rPr>
                <w:sz w:val="24"/>
                <w:szCs w:val="24"/>
                <w:color w:val="auto"/>
              </w:rPr>
            </w:pPr>
          </w:p>
        </w:tc>
        <w:tc>
          <w:tcPr>
            <w:tcW w:w="1820" w:type="dxa"/>
            <w:vAlign w:val="bottom"/>
            <w:tcBorders>
              <w:top w:val="single" w:sz="8" w:color="867F7C"/>
              <w:bottom w:val="single" w:sz="8" w:color="EFEBE9"/>
              <w:right w:val="single" w:sz="8" w:color="867F7C"/>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Base Salary</w:t>
            </w:r>
          </w:p>
        </w:tc>
        <w:tc>
          <w:tcPr>
            <w:tcW w:w="1840" w:type="dxa"/>
            <w:vAlign w:val="bottom"/>
            <w:tcBorders>
              <w:top w:val="single" w:sz="8" w:color="867F7C"/>
              <w:bottom w:val="single" w:sz="8" w:color="EFEBE9"/>
              <w:right w:val="single" w:sz="8" w:color="867F7C"/>
            </w:tcBorders>
            <w:shd w:val="clear" w:color="auto" w:fill="EFEBE9"/>
          </w:tcPr>
          <w:p>
            <w:pPr>
              <w:jc w:val="center"/>
              <w:ind w:left="8"/>
              <w:spacing w:after="0"/>
              <w:rPr>
                <w:sz w:val="20"/>
                <w:szCs w:val="20"/>
                <w:color w:val="auto"/>
              </w:rPr>
            </w:pPr>
            <w:r>
              <w:rPr>
                <w:rFonts w:ascii="Arial" w:cs="Arial" w:eastAsia="Arial" w:hAnsi="Arial"/>
                <w:sz w:val="14"/>
                <w:szCs w:val="14"/>
                <w:b w:val="1"/>
                <w:bCs w:val="1"/>
                <w:color w:val="867F7C"/>
              </w:rPr>
              <w:t>Annual Incentive</w:t>
            </w:r>
          </w:p>
        </w:tc>
        <w:tc>
          <w:tcPr>
            <w:tcW w:w="1560" w:type="dxa"/>
            <w:vAlign w:val="bottom"/>
            <w:tcBorders>
              <w:top w:val="single" w:sz="8" w:color="867F7C"/>
              <w:bottom w:val="single" w:sz="8" w:color="EFEBE9"/>
            </w:tcBorders>
            <w:shd w:val="clear" w:color="auto" w:fill="EFEBE9"/>
          </w:tcPr>
          <w:p>
            <w:pPr>
              <w:ind w:left="740"/>
              <w:spacing w:after="0"/>
              <w:rPr>
                <w:sz w:val="20"/>
                <w:szCs w:val="20"/>
                <w:color w:val="auto"/>
              </w:rPr>
            </w:pPr>
            <w:r>
              <w:rPr>
                <w:rFonts w:ascii="Arial" w:cs="Arial" w:eastAsia="Arial" w:hAnsi="Arial"/>
                <w:sz w:val="14"/>
                <w:szCs w:val="14"/>
                <w:b w:val="1"/>
                <w:bCs w:val="1"/>
                <w:color w:val="867F7C"/>
              </w:rPr>
              <w:t>PSUs</w:t>
            </w:r>
          </w:p>
        </w:tc>
        <w:tc>
          <w:tcPr>
            <w:tcW w:w="240" w:type="dxa"/>
            <w:vAlign w:val="bottom"/>
            <w:tcBorders>
              <w:top w:val="single" w:sz="8" w:color="867F7C"/>
              <w:bottom w:val="single" w:sz="8" w:color="EFEBE9"/>
              <w:right w:val="single" w:sz="8" w:color="867F7C"/>
            </w:tcBorders>
            <w:shd w:val="clear" w:color="auto" w:fill="EFEBE9"/>
          </w:tcPr>
          <w:p>
            <w:pPr>
              <w:spacing w:after="0"/>
              <w:rPr>
                <w:sz w:val="24"/>
                <w:szCs w:val="24"/>
                <w:color w:val="auto"/>
              </w:rPr>
            </w:pPr>
          </w:p>
        </w:tc>
        <w:tc>
          <w:tcPr>
            <w:tcW w:w="1760" w:type="dxa"/>
            <w:vAlign w:val="bottom"/>
            <w:tcBorders>
              <w:top w:val="single" w:sz="8" w:color="867F7C"/>
              <w:bottom w:val="single" w:sz="8" w:color="EFEBE9"/>
              <w:right w:val="single" w:sz="8" w:color="867F7C"/>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RSUs</w:t>
            </w:r>
          </w:p>
        </w:tc>
        <w:tc>
          <w:tcPr>
            <w:tcW w:w="0" w:type="dxa"/>
            <w:vAlign w:val="bottom"/>
          </w:tcPr>
          <w:p>
            <w:pPr>
              <w:spacing w:after="0"/>
              <w:rPr>
                <w:sz w:val="1"/>
                <w:szCs w:val="1"/>
                <w:color w:val="auto"/>
              </w:rPr>
            </w:pPr>
          </w:p>
        </w:tc>
      </w:tr>
      <w:tr>
        <w:trPr>
          <w:trHeight w:val="235"/>
        </w:trPr>
        <w:tc>
          <w:tcPr>
            <w:tcW w:w="1860" w:type="dxa"/>
            <w:vAlign w:val="bottom"/>
            <w:tcBorders>
              <w:top w:val="single" w:sz="8" w:color="867F7C"/>
              <w:left w:val="single" w:sz="8" w:color="867F7C"/>
              <w:right w:val="single" w:sz="8" w:color="867F7C"/>
            </w:tcBorders>
          </w:tcPr>
          <w:p>
            <w:pPr>
              <w:ind w:left="160"/>
              <w:spacing w:after="0"/>
              <w:rPr>
                <w:sz w:val="20"/>
                <w:szCs w:val="20"/>
                <w:color w:val="auto"/>
              </w:rPr>
            </w:pPr>
            <w:r>
              <w:rPr>
                <w:rFonts w:ascii="Arial" w:cs="Arial" w:eastAsia="Arial" w:hAnsi="Arial"/>
                <w:sz w:val="14"/>
                <w:szCs w:val="14"/>
                <w:b w:val="1"/>
                <w:bCs w:val="1"/>
                <w:color w:val="4CCEDE"/>
              </w:rPr>
              <w:t>Recipient</w:t>
            </w:r>
          </w:p>
        </w:tc>
        <w:tc>
          <w:tcPr>
            <w:tcW w:w="1820" w:type="dxa"/>
            <w:vAlign w:val="bottom"/>
            <w:tcBorders>
              <w:top w:val="single" w:sz="8" w:color="867F7C"/>
            </w:tcBorders>
          </w:tcPr>
          <w:p>
            <w:pPr>
              <w:spacing w:after="0"/>
              <w:rPr>
                <w:sz w:val="20"/>
                <w:szCs w:val="20"/>
                <w:color w:val="auto"/>
              </w:rPr>
            </w:pPr>
          </w:p>
        </w:tc>
        <w:tc>
          <w:tcPr>
            <w:tcW w:w="3400" w:type="dxa"/>
            <w:vAlign w:val="bottom"/>
            <w:tcBorders>
              <w:top w:val="single" w:sz="8" w:color="867F7C"/>
            </w:tcBorders>
            <w:gridSpan w:val="2"/>
          </w:tcPr>
          <w:p>
            <w:pPr>
              <w:ind w:left="1520"/>
              <w:spacing w:after="0"/>
              <w:rPr>
                <w:sz w:val="20"/>
                <w:szCs w:val="20"/>
                <w:color w:val="auto"/>
              </w:rPr>
            </w:pPr>
            <w:r>
              <w:rPr>
                <w:rFonts w:ascii="Arial" w:cs="Arial" w:eastAsia="Arial" w:hAnsi="Arial"/>
                <w:sz w:val="14"/>
                <w:szCs w:val="14"/>
                <w:color w:val="auto"/>
              </w:rPr>
              <w:t>All NEOs</w:t>
            </w:r>
          </w:p>
        </w:tc>
        <w:tc>
          <w:tcPr>
            <w:tcW w:w="240" w:type="dxa"/>
            <w:vAlign w:val="bottom"/>
            <w:tcBorders>
              <w:top w:val="single" w:sz="8" w:color="867F7C"/>
            </w:tcBorders>
          </w:tcPr>
          <w:p>
            <w:pPr>
              <w:spacing w:after="0"/>
              <w:rPr>
                <w:sz w:val="20"/>
                <w:szCs w:val="20"/>
                <w:color w:val="auto"/>
              </w:rPr>
            </w:pPr>
          </w:p>
        </w:tc>
        <w:tc>
          <w:tcPr>
            <w:tcW w:w="1760" w:type="dxa"/>
            <w:vAlign w:val="bottom"/>
            <w:tcBorders>
              <w:top w:val="single" w:sz="8" w:color="867F7C"/>
              <w:right w:val="single" w:sz="8" w:color="867F7C"/>
            </w:tcBorders>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860" w:type="dxa"/>
            <w:vAlign w:val="bottom"/>
            <w:tcBorders>
              <w:left w:val="single" w:sz="8" w:color="867F7C"/>
              <w:bottom w:val="single" w:sz="8" w:color="867F7C"/>
              <w:right w:val="single" w:sz="8" w:color="867F7C"/>
            </w:tcBorders>
          </w:tcPr>
          <w:p>
            <w:pPr>
              <w:spacing w:after="0"/>
              <w:rPr>
                <w:sz w:val="2"/>
                <w:szCs w:val="2"/>
                <w:color w:val="auto"/>
              </w:rPr>
            </w:pPr>
          </w:p>
        </w:tc>
        <w:tc>
          <w:tcPr>
            <w:tcW w:w="1820" w:type="dxa"/>
            <w:vAlign w:val="bottom"/>
            <w:tcBorders>
              <w:bottom w:val="single" w:sz="8" w:color="867F7C"/>
            </w:tcBorders>
          </w:tcPr>
          <w:p>
            <w:pPr>
              <w:spacing w:after="0"/>
              <w:rPr>
                <w:sz w:val="2"/>
                <w:szCs w:val="2"/>
                <w:color w:val="auto"/>
              </w:rPr>
            </w:pPr>
          </w:p>
        </w:tc>
        <w:tc>
          <w:tcPr>
            <w:tcW w:w="1840" w:type="dxa"/>
            <w:vAlign w:val="bottom"/>
            <w:tcBorders>
              <w:bottom w:val="single" w:sz="8" w:color="867F7C"/>
            </w:tcBorders>
          </w:tcPr>
          <w:p>
            <w:pPr>
              <w:spacing w:after="0"/>
              <w:rPr>
                <w:sz w:val="2"/>
                <w:szCs w:val="2"/>
                <w:color w:val="auto"/>
              </w:rPr>
            </w:pPr>
          </w:p>
        </w:tc>
        <w:tc>
          <w:tcPr>
            <w:tcW w:w="1560" w:type="dxa"/>
            <w:vAlign w:val="bottom"/>
            <w:tcBorders>
              <w:bottom w:val="single" w:sz="8" w:color="867F7C"/>
            </w:tcBorders>
          </w:tcPr>
          <w:p>
            <w:pPr>
              <w:spacing w:after="0"/>
              <w:rPr>
                <w:sz w:val="2"/>
                <w:szCs w:val="2"/>
                <w:color w:val="auto"/>
              </w:rPr>
            </w:pPr>
          </w:p>
        </w:tc>
        <w:tc>
          <w:tcPr>
            <w:tcW w:w="240" w:type="dxa"/>
            <w:vAlign w:val="bottom"/>
            <w:tcBorders>
              <w:bottom w:val="single" w:sz="8" w:color="867F7C"/>
            </w:tcBorders>
          </w:tcPr>
          <w:p>
            <w:pPr>
              <w:spacing w:after="0"/>
              <w:rPr>
                <w:sz w:val="2"/>
                <w:szCs w:val="2"/>
                <w:color w:val="auto"/>
              </w:rPr>
            </w:pPr>
          </w:p>
        </w:tc>
        <w:tc>
          <w:tcPr>
            <w:tcW w:w="1760" w:type="dxa"/>
            <w:vAlign w:val="bottom"/>
            <w:tcBorders>
              <w:bottom w:val="single" w:sz="8" w:color="867F7C"/>
              <w:right w:val="single" w:sz="8" w:color="867F7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867F7C"/>
              <w:right w:val="single" w:sz="8" w:color="867F7C"/>
            </w:tcBorders>
          </w:tcPr>
          <w:p>
            <w:pPr>
              <w:ind w:left="160"/>
              <w:spacing w:after="0"/>
              <w:rPr>
                <w:sz w:val="20"/>
                <w:szCs w:val="20"/>
                <w:color w:val="auto"/>
              </w:rPr>
            </w:pPr>
            <w:r>
              <w:rPr>
                <w:rFonts w:ascii="Arial" w:cs="Arial" w:eastAsia="Arial" w:hAnsi="Arial"/>
                <w:sz w:val="14"/>
                <w:szCs w:val="14"/>
                <w:b w:val="1"/>
                <w:bCs w:val="1"/>
                <w:color w:val="4CCEDE"/>
              </w:rPr>
              <w:t>When Granted /</w:t>
            </w:r>
          </w:p>
        </w:tc>
        <w:tc>
          <w:tcPr>
            <w:tcW w:w="182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Reviewed annually</w:t>
            </w:r>
          </w:p>
        </w:tc>
        <w:tc>
          <w:tcPr>
            <w:tcW w:w="1840" w:type="dxa"/>
            <w:vAlign w:val="bottom"/>
            <w:tcBorders>
              <w:right w:val="single" w:sz="8" w:color="867F7C"/>
            </w:tcBorders>
          </w:tcPr>
          <w:p>
            <w:pPr>
              <w:jc w:val="center"/>
              <w:spacing w:after="0"/>
              <w:rPr>
                <w:sz w:val="20"/>
                <w:szCs w:val="20"/>
                <w:color w:val="auto"/>
              </w:rPr>
            </w:pPr>
            <w:r>
              <w:rPr>
                <w:rFonts w:ascii="Arial" w:cs="Arial" w:eastAsia="Arial" w:hAnsi="Arial"/>
                <w:sz w:val="14"/>
                <w:szCs w:val="14"/>
                <w:color w:val="auto"/>
              </w:rPr>
              <w:t>Annually for prior year</w:t>
            </w:r>
          </w:p>
        </w:tc>
        <w:tc>
          <w:tcPr>
            <w:tcW w:w="3560" w:type="dxa"/>
            <w:vAlign w:val="bottom"/>
            <w:tcBorders>
              <w:right w:val="single" w:sz="8" w:color="867F7C"/>
            </w:tcBorders>
            <w:gridSpan w:val="3"/>
            <w:vMerge w:val="restart"/>
          </w:tcPr>
          <w:p>
            <w:pPr>
              <w:jc w:val="center"/>
              <w:ind w:left="8"/>
              <w:spacing w:after="0"/>
              <w:rPr>
                <w:sz w:val="20"/>
                <w:szCs w:val="20"/>
                <w:color w:val="auto"/>
              </w:rPr>
            </w:pPr>
            <w:r>
              <w:rPr>
                <w:rFonts w:ascii="Arial" w:cs="Arial" w:eastAsia="Arial" w:hAnsi="Arial"/>
                <w:sz w:val="14"/>
                <w:szCs w:val="14"/>
                <w:color w:val="auto"/>
              </w:rPr>
              <w:t>First fiscal quarter, annually</w:t>
            </w:r>
          </w:p>
        </w:tc>
        <w:tc>
          <w:tcPr>
            <w:tcW w:w="0" w:type="dxa"/>
            <w:vAlign w:val="bottom"/>
          </w:tcPr>
          <w:p>
            <w:pPr>
              <w:spacing w:after="0"/>
              <w:rPr>
                <w:sz w:val="1"/>
                <w:szCs w:val="1"/>
                <w:color w:val="auto"/>
              </w:rPr>
            </w:pPr>
          </w:p>
        </w:tc>
      </w:tr>
      <w:tr>
        <w:trPr>
          <w:trHeight w:val="109"/>
        </w:trPr>
        <w:tc>
          <w:tcPr>
            <w:tcW w:w="1860" w:type="dxa"/>
            <w:vAlign w:val="bottom"/>
            <w:tcBorders>
              <w:left w:val="single" w:sz="8" w:color="867F7C"/>
              <w:right w:val="single" w:sz="8" w:color="867F7C"/>
            </w:tcBorders>
            <w:vMerge w:val="restart"/>
          </w:tcPr>
          <w:p>
            <w:pPr>
              <w:ind w:left="160"/>
              <w:spacing w:after="0"/>
              <w:rPr>
                <w:sz w:val="20"/>
                <w:szCs w:val="20"/>
                <w:color w:val="auto"/>
              </w:rPr>
            </w:pPr>
            <w:r>
              <w:rPr>
                <w:rFonts w:ascii="Arial" w:cs="Arial" w:eastAsia="Arial" w:hAnsi="Arial"/>
                <w:sz w:val="14"/>
                <w:szCs w:val="14"/>
                <w:b w:val="1"/>
                <w:bCs w:val="1"/>
                <w:color w:val="4CCEDE"/>
              </w:rPr>
              <w:t>Received or Reviewed</w:t>
            </w:r>
          </w:p>
        </w:tc>
        <w:tc>
          <w:tcPr>
            <w:tcW w:w="1820" w:type="dxa"/>
            <w:vAlign w:val="bottom"/>
            <w:tcBorders>
              <w:right w:val="single" w:sz="8" w:color="867F7C"/>
            </w:tcBorders>
            <w:vMerge w:val="continue"/>
          </w:tcPr>
          <w:p>
            <w:pPr>
              <w:spacing w:after="0"/>
              <w:rPr>
                <w:sz w:val="9"/>
                <w:szCs w:val="9"/>
                <w:color w:val="auto"/>
              </w:rPr>
            </w:pPr>
          </w:p>
        </w:tc>
        <w:tc>
          <w:tcPr>
            <w:tcW w:w="1840" w:type="dxa"/>
            <w:vAlign w:val="bottom"/>
            <w:tcBorders>
              <w:right w:val="single" w:sz="8" w:color="867F7C"/>
            </w:tcBorders>
            <w:vMerge w:val="restart"/>
          </w:tcPr>
          <w:p>
            <w:pPr>
              <w:jc w:val="center"/>
              <w:ind w:left="8"/>
              <w:spacing w:after="0"/>
              <w:rPr>
                <w:sz w:val="20"/>
                <w:szCs w:val="20"/>
                <w:color w:val="auto"/>
              </w:rPr>
            </w:pPr>
            <w:r>
              <w:rPr>
                <w:rFonts w:ascii="Arial" w:cs="Arial" w:eastAsia="Arial" w:hAnsi="Arial"/>
                <w:sz w:val="14"/>
                <w:szCs w:val="14"/>
                <w:color w:val="auto"/>
              </w:rPr>
              <w:t>performance</w:t>
            </w:r>
          </w:p>
        </w:tc>
        <w:tc>
          <w:tcPr>
            <w:tcW w:w="3560" w:type="dxa"/>
            <w:vAlign w:val="bottom"/>
            <w:tcBorders>
              <w:right w:val="single" w:sz="8" w:color="867F7C"/>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60" w:type="dxa"/>
            <w:vAlign w:val="bottom"/>
            <w:tcBorders>
              <w:left w:val="single" w:sz="8" w:color="867F7C"/>
              <w:right w:val="single" w:sz="8" w:color="867F7C"/>
            </w:tcBorders>
            <w:vMerge w:val="continue"/>
          </w:tcPr>
          <w:p>
            <w:pPr>
              <w:spacing w:after="0"/>
              <w:rPr>
                <w:sz w:val="7"/>
                <w:szCs w:val="7"/>
                <w:color w:val="auto"/>
              </w:rPr>
            </w:pPr>
          </w:p>
        </w:tc>
        <w:tc>
          <w:tcPr>
            <w:tcW w:w="1820" w:type="dxa"/>
            <w:vAlign w:val="bottom"/>
            <w:tcBorders>
              <w:right w:val="single" w:sz="8" w:color="867F7C"/>
            </w:tcBorders>
          </w:tcPr>
          <w:p>
            <w:pPr>
              <w:spacing w:after="0"/>
              <w:rPr>
                <w:sz w:val="7"/>
                <w:szCs w:val="7"/>
                <w:color w:val="auto"/>
              </w:rPr>
            </w:pPr>
          </w:p>
        </w:tc>
        <w:tc>
          <w:tcPr>
            <w:tcW w:w="1840" w:type="dxa"/>
            <w:vAlign w:val="bottom"/>
            <w:tcBorders>
              <w:right w:val="single" w:sz="8" w:color="867F7C"/>
            </w:tcBorders>
            <w:vMerge w:val="continue"/>
          </w:tcPr>
          <w:p>
            <w:pPr>
              <w:spacing w:after="0"/>
              <w:rPr>
                <w:sz w:val="7"/>
                <w:szCs w:val="7"/>
                <w:color w:val="auto"/>
              </w:rPr>
            </w:pPr>
          </w:p>
        </w:tc>
        <w:tc>
          <w:tcPr>
            <w:tcW w:w="1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60" w:type="dxa"/>
            <w:vAlign w:val="bottom"/>
            <w:tcBorders>
              <w:right w:val="single" w:sz="8" w:color="867F7C"/>
            </w:tcBorders>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860" w:type="dxa"/>
            <w:vAlign w:val="bottom"/>
            <w:tcBorders>
              <w:left w:val="single" w:sz="8" w:color="867F7C"/>
              <w:bottom w:val="single" w:sz="8" w:color="867F7C"/>
              <w:right w:val="single" w:sz="8" w:color="867F7C"/>
            </w:tcBorders>
          </w:tcPr>
          <w:p>
            <w:pPr>
              <w:spacing w:after="0"/>
              <w:rPr>
                <w:sz w:val="2"/>
                <w:szCs w:val="2"/>
                <w:color w:val="auto"/>
              </w:rPr>
            </w:pPr>
          </w:p>
        </w:tc>
        <w:tc>
          <w:tcPr>
            <w:tcW w:w="1820" w:type="dxa"/>
            <w:vAlign w:val="bottom"/>
            <w:tcBorders>
              <w:bottom w:val="single" w:sz="8" w:color="867F7C"/>
              <w:right w:val="single" w:sz="8" w:color="867F7C"/>
            </w:tcBorders>
          </w:tcPr>
          <w:p>
            <w:pPr>
              <w:spacing w:after="0"/>
              <w:rPr>
                <w:sz w:val="2"/>
                <w:szCs w:val="2"/>
                <w:color w:val="auto"/>
              </w:rPr>
            </w:pPr>
          </w:p>
        </w:tc>
        <w:tc>
          <w:tcPr>
            <w:tcW w:w="1840" w:type="dxa"/>
            <w:vAlign w:val="bottom"/>
            <w:tcBorders>
              <w:bottom w:val="single" w:sz="8" w:color="867F7C"/>
              <w:right w:val="single" w:sz="8" w:color="867F7C"/>
            </w:tcBorders>
          </w:tcPr>
          <w:p>
            <w:pPr>
              <w:spacing w:after="0"/>
              <w:rPr>
                <w:sz w:val="2"/>
                <w:szCs w:val="2"/>
                <w:color w:val="auto"/>
              </w:rPr>
            </w:pPr>
          </w:p>
        </w:tc>
        <w:tc>
          <w:tcPr>
            <w:tcW w:w="1560" w:type="dxa"/>
            <w:vAlign w:val="bottom"/>
            <w:tcBorders>
              <w:bottom w:val="single" w:sz="8" w:color="867F7C"/>
            </w:tcBorders>
          </w:tcPr>
          <w:p>
            <w:pPr>
              <w:spacing w:after="0"/>
              <w:rPr>
                <w:sz w:val="2"/>
                <w:szCs w:val="2"/>
                <w:color w:val="auto"/>
              </w:rPr>
            </w:pPr>
          </w:p>
        </w:tc>
        <w:tc>
          <w:tcPr>
            <w:tcW w:w="2000" w:type="dxa"/>
            <w:vAlign w:val="bottom"/>
            <w:tcBorders>
              <w:bottom w:val="single" w:sz="8" w:color="867F7C"/>
              <w:right w:val="single" w:sz="8" w:color="867F7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860" w:type="dxa"/>
            <w:vAlign w:val="bottom"/>
            <w:tcBorders>
              <w:left w:val="single" w:sz="8" w:color="867F7C"/>
              <w:right w:val="single" w:sz="8" w:color="867F7C"/>
            </w:tcBorders>
          </w:tcPr>
          <w:p>
            <w:pPr>
              <w:ind w:left="160"/>
              <w:spacing w:after="0"/>
              <w:rPr>
                <w:sz w:val="20"/>
                <w:szCs w:val="20"/>
                <w:color w:val="auto"/>
              </w:rPr>
            </w:pPr>
            <w:r>
              <w:rPr>
                <w:rFonts w:ascii="Arial" w:cs="Arial" w:eastAsia="Arial" w:hAnsi="Arial"/>
                <w:sz w:val="14"/>
                <w:szCs w:val="14"/>
                <w:b w:val="1"/>
                <w:bCs w:val="1"/>
                <w:color w:val="4CCEDE"/>
              </w:rPr>
              <w:t>Form of Delivery</w:t>
            </w:r>
          </w:p>
        </w:tc>
        <w:tc>
          <w:tcPr>
            <w:tcW w:w="3660" w:type="dxa"/>
            <w:vAlign w:val="bottom"/>
            <w:tcBorders>
              <w:right w:val="single" w:sz="8" w:color="867F7C"/>
            </w:tcBorders>
            <w:gridSpan w:val="2"/>
          </w:tcPr>
          <w:p>
            <w:pPr>
              <w:jc w:val="center"/>
              <w:spacing w:after="0"/>
              <w:rPr>
                <w:sz w:val="20"/>
                <w:szCs w:val="20"/>
                <w:color w:val="auto"/>
              </w:rPr>
            </w:pPr>
            <w:r>
              <w:rPr>
                <w:rFonts w:ascii="Arial" w:cs="Arial" w:eastAsia="Arial" w:hAnsi="Arial"/>
                <w:sz w:val="14"/>
                <w:szCs w:val="14"/>
                <w:color w:val="auto"/>
              </w:rPr>
              <w:t>Cash</w:t>
            </w:r>
          </w:p>
        </w:tc>
        <w:tc>
          <w:tcPr>
            <w:tcW w:w="1560" w:type="dxa"/>
            <w:vAlign w:val="bottom"/>
          </w:tcPr>
          <w:p>
            <w:pPr>
              <w:spacing w:after="0"/>
              <w:rPr>
                <w:sz w:val="21"/>
                <w:szCs w:val="21"/>
                <w:color w:val="auto"/>
              </w:rPr>
            </w:pPr>
          </w:p>
        </w:tc>
        <w:tc>
          <w:tcPr>
            <w:tcW w:w="2000" w:type="dxa"/>
            <w:vAlign w:val="bottom"/>
            <w:tcBorders>
              <w:right w:val="single" w:sz="8" w:color="867F7C"/>
            </w:tcBorders>
            <w:gridSpan w:val="2"/>
          </w:tcPr>
          <w:p>
            <w:pPr>
              <w:jc w:val="center"/>
              <w:ind w:right="140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9"/>
        </w:trPr>
        <w:tc>
          <w:tcPr>
            <w:tcW w:w="1860" w:type="dxa"/>
            <w:vAlign w:val="bottom"/>
            <w:tcBorders>
              <w:left w:val="single" w:sz="8" w:color="867F7C"/>
              <w:bottom w:val="single" w:sz="8" w:color="867F7C"/>
              <w:right w:val="single" w:sz="8" w:color="867F7C"/>
            </w:tcBorders>
          </w:tcPr>
          <w:p>
            <w:pPr>
              <w:spacing w:after="0"/>
              <w:rPr>
                <w:sz w:val="2"/>
                <w:szCs w:val="2"/>
                <w:color w:val="auto"/>
              </w:rPr>
            </w:pPr>
          </w:p>
        </w:tc>
        <w:tc>
          <w:tcPr>
            <w:tcW w:w="3660" w:type="dxa"/>
            <w:vAlign w:val="bottom"/>
            <w:tcBorders>
              <w:bottom w:val="single" w:sz="8" w:color="867F7C"/>
              <w:right w:val="single" w:sz="8" w:color="867F7C"/>
            </w:tcBorders>
            <w:gridSpan w:val="2"/>
          </w:tcPr>
          <w:p>
            <w:pPr>
              <w:spacing w:after="0"/>
              <w:rPr>
                <w:sz w:val="2"/>
                <w:szCs w:val="2"/>
                <w:color w:val="auto"/>
              </w:rPr>
            </w:pPr>
          </w:p>
        </w:tc>
        <w:tc>
          <w:tcPr>
            <w:tcW w:w="3560" w:type="dxa"/>
            <w:vAlign w:val="bottom"/>
            <w:tcBorders>
              <w:bottom w:val="single" w:sz="8" w:color="867F7C"/>
              <w:right w:val="single" w:sz="8" w:color="867F7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860" w:type="dxa"/>
            <w:vAlign w:val="bottom"/>
            <w:tcBorders>
              <w:left w:val="single" w:sz="8" w:color="867F7C"/>
              <w:right w:val="single" w:sz="8" w:color="867F7C"/>
            </w:tcBorders>
          </w:tcPr>
          <w:p>
            <w:pPr>
              <w:ind w:left="160"/>
              <w:spacing w:after="0"/>
              <w:rPr>
                <w:sz w:val="20"/>
                <w:szCs w:val="20"/>
                <w:color w:val="auto"/>
              </w:rPr>
            </w:pPr>
            <w:r>
              <w:rPr>
                <w:rFonts w:ascii="Arial" w:cs="Arial" w:eastAsia="Arial" w:hAnsi="Arial"/>
                <w:sz w:val="14"/>
                <w:szCs w:val="14"/>
                <w:b w:val="1"/>
                <w:bCs w:val="1"/>
                <w:color w:val="4CCEDE"/>
              </w:rPr>
              <w:t>Type of Performance</w:t>
            </w:r>
          </w:p>
        </w:tc>
        <w:tc>
          <w:tcPr>
            <w:tcW w:w="3660" w:type="dxa"/>
            <w:vAlign w:val="bottom"/>
            <w:tcBorders>
              <w:right w:val="single" w:sz="8" w:color="867F7C"/>
            </w:tcBorders>
            <w:gridSpan w:val="2"/>
          </w:tcPr>
          <w:p>
            <w:pPr>
              <w:jc w:val="center"/>
              <w:spacing w:after="0"/>
              <w:rPr>
                <w:sz w:val="20"/>
                <w:szCs w:val="20"/>
                <w:color w:val="auto"/>
              </w:rPr>
            </w:pPr>
            <w:r>
              <w:rPr>
                <w:rFonts w:ascii="Arial" w:cs="Arial" w:eastAsia="Arial" w:hAnsi="Arial"/>
                <w:sz w:val="14"/>
                <w:szCs w:val="14"/>
                <w:color w:val="auto"/>
              </w:rPr>
              <w:t>Short-term emphasis</w:t>
            </w:r>
          </w:p>
        </w:tc>
        <w:tc>
          <w:tcPr>
            <w:tcW w:w="3560" w:type="dxa"/>
            <w:vAlign w:val="bottom"/>
            <w:tcBorders>
              <w:right w:val="single" w:sz="8" w:color="867F7C"/>
            </w:tcBorders>
            <w:gridSpan w:val="3"/>
          </w:tcPr>
          <w:p>
            <w:pPr>
              <w:jc w:val="center"/>
              <w:spacing w:after="0"/>
              <w:rPr>
                <w:sz w:val="20"/>
                <w:szCs w:val="20"/>
                <w:color w:val="auto"/>
              </w:rPr>
            </w:pPr>
            <w:r>
              <w:rPr>
                <w:rFonts w:ascii="Arial" w:cs="Arial" w:eastAsia="Arial" w:hAnsi="Arial"/>
                <w:sz w:val="14"/>
                <w:szCs w:val="14"/>
                <w:color w:val="auto"/>
              </w:rPr>
              <w:t>Long-term emphasis</w:t>
            </w:r>
          </w:p>
        </w:tc>
        <w:tc>
          <w:tcPr>
            <w:tcW w:w="0" w:type="dxa"/>
            <w:vAlign w:val="bottom"/>
          </w:tcPr>
          <w:p>
            <w:pPr>
              <w:spacing w:after="0"/>
              <w:rPr>
                <w:sz w:val="1"/>
                <w:szCs w:val="1"/>
                <w:color w:val="auto"/>
              </w:rPr>
            </w:pPr>
          </w:p>
        </w:tc>
      </w:tr>
      <w:tr>
        <w:trPr>
          <w:trHeight w:val="29"/>
        </w:trPr>
        <w:tc>
          <w:tcPr>
            <w:tcW w:w="1860" w:type="dxa"/>
            <w:vAlign w:val="bottom"/>
            <w:tcBorders>
              <w:left w:val="single" w:sz="8" w:color="867F7C"/>
              <w:bottom w:val="single" w:sz="8" w:color="867F7C"/>
              <w:right w:val="single" w:sz="8" w:color="867F7C"/>
            </w:tcBorders>
          </w:tcPr>
          <w:p>
            <w:pPr>
              <w:spacing w:after="0"/>
              <w:rPr>
                <w:sz w:val="2"/>
                <w:szCs w:val="2"/>
                <w:color w:val="auto"/>
              </w:rPr>
            </w:pPr>
          </w:p>
        </w:tc>
        <w:tc>
          <w:tcPr>
            <w:tcW w:w="1820" w:type="dxa"/>
            <w:vAlign w:val="bottom"/>
            <w:tcBorders>
              <w:bottom w:val="single" w:sz="8" w:color="867F7C"/>
            </w:tcBorders>
          </w:tcPr>
          <w:p>
            <w:pPr>
              <w:spacing w:after="0"/>
              <w:rPr>
                <w:sz w:val="2"/>
                <w:szCs w:val="2"/>
                <w:color w:val="auto"/>
              </w:rPr>
            </w:pPr>
          </w:p>
        </w:tc>
        <w:tc>
          <w:tcPr>
            <w:tcW w:w="1840" w:type="dxa"/>
            <w:vAlign w:val="bottom"/>
            <w:tcBorders>
              <w:bottom w:val="single" w:sz="8" w:color="867F7C"/>
              <w:right w:val="single" w:sz="8" w:color="867F7C"/>
            </w:tcBorders>
          </w:tcPr>
          <w:p>
            <w:pPr>
              <w:spacing w:after="0"/>
              <w:rPr>
                <w:sz w:val="2"/>
                <w:szCs w:val="2"/>
                <w:color w:val="auto"/>
              </w:rPr>
            </w:pPr>
          </w:p>
        </w:tc>
        <w:tc>
          <w:tcPr>
            <w:tcW w:w="1560" w:type="dxa"/>
            <w:vAlign w:val="bottom"/>
            <w:tcBorders>
              <w:bottom w:val="single" w:sz="8" w:color="867F7C"/>
            </w:tcBorders>
          </w:tcPr>
          <w:p>
            <w:pPr>
              <w:spacing w:after="0"/>
              <w:rPr>
                <w:sz w:val="2"/>
                <w:szCs w:val="2"/>
                <w:color w:val="auto"/>
              </w:rPr>
            </w:pPr>
          </w:p>
        </w:tc>
        <w:tc>
          <w:tcPr>
            <w:tcW w:w="2000" w:type="dxa"/>
            <w:vAlign w:val="bottom"/>
            <w:tcBorders>
              <w:bottom w:val="single" w:sz="8" w:color="867F7C"/>
              <w:right w:val="single" w:sz="8" w:color="867F7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860" w:type="dxa"/>
            <w:vAlign w:val="bottom"/>
            <w:tcBorders>
              <w:left w:val="single" w:sz="8" w:color="867F7C"/>
              <w:right w:val="single" w:sz="8" w:color="867F7C"/>
            </w:tcBorders>
          </w:tcPr>
          <w:p>
            <w:pPr>
              <w:ind w:left="160"/>
              <w:spacing w:after="0"/>
              <w:rPr>
                <w:sz w:val="20"/>
                <w:szCs w:val="20"/>
                <w:color w:val="auto"/>
              </w:rPr>
            </w:pPr>
            <w:r>
              <w:rPr>
                <w:rFonts w:ascii="Arial" w:cs="Arial" w:eastAsia="Arial" w:hAnsi="Arial"/>
                <w:sz w:val="14"/>
                <w:szCs w:val="14"/>
                <w:b w:val="1"/>
                <w:bCs w:val="1"/>
                <w:color w:val="4CCEDE"/>
              </w:rPr>
              <w:t>Performance Period</w:t>
            </w:r>
          </w:p>
        </w:tc>
        <w:tc>
          <w:tcPr>
            <w:tcW w:w="1820" w:type="dxa"/>
            <w:vAlign w:val="bottom"/>
            <w:tcBorders>
              <w:right w:val="single" w:sz="8" w:color="867F7C"/>
            </w:tcBorders>
          </w:tcPr>
          <w:p>
            <w:pPr>
              <w:jc w:val="center"/>
              <w:spacing w:after="0"/>
              <w:rPr>
                <w:sz w:val="20"/>
                <w:szCs w:val="20"/>
                <w:color w:val="auto"/>
              </w:rPr>
            </w:pPr>
            <w:r>
              <w:rPr>
                <w:rFonts w:ascii="Arial" w:cs="Arial" w:eastAsia="Arial" w:hAnsi="Arial"/>
                <w:sz w:val="14"/>
                <w:szCs w:val="14"/>
                <w:color w:val="auto"/>
              </w:rPr>
              <w:t>Ongoing</w:t>
            </w:r>
          </w:p>
        </w:tc>
        <w:tc>
          <w:tcPr>
            <w:tcW w:w="1840" w:type="dxa"/>
            <w:vAlign w:val="bottom"/>
            <w:tcBorders>
              <w:right w:val="single" w:sz="8" w:color="867F7C"/>
            </w:tcBorders>
          </w:tcPr>
          <w:p>
            <w:pPr>
              <w:jc w:val="center"/>
              <w:ind w:left="8"/>
              <w:spacing w:after="0"/>
              <w:rPr>
                <w:sz w:val="20"/>
                <w:szCs w:val="20"/>
                <w:color w:val="auto"/>
              </w:rPr>
            </w:pPr>
            <w:r>
              <w:rPr>
                <w:rFonts w:ascii="Arial" w:cs="Arial" w:eastAsia="Arial" w:hAnsi="Arial"/>
                <w:sz w:val="14"/>
                <w:szCs w:val="14"/>
                <w:color w:val="auto"/>
              </w:rPr>
              <w:t>1 Year</w:t>
            </w:r>
          </w:p>
        </w:tc>
        <w:tc>
          <w:tcPr>
            <w:tcW w:w="1560" w:type="dxa"/>
            <w:vAlign w:val="bottom"/>
          </w:tcPr>
          <w:p>
            <w:pPr>
              <w:spacing w:after="0"/>
              <w:rPr>
                <w:sz w:val="21"/>
                <w:szCs w:val="21"/>
                <w:color w:val="auto"/>
              </w:rPr>
            </w:pPr>
          </w:p>
        </w:tc>
        <w:tc>
          <w:tcPr>
            <w:tcW w:w="2000" w:type="dxa"/>
            <w:vAlign w:val="bottom"/>
            <w:tcBorders>
              <w:right w:val="single" w:sz="8" w:color="867F7C"/>
            </w:tcBorders>
            <w:gridSpan w:val="2"/>
          </w:tcPr>
          <w:p>
            <w:pPr>
              <w:jc w:val="center"/>
              <w:ind w:right="1428"/>
              <w:spacing w:after="0"/>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29"/>
        </w:trPr>
        <w:tc>
          <w:tcPr>
            <w:tcW w:w="1860" w:type="dxa"/>
            <w:vAlign w:val="bottom"/>
            <w:tcBorders>
              <w:left w:val="single" w:sz="8" w:color="867F7C"/>
              <w:bottom w:val="single" w:sz="8" w:color="867F7C"/>
              <w:right w:val="single" w:sz="8" w:color="867F7C"/>
            </w:tcBorders>
          </w:tcPr>
          <w:p>
            <w:pPr>
              <w:spacing w:after="0"/>
              <w:rPr>
                <w:sz w:val="2"/>
                <w:szCs w:val="2"/>
                <w:color w:val="auto"/>
              </w:rPr>
            </w:pPr>
          </w:p>
        </w:tc>
        <w:tc>
          <w:tcPr>
            <w:tcW w:w="1820" w:type="dxa"/>
            <w:vAlign w:val="bottom"/>
            <w:tcBorders>
              <w:bottom w:val="single" w:sz="8" w:color="867F7C"/>
              <w:right w:val="single" w:sz="8" w:color="867F7C"/>
            </w:tcBorders>
          </w:tcPr>
          <w:p>
            <w:pPr>
              <w:spacing w:after="0"/>
              <w:rPr>
                <w:sz w:val="2"/>
                <w:szCs w:val="2"/>
                <w:color w:val="auto"/>
              </w:rPr>
            </w:pPr>
          </w:p>
        </w:tc>
        <w:tc>
          <w:tcPr>
            <w:tcW w:w="1840" w:type="dxa"/>
            <w:vAlign w:val="bottom"/>
            <w:tcBorders>
              <w:bottom w:val="single" w:sz="8" w:color="867F7C"/>
              <w:right w:val="single" w:sz="8" w:color="867F7C"/>
            </w:tcBorders>
          </w:tcPr>
          <w:p>
            <w:pPr>
              <w:spacing w:after="0"/>
              <w:rPr>
                <w:sz w:val="2"/>
                <w:szCs w:val="2"/>
                <w:color w:val="auto"/>
              </w:rPr>
            </w:pPr>
          </w:p>
        </w:tc>
        <w:tc>
          <w:tcPr>
            <w:tcW w:w="3560" w:type="dxa"/>
            <w:vAlign w:val="bottom"/>
            <w:tcBorders>
              <w:bottom w:val="single" w:sz="8" w:color="867F7C"/>
              <w:right w:val="single" w:sz="8" w:color="867F7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867F7C"/>
              <w:right w:val="single" w:sz="8" w:color="867F7C"/>
            </w:tcBorders>
          </w:tcPr>
          <w:p>
            <w:pPr>
              <w:spacing w:after="0"/>
              <w:rPr>
                <w:sz w:val="18"/>
                <w:szCs w:val="18"/>
                <w:color w:val="auto"/>
              </w:rPr>
            </w:pPr>
          </w:p>
        </w:tc>
        <w:tc>
          <w:tcPr>
            <w:tcW w:w="1820" w:type="dxa"/>
            <w:vAlign w:val="bottom"/>
            <w:tcBorders>
              <w:right w:val="single" w:sz="8" w:color="867F7C"/>
            </w:tcBorders>
          </w:tcPr>
          <w:p>
            <w:pPr>
              <w:jc w:val="center"/>
              <w:spacing w:after="0"/>
              <w:rPr>
                <w:sz w:val="20"/>
                <w:szCs w:val="20"/>
                <w:color w:val="auto"/>
              </w:rPr>
            </w:pPr>
            <w:r>
              <w:rPr>
                <w:rFonts w:ascii="Arial" w:cs="Arial" w:eastAsia="Arial" w:hAnsi="Arial"/>
                <w:sz w:val="14"/>
                <w:szCs w:val="14"/>
                <w:color w:val="auto"/>
              </w:rPr>
              <w:t>Compensation Committee</w:t>
            </w:r>
          </w:p>
        </w:tc>
        <w:tc>
          <w:tcPr>
            <w:tcW w:w="18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Formulaic; Compensation</w:t>
            </w:r>
          </w:p>
        </w:tc>
        <w:tc>
          <w:tcPr>
            <w:tcW w:w="1800" w:type="dxa"/>
            <w:vAlign w:val="bottom"/>
            <w:tcBorders>
              <w:right w:val="single" w:sz="8" w:color="867F7C"/>
            </w:tcBorders>
            <w:gridSpan w:val="2"/>
          </w:tcPr>
          <w:p>
            <w:pPr>
              <w:jc w:val="center"/>
              <w:spacing w:after="0"/>
              <w:rPr>
                <w:sz w:val="20"/>
                <w:szCs w:val="20"/>
                <w:color w:val="auto"/>
              </w:rPr>
            </w:pPr>
            <w:r>
              <w:rPr>
                <w:rFonts w:ascii="Arial" w:cs="Arial" w:eastAsia="Arial" w:hAnsi="Arial"/>
                <w:sz w:val="14"/>
                <w:szCs w:val="14"/>
                <w:color w:val="auto"/>
              </w:rPr>
              <w:t>Formulaic; Compensation</w:t>
            </w:r>
          </w:p>
        </w:tc>
        <w:tc>
          <w:tcPr>
            <w:tcW w:w="1760" w:type="dxa"/>
            <w:vAlign w:val="bottom"/>
            <w:tcBorders>
              <w:right w:val="single" w:sz="8" w:color="867F7C"/>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vMerge w:val="restart"/>
          </w:tcPr>
          <w:p>
            <w:pPr>
              <w:ind w:left="160"/>
              <w:spacing w:after="0"/>
              <w:rPr>
                <w:sz w:val="20"/>
                <w:szCs w:val="20"/>
                <w:color w:val="auto"/>
              </w:rPr>
            </w:pPr>
            <w:r>
              <w:rPr>
                <w:rFonts w:ascii="Arial" w:cs="Arial" w:eastAsia="Arial" w:hAnsi="Arial"/>
                <w:sz w:val="14"/>
                <w:szCs w:val="14"/>
                <w:b w:val="1"/>
                <w:bCs w:val="1"/>
                <w:color w:val="4CCEDE"/>
              </w:rPr>
              <w:t>How Payout is</w:t>
            </w:r>
          </w:p>
        </w:tc>
        <w:tc>
          <w:tcPr>
            <w:tcW w:w="182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judgment based on</w:t>
            </w:r>
          </w:p>
        </w:tc>
        <w:tc>
          <w:tcPr>
            <w:tcW w:w="1840" w:type="dxa"/>
            <w:vAlign w:val="bottom"/>
            <w:tcBorders>
              <w:right w:val="single" w:sz="8" w:color="867F7C"/>
            </w:tcBorders>
            <w:vMerge w:val="continue"/>
          </w:tcPr>
          <w:p>
            <w:pPr>
              <w:spacing w:after="0"/>
              <w:rPr>
                <w:sz w:val="7"/>
                <w:szCs w:val="7"/>
                <w:color w:val="auto"/>
              </w:rPr>
            </w:pPr>
          </w:p>
        </w:tc>
        <w:tc>
          <w:tcPr>
            <w:tcW w:w="1560" w:type="dxa"/>
            <w:vAlign w:val="bottom"/>
            <w:vMerge w:val="restart"/>
          </w:tcPr>
          <w:p>
            <w:pPr>
              <w:jc w:val="center"/>
              <w:ind w:left="188"/>
              <w:spacing w:after="0"/>
              <w:rPr>
                <w:sz w:val="20"/>
                <w:szCs w:val="20"/>
                <w:color w:val="auto"/>
              </w:rPr>
            </w:pPr>
            <w:r>
              <w:rPr>
                <w:rFonts w:ascii="Arial" w:cs="Arial" w:eastAsia="Arial" w:hAnsi="Arial"/>
                <w:sz w:val="14"/>
                <w:szCs w:val="14"/>
                <w:color w:val="auto"/>
              </w:rPr>
              <w:t>Committee verifies</w:t>
            </w: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vMerge w:val="continue"/>
          </w:tcPr>
          <w:p>
            <w:pPr>
              <w:spacing w:after="0"/>
              <w:rPr>
                <w:sz w:val="7"/>
                <w:szCs w:val="7"/>
                <w:color w:val="auto"/>
              </w:rPr>
            </w:pPr>
          </w:p>
        </w:tc>
        <w:tc>
          <w:tcPr>
            <w:tcW w:w="1820" w:type="dxa"/>
            <w:vAlign w:val="bottom"/>
            <w:tcBorders>
              <w:right w:val="single" w:sz="8" w:color="867F7C"/>
            </w:tcBorders>
            <w:vMerge w:val="continue"/>
          </w:tcPr>
          <w:p>
            <w:pPr>
              <w:spacing w:after="0"/>
              <w:rPr>
                <w:sz w:val="7"/>
                <w:szCs w:val="7"/>
                <w:color w:val="auto"/>
              </w:rPr>
            </w:pPr>
          </w:p>
        </w:tc>
        <w:tc>
          <w:tcPr>
            <w:tcW w:w="18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Committee verifies</w:t>
            </w:r>
          </w:p>
        </w:tc>
        <w:tc>
          <w:tcPr>
            <w:tcW w:w="1560" w:type="dxa"/>
            <w:vAlign w:val="bottom"/>
            <w:vMerge w:val="continue"/>
          </w:tcPr>
          <w:p>
            <w:pPr>
              <w:spacing w:after="0"/>
              <w:rPr>
                <w:sz w:val="7"/>
                <w:szCs w:val="7"/>
                <w:color w:val="auto"/>
              </w:rPr>
            </w:pP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Stock price on vest date</w:t>
            </w: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vMerge w:val="restart"/>
          </w:tcPr>
          <w:p>
            <w:pPr>
              <w:ind w:left="160"/>
              <w:spacing w:after="0"/>
              <w:rPr>
                <w:sz w:val="20"/>
                <w:szCs w:val="20"/>
                <w:color w:val="auto"/>
              </w:rPr>
            </w:pPr>
            <w:r>
              <w:rPr>
                <w:rFonts w:ascii="Arial" w:cs="Arial" w:eastAsia="Arial" w:hAnsi="Arial"/>
                <w:sz w:val="14"/>
                <w:szCs w:val="14"/>
                <w:b w:val="1"/>
                <w:bCs w:val="1"/>
                <w:color w:val="4CCEDE"/>
              </w:rPr>
              <w:t>Determined</w:t>
            </w:r>
          </w:p>
        </w:tc>
        <w:tc>
          <w:tcPr>
            <w:tcW w:w="182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review of market and</w:t>
            </w:r>
          </w:p>
        </w:tc>
        <w:tc>
          <w:tcPr>
            <w:tcW w:w="1840" w:type="dxa"/>
            <w:vAlign w:val="bottom"/>
            <w:tcBorders>
              <w:right w:val="single" w:sz="8" w:color="867F7C"/>
            </w:tcBorders>
            <w:vMerge w:val="continue"/>
          </w:tcPr>
          <w:p>
            <w:pPr>
              <w:spacing w:after="0"/>
              <w:rPr>
                <w:sz w:val="7"/>
                <w:szCs w:val="7"/>
                <w:color w:val="auto"/>
              </w:rPr>
            </w:pPr>
          </w:p>
        </w:tc>
        <w:tc>
          <w:tcPr>
            <w:tcW w:w="1560" w:type="dxa"/>
            <w:vAlign w:val="bottom"/>
            <w:vMerge w:val="restart"/>
          </w:tcPr>
          <w:p>
            <w:pPr>
              <w:jc w:val="center"/>
              <w:ind w:left="188"/>
              <w:spacing w:after="0"/>
              <w:rPr>
                <w:sz w:val="20"/>
                <w:szCs w:val="20"/>
                <w:color w:val="auto"/>
              </w:rPr>
            </w:pPr>
            <w:r>
              <w:rPr>
                <w:rFonts w:ascii="Arial" w:cs="Arial" w:eastAsia="Arial" w:hAnsi="Arial"/>
                <w:sz w:val="14"/>
                <w:szCs w:val="14"/>
                <w:color w:val="auto"/>
              </w:rPr>
              <w:t>performance before</w:t>
            </w: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vMerge w:val="continue"/>
          </w:tcPr>
          <w:p>
            <w:pPr>
              <w:spacing w:after="0"/>
              <w:rPr>
                <w:sz w:val="7"/>
                <w:szCs w:val="7"/>
                <w:color w:val="auto"/>
              </w:rPr>
            </w:pPr>
          </w:p>
        </w:tc>
        <w:tc>
          <w:tcPr>
            <w:tcW w:w="1820" w:type="dxa"/>
            <w:vAlign w:val="bottom"/>
            <w:tcBorders>
              <w:right w:val="single" w:sz="8" w:color="867F7C"/>
            </w:tcBorders>
            <w:vMerge w:val="continue"/>
          </w:tcPr>
          <w:p>
            <w:pPr>
              <w:spacing w:after="0"/>
              <w:rPr>
                <w:sz w:val="7"/>
                <w:szCs w:val="7"/>
                <w:color w:val="auto"/>
              </w:rPr>
            </w:pPr>
          </w:p>
        </w:tc>
        <w:tc>
          <w:tcPr>
            <w:tcW w:w="1840" w:type="dxa"/>
            <w:vAlign w:val="bottom"/>
            <w:tcBorders>
              <w:right w:val="single" w:sz="8" w:color="867F7C"/>
            </w:tcBorders>
            <w:vMerge w:val="restart"/>
          </w:tcPr>
          <w:p>
            <w:pPr>
              <w:jc w:val="center"/>
              <w:ind w:left="8"/>
              <w:spacing w:after="0"/>
              <w:rPr>
                <w:sz w:val="20"/>
                <w:szCs w:val="20"/>
                <w:color w:val="auto"/>
              </w:rPr>
            </w:pPr>
            <w:r>
              <w:rPr>
                <w:rFonts w:ascii="Arial" w:cs="Arial" w:eastAsia="Arial" w:hAnsi="Arial"/>
                <w:sz w:val="14"/>
                <w:szCs w:val="14"/>
                <w:color w:val="auto"/>
              </w:rPr>
              <w:t>performance before payout</w:t>
            </w:r>
          </w:p>
        </w:tc>
        <w:tc>
          <w:tcPr>
            <w:tcW w:w="1560" w:type="dxa"/>
            <w:vAlign w:val="bottom"/>
            <w:vMerge w:val="continue"/>
          </w:tcPr>
          <w:p>
            <w:pPr>
              <w:spacing w:after="0"/>
              <w:rPr>
                <w:sz w:val="7"/>
                <w:szCs w:val="7"/>
                <w:color w:val="auto"/>
              </w:rPr>
            </w:pP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867F7C"/>
              <w:right w:val="single" w:sz="8" w:color="867F7C"/>
            </w:tcBorders>
          </w:tcPr>
          <w:p>
            <w:pPr>
              <w:spacing w:after="0"/>
              <w:rPr>
                <w:sz w:val="9"/>
                <w:szCs w:val="9"/>
                <w:color w:val="auto"/>
              </w:rPr>
            </w:pPr>
          </w:p>
        </w:tc>
        <w:tc>
          <w:tcPr>
            <w:tcW w:w="182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other factors</w:t>
            </w:r>
          </w:p>
        </w:tc>
        <w:tc>
          <w:tcPr>
            <w:tcW w:w="1840" w:type="dxa"/>
            <w:vAlign w:val="bottom"/>
            <w:tcBorders>
              <w:right w:val="single" w:sz="8" w:color="867F7C"/>
            </w:tcBorders>
            <w:vMerge w:val="continue"/>
          </w:tcPr>
          <w:p>
            <w:pPr>
              <w:spacing w:after="0"/>
              <w:rPr>
                <w:sz w:val="9"/>
                <w:szCs w:val="9"/>
                <w:color w:val="auto"/>
              </w:rPr>
            </w:pPr>
          </w:p>
        </w:tc>
        <w:tc>
          <w:tcPr>
            <w:tcW w:w="1560" w:type="dxa"/>
            <w:vAlign w:val="bottom"/>
            <w:vMerge w:val="restart"/>
          </w:tcPr>
          <w:p>
            <w:pPr>
              <w:jc w:val="center"/>
              <w:ind w:left="228"/>
              <w:spacing w:after="0"/>
              <w:rPr>
                <w:sz w:val="20"/>
                <w:szCs w:val="20"/>
                <w:color w:val="auto"/>
              </w:rPr>
            </w:pPr>
            <w:r>
              <w:rPr>
                <w:rFonts w:ascii="Arial" w:cs="Arial" w:eastAsia="Arial" w:hAnsi="Arial"/>
                <w:sz w:val="14"/>
                <w:szCs w:val="14"/>
                <w:color w:val="auto"/>
                <w:w w:val="99"/>
              </w:rPr>
              <w:t>payout</w:t>
            </w:r>
          </w:p>
        </w:tc>
        <w:tc>
          <w:tcPr>
            <w:tcW w:w="240" w:type="dxa"/>
            <w:vAlign w:val="bottom"/>
            <w:tcBorders>
              <w:right w:val="single" w:sz="8" w:color="867F7C"/>
            </w:tcBorders>
          </w:tcPr>
          <w:p>
            <w:pPr>
              <w:spacing w:after="0"/>
              <w:rPr>
                <w:sz w:val="9"/>
                <w:szCs w:val="9"/>
                <w:color w:val="auto"/>
              </w:rPr>
            </w:pPr>
          </w:p>
        </w:tc>
        <w:tc>
          <w:tcPr>
            <w:tcW w:w="1760" w:type="dxa"/>
            <w:vAlign w:val="bottom"/>
            <w:tcBorders>
              <w:right w:val="single" w:sz="8" w:color="867F7C"/>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tcPr>
          <w:p>
            <w:pPr>
              <w:spacing w:after="0"/>
              <w:rPr>
                <w:sz w:val="7"/>
                <w:szCs w:val="7"/>
                <w:color w:val="auto"/>
              </w:rPr>
            </w:pPr>
          </w:p>
        </w:tc>
        <w:tc>
          <w:tcPr>
            <w:tcW w:w="1820" w:type="dxa"/>
            <w:vAlign w:val="bottom"/>
            <w:tcBorders>
              <w:right w:val="single" w:sz="8" w:color="867F7C"/>
            </w:tcBorders>
            <w:vMerge w:val="continue"/>
          </w:tcPr>
          <w:p>
            <w:pPr>
              <w:spacing w:after="0"/>
              <w:rPr>
                <w:sz w:val="7"/>
                <w:szCs w:val="7"/>
                <w:color w:val="auto"/>
              </w:rPr>
            </w:pPr>
          </w:p>
        </w:tc>
        <w:tc>
          <w:tcPr>
            <w:tcW w:w="1840" w:type="dxa"/>
            <w:vAlign w:val="bottom"/>
            <w:tcBorders>
              <w:right w:val="single" w:sz="8" w:color="867F7C"/>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860" w:type="dxa"/>
            <w:vAlign w:val="bottom"/>
            <w:tcBorders>
              <w:left w:val="single" w:sz="8" w:color="867F7C"/>
              <w:bottom w:val="single" w:sz="8" w:color="867F7C"/>
              <w:right w:val="single" w:sz="8" w:color="867F7C"/>
            </w:tcBorders>
          </w:tcPr>
          <w:p>
            <w:pPr>
              <w:spacing w:after="0"/>
              <w:rPr>
                <w:sz w:val="3"/>
                <w:szCs w:val="3"/>
                <w:color w:val="auto"/>
              </w:rPr>
            </w:pPr>
          </w:p>
        </w:tc>
        <w:tc>
          <w:tcPr>
            <w:tcW w:w="1820" w:type="dxa"/>
            <w:vAlign w:val="bottom"/>
            <w:tcBorders>
              <w:bottom w:val="single" w:sz="8" w:color="867F7C"/>
              <w:right w:val="single" w:sz="8" w:color="867F7C"/>
            </w:tcBorders>
          </w:tcPr>
          <w:p>
            <w:pPr>
              <w:spacing w:after="0"/>
              <w:rPr>
                <w:sz w:val="3"/>
                <w:szCs w:val="3"/>
                <w:color w:val="auto"/>
              </w:rPr>
            </w:pPr>
          </w:p>
        </w:tc>
        <w:tc>
          <w:tcPr>
            <w:tcW w:w="1840" w:type="dxa"/>
            <w:vAlign w:val="bottom"/>
            <w:tcBorders>
              <w:bottom w:val="single" w:sz="8" w:color="867F7C"/>
              <w:right w:val="single" w:sz="8" w:color="867F7C"/>
            </w:tcBorders>
          </w:tcPr>
          <w:p>
            <w:pPr>
              <w:spacing w:after="0"/>
              <w:rPr>
                <w:sz w:val="3"/>
                <w:szCs w:val="3"/>
                <w:color w:val="auto"/>
              </w:rPr>
            </w:pPr>
          </w:p>
        </w:tc>
        <w:tc>
          <w:tcPr>
            <w:tcW w:w="1560" w:type="dxa"/>
            <w:vAlign w:val="bottom"/>
            <w:tcBorders>
              <w:bottom w:val="single" w:sz="8" w:color="867F7C"/>
            </w:tcBorders>
          </w:tcPr>
          <w:p>
            <w:pPr>
              <w:spacing w:after="0"/>
              <w:rPr>
                <w:sz w:val="3"/>
                <w:szCs w:val="3"/>
                <w:color w:val="auto"/>
              </w:rPr>
            </w:pPr>
          </w:p>
        </w:tc>
        <w:tc>
          <w:tcPr>
            <w:tcW w:w="240" w:type="dxa"/>
            <w:vAlign w:val="bottom"/>
            <w:tcBorders>
              <w:bottom w:val="single" w:sz="8" w:color="867F7C"/>
              <w:right w:val="single" w:sz="8" w:color="867F7C"/>
            </w:tcBorders>
          </w:tcPr>
          <w:p>
            <w:pPr>
              <w:spacing w:after="0"/>
              <w:rPr>
                <w:sz w:val="3"/>
                <w:szCs w:val="3"/>
                <w:color w:val="auto"/>
              </w:rPr>
            </w:pPr>
          </w:p>
        </w:tc>
        <w:tc>
          <w:tcPr>
            <w:tcW w:w="1760" w:type="dxa"/>
            <w:vAlign w:val="bottom"/>
            <w:tcBorders>
              <w:bottom w:val="single" w:sz="8" w:color="867F7C"/>
              <w:right w:val="single" w:sz="8" w:color="867F7C"/>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867F7C"/>
              <w:right w:val="single" w:sz="8" w:color="867F7C"/>
            </w:tcBorders>
          </w:tcPr>
          <w:p>
            <w:pPr>
              <w:spacing w:after="0"/>
              <w:rPr>
                <w:sz w:val="18"/>
                <w:szCs w:val="18"/>
                <w:color w:val="auto"/>
              </w:rPr>
            </w:pPr>
          </w:p>
        </w:tc>
        <w:tc>
          <w:tcPr>
            <w:tcW w:w="1820" w:type="dxa"/>
            <w:vAlign w:val="bottom"/>
            <w:tcBorders>
              <w:right w:val="single" w:sz="8" w:color="867F7C"/>
            </w:tcBorders>
          </w:tcPr>
          <w:p>
            <w:pPr>
              <w:spacing w:after="0"/>
              <w:rPr>
                <w:sz w:val="18"/>
                <w:szCs w:val="18"/>
                <w:color w:val="auto"/>
              </w:rPr>
            </w:pPr>
          </w:p>
        </w:tc>
        <w:tc>
          <w:tcPr>
            <w:tcW w:w="1840" w:type="dxa"/>
            <w:vAlign w:val="bottom"/>
            <w:tcBorders>
              <w:right w:val="single" w:sz="8" w:color="867F7C"/>
            </w:tcBorders>
          </w:tcPr>
          <w:p>
            <w:pPr>
              <w:spacing w:after="0"/>
              <w:rPr>
                <w:sz w:val="18"/>
                <w:szCs w:val="18"/>
                <w:color w:val="auto"/>
              </w:rPr>
            </w:pPr>
          </w:p>
        </w:tc>
        <w:tc>
          <w:tcPr>
            <w:tcW w:w="1560" w:type="dxa"/>
            <w:vAlign w:val="bottom"/>
          </w:tcPr>
          <w:p>
            <w:pPr>
              <w:jc w:val="center"/>
              <w:ind w:left="128"/>
              <w:spacing w:after="0"/>
              <w:rPr>
                <w:sz w:val="20"/>
                <w:szCs w:val="20"/>
                <w:color w:val="auto"/>
              </w:rPr>
            </w:pPr>
            <w:r>
              <w:rPr>
                <w:rFonts w:ascii="Arial" w:cs="Arial" w:eastAsia="Arial" w:hAnsi="Arial"/>
                <w:sz w:val="14"/>
                <w:szCs w:val="14"/>
                <w:color w:val="auto"/>
              </w:rPr>
              <w:t>Return on Net Assets</w:t>
            </w:r>
          </w:p>
        </w:tc>
        <w:tc>
          <w:tcPr>
            <w:tcW w:w="240" w:type="dxa"/>
            <w:vAlign w:val="bottom"/>
            <w:tcBorders>
              <w:right w:val="single" w:sz="8" w:color="867F7C"/>
            </w:tcBorders>
          </w:tcPr>
          <w:p>
            <w:pPr>
              <w:spacing w:after="0"/>
              <w:rPr>
                <w:sz w:val="18"/>
                <w:szCs w:val="18"/>
                <w:color w:val="auto"/>
              </w:rPr>
            </w:pPr>
          </w:p>
        </w:tc>
        <w:tc>
          <w:tcPr>
            <w:tcW w:w="1760" w:type="dxa"/>
            <w:vAlign w:val="bottom"/>
            <w:tcBorders>
              <w:right w:val="single" w:sz="8" w:color="867F7C"/>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867F7C"/>
              <w:right w:val="single" w:sz="8" w:color="867F7C"/>
            </w:tcBorders>
          </w:tcPr>
          <w:p>
            <w:pPr>
              <w:spacing w:after="0"/>
              <w:rPr>
                <w:sz w:val="14"/>
                <w:szCs w:val="14"/>
                <w:color w:val="auto"/>
              </w:rPr>
            </w:pPr>
          </w:p>
        </w:tc>
        <w:tc>
          <w:tcPr>
            <w:tcW w:w="1820" w:type="dxa"/>
            <w:vAlign w:val="bottom"/>
            <w:tcBorders>
              <w:right w:val="single" w:sz="8" w:color="867F7C"/>
            </w:tcBorders>
          </w:tcPr>
          <w:p>
            <w:pPr>
              <w:spacing w:after="0"/>
              <w:rPr>
                <w:sz w:val="14"/>
                <w:szCs w:val="14"/>
                <w:color w:val="auto"/>
              </w:rPr>
            </w:pPr>
          </w:p>
        </w:tc>
        <w:tc>
          <w:tcPr>
            <w:tcW w:w="1840" w:type="dxa"/>
            <w:vAlign w:val="bottom"/>
            <w:tcBorders>
              <w:right w:val="single" w:sz="8" w:color="867F7C"/>
            </w:tcBorders>
          </w:tcPr>
          <w:p>
            <w:pPr>
              <w:jc w:val="center"/>
              <w:ind w:left="8"/>
              <w:spacing w:after="0"/>
              <w:rPr>
                <w:sz w:val="20"/>
                <w:szCs w:val="20"/>
                <w:color w:val="auto"/>
              </w:rPr>
            </w:pPr>
            <w:r>
              <w:rPr>
                <w:rFonts w:ascii="Arial" w:cs="Arial" w:eastAsia="Arial" w:hAnsi="Arial"/>
                <w:sz w:val="14"/>
                <w:szCs w:val="14"/>
                <w:color w:val="auto"/>
              </w:rPr>
              <w:t>Adjusted EBITDA</w:t>
            </w:r>
          </w:p>
        </w:tc>
        <w:tc>
          <w:tcPr>
            <w:tcW w:w="1560" w:type="dxa"/>
            <w:vAlign w:val="bottom"/>
          </w:tcPr>
          <w:p>
            <w:pPr>
              <w:jc w:val="center"/>
              <w:ind w:left="128"/>
              <w:spacing w:after="0"/>
              <w:rPr>
                <w:sz w:val="20"/>
                <w:szCs w:val="20"/>
                <w:color w:val="auto"/>
              </w:rPr>
            </w:pPr>
            <w:r>
              <w:rPr>
                <w:rFonts w:ascii="Arial" w:cs="Arial" w:eastAsia="Arial" w:hAnsi="Arial"/>
                <w:sz w:val="14"/>
                <w:szCs w:val="14"/>
                <w:color w:val="auto"/>
              </w:rPr>
              <w:t>(“RONA”), Adjusted</w:t>
            </w:r>
          </w:p>
        </w:tc>
        <w:tc>
          <w:tcPr>
            <w:tcW w:w="240" w:type="dxa"/>
            <w:vAlign w:val="bottom"/>
            <w:tcBorders>
              <w:right w:val="single" w:sz="8" w:color="867F7C"/>
            </w:tcBorders>
          </w:tcPr>
          <w:p>
            <w:pPr>
              <w:spacing w:after="0"/>
              <w:rPr>
                <w:sz w:val="14"/>
                <w:szCs w:val="14"/>
                <w:color w:val="auto"/>
              </w:rPr>
            </w:pPr>
          </w:p>
        </w:tc>
        <w:tc>
          <w:tcPr>
            <w:tcW w:w="1760" w:type="dxa"/>
            <w:vAlign w:val="bottom"/>
            <w:tcBorders>
              <w:right w:val="single" w:sz="8" w:color="867F7C"/>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tcBorders>
              <w:left w:val="single" w:sz="8" w:color="867F7C"/>
              <w:right w:val="single" w:sz="8" w:color="867F7C"/>
            </w:tcBorders>
          </w:tcPr>
          <w:p>
            <w:pPr>
              <w:ind w:left="160"/>
              <w:spacing w:after="0" w:line="145" w:lineRule="exact"/>
              <w:rPr>
                <w:sz w:val="20"/>
                <w:szCs w:val="20"/>
                <w:color w:val="auto"/>
              </w:rPr>
            </w:pPr>
            <w:r>
              <w:rPr>
                <w:rFonts w:ascii="Arial" w:cs="Arial" w:eastAsia="Arial" w:hAnsi="Arial"/>
                <w:sz w:val="14"/>
                <w:szCs w:val="14"/>
                <w:b w:val="1"/>
                <w:bCs w:val="1"/>
                <w:color w:val="4CCEDE"/>
              </w:rPr>
              <w:t>Most Recent</w:t>
            </w:r>
          </w:p>
        </w:tc>
        <w:tc>
          <w:tcPr>
            <w:tcW w:w="182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N/A</w:t>
            </w:r>
          </w:p>
        </w:tc>
        <w:tc>
          <w:tcPr>
            <w:tcW w:w="1840" w:type="dxa"/>
            <w:vAlign w:val="bottom"/>
            <w:tcBorders>
              <w:right w:val="single" w:sz="8" w:color="867F7C"/>
            </w:tcBorders>
          </w:tcPr>
          <w:p>
            <w:pPr>
              <w:jc w:val="center"/>
              <w:spacing w:after="0" w:line="145" w:lineRule="exact"/>
              <w:rPr>
                <w:sz w:val="20"/>
                <w:szCs w:val="20"/>
                <w:color w:val="auto"/>
              </w:rPr>
            </w:pPr>
            <w:r>
              <w:rPr>
                <w:rFonts w:ascii="Arial" w:cs="Arial" w:eastAsia="Arial" w:hAnsi="Arial"/>
                <w:sz w:val="14"/>
                <w:szCs w:val="14"/>
                <w:color w:val="auto"/>
              </w:rPr>
              <w:t>and Innovation</w:t>
            </w:r>
          </w:p>
        </w:tc>
        <w:tc>
          <w:tcPr>
            <w:tcW w:w="1560" w:type="dxa"/>
            <w:vAlign w:val="bottom"/>
          </w:tcPr>
          <w:p>
            <w:pPr>
              <w:jc w:val="center"/>
              <w:ind w:left="108"/>
              <w:spacing w:after="0" w:line="145" w:lineRule="exact"/>
              <w:rPr>
                <w:sz w:val="20"/>
                <w:szCs w:val="20"/>
                <w:color w:val="auto"/>
              </w:rPr>
            </w:pPr>
            <w:r>
              <w:rPr>
                <w:rFonts w:ascii="Arial" w:cs="Arial" w:eastAsia="Arial" w:hAnsi="Arial"/>
                <w:sz w:val="14"/>
                <w:szCs w:val="14"/>
                <w:color w:val="auto"/>
              </w:rPr>
              <w:t>Earnings Per Share</w:t>
            </w:r>
          </w:p>
        </w:tc>
        <w:tc>
          <w:tcPr>
            <w:tcW w:w="240" w:type="dxa"/>
            <w:vAlign w:val="bottom"/>
            <w:tcBorders>
              <w:right w:val="single" w:sz="8" w:color="867F7C"/>
            </w:tcBorders>
          </w:tcPr>
          <w:p>
            <w:pPr>
              <w:spacing w:after="0"/>
              <w:rPr>
                <w:sz w:val="12"/>
                <w:szCs w:val="12"/>
                <w:color w:val="auto"/>
              </w:rPr>
            </w:pPr>
          </w:p>
        </w:tc>
        <w:tc>
          <w:tcPr>
            <w:tcW w:w="17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Stock price appreciation</w:t>
            </w:r>
          </w:p>
        </w:tc>
        <w:tc>
          <w:tcPr>
            <w:tcW w:w="0" w:type="dxa"/>
            <w:vAlign w:val="bottom"/>
          </w:tcPr>
          <w:p>
            <w:pPr>
              <w:spacing w:after="0"/>
              <w:rPr>
                <w:sz w:val="1"/>
                <w:szCs w:val="1"/>
                <w:color w:val="auto"/>
              </w:rPr>
            </w:pPr>
          </w:p>
        </w:tc>
      </w:tr>
      <w:tr>
        <w:trPr>
          <w:trHeight w:val="180"/>
        </w:trPr>
        <w:tc>
          <w:tcPr>
            <w:tcW w:w="1860" w:type="dxa"/>
            <w:vAlign w:val="bottom"/>
            <w:tcBorders>
              <w:left w:val="single" w:sz="8" w:color="867F7C"/>
              <w:right w:val="single" w:sz="8" w:color="867F7C"/>
            </w:tcBorders>
          </w:tcPr>
          <w:p>
            <w:pPr>
              <w:ind w:left="160"/>
              <w:spacing w:after="0"/>
              <w:rPr>
                <w:sz w:val="20"/>
                <w:szCs w:val="20"/>
                <w:color w:val="auto"/>
              </w:rPr>
            </w:pPr>
            <w:r>
              <w:rPr>
                <w:rFonts w:ascii="Arial" w:cs="Arial" w:eastAsia="Arial" w:hAnsi="Arial"/>
                <w:sz w:val="14"/>
                <w:szCs w:val="14"/>
                <w:b w:val="1"/>
                <w:bCs w:val="1"/>
                <w:color w:val="4CCEDE"/>
              </w:rPr>
              <w:t>Performance Measure</w:t>
            </w:r>
          </w:p>
        </w:tc>
        <w:tc>
          <w:tcPr>
            <w:tcW w:w="1820" w:type="dxa"/>
            <w:vAlign w:val="bottom"/>
            <w:tcBorders>
              <w:right w:val="single" w:sz="8" w:color="867F7C"/>
            </w:tcBorders>
            <w:vMerge w:val="continue"/>
          </w:tcPr>
          <w:p>
            <w:pPr>
              <w:spacing w:after="0"/>
              <w:rPr>
                <w:sz w:val="15"/>
                <w:szCs w:val="15"/>
                <w:color w:val="auto"/>
              </w:rPr>
            </w:pPr>
          </w:p>
        </w:tc>
        <w:tc>
          <w:tcPr>
            <w:tcW w:w="1840" w:type="dxa"/>
            <w:vAlign w:val="bottom"/>
            <w:tcBorders>
              <w:right w:val="single" w:sz="8" w:color="867F7C"/>
            </w:tcBorders>
          </w:tcPr>
          <w:p>
            <w:pPr>
              <w:jc w:val="center"/>
              <w:ind w:left="8"/>
              <w:spacing w:after="0" w:line="180" w:lineRule="exact"/>
              <w:rPr>
                <w:sz w:val="20"/>
                <w:szCs w:val="20"/>
                <w:color w:val="auto"/>
              </w:rPr>
            </w:pPr>
            <w:r>
              <w:rPr>
                <w:rFonts w:ascii="Arial" w:cs="Arial" w:eastAsia="Arial" w:hAnsi="Arial"/>
                <w:sz w:val="14"/>
                <w:szCs w:val="14"/>
                <w:color w:val="auto"/>
                <w:w w:val="99"/>
              </w:rPr>
              <w:t>Revenue</w:t>
            </w:r>
            <w:r>
              <w:rPr>
                <w:rFonts w:ascii="Arial" w:cs="Arial" w:eastAsia="Arial" w:hAnsi="Arial"/>
                <w:sz w:val="19"/>
                <w:szCs w:val="19"/>
                <w:color w:val="auto"/>
                <w:w w:val="99"/>
                <w:vertAlign w:val="superscript"/>
              </w:rPr>
              <w:t>(1)</w:t>
            </w:r>
            <w:r>
              <w:rPr>
                <w:rFonts w:ascii="Arial" w:cs="Arial" w:eastAsia="Arial" w:hAnsi="Arial"/>
                <w:sz w:val="14"/>
                <w:szCs w:val="14"/>
                <w:color w:val="auto"/>
                <w:w w:val="99"/>
              </w:rPr>
              <w:t xml:space="preserve"> with an EHS/</w:t>
            </w:r>
          </w:p>
        </w:tc>
        <w:tc>
          <w:tcPr>
            <w:tcW w:w="1560" w:type="dxa"/>
            <w:vAlign w:val="bottom"/>
          </w:tcPr>
          <w:p>
            <w:pPr>
              <w:jc w:val="center"/>
              <w:ind w:left="108"/>
              <w:spacing w:after="0"/>
              <w:rPr>
                <w:sz w:val="20"/>
                <w:szCs w:val="20"/>
                <w:color w:val="auto"/>
              </w:rPr>
            </w:pPr>
            <w:r>
              <w:rPr>
                <w:rFonts w:ascii="Arial" w:cs="Arial" w:eastAsia="Arial" w:hAnsi="Arial"/>
                <w:sz w:val="14"/>
                <w:szCs w:val="14"/>
                <w:color w:val="auto"/>
              </w:rPr>
              <w:t>(“EPS”) and relative</w:t>
            </w:r>
          </w:p>
        </w:tc>
        <w:tc>
          <w:tcPr>
            <w:tcW w:w="240" w:type="dxa"/>
            <w:vAlign w:val="bottom"/>
            <w:tcBorders>
              <w:right w:val="single" w:sz="8" w:color="867F7C"/>
            </w:tcBorders>
          </w:tcPr>
          <w:p>
            <w:pPr>
              <w:spacing w:after="0"/>
              <w:rPr>
                <w:sz w:val="15"/>
                <w:szCs w:val="15"/>
                <w:color w:val="auto"/>
              </w:rPr>
            </w:pPr>
          </w:p>
        </w:tc>
        <w:tc>
          <w:tcPr>
            <w:tcW w:w="1760" w:type="dxa"/>
            <w:vAlign w:val="bottom"/>
            <w:tcBorders>
              <w:right w:val="single" w:sz="8" w:color="867F7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60" w:type="dxa"/>
            <w:vAlign w:val="bottom"/>
            <w:tcBorders>
              <w:left w:val="single" w:sz="8" w:color="867F7C"/>
              <w:right w:val="single" w:sz="8" w:color="867F7C"/>
            </w:tcBorders>
          </w:tcPr>
          <w:p>
            <w:pPr>
              <w:spacing w:after="0"/>
              <w:rPr>
                <w:sz w:val="12"/>
                <w:szCs w:val="12"/>
                <w:color w:val="auto"/>
              </w:rPr>
            </w:pPr>
          </w:p>
        </w:tc>
        <w:tc>
          <w:tcPr>
            <w:tcW w:w="1820" w:type="dxa"/>
            <w:vAlign w:val="bottom"/>
            <w:tcBorders>
              <w:right w:val="single" w:sz="8" w:color="867F7C"/>
            </w:tcBorders>
          </w:tcPr>
          <w:p>
            <w:pPr>
              <w:spacing w:after="0"/>
              <w:rPr>
                <w:sz w:val="12"/>
                <w:szCs w:val="12"/>
                <w:color w:val="auto"/>
              </w:rPr>
            </w:pPr>
          </w:p>
        </w:tc>
        <w:tc>
          <w:tcPr>
            <w:tcW w:w="1840" w:type="dxa"/>
            <w:vAlign w:val="bottom"/>
            <w:tcBorders>
              <w:right w:val="single" w:sz="8" w:color="867F7C"/>
            </w:tcBorders>
          </w:tcPr>
          <w:p>
            <w:pPr>
              <w:jc w:val="center"/>
              <w:ind w:left="8"/>
              <w:spacing w:after="0" w:line="145" w:lineRule="exact"/>
              <w:rPr>
                <w:sz w:val="20"/>
                <w:szCs w:val="20"/>
                <w:color w:val="auto"/>
              </w:rPr>
            </w:pPr>
            <w:r>
              <w:rPr>
                <w:rFonts w:ascii="Arial" w:cs="Arial" w:eastAsia="Arial" w:hAnsi="Arial"/>
                <w:sz w:val="14"/>
                <w:szCs w:val="14"/>
                <w:color w:val="auto"/>
              </w:rPr>
              <w:t>safety modifier</w:t>
            </w:r>
          </w:p>
        </w:tc>
        <w:tc>
          <w:tcPr>
            <w:tcW w:w="1800" w:type="dxa"/>
            <w:vAlign w:val="bottom"/>
            <w:tcBorders>
              <w:right w:val="single" w:sz="8" w:color="867F7C"/>
            </w:tcBorders>
            <w:gridSpan w:val="2"/>
          </w:tcPr>
          <w:p>
            <w:pPr>
              <w:jc w:val="center"/>
              <w:spacing w:after="0" w:line="145" w:lineRule="exact"/>
              <w:rPr>
                <w:sz w:val="20"/>
                <w:szCs w:val="20"/>
                <w:color w:val="auto"/>
              </w:rPr>
            </w:pPr>
            <w:r>
              <w:rPr>
                <w:rFonts w:ascii="Arial" w:cs="Arial" w:eastAsia="Arial" w:hAnsi="Arial"/>
                <w:sz w:val="14"/>
                <w:szCs w:val="14"/>
                <w:color w:val="auto"/>
              </w:rPr>
              <w:t>Total Shareholder Return</w:t>
            </w:r>
          </w:p>
        </w:tc>
        <w:tc>
          <w:tcPr>
            <w:tcW w:w="1760" w:type="dxa"/>
            <w:vAlign w:val="bottom"/>
            <w:tcBorders>
              <w:right w:val="single" w:sz="8" w:color="867F7C"/>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867F7C"/>
              <w:bottom w:val="single" w:sz="8" w:color="867F7C"/>
              <w:right w:val="single" w:sz="8" w:color="867F7C"/>
            </w:tcBorders>
          </w:tcPr>
          <w:p>
            <w:pPr>
              <w:spacing w:after="0"/>
              <w:rPr>
                <w:sz w:val="21"/>
                <w:szCs w:val="21"/>
                <w:color w:val="auto"/>
              </w:rPr>
            </w:pPr>
          </w:p>
        </w:tc>
        <w:tc>
          <w:tcPr>
            <w:tcW w:w="1820" w:type="dxa"/>
            <w:vAlign w:val="bottom"/>
            <w:tcBorders>
              <w:bottom w:val="single" w:sz="8" w:color="867F7C"/>
              <w:right w:val="single" w:sz="8" w:color="867F7C"/>
            </w:tcBorders>
          </w:tcPr>
          <w:p>
            <w:pPr>
              <w:spacing w:after="0"/>
              <w:rPr>
                <w:sz w:val="21"/>
                <w:szCs w:val="21"/>
                <w:color w:val="auto"/>
              </w:rPr>
            </w:pPr>
          </w:p>
        </w:tc>
        <w:tc>
          <w:tcPr>
            <w:tcW w:w="1840" w:type="dxa"/>
            <w:vAlign w:val="bottom"/>
            <w:tcBorders>
              <w:bottom w:val="single" w:sz="8" w:color="867F7C"/>
              <w:right w:val="single" w:sz="8" w:color="867F7C"/>
            </w:tcBorders>
          </w:tcPr>
          <w:p>
            <w:pPr>
              <w:spacing w:after="0"/>
              <w:rPr>
                <w:sz w:val="21"/>
                <w:szCs w:val="21"/>
                <w:color w:val="auto"/>
              </w:rPr>
            </w:pPr>
          </w:p>
        </w:tc>
        <w:tc>
          <w:tcPr>
            <w:tcW w:w="1560" w:type="dxa"/>
            <w:vAlign w:val="bottom"/>
            <w:tcBorders>
              <w:bottom w:val="single" w:sz="8" w:color="867F7C"/>
            </w:tcBorders>
          </w:tcPr>
          <w:p>
            <w:pPr>
              <w:jc w:val="center"/>
              <w:ind w:left="168"/>
              <w:spacing w:after="0"/>
              <w:rPr>
                <w:sz w:val="20"/>
                <w:szCs w:val="20"/>
                <w:color w:val="auto"/>
              </w:rPr>
            </w:pPr>
            <w:r>
              <w:rPr>
                <w:rFonts w:ascii="Arial" w:cs="Arial" w:eastAsia="Arial" w:hAnsi="Arial"/>
                <w:sz w:val="14"/>
                <w:szCs w:val="14"/>
                <w:color w:val="auto"/>
                <w:w w:val="95"/>
              </w:rPr>
              <w:t>(“rTSR”)</w:t>
            </w:r>
            <w:r>
              <w:rPr>
                <w:rFonts w:ascii="Arial" w:cs="Arial" w:eastAsia="Arial" w:hAnsi="Arial"/>
                <w:sz w:val="19"/>
                <w:szCs w:val="19"/>
                <w:color w:val="auto"/>
                <w:w w:val="95"/>
                <w:vertAlign w:val="superscript"/>
              </w:rPr>
              <w:t>(1)</w:t>
            </w:r>
          </w:p>
        </w:tc>
        <w:tc>
          <w:tcPr>
            <w:tcW w:w="240" w:type="dxa"/>
            <w:vAlign w:val="bottom"/>
            <w:tcBorders>
              <w:bottom w:val="single" w:sz="8" w:color="867F7C"/>
              <w:right w:val="single" w:sz="8" w:color="867F7C"/>
            </w:tcBorders>
          </w:tcPr>
          <w:p>
            <w:pPr>
              <w:spacing w:after="0"/>
              <w:rPr>
                <w:sz w:val="21"/>
                <w:szCs w:val="21"/>
                <w:color w:val="auto"/>
              </w:rPr>
            </w:pPr>
          </w:p>
        </w:tc>
        <w:tc>
          <w:tcPr>
            <w:tcW w:w="1760" w:type="dxa"/>
            <w:vAlign w:val="bottom"/>
            <w:tcBorders>
              <w:bottom w:val="single" w:sz="8" w:color="867F7C"/>
              <w:right w:val="single" w:sz="8" w:color="867F7C"/>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867F7C"/>
              <w:right w:val="single" w:sz="8" w:color="867F7C"/>
            </w:tcBorders>
          </w:tcPr>
          <w:p>
            <w:pPr>
              <w:spacing w:after="0"/>
              <w:rPr>
                <w:sz w:val="18"/>
                <w:szCs w:val="18"/>
                <w:color w:val="auto"/>
              </w:rPr>
            </w:pPr>
          </w:p>
        </w:tc>
        <w:tc>
          <w:tcPr>
            <w:tcW w:w="182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Balance against excessive</w:t>
            </w:r>
          </w:p>
        </w:tc>
        <w:tc>
          <w:tcPr>
            <w:tcW w:w="18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Deliver on annual strategic</w:t>
            </w:r>
          </w:p>
        </w:tc>
        <w:tc>
          <w:tcPr>
            <w:tcW w:w="1560" w:type="dxa"/>
            <w:vAlign w:val="bottom"/>
          </w:tcPr>
          <w:p>
            <w:pPr>
              <w:jc w:val="center"/>
              <w:ind w:left="188"/>
              <w:spacing w:after="0"/>
              <w:rPr>
                <w:sz w:val="20"/>
                <w:szCs w:val="20"/>
                <w:color w:val="auto"/>
              </w:rPr>
            </w:pPr>
            <w:r>
              <w:rPr>
                <w:rFonts w:ascii="Arial" w:cs="Arial" w:eastAsia="Arial" w:hAnsi="Arial"/>
                <w:sz w:val="14"/>
                <w:szCs w:val="14"/>
                <w:color w:val="auto"/>
              </w:rPr>
              <w:t>Deliver on long-term</w:t>
            </w:r>
          </w:p>
        </w:tc>
        <w:tc>
          <w:tcPr>
            <w:tcW w:w="240" w:type="dxa"/>
            <w:vAlign w:val="bottom"/>
            <w:tcBorders>
              <w:right w:val="single" w:sz="8" w:color="867F7C"/>
            </w:tcBorders>
          </w:tcPr>
          <w:p>
            <w:pPr>
              <w:spacing w:after="0"/>
              <w:rPr>
                <w:sz w:val="18"/>
                <w:szCs w:val="18"/>
                <w:color w:val="auto"/>
              </w:rPr>
            </w:pPr>
          </w:p>
        </w:tc>
        <w:tc>
          <w:tcPr>
            <w:tcW w:w="1760" w:type="dxa"/>
            <w:vAlign w:val="bottom"/>
            <w:tcBorders>
              <w:right w:val="single" w:sz="8" w:color="867F7C"/>
            </w:tcBorders>
          </w:tcPr>
          <w:p>
            <w:pPr>
              <w:jc w:val="center"/>
              <w:spacing w:after="0"/>
              <w:rPr>
                <w:sz w:val="20"/>
                <w:szCs w:val="20"/>
                <w:color w:val="auto"/>
              </w:rPr>
            </w:pPr>
            <w:r>
              <w:rPr>
                <w:rFonts w:ascii="Arial" w:cs="Arial" w:eastAsia="Arial" w:hAnsi="Arial"/>
                <w:sz w:val="14"/>
                <w:szCs w:val="14"/>
                <w:color w:val="auto"/>
              </w:rPr>
              <w:t>Balance against</w:t>
            </w: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vMerge w:val="restart"/>
          </w:tcPr>
          <w:p>
            <w:pPr>
              <w:ind w:left="160"/>
              <w:spacing w:after="0"/>
              <w:rPr>
                <w:sz w:val="20"/>
                <w:szCs w:val="20"/>
                <w:color w:val="auto"/>
              </w:rPr>
            </w:pPr>
            <w:r>
              <w:rPr>
                <w:rFonts w:ascii="Arial" w:cs="Arial" w:eastAsia="Arial" w:hAnsi="Arial"/>
                <w:sz w:val="14"/>
                <w:szCs w:val="14"/>
                <w:b w:val="1"/>
                <w:bCs w:val="1"/>
                <w:color w:val="4CCEDE"/>
              </w:rPr>
              <w:t>What is Incentivized</w:t>
            </w:r>
          </w:p>
        </w:tc>
        <w:tc>
          <w:tcPr>
            <w:tcW w:w="1820" w:type="dxa"/>
            <w:vAlign w:val="bottom"/>
            <w:tcBorders>
              <w:right w:val="single" w:sz="8" w:color="867F7C"/>
            </w:tcBorders>
            <w:vMerge w:val="continue"/>
          </w:tcPr>
          <w:p>
            <w:pPr>
              <w:spacing w:after="0"/>
              <w:rPr>
                <w:sz w:val="7"/>
                <w:szCs w:val="7"/>
                <w:color w:val="auto"/>
              </w:rPr>
            </w:pPr>
          </w:p>
        </w:tc>
        <w:tc>
          <w:tcPr>
            <w:tcW w:w="1840" w:type="dxa"/>
            <w:vAlign w:val="bottom"/>
            <w:tcBorders>
              <w:right w:val="single" w:sz="8" w:color="867F7C"/>
            </w:tcBorders>
            <w:vMerge w:val="continue"/>
          </w:tcPr>
          <w:p>
            <w:pPr>
              <w:spacing w:after="0"/>
              <w:rPr>
                <w:sz w:val="7"/>
                <w:szCs w:val="7"/>
                <w:color w:val="auto"/>
              </w:rPr>
            </w:pPr>
          </w:p>
        </w:tc>
        <w:tc>
          <w:tcPr>
            <w:tcW w:w="1560" w:type="dxa"/>
            <w:vAlign w:val="bottom"/>
            <w:vMerge w:val="restart"/>
          </w:tcPr>
          <w:p>
            <w:pPr>
              <w:jc w:val="center"/>
              <w:ind w:left="188"/>
              <w:spacing w:after="0"/>
              <w:rPr>
                <w:sz w:val="20"/>
                <w:szCs w:val="20"/>
                <w:color w:val="auto"/>
              </w:rPr>
            </w:pPr>
            <w:r>
              <w:rPr>
                <w:rFonts w:ascii="Arial" w:cs="Arial" w:eastAsia="Arial" w:hAnsi="Arial"/>
                <w:sz w:val="14"/>
                <w:szCs w:val="14"/>
                <w:color w:val="auto"/>
              </w:rPr>
              <w:t>strategic objectives;</w:t>
            </w: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excessive risk-taking and</w:t>
            </w: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vMerge w:val="continue"/>
          </w:tcPr>
          <w:p>
            <w:pPr>
              <w:spacing w:after="0"/>
              <w:rPr>
                <w:sz w:val="7"/>
                <w:szCs w:val="7"/>
                <w:color w:val="auto"/>
              </w:rPr>
            </w:pPr>
          </w:p>
        </w:tc>
        <w:tc>
          <w:tcPr>
            <w:tcW w:w="182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risk taking</w:t>
            </w:r>
          </w:p>
        </w:tc>
        <w:tc>
          <w:tcPr>
            <w:tcW w:w="1840" w:type="dxa"/>
            <w:vAlign w:val="bottom"/>
            <w:tcBorders>
              <w:right w:val="single" w:sz="8" w:color="867F7C"/>
            </w:tcBorders>
            <w:vMerge w:val="restart"/>
          </w:tcPr>
          <w:p>
            <w:pPr>
              <w:jc w:val="center"/>
              <w:ind w:left="8"/>
              <w:spacing w:after="0"/>
              <w:rPr>
                <w:sz w:val="20"/>
                <w:szCs w:val="20"/>
                <w:color w:val="auto"/>
              </w:rPr>
            </w:pPr>
            <w:r>
              <w:rPr>
                <w:rFonts w:ascii="Arial" w:cs="Arial" w:eastAsia="Arial" w:hAnsi="Arial"/>
                <w:sz w:val="14"/>
                <w:szCs w:val="14"/>
                <w:color w:val="auto"/>
              </w:rPr>
              <w:t>objectives</w:t>
            </w:r>
          </w:p>
        </w:tc>
        <w:tc>
          <w:tcPr>
            <w:tcW w:w="1560" w:type="dxa"/>
            <w:vAlign w:val="bottom"/>
            <w:vMerge w:val="continue"/>
          </w:tcPr>
          <w:p>
            <w:pPr>
              <w:spacing w:after="0"/>
              <w:rPr>
                <w:sz w:val="7"/>
                <w:szCs w:val="7"/>
                <w:color w:val="auto"/>
              </w:rPr>
            </w:pP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867F7C"/>
              <w:right w:val="single" w:sz="8" w:color="867F7C"/>
            </w:tcBorders>
          </w:tcPr>
          <w:p>
            <w:pPr>
              <w:spacing w:after="0"/>
              <w:rPr>
                <w:sz w:val="9"/>
                <w:szCs w:val="9"/>
                <w:color w:val="auto"/>
              </w:rPr>
            </w:pPr>
          </w:p>
        </w:tc>
        <w:tc>
          <w:tcPr>
            <w:tcW w:w="1820" w:type="dxa"/>
            <w:vAlign w:val="bottom"/>
            <w:tcBorders>
              <w:right w:val="single" w:sz="8" w:color="867F7C"/>
            </w:tcBorders>
            <w:vMerge w:val="continue"/>
          </w:tcPr>
          <w:p>
            <w:pPr>
              <w:spacing w:after="0"/>
              <w:rPr>
                <w:sz w:val="9"/>
                <w:szCs w:val="9"/>
                <w:color w:val="auto"/>
              </w:rPr>
            </w:pPr>
          </w:p>
        </w:tc>
        <w:tc>
          <w:tcPr>
            <w:tcW w:w="1840" w:type="dxa"/>
            <w:vAlign w:val="bottom"/>
            <w:tcBorders>
              <w:right w:val="single" w:sz="8" w:color="867F7C"/>
            </w:tcBorders>
            <w:vMerge w:val="continue"/>
          </w:tcPr>
          <w:p>
            <w:pPr>
              <w:spacing w:after="0"/>
              <w:rPr>
                <w:sz w:val="9"/>
                <w:szCs w:val="9"/>
                <w:color w:val="auto"/>
              </w:rPr>
            </w:pPr>
          </w:p>
        </w:tc>
        <w:tc>
          <w:tcPr>
            <w:tcW w:w="1560" w:type="dxa"/>
            <w:vAlign w:val="bottom"/>
            <w:vMerge w:val="restart"/>
          </w:tcPr>
          <w:p>
            <w:pPr>
              <w:jc w:val="center"/>
              <w:ind w:left="228"/>
              <w:spacing w:after="0"/>
              <w:rPr>
                <w:sz w:val="20"/>
                <w:szCs w:val="20"/>
                <w:color w:val="auto"/>
              </w:rPr>
            </w:pPr>
            <w:r>
              <w:rPr>
                <w:rFonts w:ascii="Arial" w:cs="Arial" w:eastAsia="Arial" w:hAnsi="Arial"/>
                <w:sz w:val="14"/>
                <w:szCs w:val="14"/>
                <w:color w:val="auto"/>
              </w:rPr>
              <w:t>outperform peers</w:t>
            </w:r>
          </w:p>
        </w:tc>
        <w:tc>
          <w:tcPr>
            <w:tcW w:w="240" w:type="dxa"/>
            <w:vAlign w:val="bottom"/>
            <w:tcBorders>
              <w:right w:val="single" w:sz="8" w:color="867F7C"/>
            </w:tcBorders>
          </w:tcPr>
          <w:p>
            <w:pPr>
              <w:spacing w:after="0"/>
              <w:rPr>
                <w:sz w:val="9"/>
                <w:szCs w:val="9"/>
                <w:color w:val="auto"/>
              </w:rPr>
            </w:pPr>
          </w:p>
        </w:tc>
        <w:tc>
          <w:tcPr>
            <w:tcW w:w="17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4"/>
                <w:szCs w:val="14"/>
                <w:color w:val="auto"/>
              </w:rPr>
              <w:t>retention</w:t>
            </w:r>
          </w:p>
        </w:tc>
        <w:tc>
          <w:tcPr>
            <w:tcW w:w="0" w:type="dxa"/>
            <w:vAlign w:val="bottom"/>
          </w:tcPr>
          <w:p>
            <w:pPr>
              <w:spacing w:after="0"/>
              <w:rPr>
                <w:sz w:val="1"/>
                <w:szCs w:val="1"/>
                <w:color w:val="auto"/>
              </w:rPr>
            </w:pPr>
          </w:p>
        </w:tc>
      </w:tr>
      <w:tr>
        <w:trPr>
          <w:trHeight w:val="81"/>
        </w:trPr>
        <w:tc>
          <w:tcPr>
            <w:tcW w:w="1860" w:type="dxa"/>
            <w:vAlign w:val="bottom"/>
            <w:tcBorders>
              <w:left w:val="single" w:sz="8" w:color="867F7C"/>
              <w:right w:val="single" w:sz="8" w:color="867F7C"/>
            </w:tcBorders>
          </w:tcPr>
          <w:p>
            <w:pPr>
              <w:spacing w:after="0"/>
              <w:rPr>
                <w:sz w:val="7"/>
                <w:szCs w:val="7"/>
                <w:color w:val="auto"/>
              </w:rPr>
            </w:pPr>
          </w:p>
        </w:tc>
        <w:tc>
          <w:tcPr>
            <w:tcW w:w="1820" w:type="dxa"/>
            <w:vAlign w:val="bottom"/>
            <w:tcBorders>
              <w:right w:val="single" w:sz="8" w:color="867F7C"/>
            </w:tcBorders>
          </w:tcPr>
          <w:p>
            <w:pPr>
              <w:spacing w:after="0"/>
              <w:rPr>
                <w:sz w:val="7"/>
                <w:szCs w:val="7"/>
                <w:color w:val="auto"/>
              </w:rPr>
            </w:pPr>
          </w:p>
        </w:tc>
        <w:tc>
          <w:tcPr>
            <w:tcW w:w="1840" w:type="dxa"/>
            <w:vAlign w:val="bottom"/>
            <w:tcBorders>
              <w:right w:val="single" w:sz="8" w:color="867F7C"/>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240" w:type="dxa"/>
            <w:vAlign w:val="bottom"/>
            <w:tcBorders>
              <w:right w:val="single" w:sz="8" w:color="867F7C"/>
            </w:tcBorders>
          </w:tcPr>
          <w:p>
            <w:pPr>
              <w:spacing w:after="0"/>
              <w:rPr>
                <w:sz w:val="7"/>
                <w:szCs w:val="7"/>
                <w:color w:val="auto"/>
              </w:rPr>
            </w:pPr>
          </w:p>
        </w:tc>
        <w:tc>
          <w:tcPr>
            <w:tcW w:w="1760" w:type="dxa"/>
            <w:vAlign w:val="bottom"/>
            <w:tcBorders>
              <w:right w:val="single" w:sz="8" w:color="867F7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860" w:type="dxa"/>
            <w:vAlign w:val="bottom"/>
            <w:tcBorders>
              <w:left w:val="single" w:sz="8" w:color="867F7C"/>
              <w:bottom w:val="single" w:sz="8" w:color="867F7C"/>
              <w:right w:val="single" w:sz="8" w:color="867F7C"/>
            </w:tcBorders>
          </w:tcPr>
          <w:p>
            <w:pPr>
              <w:spacing w:after="0"/>
              <w:rPr>
                <w:sz w:val="3"/>
                <w:szCs w:val="3"/>
                <w:color w:val="auto"/>
              </w:rPr>
            </w:pPr>
          </w:p>
        </w:tc>
        <w:tc>
          <w:tcPr>
            <w:tcW w:w="1820" w:type="dxa"/>
            <w:vAlign w:val="bottom"/>
            <w:tcBorders>
              <w:bottom w:val="single" w:sz="8" w:color="867F7C"/>
              <w:right w:val="single" w:sz="8" w:color="867F7C"/>
            </w:tcBorders>
          </w:tcPr>
          <w:p>
            <w:pPr>
              <w:spacing w:after="0"/>
              <w:rPr>
                <w:sz w:val="3"/>
                <w:szCs w:val="3"/>
                <w:color w:val="auto"/>
              </w:rPr>
            </w:pPr>
          </w:p>
        </w:tc>
        <w:tc>
          <w:tcPr>
            <w:tcW w:w="1840" w:type="dxa"/>
            <w:vAlign w:val="bottom"/>
            <w:tcBorders>
              <w:bottom w:val="single" w:sz="8" w:color="867F7C"/>
              <w:right w:val="single" w:sz="8" w:color="867F7C"/>
            </w:tcBorders>
          </w:tcPr>
          <w:p>
            <w:pPr>
              <w:spacing w:after="0"/>
              <w:rPr>
                <w:sz w:val="3"/>
                <w:szCs w:val="3"/>
                <w:color w:val="auto"/>
              </w:rPr>
            </w:pPr>
          </w:p>
        </w:tc>
        <w:tc>
          <w:tcPr>
            <w:tcW w:w="1560" w:type="dxa"/>
            <w:vAlign w:val="bottom"/>
            <w:tcBorders>
              <w:bottom w:val="single" w:sz="8" w:color="867F7C"/>
            </w:tcBorders>
          </w:tcPr>
          <w:p>
            <w:pPr>
              <w:spacing w:after="0"/>
              <w:rPr>
                <w:sz w:val="3"/>
                <w:szCs w:val="3"/>
                <w:color w:val="auto"/>
              </w:rPr>
            </w:pPr>
          </w:p>
        </w:tc>
        <w:tc>
          <w:tcPr>
            <w:tcW w:w="240" w:type="dxa"/>
            <w:vAlign w:val="bottom"/>
            <w:tcBorders>
              <w:bottom w:val="single" w:sz="8" w:color="867F7C"/>
              <w:right w:val="single" w:sz="8" w:color="867F7C"/>
            </w:tcBorders>
          </w:tcPr>
          <w:p>
            <w:pPr>
              <w:spacing w:after="0"/>
              <w:rPr>
                <w:sz w:val="3"/>
                <w:szCs w:val="3"/>
                <w:color w:val="auto"/>
              </w:rPr>
            </w:pPr>
          </w:p>
        </w:tc>
        <w:tc>
          <w:tcPr>
            <w:tcW w:w="1760" w:type="dxa"/>
            <w:vAlign w:val="bottom"/>
            <w:tcBorders>
              <w:bottom w:val="single" w:sz="8" w:color="867F7C"/>
              <w:right w:val="single" w:sz="8" w:color="867F7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220" w:hanging="212"/>
        <w:spacing w:after="0" w:line="228" w:lineRule="auto"/>
        <w:tabs>
          <w:tab w:leader="none" w:pos="220" w:val="left"/>
        </w:tabs>
        <w:numPr>
          <w:ilvl w:val="0"/>
          <w:numId w:val="35"/>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Adjusted EBITDA and Innovation Revenue (new product sales), in each case, as used for purposes of our Annual Incentive Plan, and Adjusted RONA and Adjusted EPS, as used for purposes of our Long-Term Incentive Performance Plan, are non-GAAP measures. Other than Adjusted RONA, a reconciliation of these measures to results in accordance with GAAP can be found in Appendix A.</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32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867F7C"/>
        </w:rPr>
        <w:t>compensation discussion and analysis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4CCEDE"/>
        </w:rPr>
        <w:t>overall pay mix</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illustrated in the charts below, we place a significant emphasis on performance-based compensation (annual and long-term) so that a substantial percentage of each NEO’s total direct target compensation is contingent on the successful achievement of our financial and strategic goals, in accordance with our compensation philosophy.</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867F7C"/>
        </w:rPr>
        <w:t>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143510</wp:posOffset>
            </wp:positionV>
            <wp:extent cx="3326130" cy="13290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2613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fiscal year 2025 compensation structure decisions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Compensation Committee reviews the base salaries and the annual and long-term target opportunities of our NEOs annually to determine whether these programs competitively reward our NEOs for their services based on a comparison to executives in the Compensation Peer Group and a review of other competitive market information.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4CCEDE"/>
        </w:rPr>
        <w:t>base salary</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considers each NEO’s experience, proficiency, performance and potential to impact future business results, the NEO’s behavior measured against key competencies and corporate values and competitiveness in the market, in making base salary decisions.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Compensation Committee also reviewed the market data provided by its independent compensation consultant, Meridian Compensation Partners, in connection with the compensation recommendations submitted by Mr. Novo for each NEO other than himself. The Compensation Committee increased the base salary for Mr. Whitaker in May 2025 to recognize his additional responsibilities as Interim Chief Financial Officer, and again in July 2025, upon Mr. Whitaker’s formal appointment as Senior Vice President and Chief Financial Officer.</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Below are the base salaries, effective January 2025 (and for Mr. Whitaker, effective July 2025, upon his appointment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shd w:val="clear" w:color="auto" w:fill="EFEBE9"/>
          </w:tcPr>
          <w:p>
            <w:pPr>
              <w:spacing w:after="0"/>
              <w:rPr>
                <w:sz w:val="14"/>
                <w:szCs w:val="14"/>
                <w:color w:val="auto"/>
              </w:rPr>
            </w:pPr>
          </w:p>
        </w:tc>
        <w:tc>
          <w:tcPr>
            <w:tcW w:w="1440" w:type="dxa"/>
            <w:vAlign w:val="bottom"/>
            <w:shd w:val="clear" w:color="auto" w:fill="EFEBE9"/>
          </w:tcPr>
          <w:p>
            <w:pPr>
              <w:jc w:val="right"/>
              <w:ind w:right="28"/>
              <w:spacing w:after="0"/>
              <w:rPr>
                <w:sz w:val="20"/>
                <w:szCs w:val="20"/>
                <w:color w:val="auto"/>
              </w:rPr>
            </w:pPr>
            <w:r>
              <w:rPr>
                <w:rFonts w:ascii="Arial" w:cs="Arial" w:eastAsia="Arial" w:hAnsi="Arial"/>
                <w:sz w:val="14"/>
                <w:szCs w:val="14"/>
                <w:b w:val="1"/>
                <w:bCs w:val="1"/>
                <w:color w:val="867F7C"/>
              </w:rPr>
              <w:t>2024 Base Salary</w:t>
            </w:r>
          </w:p>
        </w:tc>
        <w:tc>
          <w:tcPr>
            <w:tcW w:w="1420" w:type="dxa"/>
            <w:vAlign w:val="bottom"/>
            <w:shd w:val="clear" w:color="auto" w:fill="EFEBE9"/>
          </w:tcPr>
          <w:p>
            <w:pPr>
              <w:jc w:val="right"/>
              <w:ind w:right="88"/>
              <w:spacing w:after="0"/>
              <w:rPr>
                <w:sz w:val="20"/>
                <w:szCs w:val="20"/>
                <w:color w:val="auto"/>
              </w:rPr>
            </w:pPr>
            <w:r>
              <w:rPr>
                <w:rFonts w:ascii="Arial" w:cs="Arial" w:eastAsia="Arial" w:hAnsi="Arial"/>
                <w:sz w:val="14"/>
                <w:szCs w:val="14"/>
                <w:b w:val="1"/>
                <w:bCs w:val="1"/>
                <w:color w:val="867F7C"/>
              </w:rPr>
              <w:t>2025 Base Salary</w:t>
            </w:r>
          </w:p>
        </w:tc>
        <w:tc>
          <w:tcPr>
            <w:tcW w:w="840" w:type="dxa"/>
            <w:vAlign w:val="bottom"/>
            <w:shd w:val="clear" w:color="auto" w:fill="EFEBE9"/>
          </w:tcPr>
          <w:p>
            <w:pPr>
              <w:jc w:val="right"/>
              <w:ind w:right="88"/>
              <w:spacing w:after="0"/>
              <w:rPr>
                <w:sz w:val="20"/>
                <w:szCs w:val="20"/>
                <w:color w:val="auto"/>
              </w:rPr>
            </w:pPr>
            <w:r>
              <w:rPr>
                <w:rFonts w:ascii="Arial" w:cs="Arial" w:eastAsia="Arial" w:hAnsi="Arial"/>
                <w:sz w:val="14"/>
                <w:szCs w:val="14"/>
                <w:b w:val="1"/>
                <w:bCs w:val="1"/>
                <w:color w:val="867F7C"/>
              </w:rPr>
              <w:t>Change</w:t>
            </w:r>
          </w:p>
        </w:tc>
      </w:tr>
      <w:tr>
        <w:trPr>
          <w:trHeight w:val="217"/>
        </w:trPr>
        <w:tc>
          <w:tcPr>
            <w:tcW w:w="538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NEO</w:t>
            </w:r>
          </w:p>
        </w:tc>
        <w:tc>
          <w:tcPr>
            <w:tcW w:w="1440" w:type="dxa"/>
            <w:vAlign w:val="bottom"/>
            <w:tcBorders>
              <w:bottom w:val="single" w:sz="8" w:color="EFEBE9"/>
            </w:tcBorders>
            <w:shd w:val="clear" w:color="auto" w:fill="EFEBE9"/>
          </w:tcPr>
          <w:p>
            <w:pPr>
              <w:jc w:val="right"/>
              <w:ind w:right="528"/>
              <w:spacing w:after="0"/>
              <w:rPr>
                <w:sz w:val="20"/>
                <w:szCs w:val="20"/>
                <w:color w:val="auto"/>
              </w:rPr>
            </w:pPr>
            <w:r>
              <w:rPr>
                <w:rFonts w:ascii="Arial" w:cs="Arial" w:eastAsia="Arial" w:hAnsi="Arial"/>
                <w:sz w:val="14"/>
                <w:szCs w:val="14"/>
                <w:b w:val="1"/>
                <w:bCs w:val="1"/>
                <w:color w:val="867F7C"/>
              </w:rPr>
              <w:t>($)</w:t>
            </w:r>
          </w:p>
        </w:tc>
        <w:tc>
          <w:tcPr>
            <w:tcW w:w="1420" w:type="dxa"/>
            <w:vAlign w:val="bottom"/>
            <w:tcBorders>
              <w:bottom w:val="single" w:sz="8" w:color="EFEBE9"/>
            </w:tcBorders>
            <w:shd w:val="clear" w:color="auto" w:fill="EFEBE9"/>
          </w:tcPr>
          <w:p>
            <w:pPr>
              <w:jc w:val="right"/>
              <w:ind w:right="588"/>
              <w:spacing w:after="0"/>
              <w:rPr>
                <w:sz w:val="20"/>
                <w:szCs w:val="20"/>
                <w:color w:val="auto"/>
              </w:rPr>
            </w:pPr>
            <w:r>
              <w:rPr>
                <w:rFonts w:ascii="Arial" w:cs="Arial" w:eastAsia="Arial" w:hAnsi="Arial"/>
                <w:sz w:val="14"/>
                <w:szCs w:val="14"/>
                <w:b w:val="1"/>
                <w:bCs w:val="1"/>
                <w:color w:val="867F7C"/>
              </w:rPr>
              <w:t>($)</w:t>
            </w:r>
          </w:p>
        </w:tc>
        <w:tc>
          <w:tcPr>
            <w:tcW w:w="840" w:type="dxa"/>
            <w:vAlign w:val="bottom"/>
            <w:tcBorders>
              <w:bottom w:val="single" w:sz="8" w:color="EFEBE9"/>
            </w:tcBorders>
            <w:shd w:val="clear" w:color="auto" w:fill="EFEBE9"/>
          </w:tcPr>
          <w:p>
            <w:pPr>
              <w:jc w:val="right"/>
              <w:ind w:right="248"/>
              <w:spacing w:after="0"/>
              <w:rPr>
                <w:sz w:val="20"/>
                <w:szCs w:val="20"/>
                <w:color w:val="auto"/>
              </w:rPr>
            </w:pPr>
            <w:r>
              <w:rPr>
                <w:rFonts w:ascii="Arial" w:cs="Arial" w:eastAsia="Arial" w:hAnsi="Arial"/>
                <w:sz w:val="14"/>
                <w:szCs w:val="14"/>
                <w:b w:val="1"/>
                <w:bCs w:val="1"/>
                <w:color w:val="867F7C"/>
              </w:rPr>
              <w:t>(%)</w:t>
            </w:r>
          </w:p>
        </w:tc>
      </w:tr>
      <w:tr>
        <w:trPr>
          <w:trHeight w:val="195"/>
        </w:trPr>
        <w:tc>
          <w:tcPr>
            <w:tcW w:w="5380" w:type="dxa"/>
            <w:vAlign w:val="bottom"/>
            <w:tcBorders>
              <w:top w:val="single" w:sz="8" w:color="867F7C"/>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1440" w:type="dxa"/>
            <w:vAlign w:val="bottom"/>
            <w:tcBorders>
              <w:top w:val="single" w:sz="8" w:color="867F7C"/>
              <w:bottom w:val="single" w:sz="8" w:color="867F7C"/>
            </w:tcBorders>
          </w:tcPr>
          <w:p>
            <w:pPr>
              <w:jc w:val="right"/>
              <w:ind w:right="208"/>
              <w:spacing w:after="0"/>
              <w:rPr>
                <w:sz w:val="20"/>
                <w:szCs w:val="20"/>
                <w:color w:val="auto"/>
              </w:rPr>
            </w:pPr>
            <w:r>
              <w:rPr>
                <w:rFonts w:ascii="Arial" w:cs="Arial" w:eastAsia="Arial" w:hAnsi="Arial"/>
                <w:sz w:val="14"/>
                <w:szCs w:val="14"/>
                <w:color w:val="auto"/>
              </w:rPr>
              <w:t>1,128,500</w:t>
            </w:r>
          </w:p>
        </w:tc>
        <w:tc>
          <w:tcPr>
            <w:tcW w:w="1420" w:type="dxa"/>
            <w:vAlign w:val="bottom"/>
            <w:tcBorders>
              <w:top w:val="single" w:sz="8" w:color="867F7C"/>
              <w:bottom w:val="single" w:sz="8" w:color="867F7C"/>
            </w:tcBorders>
          </w:tcPr>
          <w:p>
            <w:pPr>
              <w:jc w:val="right"/>
              <w:ind w:right="268"/>
              <w:spacing w:after="0"/>
              <w:rPr>
                <w:sz w:val="20"/>
                <w:szCs w:val="20"/>
                <w:color w:val="auto"/>
              </w:rPr>
            </w:pPr>
            <w:r>
              <w:rPr>
                <w:rFonts w:ascii="Arial" w:cs="Arial" w:eastAsia="Arial" w:hAnsi="Arial"/>
                <w:sz w:val="14"/>
                <w:szCs w:val="14"/>
                <w:color w:val="auto"/>
              </w:rPr>
              <w:t>1,162,360</w:t>
            </w:r>
          </w:p>
        </w:tc>
        <w:tc>
          <w:tcPr>
            <w:tcW w:w="840" w:type="dxa"/>
            <w:vAlign w:val="bottom"/>
            <w:tcBorders>
              <w:top w:val="single" w:sz="8" w:color="867F7C"/>
              <w:bottom w:val="single" w:sz="8" w:color="867F7C"/>
            </w:tcBorders>
          </w:tcPr>
          <w:p>
            <w:pPr>
              <w:jc w:val="right"/>
              <w:ind w:right="148"/>
              <w:spacing w:after="0"/>
              <w:rPr>
                <w:sz w:val="20"/>
                <w:szCs w:val="20"/>
                <w:color w:val="auto"/>
              </w:rPr>
            </w:pPr>
            <w:r>
              <w:rPr>
                <w:rFonts w:ascii="Arial" w:cs="Arial" w:eastAsia="Arial" w:hAnsi="Arial"/>
                <w:sz w:val="14"/>
                <w:szCs w:val="14"/>
                <w:color w:val="auto"/>
              </w:rPr>
              <w:t>3.0</w:t>
            </w:r>
          </w:p>
        </w:tc>
      </w:tr>
      <w:tr>
        <w:trPr>
          <w:trHeight w:val="196"/>
        </w:trPr>
        <w:tc>
          <w:tcPr>
            <w:tcW w:w="53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William Whitaker</w:t>
            </w:r>
          </w:p>
        </w:tc>
        <w:tc>
          <w:tcPr>
            <w:tcW w:w="14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285,376</w:t>
            </w:r>
          </w:p>
        </w:tc>
        <w:tc>
          <w:tcPr>
            <w:tcW w:w="142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414,600</w:t>
            </w:r>
          </w:p>
        </w:tc>
        <w:tc>
          <w:tcPr>
            <w:tcW w:w="84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45.3</w:t>
            </w:r>
          </w:p>
        </w:tc>
      </w:tr>
      <w:tr>
        <w:trPr>
          <w:trHeight w:val="196"/>
        </w:trPr>
        <w:tc>
          <w:tcPr>
            <w:tcW w:w="53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Alessandra Faccin Assis</w:t>
            </w:r>
          </w:p>
        </w:tc>
        <w:tc>
          <w:tcPr>
            <w:tcW w:w="14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490,000</w:t>
            </w:r>
          </w:p>
        </w:tc>
        <w:tc>
          <w:tcPr>
            <w:tcW w:w="142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504,700</w:t>
            </w:r>
          </w:p>
        </w:tc>
        <w:tc>
          <w:tcPr>
            <w:tcW w:w="84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3.0</w:t>
            </w:r>
          </w:p>
        </w:tc>
      </w:tr>
      <w:tr>
        <w:trPr>
          <w:trHeight w:val="196"/>
        </w:trPr>
        <w:tc>
          <w:tcPr>
            <w:tcW w:w="53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Osama M. Musa</w:t>
            </w:r>
          </w:p>
        </w:tc>
        <w:tc>
          <w:tcPr>
            <w:tcW w:w="14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509,430</w:t>
            </w:r>
          </w:p>
        </w:tc>
        <w:tc>
          <w:tcPr>
            <w:tcW w:w="142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524,710</w:t>
            </w:r>
          </w:p>
        </w:tc>
        <w:tc>
          <w:tcPr>
            <w:tcW w:w="84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3.0</w:t>
            </w:r>
          </w:p>
        </w:tc>
      </w:tr>
      <w:tr>
        <w:trPr>
          <w:trHeight w:val="196"/>
        </w:trPr>
        <w:tc>
          <w:tcPr>
            <w:tcW w:w="53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James Minicucci</w:t>
            </w:r>
          </w:p>
        </w:tc>
        <w:tc>
          <w:tcPr>
            <w:tcW w:w="14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448,000</w:t>
            </w:r>
          </w:p>
        </w:tc>
        <w:tc>
          <w:tcPr>
            <w:tcW w:w="142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461,440</w:t>
            </w:r>
          </w:p>
        </w:tc>
        <w:tc>
          <w:tcPr>
            <w:tcW w:w="84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3.0</w:t>
            </w:r>
          </w:p>
        </w:tc>
      </w:tr>
      <w:tr>
        <w:trPr>
          <w:trHeight w:val="196"/>
        </w:trPr>
        <w:tc>
          <w:tcPr>
            <w:tcW w:w="53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Karl Bostaph</w:t>
            </w:r>
          </w:p>
        </w:tc>
        <w:tc>
          <w:tcPr>
            <w:tcW w:w="14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396,430</w:t>
            </w:r>
          </w:p>
        </w:tc>
        <w:tc>
          <w:tcPr>
            <w:tcW w:w="142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402,380</w:t>
            </w:r>
          </w:p>
        </w:tc>
        <w:tc>
          <w:tcPr>
            <w:tcW w:w="84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1.5</w:t>
            </w:r>
          </w:p>
        </w:tc>
      </w:tr>
      <w:tr>
        <w:trPr>
          <w:trHeight w:val="196"/>
        </w:trPr>
        <w:tc>
          <w:tcPr>
            <w:tcW w:w="53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 Kevin Willis</w:t>
            </w:r>
          </w:p>
        </w:tc>
        <w:tc>
          <w:tcPr>
            <w:tcW w:w="14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630,270</w:t>
            </w:r>
          </w:p>
        </w:tc>
        <w:tc>
          <w:tcPr>
            <w:tcW w:w="142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630,270</w:t>
            </w:r>
          </w:p>
        </w:tc>
        <w:tc>
          <w:tcPr>
            <w:tcW w:w="84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0.0</w:t>
            </w:r>
          </w:p>
        </w:tc>
      </w:tr>
    </w:tbl>
    <w:p>
      <w:pPr>
        <w:spacing w:after="0" w:line="200" w:lineRule="exact"/>
        <w:rPr>
          <w:sz w:val="20"/>
          <w:szCs w:val="20"/>
          <w:color w:val="auto"/>
        </w:rPr>
      </w:pPr>
    </w:p>
    <w:p>
      <w:pPr>
        <w:spacing w:after="0" w:line="352"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867F7C"/>
        </w:rPr>
        <w:t>compensation discussion and analysis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4CCEDE"/>
        </w:rPr>
        <w:t>annual and long-term incentive target opportunities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year, the Compensation Committee reviews the annual and long-term incentive target opportunities to ensure alignment with our compensation philosophy and competitive practice.</w:t>
      </w:r>
    </w:p>
    <w:p>
      <w:pPr>
        <w:spacing w:after="0" w:line="278" w:lineRule="exact"/>
        <w:rPr>
          <w:sz w:val="20"/>
          <w:szCs w:val="20"/>
          <w:color w:val="auto"/>
        </w:rPr>
      </w:pPr>
    </w:p>
    <w:p>
      <w:pPr>
        <w:ind w:right="860"/>
        <w:spacing w:after="0" w:line="282" w:lineRule="auto"/>
        <w:rPr>
          <w:sz w:val="20"/>
          <w:szCs w:val="20"/>
          <w:color w:val="auto"/>
        </w:rPr>
      </w:pPr>
      <w:r>
        <w:rPr>
          <w:rFonts w:ascii="Arial" w:cs="Arial" w:eastAsia="Arial" w:hAnsi="Arial"/>
          <w:sz w:val="27"/>
          <w:szCs w:val="27"/>
          <w:b w:val="1"/>
          <w:bCs w:val="1"/>
          <w:color w:val="867F7C"/>
        </w:rPr>
        <w:t>fiscal year 2025 incentive plan designs and performance-related payouts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4CCEDE"/>
        </w:rPr>
        <w:t>annual and long-term incentive metrics and goals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a review of the annual and long-term financial goals, operational plans, strategic initiatives and the prior year’s actual results, the Compensation Committee annually approves the financial performance metrics that will be used to measure performance in our annual and long-term incentive arrangements as well as the relative weighting that will be assigned to each metric. The Compensation Committee then approves threshold, target and maximum performance levels for each performance metric. The Compensation Committee seeks to establish corporate performance goals that are challenging yet attainable.</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our fiscal 2025 Annual Incentive Plan (“Annual Incentive Plan”) and Long-Term Incentive Performance Plan (“LTIPP”), the Compensation Committee approved the following performance metrics in November 2024 for the reasons noted below:</w:t>
      </w:r>
    </w:p>
    <w:p>
      <w:pPr>
        <w:spacing w:after="0" w:line="134"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940" w:type="dxa"/>
            <w:vAlign w:val="bottom"/>
            <w:shd w:val="clear" w:color="auto" w:fill="EFEBE9"/>
          </w:tcPr>
          <w:p>
            <w:pPr>
              <w:ind w:left="1560"/>
              <w:spacing w:after="0"/>
              <w:rPr>
                <w:sz w:val="20"/>
                <w:szCs w:val="20"/>
                <w:color w:val="auto"/>
              </w:rPr>
            </w:pPr>
            <w:r>
              <w:rPr>
                <w:rFonts w:ascii="Arial" w:cs="Arial" w:eastAsia="Arial" w:hAnsi="Arial"/>
                <w:sz w:val="14"/>
                <w:szCs w:val="14"/>
                <w:b w:val="1"/>
                <w:bCs w:val="1"/>
                <w:color w:val="867F7C"/>
              </w:rPr>
              <w:t>Performance Metric</w:t>
            </w:r>
          </w:p>
        </w:tc>
        <w:tc>
          <w:tcPr>
            <w:tcW w:w="4600" w:type="dxa"/>
            <w:vAlign w:val="bottom"/>
            <w:shd w:val="clear" w:color="auto" w:fill="EFEBE9"/>
          </w:tcPr>
          <w:p>
            <w:pPr>
              <w:ind w:left="1840"/>
              <w:spacing w:after="0"/>
              <w:rPr>
                <w:sz w:val="20"/>
                <w:szCs w:val="20"/>
                <w:color w:val="auto"/>
              </w:rPr>
            </w:pPr>
            <w:r>
              <w:rPr>
                <w:rFonts w:ascii="Arial" w:cs="Arial" w:eastAsia="Arial" w:hAnsi="Arial"/>
                <w:sz w:val="14"/>
                <w:szCs w:val="14"/>
                <w:b w:val="1"/>
                <w:bCs w:val="1"/>
                <w:color w:val="867F7C"/>
              </w:rPr>
              <w:t>Reason for Selection</w:t>
            </w:r>
          </w:p>
        </w:tc>
      </w:tr>
      <w:tr>
        <w:trPr>
          <w:trHeight w:val="180"/>
        </w:trPr>
        <w:tc>
          <w:tcPr>
            <w:tcW w:w="3940" w:type="dxa"/>
            <w:vAlign w:val="bottom"/>
          </w:tcPr>
          <w:p>
            <w:pPr>
              <w:ind w:left="80"/>
              <w:spacing w:after="0"/>
              <w:rPr>
                <w:sz w:val="20"/>
                <w:szCs w:val="20"/>
                <w:color w:val="auto"/>
              </w:rPr>
            </w:pPr>
            <w:r>
              <w:rPr>
                <w:rFonts w:ascii="Arial" w:cs="Arial" w:eastAsia="Arial" w:hAnsi="Arial"/>
                <w:sz w:val="14"/>
                <w:szCs w:val="14"/>
                <w:color w:val="auto"/>
              </w:rPr>
              <w:t>Adjusted Earnings Before Interest, Tax, Depreciation</w:t>
            </w:r>
          </w:p>
        </w:tc>
        <w:tc>
          <w:tcPr>
            <w:tcW w:w="4600" w:type="dxa"/>
            <w:vAlign w:val="bottom"/>
          </w:tcPr>
          <w:p>
            <w:pPr>
              <w:ind w:left="500"/>
              <w:spacing w:after="0"/>
              <w:rPr>
                <w:sz w:val="20"/>
                <w:szCs w:val="20"/>
                <w:color w:val="auto"/>
              </w:rPr>
            </w:pPr>
            <w:r>
              <w:rPr>
                <w:rFonts w:ascii="Arial" w:cs="Arial" w:eastAsia="Arial" w:hAnsi="Arial"/>
                <w:sz w:val="14"/>
                <w:szCs w:val="14"/>
                <w:color w:val="auto"/>
              </w:rPr>
              <w:t>An indicator of Ashland’s</w:t>
            </w:r>
          </w:p>
        </w:tc>
      </w:tr>
      <w:tr>
        <w:trPr>
          <w:trHeight w:val="185"/>
        </w:trPr>
        <w:tc>
          <w:tcPr>
            <w:tcW w:w="3940" w:type="dxa"/>
            <w:vAlign w:val="bottom"/>
          </w:tcPr>
          <w:p>
            <w:pPr>
              <w:ind w:left="80"/>
              <w:spacing w:after="0" w:line="184" w:lineRule="exact"/>
              <w:rPr>
                <w:sz w:val="20"/>
                <w:szCs w:val="20"/>
                <w:color w:val="auto"/>
              </w:rPr>
            </w:pPr>
            <w:r>
              <w:rPr>
                <w:rFonts w:ascii="Arial" w:cs="Arial" w:eastAsia="Arial" w:hAnsi="Arial"/>
                <w:sz w:val="14"/>
                <w:szCs w:val="14"/>
                <w:color w:val="auto"/>
              </w:rPr>
              <w:t>and Amortization (“EBITDA”)</w:t>
            </w:r>
            <w:r>
              <w:rPr>
                <w:rFonts w:ascii="Arial" w:cs="Arial" w:eastAsia="Arial" w:hAnsi="Arial"/>
                <w:sz w:val="19"/>
                <w:szCs w:val="19"/>
                <w:color w:val="auto"/>
                <w:vertAlign w:val="superscript"/>
              </w:rPr>
              <w:t>(1)</w:t>
            </w:r>
          </w:p>
        </w:tc>
        <w:tc>
          <w:tcPr>
            <w:tcW w:w="4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Profitability</w:t>
            </w:r>
          </w:p>
        </w:tc>
      </w:tr>
      <w:tr>
        <w:trPr>
          <w:trHeight w:val="189"/>
        </w:trPr>
        <w:tc>
          <w:tcPr>
            <w:tcW w:w="3940" w:type="dxa"/>
            <w:vAlign w:val="bottom"/>
            <w:tcBorders>
              <w:bottom w:val="single" w:sz="8" w:color="867F7C"/>
            </w:tcBorders>
          </w:tcPr>
          <w:p>
            <w:pPr>
              <w:spacing w:after="0"/>
              <w:rPr>
                <w:sz w:val="16"/>
                <w:szCs w:val="16"/>
                <w:color w:val="auto"/>
              </w:rPr>
            </w:pPr>
          </w:p>
        </w:tc>
        <w:tc>
          <w:tcPr>
            <w:tcW w:w="4600" w:type="dxa"/>
            <w:vAlign w:val="bottom"/>
            <w:tcBorders>
              <w:bottom w:val="single" w:sz="8" w:color="867F7C"/>
            </w:tcBorders>
          </w:tcPr>
          <w:p>
            <w:pPr>
              <w:ind w:left="50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Ability to optimize cash flow and stockholder value</w:t>
            </w:r>
          </w:p>
        </w:tc>
      </w:tr>
      <w:tr>
        <w:trPr>
          <w:trHeight w:val="173"/>
        </w:trPr>
        <w:tc>
          <w:tcPr>
            <w:tcW w:w="3940" w:type="dxa"/>
            <w:vAlign w:val="bottom"/>
          </w:tcPr>
          <w:p>
            <w:pPr>
              <w:ind w:left="80"/>
              <w:spacing w:after="0" w:line="173" w:lineRule="exact"/>
              <w:rPr>
                <w:sz w:val="20"/>
                <w:szCs w:val="20"/>
                <w:color w:val="auto"/>
              </w:rPr>
            </w:pPr>
            <w:r>
              <w:rPr>
                <w:rFonts w:ascii="Arial" w:cs="Arial" w:eastAsia="Arial" w:hAnsi="Arial"/>
                <w:sz w:val="14"/>
                <w:szCs w:val="14"/>
                <w:color w:val="auto"/>
              </w:rPr>
              <w:t>Innovation Revenue</w:t>
            </w:r>
            <w:r>
              <w:rPr>
                <w:rFonts w:ascii="Arial" w:cs="Arial" w:eastAsia="Arial" w:hAnsi="Arial"/>
                <w:sz w:val="19"/>
                <w:szCs w:val="19"/>
                <w:color w:val="auto"/>
                <w:vertAlign w:val="superscript"/>
              </w:rPr>
              <w:t>(1)</w:t>
            </w:r>
          </w:p>
        </w:tc>
        <w:tc>
          <w:tcPr>
            <w:tcW w:w="4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An important measurement of Ashland’s ability to generate</w:t>
            </w:r>
          </w:p>
        </w:tc>
      </w:tr>
      <w:tr>
        <w:trPr>
          <w:trHeight w:val="190"/>
        </w:trPr>
        <w:tc>
          <w:tcPr>
            <w:tcW w:w="3940" w:type="dxa"/>
            <w:vAlign w:val="bottom"/>
          </w:tcPr>
          <w:p>
            <w:pPr>
              <w:spacing w:after="0"/>
              <w:rPr>
                <w:sz w:val="16"/>
                <w:szCs w:val="16"/>
                <w:color w:val="auto"/>
              </w:rPr>
            </w:pPr>
          </w:p>
        </w:tc>
        <w:tc>
          <w:tcPr>
            <w:tcW w:w="4600" w:type="dxa"/>
            <w:vAlign w:val="bottom"/>
          </w:tcPr>
          <w:p>
            <w:pPr>
              <w:ind w:left="620"/>
              <w:spacing w:after="0"/>
              <w:rPr>
                <w:sz w:val="20"/>
                <w:szCs w:val="20"/>
                <w:color w:val="auto"/>
              </w:rPr>
            </w:pPr>
            <w:r>
              <w:rPr>
                <w:rFonts w:ascii="Arial" w:cs="Arial" w:eastAsia="Arial" w:hAnsi="Arial"/>
                <w:sz w:val="14"/>
                <w:szCs w:val="14"/>
                <w:color w:val="auto"/>
              </w:rPr>
              <w:t>revenue from new products introduced</w:t>
            </w:r>
          </w:p>
        </w:tc>
      </w:tr>
      <w:tr>
        <w:trPr>
          <w:trHeight w:val="22"/>
        </w:trPr>
        <w:tc>
          <w:tcPr>
            <w:tcW w:w="3940" w:type="dxa"/>
            <w:vAlign w:val="bottom"/>
            <w:tcBorders>
              <w:bottom w:val="single" w:sz="8" w:color="867F7C"/>
            </w:tcBorders>
          </w:tcPr>
          <w:p>
            <w:pPr>
              <w:spacing w:after="0" w:line="20" w:lineRule="exact"/>
              <w:rPr>
                <w:sz w:val="1"/>
                <w:szCs w:val="1"/>
                <w:color w:val="auto"/>
              </w:rPr>
            </w:pPr>
          </w:p>
        </w:tc>
        <w:tc>
          <w:tcPr>
            <w:tcW w:w="4600" w:type="dxa"/>
            <w:vAlign w:val="bottom"/>
            <w:tcBorders>
              <w:bottom w:val="single" w:sz="8" w:color="867F7C"/>
            </w:tcBorders>
          </w:tcPr>
          <w:p>
            <w:pPr>
              <w:spacing w:after="0" w:line="20" w:lineRule="exact"/>
              <w:rPr>
                <w:sz w:val="1"/>
                <w:szCs w:val="1"/>
                <w:color w:val="auto"/>
              </w:rPr>
            </w:pPr>
          </w:p>
        </w:tc>
      </w:tr>
      <w:tr>
        <w:trPr>
          <w:trHeight w:val="173"/>
        </w:trPr>
        <w:tc>
          <w:tcPr>
            <w:tcW w:w="3940" w:type="dxa"/>
            <w:vAlign w:val="bottom"/>
          </w:tcPr>
          <w:p>
            <w:pPr>
              <w:ind w:left="80"/>
              <w:spacing w:after="0"/>
              <w:rPr>
                <w:sz w:val="20"/>
                <w:szCs w:val="20"/>
                <w:color w:val="auto"/>
              </w:rPr>
            </w:pPr>
            <w:r>
              <w:rPr>
                <w:rFonts w:ascii="Arial" w:cs="Arial" w:eastAsia="Arial" w:hAnsi="Arial"/>
                <w:sz w:val="14"/>
                <w:szCs w:val="14"/>
                <w:color w:val="auto"/>
              </w:rPr>
              <w:t>Environmental Health and Safety</w:t>
            </w:r>
          </w:p>
        </w:tc>
        <w:tc>
          <w:tcPr>
            <w:tcW w:w="4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Reflects the importance of environmental, social, governance</w:t>
            </w:r>
          </w:p>
        </w:tc>
      </w:tr>
      <w:tr>
        <w:trPr>
          <w:trHeight w:val="162"/>
        </w:trPr>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Total Preventable Recordable Rate (“TPRR”)</w:t>
            </w:r>
          </w:p>
        </w:tc>
        <w:tc>
          <w:tcPr>
            <w:tcW w:w="4600" w:type="dxa"/>
            <w:vAlign w:val="bottom"/>
          </w:tcPr>
          <w:p>
            <w:pPr>
              <w:ind w:left="620"/>
              <w:spacing w:after="0"/>
              <w:rPr>
                <w:sz w:val="20"/>
                <w:szCs w:val="20"/>
                <w:color w:val="auto"/>
              </w:rPr>
            </w:pPr>
            <w:r>
              <w:rPr>
                <w:rFonts w:ascii="Arial" w:cs="Arial" w:eastAsia="Arial" w:hAnsi="Arial"/>
                <w:sz w:val="14"/>
                <w:szCs w:val="14"/>
                <w:color w:val="auto"/>
              </w:rPr>
              <w:t>and safety matters within Ashland</w:t>
            </w:r>
          </w:p>
        </w:tc>
      </w:tr>
      <w:tr>
        <w:trPr>
          <w:trHeight w:val="162"/>
        </w:trPr>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Process Safety (“PSI”)</w:t>
            </w:r>
          </w:p>
        </w:tc>
        <w:tc>
          <w:tcPr>
            <w:tcW w:w="4600" w:type="dxa"/>
            <w:vAlign w:val="bottom"/>
          </w:tcPr>
          <w:p>
            <w:pPr>
              <w:spacing w:after="0"/>
              <w:rPr>
                <w:sz w:val="14"/>
                <w:szCs w:val="14"/>
                <w:color w:val="auto"/>
              </w:rPr>
            </w:pPr>
          </w:p>
        </w:tc>
      </w:tr>
      <w:tr>
        <w:trPr>
          <w:trHeight w:val="162"/>
        </w:trPr>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Spills and Releases (“EIC”)</w:t>
            </w:r>
          </w:p>
        </w:tc>
        <w:tc>
          <w:tcPr>
            <w:tcW w:w="4600" w:type="dxa"/>
            <w:vAlign w:val="bottom"/>
          </w:tcPr>
          <w:p>
            <w:pPr>
              <w:spacing w:after="0"/>
              <w:rPr>
                <w:sz w:val="14"/>
                <w:szCs w:val="14"/>
                <w:color w:val="auto"/>
              </w:rPr>
            </w:pPr>
          </w:p>
        </w:tc>
      </w:tr>
      <w:tr>
        <w:trPr>
          <w:trHeight w:val="190"/>
        </w:trPr>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Environmental, Social and Governance (“ESG”)</w:t>
            </w:r>
          </w:p>
        </w:tc>
        <w:tc>
          <w:tcPr>
            <w:tcW w:w="4600" w:type="dxa"/>
            <w:vAlign w:val="bottom"/>
          </w:tcPr>
          <w:p>
            <w:pPr>
              <w:spacing w:after="0"/>
              <w:rPr>
                <w:sz w:val="16"/>
                <w:szCs w:val="16"/>
                <w:color w:val="auto"/>
              </w:rPr>
            </w:pPr>
          </w:p>
        </w:tc>
      </w:tr>
      <w:tr>
        <w:trPr>
          <w:trHeight w:val="35"/>
        </w:trPr>
        <w:tc>
          <w:tcPr>
            <w:tcW w:w="3940" w:type="dxa"/>
            <w:vAlign w:val="bottom"/>
            <w:tcBorders>
              <w:bottom w:val="single" w:sz="8" w:color="867F7C"/>
            </w:tcBorders>
          </w:tcPr>
          <w:p>
            <w:pPr>
              <w:spacing w:after="0"/>
              <w:rPr>
                <w:sz w:val="3"/>
                <w:szCs w:val="3"/>
                <w:color w:val="auto"/>
              </w:rPr>
            </w:pPr>
          </w:p>
        </w:tc>
        <w:tc>
          <w:tcPr>
            <w:tcW w:w="4600" w:type="dxa"/>
            <w:vAlign w:val="bottom"/>
            <w:tcBorders>
              <w:bottom w:val="single" w:sz="8" w:color="867F7C"/>
            </w:tcBorders>
          </w:tcPr>
          <w:p>
            <w:pPr>
              <w:spacing w:after="0"/>
              <w:rPr>
                <w:sz w:val="3"/>
                <w:szCs w:val="3"/>
                <w:color w:val="auto"/>
              </w:rPr>
            </w:pPr>
          </w:p>
        </w:tc>
      </w:tr>
      <w:tr>
        <w:trPr>
          <w:trHeight w:val="250"/>
        </w:trPr>
        <w:tc>
          <w:tcPr>
            <w:tcW w:w="3940" w:type="dxa"/>
            <w:vAlign w:val="bottom"/>
            <w:tcBorders>
              <w:bottom w:val="single" w:sz="8" w:color="867F7C"/>
            </w:tcBorders>
          </w:tcPr>
          <w:p>
            <w:pPr>
              <w:ind w:left="80"/>
              <w:spacing w:after="0"/>
              <w:rPr>
                <w:sz w:val="20"/>
                <w:szCs w:val="20"/>
                <w:color w:val="auto"/>
              </w:rPr>
            </w:pPr>
            <w:r>
              <w:rPr>
                <w:rFonts w:ascii="Arial" w:cs="Arial" w:eastAsia="Arial" w:hAnsi="Arial"/>
                <w:sz w:val="14"/>
                <w:szCs w:val="14"/>
                <w:color w:val="auto"/>
              </w:rPr>
              <w:t>Return on Net Assets (“RONA”)</w:t>
            </w:r>
            <w:r>
              <w:rPr>
                <w:rFonts w:ascii="Arial" w:cs="Arial" w:eastAsia="Arial" w:hAnsi="Arial"/>
                <w:sz w:val="19"/>
                <w:szCs w:val="19"/>
                <w:color w:val="auto"/>
                <w:vertAlign w:val="superscript"/>
              </w:rPr>
              <w:t>(1)</w:t>
            </w:r>
          </w:p>
        </w:tc>
        <w:tc>
          <w:tcPr>
            <w:tcW w:w="4600" w:type="dxa"/>
            <w:vAlign w:val="bottom"/>
            <w:tcBorders>
              <w:bottom w:val="single" w:sz="8" w:color="867F7C"/>
            </w:tcBorders>
          </w:tcPr>
          <w:p>
            <w:pPr>
              <w:ind w:left="50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Measures results of capital allocation decisions</w:t>
            </w:r>
          </w:p>
        </w:tc>
      </w:tr>
      <w:tr>
        <w:trPr>
          <w:trHeight w:val="173"/>
        </w:trPr>
        <w:tc>
          <w:tcPr>
            <w:tcW w:w="3940" w:type="dxa"/>
            <w:vAlign w:val="bottom"/>
          </w:tcPr>
          <w:p>
            <w:pPr>
              <w:ind w:left="80"/>
              <w:spacing w:after="0"/>
              <w:rPr>
                <w:sz w:val="20"/>
                <w:szCs w:val="20"/>
                <w:color w:val="auto"/>
              </w:rPr>
            </w:pPr>
            <w:r>
              <w:rPr>
                <w:rFonts w:ascii="Arial" w:cs="Arial" w:eastAsia="Arial" w:hAnsi="Arial"/>
                <w:sz w:val="14"/>
                <w:szCs w:val="14"/>
                <w:color w:val="auto"/>
              </w:rPr>
              <w:t>Relative Total Shareholder Return (“rTSR”)</w:t>
            </w:r>
          </w:p>
        </w:tc>
        <w:tc>
          <w:tcPr>
            <w:tcW w:w="4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Measures performance against our Performance Peer Group</w:t>
            </w:r>
          </w:p>
        </w:tc>
      </w:tr>
      <w:tr>
        <w:trPr>
          <w:trHeight w:val="190"/>
        </w:trPr>
        <w:tc>
          <w:tcPr>
            <w:tcW w:w="3940" w:type="dxa"/>
            <w:vAlign w:val="bottom"/>
          </w:tcPr>
          <w:p>
            <w:pPr>
              <w:spacing w:after="0"/>
              <w:rPr>
                <w:sz w:val="16"/>
                <w:szCs w:val="16"/>
                <w:color w:val="auto"/>
              </w:rPr>
            </w:pPr>
          </w:p>
        </w:tc>
        <w:tc>
          <w:tcPr>
            <w:tcW w:w="4600" w:type="dxa"/>
            <w:vAlign w:val="bottom"/>
          </w:tcPr>
          <w:p>
            <w:pPr>
              <w:ind w:left="620"/>
              <w:spacing w:after="0"/>
              <w:rPr>
                <w:sz w:val="20"/>
                <w:szCs w:val="20"/>
                <w:color w:val="auto"/>
              </w:rPr>
            </w:pPr>
            <w:r>
              <w:rPr>
                <w:rFonts w:ascii="Arial" w:cs="Arial" w:eastAsia="Arial" w:hAnsi="Arial"/>
                <w:sz w:val="14"/>
                <w:szCs w:val="14"/>
                <w:color w:val="auto"/>
              </w:rPr>
              <w:t>and stockholder value creation</w:t>
            </w:r>
          </w:p>
        </w:tc>
      </w:tr>
      <w:tr>
        <w:trPr>
          <w:trHeight w:val="22"/>
        </w:trPr>
        <w:tc>
          <w:tcPr>
            <w:tcW w:w="3940" w:type="dxa"/>
            <w:vAlign w:val="bottom"/>
            <w:tcBorders>
              <w:bottom w:val="single" w:sz="8" w:color="867F7C"/>
            </w:tcBorders>
          </w:tcPr>
          <w:p>
            <w:pPr>
              <w:spacing w:after="0" w:line="20" w:lineRule="exact"/>
              <w:rPr>
                <w:sz w:val="1"/>
                <w:szCs w:val="1"/>
                <w:color w:val="auto"/>
              </w:rPr>
            </w:pPr>
          </w:p>
        </w:tc>
        <w:tc>
          <w:tcPr>
            <w:tcW w:w="4600" w:type="dxa"/>
            <w:vAlign w:val="bottom"/>
            <w:tcBorders>
              <w:bottom w:val="single" w:sz="8" w:color="867F7C"/>
            </w:tcBorders>
          </w:tcPr>
          <w:p>
            <w:pPr>
              <w:spacing w:after="0" w:line="20" w:lineRule="exact"/>
              <w:rPr>
                <w:sz w:val="1"/>
                <w:szCs w:val="1"/>
                <w:color w:val="auto"/>
              </w:rPr>
            </w:pPr>
          </w:p>
        </w:tc>
      </w:tr>
      <w:tr>
        <w:trPr>
          <w:trHeight w:val="223"/>
        </w:trPr>
        <w:tc>
          <w:tcPr>
            <w:tcW w:w="3940" w:type="dxa"/>
            <w:vAlign w:val="bottom"/>
            <w:tcBorders>
              <w:bottom w:val="single" w:sz="8" w:color="867F7C"/>
            </w:tcBorders>
          </w:tcPr>
          <w:p>
            <w:pPr>
              <w:ind w:left="80"/>
              <w:spacing w:after="0"/>
              <w:rPr>
                <w:sz w:val="20"/>
                <w:szCs w:val="20"/>
                <w:color w:val="auto"/>
              </w:rPr>
            </w:pPr>
            <w:r>
              <w:rPr>
                <w:rFonts w:ascii="Arial" w:cs="Arial" w:eastAsia="Arial" w:hAnsi="Arial"/>
                <w:sz w:val="14"/>
                <w:szCs w:val="14"/>
                <w:color w:val="auto"/>
              </w:rPr>
              <w:t>Adjusted Earnings Per Share (“aEPS”)</w:t>
            </w:r>
            <w:r>
              <w:rPr>
                <w:rFonts w:ascii="Arial" w:cs="Arial" w:eastAsia="Arial" w:hAnsi="Arial"/>
                <w:sz w:val="19"/>
                <w:szCs w:val="19"/>
                <w:color w:val="auto"/>
                <w:vertAlign w:val="superscript"/>
              </w:rPr>
              <w:t>(1)</w:t>
            </w:r>
          </w:p>
        </w:tc>
        <w:tc>
          <w:tcPr>
            <w:tcW w:w="4600" w:type="dxa"/>
            <w:vAlign w:val="bottom"/>
            <w:tcBorders>
              <w:bottom w:val="single" w:sz="8" w:color="867F7C"/>
            </w:tcBorders>
          </w:tcPr>
          <w:p>
            <w:pPr>
              <w:ind w:left="50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Measures ongoing operational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-1679575</wp:posOffset>
            </wp:positionV>
            <wp:extent cx="102870" cy="9944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99441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-479425</wp:posOffset>
            </wp:positionV>
            <wp:extent cx="102870" cy="222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222885"/>
                    </a:xfrm>
                    <a:prstGeom prst="rect">
                      <a:avLst/>
                    </a:prstGeom>
                    <a:noFill/>
                  </pic:spPr>
                </pic:pic>
              </a:graphicData>
            </a:graphic>
          </wp:anchor>
        </w:drawing>
      </w:r>
    </w:p>
    <w:p>
      <w:pPr>
        <w:spacing w:after="0" w:line="92" w:lineRule="exact"/>
        <w:rPr>
          <w:sz w:val="20"/>
          <w:szCs w:val="20"/>
          <w:color w:val="auto"/>
        </w:rPr>
      </w:pPr>
    </w:p>
    <w:p>
      <w:pPr>
        <w:jc w:val="both"/>
        <w:ind w:left="220" w:hanging="212"/>
        <w:spacing w:after="0" w:line="228" w:lineRule="auto"/>
        <w:tabs>
          <w:tab w:leader="none" w:pos="220" w:val="left"/>
        </w:tabs>
        <w:numPr>
          <w:ilvl w:val="0"/>
          <w:numId w:val="36"/>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Adjusted EBITDA and Innovation Revenue, in each case, as used for purposes of our Annual Incentive Plan, and RONA and Adjusted EPS, as used for purposes of our LTIPP, are non-GAAP measures. Other than RONA and Innovation Revenue, a reconciliation of these measures to results in accordance with GAAP can be found in Appendix A.</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4CCEDE"/>
        </w:rPr>
        <w:t>adjustments to reported financial results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Compensation Committee reviews our financial performance following the end of the fiscal year and determines the financial performance score. The Compensation Committee retains the authority to make adjustments to our reported financial results for items causing significant differences from assumptions contained in our annual operating plan which could include among other items certain environmental reserves, restructuring and severance costs for significant business model redesign events, unrealized gain on securities, accelerated amortization of debt issuance costs, debt financing costs, uncertain tax positions, other tax reform related activities and use of a constant foreign exchange rate (see Appendix A). The Compensation Committee has adopted a set of guidelines to help it evaluate potential adjustments. Adjustments to reported financial results are intended to better reflect executives’ line of sight and ability to affect performance results, align award payments with decisions that support the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34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867F7C"/>
        </w:rPr>
        <w:t>compensation discussion and analysis</w:t>
      </w: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annual operating plan, avoid artificial inflation or deflation of awards due to unusual or non-recurring items in the applicable period, and emphasize long-term and sustainable growth.</w:t>
      </w:r>
    </w:p>
    <w:p>
      <w:pPr>
        <w:spacing w:after="0" w:line="89"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fiscal year 2025 annual incentive plan design</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fiscal 2025, the NEOs, including the CEO, participated in the Annual Incentive Plan, which is designed to reward executives for the achievement of EBITDA growth, and for delivering value through new product sales “Innovation Revenue” with an additional Environmental, Health and Safety (“EH&amp;S”) modifier of up to +/- 10% of the target incentive. The relative weight of each financial metric, as a percentage of each NEO’s Annual Incentive Plan target award, is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shd w:val="clear" w:color="auto" w:fill="EFEBE9"/>
          </w:tcPr>
          <w:p>
            <w:pPr>
              <w:spacing w:after="0"/>
              <w:rPr>
                <w:sz w:val="14"/>
                <w:szCs w:val="14"/>
                <w:color w:val="auto"/>
              </w:rPr>
            </w:pPr>
          </w:p>
        </w:tc>
        <w:tc>
          <w:tcPr>
            <w:tcW w:w="2920" w:type="dxa"/>
            <w:vAlign w:val="bottom"/>
            <w:shd w:val="clear" w:color="auto" w:fill="EFEBE9"/>
          </w:tcPr>
          <w:p>
            <w:pPr>
              <w:spacing w:after="0"/>
              <w:rPr>
                <w:sz w:val="14"/>
                <w:szCs w:val="14"/>
                <w:color w:val="auto"/>
              </w:rPr>
            </w:pPr>
          </w:p>
        </w:tc>
        <w:tc>
          <w:tcPr>
            <w:tcW w:w="1080" w:type="dxa"/>
            <w:vAlign w:val="bottom"/>
            <w:shd w:val="clear" w:color="auto" w:fill="EFEBE9"/>
          </w:tcPr>
          <w:p>
            <w:pPr>
              <w:spacing w:after="0"/>
              <w:rPr>
                <w:sz w:val="14"/>
                <w:szCs w:val="14"/>
                <w:color w:val="auto"/>
              </w:rPr>
            </w:pPr>
          </w:p>
        </w:tc>
        <w:tc>
          <w:tcPr>
            <w:tcW w:w="10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Adjusted</w:t>
            </w:r>
          </w:p>
        </w:tc>
      </w:tr>
      <w:tr>
        <w:trPr>
          <w:trHeight w:val="162"/>
        </w:trPr>
        <w:tc>
          <w:tcPr>
            <w:tcW w:w="4040" w:type="dxa"/>
            <w:vAlign w:val="bottom"/>
            <w:shd w:val="clear" w:color="auto" w:fill="EFEBE9"/>
          </w:tcPr>
          <w:p>
            <w:pPr>
              <w:spacing w:after="0"/>
              <w:rPr>
                <w:sz w:val="14"/>
                <w:szCs w:val="14"/>
                <w:color w:val="auto"/>
              </w:rPr>
            </w:pPr>
          </w:p>
        </w:tc>
        <w:tc>
          <w:tcPr>
            <w:tcW w:w="2920" w:type="dxa"/>
            <w:vAlign w:val="bottom"/>
            <w:shd w:val="clear" w:color="auto" w:fill="EFEBE9"/>
          </w:tcPr>
          <w:p>
            <w:pPr>
              <w:jc w:val="center"/>
              <w:ind w:left="1828"/>
              <w:spacing w:after="0"/>
              <w:rPr>
                <w:sz w:val="20"/>
                <w:szCs w:val="20"/>
                <w:color w:val="auto"/>
              </w:rPr>
            </w:pPr>
            <w:r>
              <w:rPr>
                <w:rFonts w:ascii="Arial" w:cs="Arial" w:eastAsia="Arial" w:hAnsi="Arial"/>
                <w:sz w:val="14"/>
                <w:szCs w:val="14"/>
                <w:b w:val="1"/>
                <w:bCs w:val="1"/>
                <w:color w:val="867F7C"/>
              </w:rPr>
              <w:t>Adjusted</w:t>
            </w:r>
          </w:p>
        </w:tc>
        <w:tc>
          <w:tcPr>
            <w:tcW w:w="1080" w:type="dxa"/>
            <w:vAlign w:val="bottom"/>
            <w:shd w:val="clear" w:color="auto" w:fill="EFEBE9"/>
          </w:tcPr>
          <w:p>
            <w:pPr>
              <w:spacing w:after="0"/>
              <w:rPr>
                <w:sz w:val="14"/>
                <w:szCs w:val="14"/>
                <w:color w:val="auto"/>
              </w:rPr>
            </w:pPr>
          </w:p>
        </w:tc>
        <w:tc>
          <w:tcPr>
            <w:tcW w:w="10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Business</w:t>
            </w:r>
          </w:p>
        </w:tc>
      </w:tr>
      <w:tr>
        <w:trPr>
          <w:trHeight w:val="162"/>
        </w:trPr>
        <w:tc>
          <w:tcPr>
            <w:tcW w:w="4040" w:type="dxa"/>
            <w:vAlign w:val="bottom"/>
            <w:shd w:val="clear" w:color="auto" w:fill="EFEBE9"/>
          </w:tcPr>
          <w:p>
            <w:pPr>
              <w:spacing w:after="0"/>
              <w:rPr>
                <w:sz w:val="14"/>
                <w:szCs w:val="14"/>
                <w:color w:val="auto"/>
              </w:rPr>
            </w:pPr>
          </w:p>
        </w:tc>
        <w:tc>
          <w:tcPr>
            <w:tcW w:w="2920" w:type="dxa"/>
            <w:vAlign w:val="bottom"/>
            <w:shd w:val="clear" w:color="auto" w:fill="EFEBE9"/>
          </w:tcPr>
          <w:p>
            <w:pPr>
              <w:jc w:val="center"/>
              <w:ind w:left="1828"/>
              <w:spacing w:after="0"/>
              <w:rPr>
                <w:sz w:val="20"/>
                <w:szCs w:val="20"/>
                <w:color w:val="auto"/>
              </w:rPr>
            </w:pPr>
            <w:r>
              <w:rPr>
                <w:rFonts w:ascii="Arial" w:cs="Arial" w:eastAsia="Arial" w:hAnsi="Arial"/>
                <w:sz w:val="14"/>
                <w:szCs w:val="14"/>
                <w:b w:val="1"/>
                <w:bCs w:val="1"/>
                <w:color w:val="867F7C"/>
              </w:rPr>
              <w:t>Company</w:t>
            </w:r>
          </w:p>
        </w:tc>
        <w:tc>
          <w:tcPr>
            <w:tcW w:w="1080" w:type="dxa"/>
            <w:vAlign w:val="bottom"/>
            <w:shd w:val="clear" w:color="auto" w:fill="EFEBE9"/>
          </w:tcPr>
          <w:p>
            <w:pPr>
              <w:jc w:val="right"/>
              <w:ind w:right="88"/>
              <w:spacing w:after="0"/>
              <w:rPr>
                <w:sz w:val="20"/>
                <w:szCs w:val="20"/>
                <w:color w:val="auto"/>
              </w:rPr>
            </w:pPr>
            <w:r>
              <w:rPr>
                <w:rFonts w:ascii="Arial" w:cs="Arial" w:eastAsia="Arial" w:hAnsi="Arial"/>
                <w:sz w:val="14"/>
                <w:szCs w:val="14"/>
                <w:b w:val="1"/>
                <w:bCs w:val="1"/>
                <w:color w:val="867F7C"/>
              </w:rPr>
              <w:t>Innovation</w:t>
            </w:r>
          </w:p>
        </w:tc>
        <w:tc>
          <w:tcPr>
            <w:tcW w:w="10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Unit</w:t>
            </w:r>
          </w:p>
        </w:tc>
      </w:tr>
      <w:tr>
        <w:trPr>
          <w:trHeight w:val="171"/>
        </w:trPr>
        <w:tc>
          <w:tcPr>
            <w:tcW w:w="404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NEO</w:t>
            </w:r>
          </w:p>
        </w:tc>
        <w:tc>
          <w:tcPr>
            <w:tcW w:w="2920" w:type="dxa"/>
            <w:vAlign w:val="bottom"/>
            <w:shd w:val="clear" w:color="auto" w:fill="EFEBE9"/>
          </w:tcPr>
          <w:p>
            <w:pPr>
              <w:jc w:val="center"/>
              <w:ind w:left="1828"/>
              <w:spacing w:after="0"/>
              <w:rPr>
                <w:sz w:val="20"/>
                <w:szCs w:val="20"/>
                <w:color w:val="auto"/>
              </w:rPr>
            </w:pPr>
            <w:r>
              <w:rPr>
                <w:rFonts w:ascii="Arial" w:cs="Arial" w:eastAsia="Arial" w:hAnsi="Arial"/>
                <w:sz w:val="14"/>
                <w:szCs w:val="14"/>
                <w:b w:val="1"/>
                <w:bCs w:val="1"/>
                <w:color w:val="867F7C"/>
              </w:rPr>
              <w:t>EBITDA</w:t>
            </w:r>
          </w:p>
        </w:tc>
        <w:tc>
          <w:tcPr>
            <w:tcW w:w="1080" w:type="dxa"/>
            <w:vAlign w:val="bottom"/>
            <w:shd w:val="clear" w:color="auto" w:fill="EFEBE9"/>
          </w:tcPr>
          <w:p>
            <w:pPr>
              <w:jc w:val="right"/>
              <w:ind w:right="168"/>
              <w:spacing w:after="0"/>
              <w:rPr>
                <w:sz w:val="20"/>
                <w:szCs w:val="20"/>
                <w:color w:val="auto"/>
              </w:rPr>
            </w:pPr>
            <w:r>
              <w:rPr>
                <w:rFonts w:ascii="Arial" w:cs="Arial" w:eastAsia="Arial" w:hAnsi="Arial"/>
                <w:sz w:val="14"/>
                <w:szCs w:val="14"/>
                <w:b w:val="1"/>
                <w:bCs w:val="1"/>
                <w:color w:val="867F7C"/>
              </w:rPr>
              <w:t>Revenue</w:t>
            </w:r>
          </w:p>
        </w:tc>
        <w:tc>
          <w:tcPr>
            <w:tcW w:w="10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EBITDA</w:t>
            </w:r>
          </w:p>
        </w:tc>
      </w:tr>
      <w:tr>
        <w:trPr>
          <w:trHeight w:val="162"/>
        </w:trPr>
        <w:tc>
          <w:tcPr>
            <w:tcW w:w="4040" w:type="dxa"/>
            <w:vAlign w:val="bottom"/>
            <w:tcBorders>
              <w:bottom w:val="single" w:sz="8" w:color="867F7C"/>
            </w:tcBorders>
          </w:tcPr>
          <w:p>
            <w:pPr>
              <w:ind w:left="100"/>
              <w:spacing w:after="0" w:line="162" w:lineRule="exact"/>
              <w:rPr>
                <w:sz w:val="20"/>
                <w:szCs w:val="20"/>
                <w:color w:val="auto"/>
              </w:rPr>
            </w:pPr>
            <w:r>
              <w:rPr>
                <w:rFonts w:ascii="Arial" w:cs="Arial" w:eastAsia="Arial" w:hAnsi="Arial"/>
                <w:sz w:val="14"/>
                <w:szCs w:val="14"/>
                <w:b w:val="1"/>
                <w:bCs w:val="1"/>
                <w:color w:val="4CCEDE"/>
              </w:rPr>
              <w:t xml:space="preserve">Alessandra Faccin Assis </w:t>
            </w:r>
            <w:r>
              <w:rPr>
                <w:rFonts w:ascii="Arial" w:cs="Arial" w:eastAsia="Arial" w:hAnsi="Arial"/>
                <w:sz w:val="18"/>
                <w:szCs w:val="18"/>
                <w:b w:val="1"/>
                <w:bCs w:val="1"/>
                <w:color w:val="4CCEDE"/>
                <w:vertAlign w:val="superscript"/>
              </w:rPr>
              <w:t>(1)</w:t>
            </w:r>
          </w:p>
        </w:tc>
        <w:tc>
          <w:tcPr>
            <w:tcW w:w="2920" w:type="dxa"/>
            <w:vAlign w:val="bottom"/>
            <w:tcBorders>
              <w:bottom w:val="single" w:sz="8" w:color="867F7C"/>
            </w:tcBorders>
          </w:tcPr>
          <w:p>
            <w:pPr>
              <w:jc w:val="right"/>
              <w:ind w:right="128"/>
              <w:spacing w:after="0"/>
              <w:rPr>
                <w:sz w:val="20"/>
                <w:szCs w:val="20"/>
                <w:color w:val="auto"/>
              </w:rPr>
            </w:pPr>
            <w:r>
              <w:rPr>
                <w:rFonts w:ascii="Arial" w:cs="Arial" w:eastAsia="Arial" w:hAnsi="Arial"/>
                <w:sz w:val="14"/>
                <w:szCs w:val="14"/>
                <w:color w:val="auto"/>
              </w:rPr>
              <w:t>25%</w:t>
            </w:r>
          </w:p>
        </w:tc>
        <w:tc>
          <w:tcPr>
            <w:tcW w:w="108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25%</w:t>
            </w:r>
          </w:p>
        </w:tc>
        <w:tc>
          <w:tcPr>
            <w:tcW w:w="1040" w:type="dxa"/>
            <w:vAlign w:val="bottom"/>
            <w:tcBorders>
              <w:bottom w:val="single" w:sz="8" w:color="867F7C"/>
            </w:tcBorders>
          </w:tcPr>
          <w:p>
            <w:pPr>
              <w:jc w:val="right"/>
              <w:ind w:right="168"/>
              <w:spacing w:after="0"/>
              <w:rPr>
                <w:sz w:val="20"/>
                <w:szCs w:val="20"/>
                <w:color w:val="auto"/>
              </w:rPr>
            </w:pPr>
            <w:r>
              <w:rPr>
                <w:rFonts w:ascii="Arial" w:cs="Arial" w:eastAsia="Arial" w:hAnsi="Arial"/>
                <w:sz w:val="14"/>
                <w:szCs w:val="14"/>
                <w:color w:val="auto"/>
              </w:rPr>
              <w:t>50%</w:t>
            </w:r>
          </w:p>
        </w:tc>
      </w:tr>
      <w:tr>
        <w:trPr>
          <w:trHeight w:val="156"/>
        </w:trPr>
        <w:tc>
          <w:tcPr>
            <w:tcW w:w="404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b w:val="1"/>
                <w:bCs w:val="1"/>
                <w:color w:val="4CCEDE"/>
              </w:rPr>
              <w:t xml:space="preserve">James P. Minicucci </w:t>
            </w:r>
            <w:r>
              <w:rPr>
                <w:rFonts w:ascii="Arial" w:cs="Arial" w:eastAsia="Arial" w:hAnsi="Arial"/>
                <w:sz w:val="18"/>
                <w:szCs w:val="18"/>
                <w:b w:val="1"/>
                <w:bCs w:val="1"/>
                <w:color w:val="4CCEDE"/>
                <w:vertAlign w:val="superscript"/>
              </w:rPr>
              <w:t>(2)</w:t>
            </w:r>
          </w:p>
        </w:tc>
        <w:tc>
          <w:tcPr>
            <w:tcW w:w="2920" w:type="dxa"/>
            <w:vAlign w:val="bottom"/>
            <w:tcBorders>
              <w:bottom w:val="single" w:sz="8" w:color="867F7C"/>
            </w:tcBorders>
          </w:tcPr>
          <w:p>
            <w:pPr>
              <w:jc w:val="right"/>
              <w:ind w:right="128"/>
              <w:spacing w:after="0" w:line="155" w:lineRule="exact"/>
              <w:rPr>
                <w:sz w:val="20"/>
                <w:szCs w:val="20"/>
                <w:color w:val="auto"/>
              </w:rPr>
            </w:pPr>
            <w:r>
              <w:rPr>
                <w:rFonts w:ascii="Arial" w:cs="Arial" w:eastAsia="Arial" w:hAnsi="Arial"/>
                <w:sz w:val="14"/>
                <w:szCs w:val="14"/>
                <w:color w:val="auto"/>
              </w:rPr>
              <w:t>25%</w:t>
            </w:r>
          </w:p>
        </w:tc>
        <w:tc>
          <w:tcPr>
            <w:tcW w:w="108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25%</w:t>
            </w:r>
          </w:p>
        </w:tc>
        <w:tc>
          <w:tcPr>
            <w:tcW w:w="104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50%</w:t>
            </w:r>
          </w:p>
        </w:tc>
      </w:tr>
      <w:tr>
        <w:trPr>
          <w:trHeight w:val="155"/>
        </w:trPr>
        <w:tc>
          <w:tcPr>
            <w:tcW w:w="40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All Other NEOs</w:t>
            </w:r>
          </w:p>
        </w:tc>
        <w:tc>
          <w:tcPr>
            <w:tcW w:w="2920" w:type="dxa"/>
            <w:vAlign w:val="bottom"/>
            <w:tcBorders>
              <w:bottom w:val="single" w:sz="8" w:color="867F7C"/>
            </w:tcBorders>
          </w:tcPr>
          <w:p>
            <w:pPr>
              <w:jc w:val="right"/>
              <w:ind w:right="128"/>
              <w:spacing w:after="0" w:line="155" w:lineRule="exact"/>
              <w:rPr>
                <w:sz w:val="20"/>
                <w:szCs w:val="20"/>
                <w:color w:val="auto"/>
              </w:rPr>
            </w:pPr>
            <w:r>
              <w:rPr>
                <w:rFonts w:ascii="Arial" w:cs="Arial" w:eastAsia="Arial" w:hAnsi="Arial"/>
                <w:sz w:val="14"/>
                <w:szCs w:val="14"/>
                <w:color w:val="auto"/>
              </w:rPr>
              <w:t>75%</w:t>
            </w:r>
          </w:p>
        </w:tc>
        <w:tc>
          <w:tcPr>
            <w:tcW w:w="108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25%</w:t>
            </w:r>
          </w:p>
        </w:tc>
        <w:tc>
          <w:tcPr>
            <w:tcW w:w="1040" w:type="dxa"/>
            <w:vAlign w:val="bottom"/>
            <w:tcBorders>
              <w:bottom w:val="single" w:sz="8" w:color="867F7C"/>
            </w:tcBorders>
          </w:tcPr>
          <w:p>
            <w:pPr>
              <w:jc w:val="right"/>
              <w:ind w:right="328"/>
              <w:spacing w:after="0" w:line="155" w:lineRule="exact"/>
              <w:rPr>
                <w:sz w:val="20"/>
                <w:szCs w:val="20"/>
                <w:color w:val="auto"/>
              </w:rPr>
            </w:pPr>
            <w:r>
              <w:rPr>
                <w:rFonts w:ascii="Arial" w:cs="Arial" w:eastAsia="Arial" w:hAnsi="Arial"/>
                <w:sz w:val="14"/>
                <w:szCs w:val="14"/>
                <w:color w:val="auto"/>
              </w:rPr>
              <w:t>—</w:t>
            </w:r>
          </w:p>
        </w:tc>
      </w:tr>
    </w:tbl>
    <w:p>
      <w:pPr>
        <w:spacing w:after="0" w:line="165" w:lineRule="exact"/>
        <w:rPr>
          <w:sz w:val="20"/>
          <w:szCs w:val="20"/>
          <w:color w:val="auto"/>
        </w:rPr>
      </w:pPr>
    </w:p>
    <w:p>
      <w:pPr>
        <w:ind w:left="220" w:hanging="212"/>
        <w:spacing w:after="0"/>
        <w:tabs>
          <w:tab w:leader="none" w:pos="220" w:val="left"/>
        </w:tabs>
        <w:numPr>
          <w:ilvl w:val="0"/>
          <w:numId w:val="3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Adjusted Business Unit EBITDA for Ms. Faccin Assis was based on the Life Sciences and Intermediates reportable segments.</w:t>
      </w:r>
    </w:p>
    <w:p>
      <w:pPr>
        <w:spacing w:after="0" w:line="70" w:lineRule="exact"/>
        <w:rPr>
          <w:rFonts w:ascii="Times New Roman" w:cs="Times New Roman" w:eastAsia="Times New Roman" w:hAnsi="Times New Roman"/>
          <w:sz w:val="19"/>
          <w:szCs w:val="19"/>
          <w:color w:val="auto"/>
          <w:vertAlign w:val="superscript"/>
        </w:rPr>
      </w:pPr>
    </w:p>
    <w:p>
      <w:pPr>
        <w:ind w:left="220" w:hanging="212"/>
        <w:spacing w:after="0" w:line="218" w:lineRule="auto"/>
        <w:tabs>
          <w:tab w:leader="none" w:pos="220" w:val="left"/>
        </w:tabs>
        <w:numPr>
          <w:ilvl w:val="0"/>
          <w:numId w:val="3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Adjusted Business Unit EBITDA for Mr. Minicucci was based on the Personal Care reportable segment.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fiscal 2025 goals for each metric were established as indicated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shd w:val="clear" w:color="auto" w:fill="EFEBE9"/>
          </w:tcPr>
          <w:p>
            <w:pPr>
              <w:spacing w:after="0"/>
              <w:rPr>
                <w:sz w:val="14"/>
                <w:szCs w:val="14"/>
                <w:color w:val="auto"/>
              </w:rPr>
            </w:pPr>
          </w:p>
        </w:tc>
        <w:tc>
          <w:tcPr>
            <w:tcW w:w="1060" w:type="dxa"/>
            <w:vAlign w:val="bottom"/>
            <w:shd w:val="clear" w:color="auto" w:fill="EFEBE9"/>
          </w:tcPr>
          <w:p>
            <w:pPr>
              <w:spacing w:after="0"/>
              <w:rPr>
                <w:sz w:val="14"/>
                <w:szCs w:val="14"/>
                <w:color w:val="auto"/>
              </w:rPr>
            </w:pPr>
          </w:p>
        </w:tc>
        <w:tc>
          <w:tcPr>
            <w:tcW w:w="10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Life Sciences</w:t>
            </w:r>
          </w:p>
        </w:tc>
        <w:tc>
          <w:tcPr>
            <w:tcW w:w="1080" w:type="dxa"/>
            <w:vAlign w:val="bottom"/>
            <w:shd w:val="clear" w:color="auto" w:fill="EFEBE9"/>
          </w:tcPr>
          <w:p>
            <w:pPr>
              <w:spacing w:after="0"/>
              <w:rPr>
                <w:sz w:val="14"/>
                <w:szCs w:val="14"/>
                <w:color w:val="auto"/>
              </w:rPr>
            </w:pPr>
          </w:p>
        </w:tc>
        <w:tc>
          <w:tcPr>
            <w:tcW w:w="1000" w:type="dxa"/>
            <w:vAlign w:val="bottom"/>
            <w:shd w:val="clear" w:color="auto" w:fill="EFEBE9"/>
          </w:tcPr>
          <w:p>
            <w:pPr>
              <w:spacing w:after="0"/>
              <w:rPr>
                <w:sz w:val="14"/>
                <w:szCs w:val="14"/>
                <w:color w:val="auto"/>
              </w:rPr>
            </w:pPr>
          </w:p>
        </w:tc>
        <w:tc>
          <w:tcPr>
            <w:tcW w:w="1180" w:type="dxa"/>
            <w:vAlign w:val="bottom"/>
            <w:shd w:val="clear" w:color="auto" w:fill="EFEBE9"/>
          </w:tcPr>
          <w:p>
            <w:pPr>
              <w:spacing w:after="0"/>
              <w:rPr>
                <w:sz w:val="14"/>
                <w:szCs w:val="14"/>
                <w:color w:val="auto"/>
              </w:rPr>
            </w:pPr>
          </w:p>
        </w:tc>
      </w:tr>
      <w:tr>
        <w:trPr>
          <w:trHeight w:val="162"/>
        </w:trPr>
        <w:tc>
          <w:tcPr>
            <w:tcW w:w="3680" w:type="dxa"/>
            <w:vAlign w:val="bottom"/>
            <w:shd w:val="clear" w:color="auto" w:fill="EFEBE9"/>
          </w:tcPr>
          <w:p>
            <w:pPr>
              <w:spacing w:after="0"/>
              <w:rPr>
                <w:sz w:val="14"/>
                <w:szCs w:val="14"/>
                <w:color w:val="auto"/>
              </w:rPr>
            </w:pPr>
          </w:p>
        </w:tc>
        <w:tc>
          <w:tcPr>
            <w:tcW w:w="1060" w:type="dxa"/>
            <w:vAlign w:val="bottom"/>
            <w:shd w:val="clear" w:color="auto" w:fill="EFEBE9"/>
          </w:tcPr>
          <w:p>
            <w:pPr>
              <w:spacing w:after="0"/>
              <w:rPr>
                <w:sz w:val="14"/>
                <w:szCs w:val="14"/>
                <w:color w:val="auto"/>
              </w:rPr>
            </w:pPr>
          </w:p>
        </w:tc>
        <w:tc>
          <w:tcPr>
            <w:tcW w:w="10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w w:val="98"/>
              </w:rPr>
              <w:t>&amp;</w:t>
            </w:r>
          </w:p>
        </w:tc>
        <w:tc>
          <w:tcPr>
            <w:tcW w:w="1080" w:type="dxa"/>
            <w:vAlign w:val="bottom"/>
            <w:shd w:val="clear" w:color="auto" w:fill="EFEBE9"/>
          </w:tcPr>
          <w:p>
            <w:pPr>
              <w:spacing w:after="0"/>
              <w:rPr>
                <w:sz w:val="14"/>
                <w:szCs w:val="14"/>
                <w:color w:val="auto"/>
              </w:rPr>
            </w:pPr>
          </w:p>
        </w:tc>
        <w:tc>
          <w:tcPr>
            <w:tcW w:w="1000" w:type="dxa"/>
            <w:vAlign w:val="bottom"/>
            <w:shd w:val="clear" w:color="auto" w:fill="EFEBE9"/>
          </w:tcPr>
          <w:p>
            <w:pPr>
              <w:spacing w:after="0"/>
              <w:rPr>
                <w:sz w:val="14"/>
                <w:szCs w:val="14"/>
                <w:color w:val="auto"/>
              </w:rPr>
            </w:pPr>
          </w:p>
        </w:tc>
        <w:tc>
          <w:tcPr>
            <w:tcW w:w="1180" w:type="dxa"/>
            <w:vAlign w:val="bottom"/>
            <w:shd w:val="clear" w:color="auto" w:fill="EFEBE9"/>
          </w:tcPr>
          <w:p>
            <w:pPr>
              <w:spacing w:after="0"/>
              <w:rPr>
                <w:sz w:val="14"/>
                <w:szCs w:val="14"/>
                <w:color w:val="auto"/>
              </w:rPr>
            </w:pPr>
          </w:p>
        </w:tc>
      </w:tr>
      <w:tr>
        <w:trPr>
          <w:trHeight w:val="162"/>
        </w:trPr>
        <w:tc>
          <w:tcPr>
            <w:tcW w:w="3680" w:type="dxa"/>
            <w:vAlign w:val="bottom"/>
            <w:shd w:val="clear" w:color="auto" w:fill="EFEBE9"/>
          </w:tcPr>
          <w:p>
            <w:pPr>
              <w:spacing w:after="0"/>
              <w:rPr>
                <w:sz w:val="14"/>
                <w:szCs w:val="14"/>
                <w:color w:val="auto"/>
              </w:rPr>
            </w:pPr>
          </w:p>
        </w:tc>
        <w:tc>
          <w:tcPr>
            <w:tcW w:w="10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Ashland</w:t>
            </w:r>
          </w:p>
        </w:tc>
        <w:tc>
          <w:tcPr>
            <w:tcW w:w="10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Intermediates</w:t>
            </w:r>
          </w:p>
        </w:tc>
        <w:tc>
          <w:tcPr>
            <w:tcW w:w="10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Personal Care</w:t>
            </w:r>
          </w:p>
        </w:tc>
        <w:tc>
          <w:tcPr>
            <w:tcW w:w="10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Innovation</w:t>
            </w:r>
          </w:p>
        </w:tc>
        <w:tc>
          <w:tcPr>
            <w:tcW w:w="1180" w:type="dxa"/>
            <w:vAlign w:val="bottom"/>
            <w:shd w:val="clear" w:color="auto" w:fill="EFEBE9"/>
          </w:tcPr>
          <w:p>
            <w:pPr>
              <w:spacing w:after="0"/>
              <w:rPr>
                <w:sz w:val="14"/>
                <w:szCs w:val="14"/>
                <w:color w:val="auto"/>
              </w:rPr>
            </w:pPr>
          </w:p>
        </w:tc>
      </w:tr>
      <w:tr>
        <w:trPr>
          <w:trHeight w:val="162"/>
        </w:trPr>
        <w:tc>
          <w:tcPr>
            <w:tcW w:w="3680" w:type="dxa"/>
            <w:vAlign w:val="bottom"/>
            <w:shd w:val="clear" w:color="auto" w:fill="EFEBE9"/>
          </w:tcPr>
          <w:p>
            <w:pPr>
              <w:spacing w:after="0"/>
              <w:rPr>
                <w:sz w:val="14"/>
                <w:szCs w:val="14"/>
                <w:color w:val="auto"/>
              </w:rPr>
            </w:pPr>
          </w:p>
        </w:tc>
        <w:tc>
          <w:tcPr>
            <w:tcW w:w="10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Adjusted</w:t>
            </w:r>
          </w:p>
        </w:tc>
        <w:tc>
          <w:tcPr>
            <w:tcW w:w="10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Adjusted</w:t>
            </w:r>
          </w:p>
        </w:tc>
        <w:tc>
          <w:tcPr>
            <w:tcW w:w="10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Adjusted</w:t>
            </w:r>
          </w:p>
        </w:tc>
        <w:tc>
          <w:tcPr>
            <w:tcW w:w="1000" w:type="dxa"/>
            <w:vAlign w:val="bottom"/>
            <w:shd w:val="clear" w:color="auto" w:fill="EFEBE9"/>
          </w:tcPr>
          <w:p>
            <w:pPr>
              <w:jc w:val="center"/>
              <w:ind w:right="8"/>
              <w:spacing w:after="0"/>
              <w:rPr>
                <w:sz w:val="20"/>
                <w:szCs w:val="20"/>
                <w:color w:val="auto"/>
              </w:rPr>
            </w:pPr>
            <w:r>
              <w:rPr>
                <w:rFonts w:ascii="Arial" w:cs="Arial" w:eastAsia="Arial" w:hAnsi="Arial"/>
                <w:sz w:val="14"/>
                <w:szCs w:val="14"/>
                <w:b w:val="1"/>
                <w:bCs w:val="1"/>
                <w:color w:val="867F7C"/>
              </w:rPr>
              <w:t>Revenue</w:t>
            </w:r>
          </w:p>
        </w:tc>
        <w:tc>
          <w:tcPr>
            <w:tcW w:w="1180" w:type="dxa"/>
            <w:vAlign w:val="bottom"/>
            <w:shd w:val="clear" w:color="auto" w:fill="EFEBE9"/>
          </w:tcPr>
          <w:p>
            <w:pPr>
              <w:spacing w:after="0"/>
              <w:rPr>
                <w:sz w:val="14"/>
                <w:szCs w:val="14"/>
                <w:color w:val="auto"/>
              </w:rPr>
            </w:pPr>
          </w:p>
        </w:tc>
      </w:tr>
      <w:tr>
        <w:trPr>
          <w:trHeight w:val="144"/>
        </w:trPr>
        <w:tc>
          <w:tcPr>
            <w:tcW w:w="3680" w:type="dxa"/>
            <w:vAlign w:val="bottom"/>
            <w:shd w:val="clear" w:color="auto" w:fill="EFEBE9"/>
          </w:tcPr>
          <w:p>
            <w:pPr>
              <w:spacing w:after="0"/>
              <w:rPr>
                <w:sz w:val="12"/>
                <w:szCs w:val="12"/>
                <w:color w:val="auto"/>
              </w:rPr>
            </w:pPr>
          </w:p>
        </w:tc>
        <w:tc>
          <w:tcPr>
            <w:tcW w:w="106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EBITDA</w:t>
            </w:r>
          </w:p>
        </w:tc>
        <w:tc>
          <w:tcPr>
            <w:tcW w:w="108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EBITDA</w:t>
            </w:r>
          </w:p>
        </w:tc>
        <w:tc>
          <w:tcPr>
            <w:tcW w:w="108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EBITDA</w:t>
            </w:r>
          </w:p>
        </w:tc>
        <w:tc>
          <w:tcPr>
            <w:tcW w:w="100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w w:val="98"/>
              </w:rPr>
              <w:t>Sales</w:t>
            </w:r>
          </w:p>
        </w:tc>
        <w:tc>
          <w:tcPr>
            <w:tcW w:w="1180" w:type="dxa"/>
            <w:vAlign w:val="bottom"/>
            <w:shd w:val="clear" w:color="auto" w:fill="EFEBE9"/>
          </w:tcPr>
          <w:p>
            <w:pPr>
              <w:jc w:val="right"/>
              <w:ind w:right="288"/>
              <w:spacing w:after="0" w:line="145" w:lineRule="exact"/>
              <w:rPr>
                <w:sz w:val="20"/>
                <w:szCs w:val="20"/>
                <w:color w:val="auto"/>
              </w:rPr>
            </w:pPr>
            <w:r>
              <w:rPr>
                <w:rFonts w:ascii="Arial" w:cs="Arial" w:eastAsia="Arial" w:hAnsi="Arial"/>
                <w:sz w:val="14"/>
                <w:szCs w:val="14"/>
                <w:b w:val="1"/>
                <w:bCs w:val="1"/>
                <w:color w:val="867F7C"/>
              </w:rPr>
              <w:t>Payout</w:t>
            </w:r>
          </w:p>
        </w:tc>
      </w:tr>
      <w:tr>
        <w:trPr>
          <w:trHeight w:val="209"/>
        </w:trPr>
        <w:tc>
          <w:tcPr>
            <w:tcW w:w="368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Performance Levels</w:t>
            </w:r>
          </w:p>
        </w:tc>
        <w:tc>
          <w:tcPr>
            <w:tcW w:w="106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 millions)</w:t>
            </w:r>
          </w:p>
        </w:tc>
        <w:tc>
          <w:tcPr>
            <w:tcW w:w="2160" w:type="dxa"/>
            <w:vAlign w:val="bottom"/>
            <w:tcBorders>
              <w:bottom w:val="single" w:sz="8" w:color="EFEBE9"/>
            </w:tcBorders>
            <w:gridSpan w:val="2"/>
            <w:shd w:val="clear" w:color="auto" w:fill="EFEBE9"/>
          </w:tcPr>
          <w:p>
            <w:pPr>
              <w:jc w:val="right"/>
              <w:ind w:right="8"/>
              <w:spacing w:after="0" w:line="189" w:lineRule="exact"/>
              <w:rPr>
                <w:sz w:val="20"/>
                <w:szCs w:val="20"/>
                <w:color w:val="auto"/>
              </w:rPr>
            </w:pPr>
            <w:r>
              <w:rPr>
                <w:rFonts w:ascii="Arial" w:cs="Arial" w:eastAsia="Arial" w:hAnsi="Arial"/>
                <w:sz w:val="14"/>
                <w:szCs w:val="14"/>
                <w:b w:val="1"/>
                <w:bCs w:val="1"/>
                <w:color w:val="867F7C"/>
              </w:rPr>
              <w:t>($, millions)</w:t>
            </w:r>
            <w:r>
              <w:rPr>
                <w:rFonts w:ascii="Arial" w:cs="Arial" w:eastAsia="Arial" w:hAnsi="Arial"/>
                <w:sz w:val="19"/>
                <w:szCs w:val="19"/>
                <w:b w:val="1"/>
                <w:bCs w:val="1"/>
                <w:color w:val="867F7C"/>
                <w:vertAlign w:val="superscript"/>
              </w:rPr>
              <w:t>(1)</w:t>
            </w:r>
            <w:r>
              <w:rPr>
                <w:rFonts w:ascii="Arial" w:cs="Arial" w:eastAsia="Arial" w:hAnsi="Arial"/>
                <w:sz w:val="14"/>
                <w:szCs w:val="14"/>
                <w:b w:val="1"/>
                <w:bCs w:val="1"/>
                <w:color w:val="867F7C"/>
              </w:rPr>
              <w:t xml:space="preserve">  ($, millions)</w:t>
            </w:r>
            <w:r>
              <w:rPr>
                <w:rFonts w:ascii="Arial" w:cs="Arial" w:eastAsia="Arial" w:hAnsi="Arial"/>
                <w:sz w:val="19"/>
                <w:szCs w:val="19"/>
                <w:b w:val="1"/>
                <w:bCs w:val="1"/>
                <w:color w:val="867F7C"/>
                <w:vertAlign w:val="superscript"/>
              </w:rPr>
              <w:t>(1)</w:t>
            </w:r>
          </w:p>
        </w:tc>
        <w:tc>
          <w:tcPr>
            <w:tcW w:w="100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 millions)</w:t>
            </w:r>
          </w:p>
        </w:tc>
        <w:tc>
          <w:tcPr>
            <w:tcW w:w="1180" w:type="dxa"/>
            <w:vAlign w:val="bottom"/>
            <w:tcBorders>
              <w:bottom w:val="single" w:sz="8" w:color="EFEBE9"/>
            </w:tcBorders>
            <w:shd w:val="clear" w:color="auto" w:fill="EFEBE9"/>
          </w:tcPr>
          <w:p>
            <w:pPr>
              <w:jc w:val="right"/>
              <w:ind w:right="88"/>
              <w:spacing w:after="0"/>
              <w:rPr>
                <w:sz w:val="20"/>
                <w:szCs w:val="20"/>
                <w:color w:val="auto"/>
              </w:rPr>
            </w:pPr>
            <w:r>
              <w:rPr>
                <w:rFonts w:ascii="Arial" w:cs="Arial" w:eastAsia="Arial" w:hAnsi="Arial"/>
                <w:sz w:val="14"/>
                <w:szCs w:val="14"/>
                <w:b w:val="1"/>
                <w:bCs w:val="1"/>
                <w:color w:val="867F7C"/>
              </w:rPr>
              <w:t>(% of Target)</w:t>
            </w:r>
          </w:p>
        </w:tc>
      </w:tr>
      <w:tr>
        <w:trPr>
          <w:trHeight w:val="162"/>
        </w:trPr>
        <w:tc>
          <w:tcPr>
            <w:tcW w:w="368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Threshold</w:t>
            </w:r>
          </w:p>
        </w:tc>
        <w:tc>
          <w:tcPr>
            <w:tcW w:w="106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365.6</w:t>
            </w:r>
          </w:p>
        </w:tc>
        <w:tc>
          <w:tcPr>
            <w:tcW w:w="1080" w:type="dxa"/>
            <w:vAlign w:val="bottom"/>
            <w:tcBorders>
              <w:bottom w:val="single" w:sz="8" w:color="867F7C"/>
            </w:tcBorders>
          </w:tcPr>
          <w:p>
            <w:pPr>
              <w:jc w:val="right"/>
              <w:ind w:right="108"/>
              <w:spacing w:after="0"/>
              <w:rPr>
                <w:sz w:val="20"/>
                <w:szCs w:val="20"/>
                <w:color w:val="auto"/>
              </w:rPr>
            </w:pPr>
            <w:r>
              <w:rPr>
                <w:rFonts w:ascii="Arial" w:cs="Arial" w:eastAsia="Arial" w:hAnsi="Arial"/>
                <w:sz w:val="14"/>
                <w:szCs w:val="14"/>
                <w:color w:val="auto"/>
              </w:rPr>
              <w:t>196.1</w:t>
            </w:r>
          </w:p>
        </w:tc>
        <w:tc>
          <w:tcPr>
            <w:tcW w:w="108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139.5</w:t>
            </w:r>
          </w:p>
        </w:tc>
        <w:tc>
          <w:tcPr>
            <w:tcW w:w="1000" w:type="dxa"/>
            <w:vAlign w:val="bottom"/>
            <w:tcBorders>
              <w:bottom w:val="single" w:sz="8" w:color="867F7C"/>
            </w:tcBorders>
          </w:tcPr>
          <w:p>
            <w:pPr>
              <w:jc w:val="right"/>
              <w:ind w:right="108"/>
              <w:spacing w:after="0"/>
              <w:rPr>
                <w:sz w:val="20"/>
                <w:szCs w:val="20"/>
                <w:color w:val="auto"/>
              </w:rPr>
            </w:pPr>
            <w:r>
              <w:rPr>
                <w:rFonts w:ascii="Arial" w:cs="Arial" w:eastAsia="Arial" w:hAnsi="Arial"/>
                <w:sz w:val="14"/>
                <w:szCs w:val="14"/>
                <w:color w:val="auto"/>
              </w:rPr>
              <w:t>46.9</w:t>
            </w:r>
          </w:p>
        </w:tc>
        <w:tc>
          <w:tcPr>
            <w:tcW w:w="118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50</w:t>
            </w:r>
          </w:p>
        </w:tc>
      </w:tr>
      <w:tr>
        <w:trPr>
          <w:trHeight w:val="155"/>
        </w:trPr>
        <w:tc>
          <w:tcPr>
            <w:tcW w:w="36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Target</w:t>
            </w:r>
          </w:p>
        </w:tc>
        <w:tc>
          <w:tcPr>
            <w:tcW w:w="10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457.0</w:t>
            </w:r>
          </w:p>
        </w:tc>
        <w:tc>
          <w:tcPr>
            <w:tcW w:w="108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245.2</w:t>
            </w:r>
          </w:p>
        </w:tc>
        <w:tc>
          <w:tcPr>
            <w:tcW w:w="1080" w:type="dxa"/>
            <w:vAlign w:val="bottom"/>
            <w:tcBorders>
              <w:bottom w:val="single" w:sz="8" w:color="867F7C"/>
            </w:tcBorders>
          </w:tcPr>
          <w:p>
            <w:pPr>
              <w:jc w:val="right"/>
              <w:ind w:right="148"/>
              <w:spacing w:after="0" w:line="155" w:lineRule="exact"/>
              <w:rPr>
                <w:sz w:val="20"/>
                <w:szCs w:val="20"/>
                <w:color w:val="auto"/>
              </w:rPr>
            </w:pPr>
            <w:r>
              <w:rPr>
                <w:rFonts w:ascii="Arial" w:cs="Arial" w:eastAsia="Arial" w:hAnsi="Arial"/>
                <w:sz w:val="14"/>
                <w:szCs w:val="14"/>
                <w:color w:val="auto"/>
              </w:rPr>
              <w:t>174.4</w:t>
            </w:r>
          </w:p>
        </w:tc>
        <w:tc>
          <w:tcPr>
            <w:tcW w:w="100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58.6</w:t>
            </w:r>
          </w:p>
        </w:tc>
        <w:tc>
          <w:tcPr>
            <w:tcW w:w="118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100</w:t>
            </w:r>
          </w:p>
        </w:tc>
      </w:tr>
      <w:tr>
        <w:trPr>
          <w:trHeight w:val="156"/>
        </w:trPr>
        <w:tc>
          <w:tcPr>
            <w:tcW w:w="36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Maximum</w:t>
            </w:r>
          </w:p>
        </w:tc>
        <w:tc>
          <w:tcPr>
            <w:tcW w:w="10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548.4</w:t>
            </w:r>
          </w:p>
        </w:tc>
        <w:tc>
          <w:tcPr>
            <w:tcW w:w="108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294.2</w:t>
            </w:r>
          </w:p>
        </w:tc>
        <w:tc>
          <w:tcPr>
            <w:tcW w:w="1080" w:type="dxa"/>
            <w:vAlign w:val="bottom"/>
            <w:tcBorders>
              <w:bottom w:val="single" w:sz="8" w:color="867F7C"/>
            </w:tcBorders>
          </w:tcPr>
          <w:p>
            <w:pPr>
              <w:jc w:val="right"/>
              <w:ind w:right="148"/>
              <w:spacing w:after="0" w:line="155" w:lineRule="exact"/>
              <w:rPr>
                <w:sz w:val="20"/>
                <w:szCs w:val="20"/>
                <w:color w:val="auto"/>
              </w:rPr>
            </w:pPr>
            <w:r>
              <w:rPr>
                <w:rFonts w:ascii="Arial" w:cs="Arial" w:eastAsia="Arial" w:hAnsi="Arial"/>
                <w:sz w:val="14"/>
                <w:szCs w:val="14"/>
                <w:color w:val="auto"/>
              </w:rPr>
              <w:t>209.2</w:t>
            </w:r>
          </w:p>
        </w:tc>
        <w:tc>
          <w:tcPr>
            <w:tcW w:w="100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70.3</w:t>
            </w:r>
          </w:p>
        </w:tc>
        <w:tc>
          <w:tcPr>
            <w:tcW w:w="118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200</w:t>
            </w:r>
          </w:p>
        </w:tc>
      </w:tr>
    </w:tbl>
    <w:p>
      <w:pPr>
        <w:spacing w:after="0" w:line="193" w:lineRule="exact"/>
        <w:rPr>
          <w:sz w:val="20"/>
          <w:szCs w:val="20"/>
          <w:color w:val="auto"/>
        </w:rPr>
      </w:pPr>
    </w:p>
    <w:p>
      <w:pPr>
        <w:ind w:left="220" w:hanging="212"/>
        <w:spacing w:after="0" w:line="222" w:lineRule="auto"/>
        <w:tabs>
          <w:tab w:leader="none" w:pos="220" w:val="left"/>
        </w:tabs>
        <w:numPr>
          <w:ilvl w:val="0"/>
          <w:numId w:val="38"/>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Adjusted Business Unit EBITDA targets were used to determine the bonus payout for Mr. Minicucci and Ms. Faccin Assis as described in more detail under the section titled “</w:t>
      </w:r>
      <w:r>
        <w:rPr>
          <w:rFonts w:ascii="Arial" w:cs="Arial" w:eastAsia="Arial" w:hAnsi="Arial"/>
          <w:sz w:val="14"/>
          <w:szCs w:val="14"/>
          <w:i w:val="1"/>
          <w:iCs w:val="1"/>
          <w:color w:val="auto"/>
        </w:rPr>
        <w:t>fiscal year 2025 annual incentive performance</w:t>
      </w:r>
      <w:r>
        <w:rPr>
          <w:rFonts w:ascii="Arial" w:cs="Arial" w:eastAsia="Arial" w:hAnsi="Arial"/>
          <w:sz w:val="14"/>
          <w:szCs w:val="14"/>
          <w:color w:val="auto"/>
        </w:rPr>
        <w:t>” on page 36.</w:t>
      </w:r>
    </w:p>
    <w:p>
      <w:pPr>
        <w:spacing w:after="0" w:line="2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named executive officers were also evaluated for performance against the EH&amp;S metrics. Performance against the EH&amp;S metrics may increase (or decrease) an executive’s annual incentive payout, calculated as described above, by up to 10% above the executive’s target bonus. However, the EH&amp;S modifier may not increase the total annual incentive paid to any executive beyond 200% of target. For fiscal 2025, the Compensation Committee set EH&amp;S targets in three areas with a fourth discretionary adjustment for achieving sustainability objectives, as described in the following table:</w:t>
      </w:r>
    </w:p>
    <w:tbl>
      <w:tblPr>
        <w:tblLayout w:type="fixed"/>
        <w:tblInd w:w="0" w:type="dxa"/>
        <w:tblCellMar>
          <w:top w:w="0" w:type="dxa"/>
          <w:left w:w="0" w:type="dxa"/>
          <w:bottom w:w="0" w:type="dxa"/>
          <w:right w:w="0" w:type="dxa"/>
        </w:tblCellMar>
      </w:tblPr>
      <w:tr>
        <w:trPr>
          <w:trHeight w:val="155"/>
        </w:trPr>
        <w:tc>
          <w:tcPr>
            <w:tcW w:w="7500" w:type="dxa"/>
            <w:vAlign w:val="bottom"/>
            <w:shd w:val="clear" w:color="auto" w:fill="EFEBE9"/>
          </w:tcPr>
          <w:p>
            <w:pPr>
              <w:spacing w:after="0"/>
              <w:rPr>
                <w:sz w:val="13"/>
                <w:szCs w:val="13"/>
                <w:color w:val="auto"/>
              </w:rPr>
            </w:pPr>
          </w:p>
        </w:tc>
        <w:tc>
          <w:tcPr>
            <w:tcW w:w="1580" w:type="dxa"/>
            <w:vAlign w:val="bottom"/>
            <w:shd w:val="clear" w:color="auto" w:fill="EFEBE9"/>
          </w:tcPr>
          <w:p>
            <w:pPr>
              <w:jc w:val="center"/>
              <w:spacing w:after="0" w:line="155" w:lineRule="exact"/>
              <w:rPr>
                <w:sz w:val="20"/>
                <w:szCs w:val="20"/>
                <w:color w:val="auto"/>
              </w:rPr>
            </w:pPr>
            <w:r>
              <w:rPr>
                <w:rFonts w:ascii="Arial" w:cs="Arial" w:eastAsia="Arial" w:hAnsi="Arial"/>
                <w:sz w:val="14"/>
                <w:szCs w:val="14"/>
                <w:b w:val="1"/>
                <w:bCs w:val="1"/>
                <w:color w:val="867F7C"/>
              </w:rPr>
              <w:t>Corporate</w:t>
            </w:r>
          </w:p>
        </w:tc>
      </w:tr>
      <w:tr>
        <w:trPr>
          <w:trHeight w:val="144"/>
        </w:trPr>
        <w:tc>
          <w:tcPr>
            <w:tcW w:w="7500" w:type="dxa"/>
            <w:vAlign w:val="bottom"/>
            <w:shd w:val="clear" w:color="auto" w:fill="EFEBE9"/>
          </w:tcPr>
          <w:p>
            <w:pPr>
              <w:spacing w:after="0"/>
              <w:rPr>
                <w:sz w:val="12"/>
                <w:szCs w:val="12"/>
                <w:color w:val="auto"/>
              </w:rPr>
            </w:pPr>
          </w:p>
        </w:tc>
        <w:tc>
          <w:tcPr>
            <w:tcW w:w="158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FY2025</w:t>
            </w:r>
          </w:p>
        </w:tc>
      </w:tr>
      <w:tr>
        <w:trPr>
          <w:trHeight w:val="189"/>
        </w:trPr>
        <w:tc>
          <w:tcPr>
            <w:tcW w:w="750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Metric</w:t>
            </w:r>
          </w:p>
        </w:tc>
        <w:tc>
          <w:tcPr>
            <w:tcW w:w="1580" w:type="dxa"/>
            <w:vAlign w:val="bottom"/>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6"/>
              </w:rPr>
              <w:t>Target</w:t>
            </w:r>
            <w:r>
              <w:rPr>
                <w:rFonts w:ascii="Arial" w:cs="Arial" w:eastAsia="Arial" w:hAnsi="Arial"/>
                <w:sz w:val="19"/>
                <w:szCs w:val="19"/>
                <w:b w:val="1"/>
                <w:bCs w:val="1"/>
                <w:color w:val="867F7C"/>
                <w:w w:val="96"/>
                <w:vertAlign w:val="superscript"/>
              </w:rPr>
              <w:t>(1)</w:t>
            </w:r>
          </w:p>
        </w:tc>
      </w:tr>
      <w:tr>
        <w:trPr>
          <w:trHeight w:val="81"/>
        </w:trPr>
        <w:tc>
          <w:tcPr>
            <w:tcW w:w="7500" w:type="dxa"/>
            <w:vAlign w:val="bottom"/>
            <w:shd w:val="clear" w:color="auto" w:fill="EFEBE9"/>
          </w:tcPr>
          <w:p>
            <w:pPr>
              <w:spacing w:after="0"/>
              <w:rPr>
                <w:sz w:val="7"/>
                <w:szCs w:val="7"/>
                <w:color w:val="auto"/>
              </w:rPr>
            </w:pPr>
          </w:p>
        </w:tc>
        <w:tc>
          <w:tcPr>
            <w:tcW w:w="1580" w:type="dxa"/>
            <w:vAlign w:val="bottom"/>
            <w:shd w:val="clear" w:color="auto" w:fill="EFEBE9"/>
          </w:tcPr>
          <w:p>
            <w:pPr>
              <w:spacing w:after="0"/>
              <w:rPr>
                <w:sz w:val="7"/>
                <w:szCs w:val="7"/>
                <w:color w:val="auto"/>
              </w:rPr>
            </w:pPr>
          </w:p>
        </w:tc>
      </w:tr>
      <w:tr>
        <w:trPr>
          <w:trHeight w:val="162"/>
        </w:trPr>
        <w:tc>
          <w:tcPr>
            <w:tcW w:w="750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Ashland (TPRR)</w:t>
            </w:r>
          </w:p>
        </w:tc>
        <w:tc>
          <w:tcPr>
            <w:tcW w:w="1580" w:type="dxa"/>
            <w:vAlign w:val="bottom"/>
            <w:tcBorders>
              <w:bottom w:val="single" w:sz="8" w:color="867F7C"/>
            </w:tcBorders>
          </w:tcPr>
          <w:p>
            <w:pPr>
              <w:jc w:val="right"/>
              <w:ind w:right="448"/>
              <w:spacing w:after="0"/>
              <w:rPr>
                <w:sz w:val="20"/>
                <w:szCs w:val="20"/>
                <w:color w:val="auto"/>
              </w:rPr>
            </w:pPr>
            <w:r>
              <w:rPr>
                <w:rFonts w:ascii="Arial" w:cs="Arial" w:eastAsia="Arial" w:hAnsi="Arial"/>
                <w:sz w:val="14"/>
                <w:szCs w:val="14"/>
                <w:color w:val="auto"/>
              </w:rPr>
              <w:t>0.32</w:t>
            </w:r>
          </w:p>
        </w:tc>
      </w:tr>
      <w:tr>
        <w:trPr>
          <w:trHeight w:val="155"/>
        </w:trPr>
        <w:tc>
          <w:tcPr>
            <w:tcW w:w="75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Ashland (Process Safety—PSI)</w:t>
            </w:r>
          </w:p>
        </w:tc>
        <w:tc>
          <w:tcPr>
            <w:tcW w:w="1580" w:type="dxa"/>
            <w:vAlign w:val="bottom"/>
            <w:tcBorders>
              <w:bottom w:val="single" w:sz="8" w:color="867F7C"/>
            </w:tcBorders>
          </w:tcPr>
          <w:p>
            <w:pPr>
              <w:jc w:val="right"/>
              <w:ind w:right="448"/>
              <w:spacing w:after="0" w:line="155" w:lineRule="exact"/>
              <w:rPr>
                <w:sz w:val="20"/>
                <w:szCs w:val="20"/>
                <w:color w:val="auto"/>
              </w:rPr>
            </w:pPr>
            <w:r>
              <w:rPr>
                <w:rFonts w:ascii="Arial" w:cs="Arial" w:eastAsia="Arial" w:hAnsi="Arial"/>
                <w:sz w:val="14"/>
                <w:szCs w:val="14"/>
                <w:color w:val="auto"/>
              </w:rPr>
              <w:t>0.30</w:t>
            </w:r>
          </w:p>
        </w:tc>
      </w:tr>
      <w:tr>
        <w:trPr>
          <w:trHeight w:val="156"/>
        </w:trPr>
        <w:tc>
          <w:tcPr>
            <w:tcW w:w="75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Ashland (Spills and Releases—EIC)</w:t>
            </w:r>
          </w:p>
        </w:tc>
        <w:tc>
          <w:tcPr>
            <w:tcW w:w="1580" w:type="dxa"/>
            <w:vAlign w:val="bottom"/>
            <w:tcBorders>
              <w:bottom w:val="single" w:sz="8" w:color="867F7C"/>
            </w:tcBorders>
          </w:tcPr>
          <w:p>
            <w:pPr>
              <w:jc w:val="right"/>
              <w:ind w:right="448"/>
              <w:spacing w:after="0" w:line="155" w:lineRule="exact"/>
              <w:rPr>
                <w:sz w:val="20"/>
                <w:szCs w:val="20"/>
                <w:color w:val="auto"/>
              </w:rPr>
            </w:pPr>
            <w:r>
              <w:rPr>
                <w:rFonts w:ascii="Arial" w:cs="Arial" w:eastAsia="Arial" w:hAnsi="Arial"/>
                <w:sz w:val="14"/>
                <w:szCs w:val="14"/>
                <w:color w:val="auto"/>
              </w:rPr>
              <w:t>27</w:t>
            </w:r>
          </w:p>
        </w:tc>
      </w:tr>
    </w:tbl>
    <w:p>
      <w:pPr>
        <w:spacing w:after="0" w:line="390"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867F7C"/>
        </w:rPr>
        <w:t>compensation discussion and analysis</w:t>
      </w:r>
    </w:p>
    <w:p>
      <w:pPr>
        <w:spacing w:after="0" w:line="208" w:lineRule="exact"/>
        <w:rPr>
          <w:sz w:val="20"/>
          <w:szCs w:val="20"/>
          <w:color w:val="auto"/>
        </w:rPr>
      </w:pPr>
    </w:p>
    <w:p>
      <w:pPr>
        <w:ind w:left="220" w:hanging="212"/>
        <w:spacing w:after="0" w:line="222" w:lineRule="auto"/>
        <w:tabs>
          <w:tab w:leader="none" w:pos="220" w:val="left"/>
        </w:tabs>
        <w:numPr>
          <w:ilvl w:val="0"/>
          <w:numId w:val="39"/>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Targets were determined by assessing appropriate improvements versus prior year actual results as well as the three-year history of outcomes.</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Using performance against goals as the starting point, the Compensation Committee uses its discretion when determining the modifier for an individual, team or Business Unit to reflect more closely:</w:t>
      </w:r>
    </w:p>
    <w:p>
      <w:pPr>
        <w:spacing w:after="0" w:line="46" w:lineRule="exact"/>
        <w:rPr>
          <w:sz w:val="20"/>
          <w:szCs w:val="20"/>
          <w:color w:val="auto"/>
        </w:rPr>
      </w:pPr>
    </w:p>
    <w:p>
      <w:pPr>
        <w:ind w:left="240" w:hanging="232"/>
        <w:spacing w:after="0"/>
        <w:tabs>
          <w:tab w:leader="none" w:pos="240" w:val="left"/>
        </w:tabs>
        <w:numPr>
          <w:ilvl w:val="0"/>
          <w:numId w:val="40"/>
        </w:numPr>
        <w:rPr>
          <w:rFonts w:ascii="Times New Roman" w:cs="Times New Roman" w:eastAsia="Times New Roman" w:hAnsi="Times New Roman"/>
          <w:sz w:val="18"/>
          <w:szCs w:val="18"/>
          <w:color w:val="4CCEDE"/>
        </w:rPr>
      </w:pPr>
      <w:r>
        <w:rPr>
          <w:rFonts w:ascii="Arial" w:cs="Arial" w:eastAsia="Arial" w:hAnsi="Arial"/>
          <w:sz w:val="18"/>
          <w:szCs w:val="18"/>
          <w:color w:val="auto"/>
        </w:rPr>
        <w:t>the overall strength of the safety culture,</w:t>
      </w:r>
    </w:p>
    <w:p>
      <w:pPr>
        <w:spacing w:after="0" w:line="11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40"/>
        </w:numPr>
        <w:rPr>
          <w:rFonts w:ascii="Times New Roman" w:cs="Times New Roman" w:eastAsia="Times New Roman" w:hAnsi="Times New Roman"/>
          <w:sz w:val="18"/>
          <w:szCs w:val="18"/>
          <w:color w:val="4CCEDE"/>
        </w:rPr>
      </w:pPr>
      <w:r>
        <w:rPr>
          <w:rFonts w:ascii="Arial" w:cs="Arial" w:eastAsia="Arial" w:hAnsi="Arial"/>
          <w:sz w:val="18"/>
          <w:szCs w:val="18"/>
          <w:color w:val="auto"/>
        </w:rPr>
        <w:t>the seriousness of safety incidents, and</w:t>
      </w:r>
    </w:p>
    <w:p>
      <w:pPr>
        <w:spacing w:after="0" w:line="11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40"/>
        </w:numPr>
        <w:rPr>
          <w:rFonts w:ascii="Times New Roman" w:cs="Times New Roman" w:eastAsia="Times New Roman" w:hAnsi="Times New Roman"/>
          <w:sz w:val="18"/>
          <w:szCs w:val="18"/>
          <w:color w:val="4CCEDE"/>
        </w:rPr>
      </w:pPr>
      <w:r>
        <w:rPr>
          <w:rFonts w:ascii="Arial" w:cs="Arial" w:eastAsia="Arial" w:hAnsi="Arial"/>
          <w:sz w:val="18"/>
          <w:szCs w:val="18"/>
          <w:color w:val="auto"/>
        </w:rPr>
        <w:t>quality performance, individual leadership, safety trends, etc.</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4CCEDE"/>
        </w:rPr>
        <w:t>fiscal year 2025 annual incentive performance</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table below shows the adjusted fiscal 2025 performance compared to the pre-established financial performance targets for our identified named executive officers within the Ashland Inc., Personal Care and Life Sciences and Intermediates business units. Consistent with our compensation philosophy, when achievement is above or below target, compensation is also above or below target as illustrated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shd w:val="clear" w:color="auto" w:fill="EFEBE9"/>
          </w:tcPr>
          <w:p>
            <w:pPr>
              <w:spacing w:after="0"/>
              <w:rPr>
                <w:sz w:val="14"/>
                <w:szCs w:val="14"/>
                <w:color w:val="auto"/>
              </w:rPr>
            </w:pPr>
          </w:p>
        </w:tc>
        <w:tc>
          <w:tcPr>
            <w:tcW w:w="1120" w:type="dxa"/>
            <w:vAlign w:val="bottom"/>
            <w:shd w:val="clear" w:color="auto" w:fill="EFEBE9"/>
          </w:tcPr>
          <w:p>
            <w:pPr>
              <w:spacing w:after="0"/>
              <w:rPr>
                <w:sz w:val="14"/>
                <w:szCs w:val="14"/>
                <w:color w:val="auto"/>
              </w:rPr>
            </w:pPr>
          </w:p>
        </w:tc>
        <w:tc>
          <w:tcPr>
            <w:tcW w:w="26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80" w:type="dxa"/>
            <w:vAlign w:val="bottom"/>
            <w:shd w:val="clear" w:color="auto" w:fill="EFEBE9"/>
          </w:tcPr>
          <w:p>
            <w:pPr>
              <w:jc w:val="center"/>
              <w:ind w:right="8"/>
              <w:spacing w:after="0"/>
              <w:rPr>
                <w:sz w:val="20"/>
                <w:szCs w:val="20"/>
                <w:color w:val="auto"/>
              </w:rPr>
            </w:pPr>
            <w:r>
              <w:rPr>
                <w:rFonts w:ascii="Arial" w:cs="Arial" w:eastAsia="Arial" w:hAnsi="Arial"/>
                <w:sz w:val="14"/>
                <w:szCs w:val="14"/>
                <w:b w:val="1"/>
                <w:bCs w:val="1"/>
                <w:color w:val="867F7C"/>
              </w:rPr>
              <w:t>Committee</w:t>
            </w:r>
          </w:p>
        </w:tc>
        <w:tc>
          <w:tcPr>
            <w:tcW w:w="700" w:type="dxa"/>
            <w:vAlign w:val="bottom"/>
            <w:shd w:val="clear" w:color="auto" w:fill="EFEBE9"/>
          </w:tcPr>
          <w:p>
            <w:pPr>
              <w:spacing w:after="0"/>
              <w:rPr>
                <w:sz w:val="14"/>
                <w:szCs w:val="14"/>
                <w:color w:val="auto"/>
              </w:rPr>
            </w:pPr>
          </w:p>
        </w:tc>
        <w:tc>
          <w:tcPr>
            <w:tcW w:w="200" w:type="dxa"/>
            <w:vAlign w:val="bottom"/>
            <w:shd w:val="clear" w:color="auto" w:fill="EFEBE9"/>
          </w:tcPr>
          <w:p>
            <w:pPr>
              <w:spacing w:after="0"/>
              <w:rPr>
                <w:sz w:val="14"/>
                <w:szCs w:val="14"/>
                <w:color w:val="auto"/>
              </w:rPr>
            </w:pPr>
          </w:p>
        </w:tc>
      </w:tr>
      <w:tr>
        <w:trPr>
          <w:trHeight w:val="162"/>
        </w:trPr>
        <w:tc>
          <w:tcPr>
            <w:tcW w:w="5020" w:type="dxa"/>
            <w:vAlign w:val="bottom"/>
            <w:shd w:val="clear" w:color="auto" w:fill="EFEBE9"/>
          </w:tcPr>
          <w:p>
            <w:pPr>
              <w:spacing w:after="0"/>
              <w:rPr>
                <w:sz w:val="14"/>
                <w:szCs w:val="14"/>
                <w:color w:val="auto"/>
              </w:rPr>
            </w:pPr>
          </w:p>
        </w:tc>
        <w:tc>
          <w:tcPr>
            <w:tcW w:w="1120" w:type="dxa"/>
            <w:vAlign w:val="bottom"/>
            <w:shd w:val="clear" w:color="auto" w:fill="EFEBE9"/>
          </w:tcPr>
          <w:p>
            <w:pPr>
              <w:spacing w:after="0"/>
              <w:rPr>
                <w:sz w:val="14"/>
                <w:szCs w:val="14"/>
                <w:color w:val="auto"/>
              </w:rPr>
            </w:pPr>
          </w:p>
        </w:tc>
        <w:tc>
          <w:tcPr>
            <w:tcW w:w="26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Adjusted</w:t>
            </w:r>
          </w:p>
        </w:tc>
        <w:tc>
          <w:tcPr>
            <w:tcW w:w="900" w:type="dxa"/>
            <w:vAlign w:val="bottom"/>
            <w:gridSpan w:val="2"/>
            <w:shd w:val="clear" w:color="auto" w:fill="EFEBE9"/>
          </w:tcPr>
          <w:p>
            <w:pPr>
              <w:jc w:val="center"/>
              <w:ind w:right="60"/>
              <w:spacing w:after="0"/>
              <w:rPr>
                <w:sz w:val="20"/>
                <w:szCs w:val="20"/>
                <w:color w:val="auto"/>
              </w:rPr>
            </w:pPr>
            <w:r>
              <w:rPr>
                <w:rFonts w:ascii="Arial" w:cs="Arial" w:eastAsia="Arial" w:hAnsi="Arial"/>
                <w:sz w:val="14"/>
                <w:szCs w:val="14"/>
                <w:b w:val="1"/>
                <w:bCs w:val="1"/>
                <w:color w:val="867F7C"/>
              </w:rPr>
              <w:t>Payout</w:t>
            </w:r>
          </w:p>
        </w:tc>
      </w:tr>
      <w:tr>
        <w:trPr>
          <w:trHeight w:val="162"/>
        </w:trPr>
        <w:tc>
          <w:tcPr>
            <w:tcW w:w="502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Corporate</w:t>
            </w:r>
          </w:p>
        </w:tc>
        <w:tc>
          <w:tcPr>
            <w:tcW w:w="1120" w:type="dxa"/>
            <w:vAlign w:val="bottom"/>
            <w:shd w:val="clear" w:color="auto" w:fill="EFEBE9"/>
          </w:tcPr>
          <w:p>
            <w:pPr>
              <w:spacing w:after="0"/>
              <w:rPr>
                <w:sz w:val="14"/>
                <w:szCs w:val="14"/>
                <w:color w:val="auto"/>
              </w:rPr>
            </w:pPr>
          </w:p>
        </w:tc>
        <w:tc>
          <w:tcPr>
            <w:tcW w:w="260" w:type="dxa"/>
            <w:vAlign w:val="bottom"/>
            <w:shd w:val="clear" w:color="auto" w:fill="EFEBE9"/>
          </w:tcPr>
          <w:p>
            <w:pPr>
              <w:spacing w:after="0"/>
              <w:rPr>
                <w:sz w:val="14"/>
                <w:szCs w:val="14"/>
                <w:color w:val="auto"/>
              </w:rPr>
            </w:pPr>
          </w:p>
        </w:tc>
        <w:tc>
          <w:tcPr>
            <w:tcW w:w="800" w:type="dxa"/>
            <w:vAlign w:val="bottom"/>
            <w:shd w:val="clear" w:color="auto" w:fill="EFEBE9"/>
          </w:tcPr>
          <w:p>
            <w:pPr>
              <w:jc w:val="right"/>
              <w:ind w:right="128"/>
              <w:spacing w:after="0"/>
              <w:rPr>
                <w:sz w:val="20"/>
                <w:szCs w:val="20"/>
                <w:color w:val="auto"/>
              </w:rPr>
            </w:pPr>
            <w:r>
              <w:rPr>
                <w:rFonts w:ascii="Arial" w:cs="Arial" w:eastAsia="Arial" w:hAnsi="Arial"/>
                <w:sz w:val="14"/>
                <w:szCs w:val="14"/>
                <w:b w:val="1"/>
                <w:bCs w:val="1"/>
                <w:color w:val="867F7C"/>
              </w:rPr>
              <w:t>Target</w:t>
            </w:r>
          </w:p>
        </w:tc>
        <w:tc>
          <w:tcPr>
            <w:tcW w:w="9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Result</w:t>
            </w:r>
          </w:p>
        </w:tc>
        <w:tc>
          <w:tcPr>
            <w:tcW w:w="900" w:type="dxa"/>
            <w:vAlign w:val="bottom"/>
            <w:gridSpan w:val="2"/>
            <w:shd w:val="clear" w:color="auto" w:fill="EFEBE9"/>
          </w:tcPr>
          <w:p>
            <w:pPr>
              <w:jc w:val="center"/>
              <w:ind w:right="60"/>
              <w:spacing w:after="0"/>
              <w:rPr>
                <w:sz w:val="20"/>
                <w:szCs w:val="20"/>
                <w:color w:val="auto"/>
              </w:rPr>
            </w:pPr>
            <w:r>
              <w:rPr>
                <w:rFonts w:ascii="Arial" w:cs="Arial" w:eastAsia="Arial" w:hAnsi="Arial"/>
                <w:sz w:val="14"/>
                <w:szCs w:val="14"/>
                <w:b w:val="1"/>
                <w:bCs w:val="1"/>
                <w:color w:val="867F7C"/>
              </w:rPr>
              <w:t>(% of</w:t>
            </w:r>
          </w:p>
        </w:tc>
      </w:tr>
      <w:tr>
        <w:trPr>
          <w:trHeight w:val="192"/>
        </w:trPr>
        <w:tc>
          <w:tcPr>
            <w:tcW w:w="502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Performance Levels</w:t>
            </w:r>
          </w:p>
        </w:tc>
        <w:tc>
          <w:tcPr>
            <w:tcW w:w="2180" w:type="dxa"/>
            <w:vAlign w:val="bottom"/>
            <w:tcBorders>
              <w:bottom w:val="single" w:sz="8" w:color="EFEBE9"/>
            </w:tcBorders>
            <w:gridSpan w:val="3"/>
            <w:shd w:val="clear" w:color="auto" w:fill="EFEBE9"/>
          </w:tcPr>
          <w:p>
            <w:pPr>
              <w:jc w:val="right"/>
              <w:spacing w:after="0"/>
              <w:rPr>
                <w:sz w:val="20"/>
                <w:szCs w:val="20"/>
                <w:color w:val="auto"/>
              </w:rPr>
            </w:pPr>
            <w:r>
              <w:rPr>
                <w:rFonts w:ascii="Arial" w:cs="Arial" w:eastAsia="Arial" w:hAnsi="Arial"/>
                <w:sz w:val="14"/>
                <w:szCs w:val="14"/>
                <w:b w:val="1"/>
                <w:bCs w:val="1"/>
                <w:color w:val="867F7C"/>
              </w:rPr>
              <w:t>Weighting  ($, millions)</w:t>
            </w:r>
          </w:p>
        </w:tc>
        <w:tc>
          <w:tcPr>
            <w:tcW w:w="98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 millions)</w:t>
            </w:r>
          </w:p>
        </w:tc>
        <w:tc>
          <w:tcPr>
            <w:tcW w:w="900" w:type="dxa"/>
            <w:vAlign w:val="bottom"/>
            <w:tcBorders>
              <w:bottom w:val="single" w:sz="8" w:color="EFEBE9"/>
            </w:tcBorders>
            <w:gridSpan w:val="2"/>
            <w:shd w:val="clear" w:color="auto" w:fill="EFEBE9"/>
          </w:tcPr>
          <w:p>
            <w:pPr>
              <w:jc w:val="center"/>
              <w:ind w:right="60"/>
              <w:spacing w:after="0"/>
              <w:rPr>
                <w:sz w:val="20"/>
                <w:szCs w:val="20"/>
                <w:color w:val="auto"/>
              </w:rPr>
            </w:pPr>
            <w:r>
              <w:rPr>
                <w:rFonts w:ascii="Arial" w:cs="Arial" w:eastAsia="Arial" w:hAnsi="Arial"/>
                <w:sz w:val="14"/>
                <w:szCs w:val="14"/>
                <w:b w:val="1"/>
                <w:bCs w:val="1"/>
                <w:color w:val="867F7C"/>
              </w:rPr>
              <w:t>Target)</w:t>
            </w:r>
          </w:p>
        </w:tc>
      </w:tr>
      <w:tr>
        <w:trPr>
          <w:trHeight w:val="153"/>
        </w:trPr>
        <w:tc>
          <w:tcPr>
            <w:tcW w:w="5020" w:type="dxa"/>
            <w:vAlign w:val="bottom"/>
          </w:tcPr>
          <w:p>
            <w:pPr>
              <w:ind w:left="100"/>
              <w:spacing w:after="0" w:line="153" w:lineRule="exact"/>
              <w:rPr>
                <w:sz w:val="20"/>
                <w:szCs w:val="20"/>
                <w:color w:val="auto"/>
              </w:rPr>
            </w:pPr>
            <w:r>
              <w:rPr>
                <w:rFonts w:ascii="Arial" w:cs="Arial" w:eastAsia="Arial" w:hAnsi="Arial"/>
                <w:sz w:val="14"/>
                <w:szCs w:val="14"/>
                <w:color w:val="auto"/>
              </w:rPr>
              <w:t>Adjusted Company EBITDA</w:t>
            </w:r>
          </w:p>
        </w:tc>
        <w:tc>
          <w:tcPr>
            <w:tcW w:w="1120" w:type="dxa"/>
            <w:vAlign w:val="bottom"/>
          </w:tcPr>
          <w:p>
            <w:pPr>
              <w:spacing w:after="0"/>
              <w:rPr>
                <w:sz w:val="13"/>
                <w:szCs w:val="13"/>
                <w:color w:val="auto"/>
              </w:rPr>
            </w:pPr>
          </w:p>
        </w:tc>
        <w:tc>
          <w:tcPr>
            <w:tcW w:w="1060" w:type="dxa"/>
            <w:vAlign w:val="bottom"/>
            <w:gridSpan w:val="2"/>
          </w:tcPr>
          <w:p>
            <w:pPr>
              <w:jc w:val="right"/>
              <w:ind w:right="188"/>
              <w:spacing w:after="0" w:line="153" w:lineRule="exact"/>
              <w:rPr>
                <w:sz w:val="20"/>
                <w:szCs w:val="20"/>
                <w:color w:val="auto"/>
              </w:rPr>
            </w:pPr>
            <w:r>
              <w:rPr>
                <w:rFonts w:ascii="Arial" w:cs="Arial" w:eastAsia="Arial" w:hAnsi="Arial"/>
                <w:sz w:val="14"/>
                <w:szCs w:val="14"/>
                <w:color w:val="auto"/>
              </w:rPr>
              <w:t>457.</w:t>
            </w:r>
          </w:p>
        </w:tc>
        <w:tc>
          <w:tcPr>
            <w:tcW w:w="980" w:type="dxa"/>
            <w:vAlign w:val="bottom"/>
          </w:tcPr>
          <w:p>
            <w:pPr>
              <w:jc w:val="right"/>
              <w:ind w:right="288"/>
              <w:spacing w:after="0" w:line="153" w:lineRule="exact"/>
              <w:rPr>
                <w:sz w:val="20"/>
                <w:szCs w:val="20"/>
                <w:color w:val="auto"/>
              </w:rPr>
            </w:pPr>
            <w:r>
              <w:rPr>
                <w:rFonts w:ascii="Arial" w:cs="Arial" w:eastAsia="Arial" w:hAnsi="Arial"/>
                <w:sz w:val="14"/>
                <w:szCs w:val="14"/>
                <w:color w:val="auto"/>
              </w:rPr>
              <w:t>398.</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1"/>
        </w:trPr>
        <w:tc>
          <w:tcPr>
            <w:tcW w:w="5020" w:type="dxa"/>
            <w:vAlign w:val="bottom"/>
            <w:tcBorders>
              <w:bottom w:val="single" w:sz="8" w:color="867F7C"/>
            </w:tcBorders>
          </w:tcPr>
          <w:p>
            <w:pPr>
              <w:spacing w:after="0"/>
              <w:rPr>
                <w:sz w:val="14"/>
                <w:szCs w:val="14"/>
                <w:color w:val="auto"/>
              </w:rPr>
            </w:pPr>
          </w:p>
        </w:tc>
        <w:tc>
          <w:tcPr>
            <w:tcW w:w="112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75%</w:t>
            </w:r>
          </w:p>
        </w:tc>
        <w:tc>
          <w:tcPr>
            <w:tcW w:w="1060" w:type="dxa"/>
            <w:vAlign w:val="bottom"/>
            <w:tcBorders>
              <w:bottom w:val="single" w:sz="8" w:color="867F7C"/>
            </w:tcBorders>
            <w:gridSpan w:val="2"/>
          </w:tcPr>
          <w:p>
            <w:pPr>
              <w:jc w:val="right"/>
              <w:ind w:right="18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67.7%</w:t>
            </w:r>
          </w:p>
        </w:tc>
        <w:tc>
          <w:tcPr>
            <w:tcW w:w="200" w:type="dxa"/>
            <w:vAlign w:val="bottom"/>
            <w:tcBorders>
              <w:bottom w:val="single" w:sz="8" w:color="867F7C"/>
            </w:tcBorders>
          </w:tcPr>
          <w:p>
            <w:pPr>
              <w:spacing w:after="0"/>
              <w:rPr>
                <w:sz w:val="14"/>
                <w:szCs w:val="14"/>
                <w:color w:val="auto"/>
              </w:rPr>
            </w:pPr>
          </w:p>
        </w:tc>
      </w:tr>
      <w:tr>
        <w:trPr>
          <w:trHeight w:val="146"/>
        </w:trPr>
        <w:tc>
          <w:tcPr>
            <w:tcW w:w="5020" w:type="dxa"/>
            <w:vAlign w:val="bottom"/>
          </w:tcPr>
          <w:p>
            <w:pPr>
              <w:ind w:left="100"/>
              <w:spacing w:after="0" w:line="147" w:lineRule="exact"/>
              <w:rPr>
                <w:sz w:val="20"/>
                <w:szCs w:val="20"/>
                <w:color w:val="auto"/>
              </w:rPr>
            </w:pPr>
            <w:r>
              <w:rPr>
                <w:rFonts w:ascii="Arial" w:cs="Arial" w:eastAsia="Arial" w:hAnsi="Arial"/>
                <w:sz w:val="14"/>
                <w:szCs w:val="14"/>
                <w:color w:val="auto"/>
              </w:rPr>
              <w:t>Innovation Revenue</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88"/>
              <w:spacing w:after="0" w:line="147" w:lineRule="exact"/>
              <w:rPr>
                <w:sz w:val="20"/>
                <w:szCs w:val="20"/>
                <w:color w:val="auto"/>
              </w:rPr>
            </w:pPr>
            <w:r>
              <w:rPr>
                <w:rFonts w:ascii="Arial" w:cs="Arial" w:eastAsia="Arial" w:hAnsi="Arial"/>
                <w:sz w:val="14"/>
                <w:szCs w:val="14"/>
                <w:color w:val="auto"/>
              </w:rPr>
              <w:t>148.</w:t>
            </w:r>
          </w:p>
        </w:tc>
        <w:tc>
          <w:tcPr>
            <w:tcW w:w="200" w:type="dxa"/>
            <w:vAlign w:val="bottom"/>
          </w:tcPr>
          <w:p>
            <w:pPr>
              <w:spacing w:after="0"/>
              <w:rPr>
                <w:sz w:val="12"/>
                <w:szCs w:val="12"/>
                <w:color w:val="auto"/>
              </w:rPr>
            </w:pPr>
          </w:p>
        </w:tc>
      </w:tr>
      <w:tr>
        <w:trPr>
          <w:trHeight w:val="171"/>
        </w:trPr>
        <w:tc>
          <w:tcPr>
            <w:tcW w:w="5020" w:type="dxa"/>
            <w:vAlign w:val="bottom"/>
            <w:tcBorders>
              <w:bottom w:val="single" w:sz="8" w:color="867F7C"/>
            </w:tcBorders>
          </w:tcPr>
          <w:p>
            <w:pPr>
              <w:spacing w:after="0"/>
              <w:rPr>
                <w:sz w:val="14"/>
                <w:szCs w:val="14"/>
                <w:color w:val="auto"/>
              </w:rPr>
            </w:pPr>
          </w:p>
        </w:tc>
        <w:tc>
          <w:tcPr>
            <w:tcW w:w="112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25%</w:t>
            </w:r>
          </w:p>
        </w:tc>
        <w:tc>
          <w:tcPr>
            <w:tcW w:w="1060" w:type="dxa"/>
            <w:vAlign w:val="bottom"/>
            <w:tcBorders>
              <w:bottom w:val="single" w:sz="8" w:color="867F7C"/>
            </w:tcBorders>
            <w:gridSpan w:val="2"/>
          </w:tcPr>
          <w:p>
            <w:pPr>
              <w:jc w:val="right"/>
              <w:ind w:right="188"/>
              <w:spacing w:after="0"/>
              <w:rPr>
                <w:sz w:val="20"/>
                <w:szCs w:val="20"/>
                <w:color w:val="auto"/>
              </w:rPr>
            </w:pPr>
            <w:r>
              <w:rPr>
                <w:rFonts w:ascii="Arial" w:cs="Arial" w:eastAsia="Arial" w:hAnsi="Arial"/>
                <w:sz w:val="14"/>
                <w:szCs w:val="14"/>
                <w:color w:val="auto"/>
              </w:rPr>
              <w:t>58.6</w:t>
            </w:r>
          </w:p>
        </w:tc>
        <w:tc>
          <w:tcPr>
            <w:tcW w:w="98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64.3</w:t>
            </w:r>
          </w:p>
        </w:tc>
        <w:tc>
          <w:tcPr>
            <w:tcW w:w="7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867F7C"/>
            </w:tcBorders>
          </w:tcPr>
          <w:p>
            <w:pPr>
              <w:spacing w:after="0"/>
              <w:rPr>
                <w:sz w:val="14"/>
                <w:szCs w:val="14"/>
                <w:color w:val="auto"/>
              </w:rPr>
            </w:pPr>
          </w:p>
        </w:tc>
      </w:tr>
      <w:tr>
        <w:trPr>
          <w:trHeight w:val="156"/>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EH&amp;S Modifier</w:t>
            </w:r>
          </w:p>
        </w:tc>
        <w:tc>
          <w:tcPr>
            <w:tcW w:w="112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modifier</w:t>
            </w:r>
          </w:p>
        </w:tc>
        <w:tc>
          <w:tcPr>
            <w:tcW w:w="26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varies</w:t>
            </w:r>
          </w:p>
        </w:tc>
        <w:tc>
          <w:tcPr>
            <w:tcW w:w="980" w:type="dxa"/>
            <w:vAlign w:val="bottom"/>
            <w:tcBorders>
              <w:bottom w:val="single" w:sz="8" w:color="867F7C"/>
            </w:tcBorders>
          </w:tcPr>
          <w:p>
            <w:pPr>
              <w:jc w:val="center"/>
              <w:ind w:right="48"/>
              <w:spacing w:after="0" w:line="155" w:lineRule="exact"/>
              <w:rPr>
                <w:sz w:val="20"/>
                <w:szCs w:val="20"/>
                <w:color w:val="auto"/>
              </w:rPr>
            </w:pPr>
            <w:r>
              <w:rPr>
                <w:rFonts w:ascii="Arial" w:cs="Arial" w:eastAsia="Arial" w:hAnsi="Arial"/>
                <w:sz w:val="14"/>
                <w:szCs w:val="14"/>
                <w:color w:val="auto"/>
              </w:rPr>
              <w:t>varies</w:t>
            </w: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0.0%</w:t>
            </w:r>
          </w:p>
        </w:tc>
        <w:tc>
          <w:tcPr>
            <w:tcW w:w="200" w:type="dxa"/>
            <w:vAlign w:val="bottom"/>
            <w:tcBorders>
              <w:bottom w:val="single" w:sz="8" w:color="867F7C"/>
            </w:tcBorders>
          </w:tcPr>
          <w:p>
            <w:pPr>
              <w:spacing w:after="0"/>
              <w:rPr>
                <w:sz w:val="13"/>
                <w:szCs w:val="13"/>
                <w:color w:val="auto"/>
              </w:rPr>
            </w:pPr>
          </w:p>
        </w:tc>
      </w:tr>
      <w:tr>
        <w:trPr>
          <w:trHeight w:val="155"/>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auto"/>
              </w:rPr>
              <w:t>Combined Weighted Payout (% of Target)</w:t>
            </w:r>
          </w:p>
        </w:tc>
        <w:tc>
          <w:tcPr>
            <w:tcW w:w="1120" w:type="dxa"/>
            <w:vAlign w:val="bottom"/>
            <w:tcBorders>
              <w:bottom w:val="single" w:sz="8" w:color="867F7C"/>
            </w:tcBorders>
          </w:tcPr>
          <w:p>
            <w:pPr>
              <w:spacing w:after="0"/>
              <w:rPr>
                <w:sz w:val="13"/>
                <w:szCs w:val="13"/>
                <w:color w:val="auto"/>
              </w:rPr>
            </w:pPr>
          </w:p>
        </w:tc>
        <w:tc>
          <w:tcPr>
            <w:tcW w:w="26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spacing w:after="0"/>
              <w:rPr>
                <w:sz w:val="13"/>
                <w:szCs w:val="13"/>
                <w:color w:val="auto"/>
              </w:rPr>
            </w:pPr>
          </w:p>
        </w:tc>
        <w:tc>
          <w:tcPr>
            <w:tcW w:w="9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b w:val="1"/>
                <w:bCs w:val="1"/>
                <w:color w:val="auto"/>
              </w:rPr>
              <w:t>87.9%</w:t>
            </w:r>
          </w:p>
        </w:tc>
        <w:tc>
          <w:tcPr>
            <w:tcW w:w="200" w:type="dxa"/>
            <w:vAlign w:val="bottom"/>
            <w:tcBorders>
              <w:bottom w:val="single" w:sz="8" w:color="867F7C"/>
            </w:tcBorders>
          </w:tcPr>
          <w:p>
            <w:pPr>
              <w:spacing w:after="0"/>
              <w:rPr>
                <w:sz w:val="13"/>
                <w:szCs w:val="13"/>
                <w:color w:val="auto"/>
              </w:rPr>
            </w:pPr>
          </w:p>
        </w:tc>
      </w:tr>
      <w:tr>
        <w:trPr>
          <w:trHeight w:val="196"/>
        </w:trPr>
        <w:tc>
          <w:tcPr>
            <w:tcW w:w="5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53"/>
        </w:trPr>
        <w:tc>
          <w:tcPr>
            <w:tcW w:w="5020" w:type="dxa"/>
            <w:vAlign w:val="bottom"/>
            <w:shd w:val="clear" w:color="auto" w:fill="EFEBE9"/>
          </w:tcPr>
          <w:p>
            <w:pPr>
              <w:spacing w:after="0"/>
              <w:rPr>
                <w:sz w:val="13"/>
                <w:szCs w:val="13"/>
                <w:color w:val="auto"/>
              </w:rPr>
            </w:pPr>
          </w:p>
        </w:tc>
        <w:tc>
          <w:tcPr>
            <w:tcW w:w="1120" w:type="dxa"/>
            <w:vAlign w:val="bottom"/>
            <w:shd w:val="clear" w:color="auto" w:fill="EFEBE9"/>
          </w:tcPr>
          <w:p>
            <w:pPr>
              <w:spacing w:after="0"/>
              <w:rPr>
                <w:sz w:val="13"/>
                <w:szCs w:val="13"/>
                <w:color w:val="auto"/>
              </w:rPr>
            </w:pPr>
          </w:p>
        </w:tc>
        <w:tc>
          <w:tcPr>
            <w:tcW w:w="260" w:type="dxa"/>
            <w:vAlign w:val="bottom"/>
            <w:shd w:val="clear" w:color="auto" w:fill="EFEBE9"/>
          </w:tcPr>
          <w:p>
            <w:pPr>
              <w:spacing w:after="0"/>
              <w:rPr>
                <w:sz w:val="13"/>
                <w:szCs w:val="13"/>
                <w:color w:val="auto"/>
              </w:rPr>
            </w:pPr>
          </w:p>
        </w:tc>
        <w:tc>
          <w:tcPr>
            <w:tcW w:w="1780" w:type="dxa"/>
            <w:vAlign w:val="bottom"/>
            <w:gridSpan w:val="2"/>
            <w:shd w:val="clear" w:color="auto" w:fill="EFEBE9"/>
          </w:tcPr>
          <w:p>
            <w:pPr>
              <w:jc w:val="right"/>
              <w:ind w:right="208"/>
              <w:spacing w:after="0" w:line="153" w:lineRule="exact"/>
              <w:rPr>
                <w:sz w:val="20"/>
                <w:szCs w:val="20"/>
                <w:color w:val="auto"/>
              </w:rPr>
            </w:pPr>
            <w:r>
              <w:rPr>
                <w:rFonts w:ascii="Arial" w:cs="Arial" w:eastAsia="Arial" w:hAnsi="Arial"/>
                <w:sz w:val="14"/>
                <w:szCs w:val="14"/>
                <w:b w:val="1"/>
                <w:bCs w:val="1"/>
                <w:color w:val="867F7C"/>
              </w:rPr>
              <w:t>Committee</w:t>
            </w:r>
          </w:p>
        </w:tc>
        <w:tc>
          <w:tcPr>
            <w:tcW w:w="700" w:type="dxa"/>
            <w:vAlign w:val="bottom"/>
            <w:shd w:val="clear" w:color="auto" w:fill="EFEBE9"/>
          </w:tcPr>
          <w:p>
            <w:pPr>
              <w:spacing w:after="0"/>
              <w:rPr>
                <w:sz w:val="13"/>
                <w:szCs w:val="13"/>
                <w:color w:val="auto"/>
              </w:rPr>
            </w:pPr>
          </w:p>
        </w:tc>
        <w:tc>
          <w:tcPr>
            <w:tcW w:w="200" w:type="dxa"/>
            <w:vAlign w:val="bottom"/>
            <w:shd w:val="clear" w:color="auto" w:fill="EFEBE9"/>
          </w:tcPr>
          <w:p>
            <w:pPr>
              <w:spacing w:after="0"/>
              <w:rPr>
                <w:sz w:val="13"/>
                <w:szCs w:val="13"/>
                <w:color w:val="auto"/>
              </w:rPr>
            </w:pPr>
          </w:p>
        </w:tc>
      </w:tr>
      <w:tr>
        <w:trPr>
          <w:trHeight w:val="162"/>
        </w:trPr>
        <w:tc>
          <w:tcPr>
            <w:tcW w:w="5020" w:type="dxa"/>
            <w:vAlign w:val="bottom"/>
            <w:shd w:val="clear" w:color="auto" w:fill="EFEBE9"/>
          </w:tcPr>
          <w:p>
            <w:pPr>
              <w:spacing w:after="0"/>
              <w:rPr>
                <w:sz w:val="14"/>
                <w:szCs w:val="14"/>
                <w:color w:val="auto"/>
              </w:rPr>
            </w:pPr>
          </w:p>
        </w:tc>
        <w:tc>
          <w:tcPr>
            <w:tcW w:w="1120" w:type="dxa"/>
            <w:vAlign w:val="bottom"/>
            <w:shd w:val="clear" w:color="auto" w:fill="EFEBE9"/>
          </w:tcPr>
          <w:p>
            <w:pPr>
              <w:spacing w:after="0"/>
              <w:rPr>
                <w:sz w:val="14"/>
                <w:szCs w:val="14"/>
                <w:color w:val="auto"/>
              </w:rPr>
            </w:pPr>
          </w:p>
        </w:tc>
        <w:tc>
          <w:tcPr>
            <w:tcW w:w="26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80" w:type="dxa"/>
            <w:vAlign w:val="bottom"/>
            <w:shd w:val="clear" w:color="auto" w:fill="EFEBE9"/>
          </w:tcPr>
          <w:p>
            <w:pPr>
              <w:jc w:val="center"/>
              <w:ind w:right="248"/>
              <w:spacing w:after="0"/>
              <w:rPr>
                <w:sz w:val="20"/>
                <w:szCs w:val="20"/>
                <w:color w:val="auto"/>
              </w:rPr>
            </w:pPr>
            <w:r>
              <w:rPr>
                <w:rFonts w:ascii="Arial" w:cs="Arial" w:eastAsia="Arial" w:hAnsi="Arial"/>
                <w:sz w:val="14"/>
                <w:szCs w:val="14"/>
                <w:b w:val="1"/>
                <w:bCs w:val="1"/>
                <w:color w:val="867F7C"/>
              </w:rPr>
              <w:t>Adjusted</w:t>
            </w:r>
          </w:p>
        </w:tc>
        <w:tc>
          <w:tcPr>
            <w:tcW w:w="900" w:type="dxa"/>
            <w:vAlign w:val="bottom"/>
            <w:gridSpan w:val="2"/>
            <w:shd w:val="clear" w:color="auto" w:fill="EFEBE9"/>
          </w:tcPr>
          <w:p>
            <w:pPr>
              <w:jc w:val="center"/>
              <w:ind w:right="180"/>
              <w:spacing w:after="0"/>
              <w:rPr>
                <w:sz w:val="20"/>
                <w:szCs w:val="20"/>
                <w:color w:val="auto"/>
              </w:rPr>
            </w:pPr>
            <w:r>
              <w:rPr>
                <w:rFonts w:ascii="Arial" w:cs="Arial" w:eastAsia="Arial" w:hAnsi="Arial"/>
                <w:sz w:val="14"/>
                <w:szCs w:val="14"/>
                <w:b w:val="1"/>
                <w:bCs w:val="1"/>
                <w:color w:val="867F7C"/>
              </w:rPr>
              <w:t>Payout</w:t>
            </w:r>
          </w:p>
        </w:tc>
      </w:tr>
      <w:tr>
        <w:trPr>
          <w:trHeight w:val="162"/>
        </w:trPr>
        <w:tc>
          <w:tcPr>
            <w:tcW w:w="502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Life Sciences &amp; Intermediates</w:t>
            </w:r>
          </w:p>
        </w:tc>
        <w:tc>
          <w:tcPr>
            <w:tcW w:w="1120" w:type="dxa"/>
            <w:vAlign w:val="bottom"/>
            <w:shd w:val="clear" w:color="auto" w:fill="EFEBE9"/>
          </w:tcPr>
          <w:p>
            <w:pPr>
              <w:spacing w:after="0"/>
              <w:rPr>
                <w:sz w:val="14"/>
                <w:szCs w:val="14"/>
                <w:color w:val="auto"/>
              </w:rPr>
            </w:pPr>
          </w:p>
        </w:tc>
        <w:tc>
          <w:tcPr>
            <w:tcW w:w="1060" w:type="dxa"/>
            <w:vAlign w:val="bottom"/>
            <w:gridSpan w:val="2"/>
            <w:shd w:val="clear" w:color="auto" w:fill="EFEBE9"/>
          </w:tcPr>
          <w:p>
            <w:pPr>
              <w:jc w:val="right"/>
              <w:ind w:right="348"/>
              <w:spacing w:after="0"/>
              <w:rPr>
                <w:sz w:val="20"/>
                <w:szCs w:val="20"/>
                <w:color w:val="auto"/>
              </w:rPr>
            </w:pPr>
            <w:r>
              <w:rPr>
                <w:rFonts w:ascii="Arial" w:cs="Arial" w:eastAsia="Arial" w:hAnsi="Arial"/>
                <w:sz w:val="14"/>
                <w:szCs w:val="14"/>
                <w:b w:val="1"/>
                <w:bCs w:val="1"/>
                <w:color w:val="867F7C"/>
              </w:rPr>
              <w:t>Target</w:t>
            </w:r>
          </w:p>
        </w:tc>
        <w:tc>
          <w:tcPr>
            <w:tcW w:w="980" w:type="dxa"/>
            <w:vAlign w:val="bottom"/>
            <w:shd w:val="clear" w:color="auto" w:fill="EFEBE9"/>
          </w:tcPr>
          <w:p>
            <w:pPr>
              <w:jc w:val="center"/>
              <w:ind w:right="268"/>
              <w:spacing w:after="0"/>
              <w:rPr>
                <w:sz w:val="20"/>
                <w:szCs w:val="20"/>
                <w:color w:val="auto"/>
              </w:rPr>
            </w:pPr>
            <w:r>
              <w:rPr>
                <w:rFonts w:ascii="Arial" w:cs="Arial" w:eastAsia="Arial" w:hAnsi="Arial"/>
                <w:sz w:val="14"/>
                <w:szCs w:val="14"/>
                <w:b w:val="1"/>
                <w:bCs w:val="1"/>
                <w:color w:val="867F7C"/>
              </w:rPr>
              <w:t>Result</w:t>
            </w:r>
          </w:p>
        </w:tc>
        <w:tc>
          <w:tcPr>
            <w:tcW w:w="900" w:type="dxa"/>
            <w:vAlign w:val="bottom"/>
            <w:gridSpan w:val="2"/>
            <w:shd w:val="clear" w:color="auto" w:fill="EFEBE9"/>
          </w:tcPr>
          <w:p>
            <w:pPr>
              <w:jc w:val="center"/>
              <w:ind w:right="180"/>
              <w:spacing w:after="0"/>
              <w:rPr>
                <w:sz w:val="20"/>
                <w:szCs w:val="20"/>
                <w:color w:val="auto"/>
              </w:rPr>
            </w:pPr>
            <w:r>
              <w:rPr>
                <w:rFonts w:ascii="Arial" w:cs="Arial" w:eastAsia="Arial" w:hAnsi="Arial"/>
                <w:sz w:val="14"/>
                <w:szCs w:val="14"/>
                <w:b w:val="1"/>
                <w:bCs w:val="1"/>
                <w:color w:val="867F7C"/>
              </w:rPr>
              <w:t>(% of</w:t>
            </w:r>
          </w:p>
        </w:tc>
      </w:tr>
      <w:tr>
        <w:trPr>
          <w:trHeight w:val="192"/>
        </w:trPr>
        <w:tc>
          <w:tcPr>
            <w:tcW w:w="502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Performance Levels</w:t>
            </w:r>
          </w:p>
        </w:tc>
        <w:tc>
          <w:tcPr>
            <w:tcW w:w="1120" w:type="dxa"/>
            <w:vAlign w:val="bottom"/>
            <w:tcBorders>
              <w:bottom w:val="single" w:sz="8" w:color="EFEBE9"/>
            </w:tcBorders>
            <w:shd w:val="clear" w:color="auto" w:fill="EFEBE9"/>
          </w:tcPr>
          <w:p>
            <w:pPr>
              <w:jc w:val="right"/>
              <w:ind w:right="168"/>
              <w:spacing w:after="0"/>
              <w:rPr>
                <w:sz w:val="20"/>
                <w:szCs w:val="20"/>
                <w:color w:val="auto"/>
              </w:rPr>
            </w:pPr>
            <w:r>
              <w:rPr>
                <w:rFonts w:ascii="Arial" w:cs="Arial" w:eastAsia="Arial" w:hAnsi="Arial"/>
                <w:sz w:val="14"/>
                <w:szCs w:val="14"/>
                <w:b w:val="1"/>
                <w:bCs w:val="1"/>
                <w:color w:val="867F7C"/>
              </w:rPr>
              <w:t>Weighting</w:t>
            </w:r>
          </w:p>
        </w:tc>
        <w:tc>
          <w:tcPr>
            <w:tcW w:w="2040" w:type="dxa"/>
            <w:vAlign w:val="bottom"/>
            <w:tcBorders>
              <w:bottom w:val="single" w:sz="8" w:color="EFEBE9"/>
            </w:tcBorders>
            <w:gridSpan w:val="3"/>
            <w:shd w:val="clear" w:color="auto" w:fill="EFEBE9"/>
          </w:tcPr>
          <w:p>
            <w:pPr>
              <w:jc w:val="right"/>
              <w:ind w:right="188"/>
              <w:spacing w:after="0"/>
              <w:rPr>
                <w:sz w:val="20"/>
                <w:szCs w:val="20"/>
                <w:color w:val="auto"/>
              </w:rPr>
            </w:pPr>
            <w:r>
              <w:rPr>
                <w:rFonts w:ascii="Arial" w:cs="Arial" w:eastAsia="Arial" w:hAnsi="Arial"/>
                <w:sz w:val="14"/>
                <w:szCs w:val="14"/>
                <w:b w:val="1"/>
                <w:bCs w:val="1"/>
                <w:color w:val="867F7C"/>
              </w:rPr>
              <w:t>($, millions)  ($, millions)</w:t>
            </w:r>
          </w:p>
        </w:tc>
        <w:tc>
          <w:tcPr>
            <w:tcW w:w="900" w:type="dxa"/>
            <w:vAlign w:val="bottom"/>
            <w:tcBorders>
              <w:bottom w:val="single" w:sz="8" w:color="EFEBE9"/>
            </w:tcBorders>
            <w:gridSpan w:val="2"/>
            <w:shd w:val="clear" w:color="auto" w:fill="EFEBE9"/>
          </w:tcPr>
          <w:p>
            <w:pPr>
              <w:jc w:val="center"/>
              <w:ind w:right="180"/>
              <w:spacing w:after="0"/>
              <w:rPr>
                <w:sz w:val="20"/>
                <w:szCs w:val="20"/>
                <w:color w:val="auto"/>
              </w:rPr>
            </w:pPr>
            <w:r>
              <w:rPr>
                <w:rFonts w:ascii="Arial" w:cs="Arial" w:eastAsia="Arial" w:hAnsi="Arial"/>
                <w:sz w:val="14"/>
                <w:szCs w:val="14"/>
                <w:b w:val="1"/>
                <w:bCs w:val="1"/>
                <w:color w:val="867F7C"/>
              </w:rPr>
              <w:t>Target)</w:t>
            </w:r>
          </w:p>
        </w:tc>
      </w:tr>
      <w:tr>
        <w:trPr>
          <w:trHeight w:val="162"/>
        </w:trPr>
        <w:tc>
          <w:tcPr>
            <w:tcW w:w="50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Adjusted Business Unit EBITDA</w:t>
            </w:r>
          </w:p>
        </w:tc>
        <w:tc>
          <w:tcPr>
            <w:tcW w:w="112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50%</w:t>
            </w:r>
          </w:p>
        </w:tc>
        <w:tc>
          <w:tcPr>
            <w:tcW w:w="1060" w:type="dxa"/>
            <w:vAlign w:val="bottom"/>
            <w:tcBorders>
              <w:bottom w:val="single" w:sz="8" w:color="867F7C"/>
            </w:tcBorders>
            <w:gridSpan w:val="2"/>
          </w:tcPr>
          <w:p>
            <w:pPr>
              <w:jc w:val="right"/>
              <w:ind w:right="348"/>
              <w:spacing w:after="0"/>
              <w:rPr>
                <w:sz w:val="20"/>
                <w:szCs w:val="20"/>
                <w:color w:val="auto"/>
              </w:rPr>
            </w:pPr>
            <w:r>
              <w:rPr>
                <w:rFonts w:ascii="Arial" w:cs="Arial" w:eastAsia="Arial" w:hAnsi="Arial"/>
                <w:sz w:val="14"/>
                <w:szCs w:val="14"/>
                <w:color w:val="auto"/>
              </w:rPr>
              <w:t>245.2</w:t>
            </w:r>
          </w:p>
        </w:tc>
        <w:tc>
          <w:tcPr>
            <w:tcW w:w="98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auto"/>
              </w:rPr>
              <w:t>202.3</w:t>
            </w:r>
          </w:p>
        </w:tc>
        <w:tc>
          <w:tcPr>
            <w:tcW w:w="7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56.3%</w:t>
            </w:r>
          </w:p>
        </w:tc>
        <w:tc>
          <w:tcPr>
            <w:tcW w:w="200" w:type="dxa"/>
            <w:vAlign w:val="bottom"/>
            <w:tcBorders>
              <w:bottom w:val="single" w:sz="8" w:color="867F7C"/>
            </w:tcBorders>
          </w:tcPr>
          <w:p>
            <w:pPr>
              <w:spacing w:after="0"/>
              <w:rPr>
                <w:sz w:val="14"/>
                <w:szCs w:val="14"/>
                <w:color w:val="auto"/>
              </w:rPr>
            </w:pPr>
          </w:p>
        </w:tc>
      </w:tr>
      <w:tr>
        <w:trPr>
          <w:trHeight w:val="155"/>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Adjusted Company EBITDA</w:t>
            </w:r>
          </w:p>
        </w:tc>
        <w:tc>
          <w:tcPr>
            <w:tcW w:w="112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25%</w:t>
            </w:r>
          </w:p>
        </w:tc>
        <w:tc>
          <w:tcPr>
            <w:tcW w:w="1060" w:type="dxa"/>
            <w:vAlign w:val="bottom"/>
            <w:tcBorders>
              <w:bottom w:val="single" w:sz="8" w:color="867F7C"/>
            </w:tcBorders>
            <w:gridSpan w:val="2"/>
          </w:tcPr>
          <w:p>
            <w:pPr>
              <w:jc w:val="right"/>
              <w:ind w:right="348"/>
              <w:spacing w:after="0" w:line="155" w:lineRule="exact"/>
              <w:rPr>
                <w:sz w:val="20"/>
                <w:szCs w:val="20"/>
                <w:color w:val="auto"/>
              </w:rPr>
            </w:pPr>
            <w:r>
              <w:rPr>
                <w:rFonts w:ascii="Arial" w:cs="Arial" w:eastAsia="Arial" w:hAnsi="Arial"/>
                <w:sz w:val="14"/>
                <w:szCs w:val="14"/>
                <w:color w:val="auto"/>
              </w:rPr>
              <w:t>457.0</w:t>
            </w:r>
          </w:p>
        </w:tc>
        <w:tc>
          <w:tcPr>
            <w:tcW w:w="98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398.0</w:t>
            </w: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67.7%</w:t>
            </w:r>
          </w:p>
        </w:tc>
        <w:tc>
          <w:tcPr>
            <w:tcW w:w="200" w:type="dxa"/>
            <w:vAlign w:val="bottom"/>
            <w:tcBorders>
              <w:bottom w:val="single" w:sz="8" w:color="867F7C"/>
            </w:tcBorders>
          </w:tcPr>
          <w:p>
            <w:pPr>
              <w:spacing w:after="0"/>
              <w:rPr>
                <w:sz w:val="13"/>
                <w:szCs w:val="13"/>
                <w:color w:val="auto"/>
              </w:rPr>
            </w:pPr>
          </w:p>
        </w:tc>
      </w:tr>
      <w:tr>
        <w:trPr>
          <w:trHeight w:val="155"/>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Innovation Revenue</w:t>
            </w:r>
          </w:p>
        </w:tc>
        <w:tc>
          <w:tcPr>
            <w:tcW w:w="112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25%</w:t>
            </w:r>
          </w:p>
        </w:tc>
        <w:tc>
          <w:tcPr>
            <w:tcW w:w="1060" w:type="dxa"/>
            <w:vAlign w:val="bottom"/>
            <w:tcBorders>
              <w:bottom w:val="single" w:sz="8" w:color="867F7C"/>
            </w:tcBorders>
            <w:gridSpan w:val="2"/>
          </w:tcPr>
          <w:p>
            <w:pPr>
              <w:jc w:val="right"/>
              <w:ind w:right="348"/>
              <w:spacing w:after="0" w:line="155" w:lineRule="exact"/>
              <w:rPr>
                <w:sz w:val="20"/>
                <w:szCs w:val="20"/>
                <w:color w:val="auto"/>
              </w:rPr>
            </w:pPr>
            <w:r>
              <w:rPr>
                <w:rFonts w:ascii="Arial" w:cs="Arial" w:eastAsia="Arial" w:hAnsi="Arial"/>
                <w:sz w:val="14"/>
                <w:szCs w:val="14"/>
                <w:color w:val="auto"/>
              </w:rPr>
              <w:t>58.6</w:t>
            </w:r>
          </w:p>
        </w:tc>
        <w:tc>
          <w:tcPr>
            <w:tcW w:w="98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64.3</w:t>
            </w:r>
          </w:p>
        </w:tc>
        <w:tc>
          <w:tcPr>
            <w:tcW w:w="900" w:type="dxa"/>
            <w:vAlign w:val="bottom"/>
            <w:tcBorders>
              <w:bottom w:val="single" w:sz="8" w:color="867F7C"/>
            </w:tcBorders>
            <w:gridSpan w:val="2"/>
          </w:tcPr>
          <w:p>
            <w:pPr>
              <w:jc w:val="right"/>
              <w:ind w:right="200"/>
              <w:spacing w:after="0" w:line="155" w:lineRule="exact"/>
              <w:rPr>
                <w:sz w:val="20"/>
                <w:szCs w:val="20"/>
                <w:color w:val="auto"/>
              </w:rPr>
            </w:pPr>
            <w:r>
              <w:rPr>
                <w:rFonts w:ascii="Arial" w:cs="Arial" w:eastAsia="Arial" w:hAnsi="Arial"/>
                <w:sz w:val="14"/>
                <w:szCs w:val="14"/>
                <w:color w:val="auto"/>
              </w:rPr>
              <w:t>148.6%</w:t>
            </w:r>
          </w:p>
        </w:tc>
      </w:tr>
      <w:tr>
        <w:trPr>
          <w:trHeight w:val="155"/>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EH&amp;S Modifier</w:t>
            </w:r>
          </w:p>
        </w:tc>
        <w:tc>
          <w:tcPr>
            <w:tcW w:w="112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modifier</w:t>
            </w:r>
          </w:p>
        </w:tc>
        <w:tc>
          <w:tcPr>
            <w:tcW w:w="1060" w:type="dxa"/>
            <w:vAlign w:val="bottom"/>
            <w:tcBorders>
              <w:bottom w:val="single" w:sz="8" w:color="867F7C"/>
            </w:tcBorders>
            <w:gridSpan w:val="2"/>
          </w:tcPr>
          <w:p>
            <w:pPr>
              <w:jc w:val="right"/>
              <w:ind w:right="348"/>
              <w:spacing w:after="0" w:line="155" w:lineRule="exact"/>
              <w:rPr>
                <w:sz w:val="20"/>
                <w:szCs w:val="20"/>
                <w:color w:val="auto"/>
              </w:rPr>
            </w:pPr>
            <w:r>
              <w:rPr>
                <w:rFonts w:ascii="Arial" w:cs="Arial" w:eastAsia="Arial" w:hAnsi="Arial"/>
                <w:sz w:val="14"/>
                <w:szCs w:val="14"/>
                <w:color w:val="auto"/>
              </w:rPr>
              <w:t>varies</w:t>
            </w:r>
          </w:p>
        </w:tc>
        <w:tc>
          <w:tcPr>
            <w:tcW w:w="980" w:type="dxa"/>
            <w:vAlign w:val="bottom"/>
            <w:tcBorders>
              <w:bottom w:val="single" w:sz="8" w:color="867F7C"/>
            </w:tcBorders>
          </w:tcPr>
          <w:p>
            <w:pPr>
              <w:jc w:val="center"/>
              <w:ind w:right="228"/>
              <w:spacing w:after="0" w:line="155" w:lineRule="exact"/>
              <w:rPr>
                <w:sz w:val="20"/>
                <w:szCs w:val="20"/>
                <w:color w:val="auto"/>
              </w:rPr>
            </w:pPr>
            <w:r>
              <w:rPr>
                <w:rFonts w:ascii="Arial" w:cs="Arial" w:eastAsia="Arial" w:hAnsi="Arial"/>
                <w:sz w:val="14"/>
                <w:szCs w:val="14"/>
                <w:color w:val="auto"/>
              </w:rPr>
              <w:t>varies</w:t>
            </w:r>
          </w:p>
        </w:tc>
        <w:tc>
          <w:tcPr>
            <w:tcW w:w="700" w:type="dxa"/>
            <w:vAlign w:val="bottom"/>
            <w:tcBorders>
              <w:bottom w:val="single" w:sz="8" w:color="867F7C"/>
            </w:tcBorders>
          </w:tcPr>
          <w:p>
            <w:pPr>
              <w:jc w:val="right"/>
              <w:ind w:right="8"/>
              <w:spacing w:after="0" w:line="155" w:lineRule="exact"/>
              <w:rPr>
                <w:sz w:val="20"/>
                <w:szCs w:val="20"/>
                <w:color w:val="auto"/>
              </w:rPr>
            </w:pPr>
            <w:r>
              <w:rPr>
                <w:rFonts w:ascii="Arial" w:cs="Arial" w:eastAsia="Arial" w:hAnsi="Arial"/>
                <w:sz w:val="14"/>
                <w:szCs w:val="14"/>
                <w:color w:val="auto"/>
              </w:rPr>
              <w:t>0.0%</w:t>
            </w:r>
          </w:p>
        </w:tc>
        <w:tc>
          <w:tcPr>
            <w:tcW w:w="200" w:type="dxa"/>
            <w:vAlign w:val="bottom"/>
            <w:tcBorders>
              <w:bottom w:val="single" w:sz="8" w:color="867F7C"/>
            </w:tcBorders>
          </w:tcPr>
          <w:p>
            <w:pPr>
              <w:spacing w:after="0"/>
              <w:rPr>
                <w:sz w:val="13"/>
                <w:szCs w:val="13"/>
                <w:color w:val="auto"/>
              </w:rPr>
            </w:pPr>
          </w:p>
        </w:tc>
      </w:tr>
      <w:tr>
        <w:trPr>
          <w:trHeight w:val="156"/>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auto"/>
              </w:rPr>
              <w:t>Combined Weighted Payout (% of Target)</w:t>
            </w:r>
          </w:p>
        </w:tc>
        <w:tc>
          <w:tcPr>
            <w:tcW w:w="1120" w:type="dxa"/>
            <w:vAlign w:val="bottom"/>
            <w:tcBorders>
              <w:bottom w:val="single" w:sz="8" w:color="867F7C"/>
            </w:tcBorders>
          </w:tcPr>
          <w:p>
            <w:pPr>
              <w:spacing w:after="0"/>
              <w:rPr>
                <w:sz w:val="13"/>
                <w:szCs w:val="13"/>
                <w:color w:val="auto"/>
              </w:rPr>
            </w:pPr>
          </w:p>
        </w:tc>
        <w:tc>
          <w:tcPr>
            <w:tcW w:w="26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spacing w:after="0"/>
              <w:rPr>
                <w:sz w:val="13"/>
                <w:szCs w:val="13"/>
                <w:color w:val="auto"/>
              </w:rPr>
            </w:pPr>
          </w:p>
        </w:tc>
        <w:tc>
          <w:tcPr>
            <w:tcW w:w="9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b w:val="1"/>
                <w:bCs w:val="1"/>
                <w:color w:val="auto"/>
              </w:rPr>
              <w:t>82.2%</w:t>
            </w:r>
          </w:p>
        </w:tc>
        <w:tc>
          <w:tcPr>
            <w:tcW w:w="200" w:type="dxa"/>
            <w:vAlign w:val="bottom"/>
            <w:tcBorders>
              <w:bottom w:val="single" w:sz="8" w:color="867F7C"/>
            </w:tcBorders>
          </w:tcPr>
          <w:p>
            <w:pPr>
              <w:spacing w:after="0"/>
              <w:rPr>
                <w:sz w:val="13"/>
                <w:szCs w:val="13"/>
                <w:color w:val="auto"/>
              </w:rPr>
            </w:pPr>
          </w:p>
        </w:tc>
      </w:tr>
      <w:tr>
        <w:trPr>
          <w:trHeight w:val="196"/>
        </w:trPr>
        <w:tc>
          <w:tcPr>
            <w:tcW w:w="5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53"/>
        </w:trPr>
        <w:tc>
          <w:tcPr>
            <w:tcW w:w="5020" w:type="dxa"/>
            <w:vAlign w:val="bottom"/>
            <w:shd w:val="clear" w:color="auto" w:fill="EFEBE9"/>
          </w:tcPr>
          <w:p>
            <w:pPr>
              <w:spacing w:after="0"/>
              <w:rPr>
                <w:sz w:val="13"/>
                <w:szCs w:val="13"/>
                <w:color w:val="auto"/>
              </w:rPr>
            </w:pPr>
          </w:p>
        </w:tc>
        <w:tc>
          <w:tcPr>
            <w:tcW w:w="1120" w:type="dxa"/>
            <w:vAlign w:val="bottom"/>
            <w:shd w:val="clear" w:color="auto" w:fill="EFEBE9"/>
          </w:tcPr>
          <w:p>
            <w:pPr>
              <w:spacing w:after="0"/>
              <w:rPr>
                <w:sz w:val="13"/>
                <w:szCs w:val="13"/>
                <w:color w:val="auto"/>
              </w:rPr>
            </w:pPr>
          </w:p>
        </w:tc>
        <w:tc>
          <w:tcPr>
            <w:tcW w:w="260" w:type="dxa"/>
            <w:vAlign w:val="bottom"/>
            <w:shd w:val="clear" w:color="auto" w:fill="EFEBE9"/>
          </w:tcPr>
          <w:p>
            <w:pPr>
              <w:spacing w:after="0"/>
              <w:rPr>
                <w:sz w:val="13"/>
                <w:szCs w:val="13"/>
                <w:color w:val="auto"/>
              </w:rPr>
            </w:pPr>
          </w:p>
        </w:tc>
        <w:tc>
          <w:tcPr>
            <w:tcW w:w="1780" w:type="dxa"/>
            <w:vAlign w:val="bottom"/>
            <w:gridSpan w:val="2"/>
            <w:shd w:val="clear" w:color="auto" w:fill="EFEBE9"/>
          </w:tcPr>
          <w:p>
            <w:pPr>
              <w:jc w:val="center"/>
              <w:ind w:left="408"/>
              <w:spacing w:after="0" w:line="153" w:lineRule="exact"/>
              <w:rPr>
                <w:sz w:val="20"/>
                <w:szCs w:val="20"/>
                <w:color w:val="auto"/>
              </w:rPr>
            </w:pPr>
            <w:r>
              <w:rPr>
                <w:rFonts w:ascii="Arial" w:cs="Arial" w:eastAsia="Arial" w:hAnsi="Arial"/>
                <w:sz w:val="14"/>
                <w:szCs w:val="14"/>
                <w:b w:val="1"/>
                <w:bCs w:val="1"/>
                <w:color w:val="867F7C"/>
              </w:rPr>
              <w:t>Committee</w:t>
            </w:r>
          </w:p>
        </w:tc>
        <w:tc>
          <w:tcPr>
            <w:tcW w:w="700" w:type="dxa"/>
            <w:vAlign w:val="bottom"/>
            <w:shd w:val="clear" w:color="auto" w:fill="EFEBE9"/>
          </w:tcPr>
          <w:p>
            <w:pPr>
              <w:spacing w:after="0"/>
              <w:rPr>
                <w:sz w:val="13"/>
                <w:szCs w:val="13"/>
                <w:color w:val="auto"/>
              </w:rPr>
            </w:pPr>
          </w:p>
        </w:tc>
        <w:tc>
          <w:tcPr>
            <w:tcW w:w="200" w:type="dxa"/>
            <w:vAlign w:val="bottom"/>
            <w:shd w:val="clear" w:color="auto" w:fill="EFEBE9"/>
          </w:tcPr>
          <w:p>
            <w:pPr>
              <w:spacing w:after="0"/>
              <w:rPr>
                <w:sz w:val="13"/>
                <w:szCs w:val="13"/>
                <w:color w:val="auto"/>
              </w:rPr>
            </w:pPr>
          </w:p>
        </w:tc>
      </w:tr>
      <w:tr>
        <w:trPr>
          <w:trHeight w:val="162"/>
        </w:trPr>
        <w:tc>
          <w:tcPr>
            <w:tcW w:w="5020" w:type="dxa"/>
            <w:vAlign w:val="bottom"/>
            <w:shd w:val="clear" w:color="auto" w:fill="EFEBE9"/>
          </w:tcPr>
          <w:p>
            <w:pPr>
              <w:spacing w:after="0"/>
              <w:rPr>
                <w:sz w:val="14"/>
                <w:szCs w:val="14"/>
                <w:color w:val="auto"/>
              </w:rPr>
            </w:pPr>
          </w:p>
        </w:tc>
        <w:tc>
          <w:tcPr>
            <w:tcW w:w="1120" w:type="dxa"/>
            <w:vAlign w:val="bottom"/>
            <w:shd w:val="clear" w:color="auto" w:fill="EFEBE9"/>
          </w:tcPr>
          <w:p>
            <w:pPr>
              <w:spacing w:after="0"/>
              <w:rPr>
                <w:sz w:val="14"/>
                <w:szCs w:val="14"/>
                <w:color w:val="auto"/>
              </w:rPr>
            </w:pPr>
          </w:p>
        </w:tc>
        <w:tc>
          <w:tcPr>
            <w:tcW w:w="26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80" w:type="dxa"/>
            <w:vAlign w:val="bottom"/>
            <w:shd w:val="clear" w:color="auto" w:fill="EFEBE9"/>
          </w:tcPr>
          <w:p>
            <w:pPr>
              <w:jc w:val="center"/>
              <w:ind w:right="208"/>
              <w:spacing w:after="0"/>
              <w:rPr>
                <w:sz w:val="20"/>
                <w:szCs w:val="20"/>
                <w:color w:val="auto"/>
              </w:rPr>
            </w:pPr>
            <w:r>
              <w:rPr>
                <w:rFonts w:ascii="Arial" w:cs="Arial" w:eastAsia="Arial" w:hAnsi="Arial"/>
                <w:sz w:val="14"/>
                <w:szCs w:val="14"/>
                <w:b w:val="1"/>
                <w:bCs w:val="1"/>
                <w:color w:val="867F7C"/>
              </w:rPr>
              <w:t>Adjusted</w:t>
            </w:r>
          </w:p>
        </w:tc>
        <w:tc>
          <w:tcPr>
            <w:tcW w:w="900" w:type="dxa"/>
            <w:vAlign w:val="bottom"/>
            <w:gridSpan w:val="2"/>
            <w:shd w:val="clear" w:color="auto" w:fill="EFEBE9"/>
          </w:tcPr>
          <w:p>
            <w:pPr>
              <w:jc w:val="center"/>
              <w:ind w:right="180"/>
              <w:spacing w:after="0"/>
              <w:rPr>
                <w:sz w:val="20"/>
                <w:szCs w:val="20"/>
                <w:color w:val="auto"/>
              </w:rPr>
            </w:pPr>
            <w:r>
              <w:rPr>
                <w:rFonts w:ascii="Arial" w:cs="Arial" w:eastAsia="Arial" w:hAnsi="Arial"/>
                <w:sz w:val="14"/>
                <w:szCs w:val="14"/>
                <w:b w:val="1"/>
                <w:bCs w:val="1"/>
                <w:color w:val="867F7C"/>
              </w:rPr>
              <w:t>Payout</w:t>
            </w:r>
          </w:p>
        </w:tc>
      </w:tr>
      <w:tr>
        <w:trPr>
          <w:trHeight w:val="162"/>
        </w:trPr>
        <w:tc>
          <w:tcPr>
            <w:tcW w:w="502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Personal Care</w:t>
            </w:r>
          </w:p>
        </w:tc>
        <w:tc>
          <w:tcPr>
            <w:tcW w:w="1120" w:type="dxa"/>
            <w:vAlign w:val="bottom"/>
            <w:shd w:val="clear" w:color="auto" w:fill="EFEBE9"/>
          </w:tcPr>
          <w:p>
            <w:pPr>
              <w:spacing w:after="0"/>
              <w:rPr>
                <w:sz w:val="14"/>
                <w:szCs w:val="14"/>
                <w:color w:val="auto"/>
              </w:rPr>
            </w:pPr>
          </w:p>
        </w:tc>
        <w:tc>
          <w:tcPr>
            <w:tcW w:w="260" w:type="dxa"/>
            <w:vAlign w:val="bottom"/>
            <w:shd w:val="clear" w:color="auto" w:fill="EFEBE9"/>
          </w:tcPr>
          <w:p>
            <w:pPr>
              <w:spacing w:after="0"/>
              <w:rPr>
                <w:sz w:val="14"/>
                <w:szCs w:val="14"/>
                <w:color w:val="auto"/>
              </w:rPr>
            </w:pPr>
          </w:p>
        </w:tc>
        <w:tc>
          <w:tcPr>
            <w:tcW w:w="800" w:type="dxa"/>
            <w:vAlign w:val="bottom"/>
            <w:shd w:val="clear" w:color="auto" w:fill="EFEBE9"/>
          </w:tcPr>
          <w:p>
            <w:pPr>
              <w:jc w:val="right"/>
              <w:ind w:right="268"/>
              <w:spacing w:after="0"/>
              <w:rPr>
                <w:sz w:val="20"/>
                <w:szCs w:val="20"/>
                <w:color w:val="auto"/>
              </w:rPr>
            </w:pPr>
            <w:r>
              <w:rPr>
                <w:rFonts w:ascii="Arial" w:cs="Arial" w:eastAsia="Arial" w:hAnsi="Arial"/>
                <w:sz w:val="14"/>
                <w:szCs w:val="14"/>
                <w:b w:val="1"/>
                <w:bCs w:val="1"/>
                <w:color w:val="867F7C"/>
              </w:rPr>
              <w:t>Target</w:t>
            </w:r>
          </w:p>
        </w:tc>
        <w:tc>
          <w:tcPr>
            <w:tcW w:w="980" w:type="dxa"/>
            <w:vAlign w:val="bottom"/>
            <w:shd w:val="clear" w:color="auto" w:fill="EFEBE9"/>
          </w:tcPr>
          <w:p>
            <w:pPr>
              <w:jc w:val="center"/>
              <w:ind w:right="188"/>
              <w:spacing w:after="0"/>
              <w:rPr>
                <w:sz w:val="20"/>
                <w:szCs w:val="20"/>
                <w:color w:val="auto"/>
              </w:rPr>
            </w:pPr>
            <w:r>
              <w:rPr>
                <w:rFonts w:ascii="Arial" w:cs="Arial" w:eastAsia="Arial" w:hAnsi="Arial"/>
                <w:sz w:val="14"/>
                <w:szCs w:val="14"/>
                <w:b w:val="1"/>
                <w:bCs w:val="1"/>
                <w:color w:val="867F7C"/>
              </w:rPr>
              <w:t>Result</w:t>
            </w:r>
          </w:p>
        </w:tc>
        <w:tc>
          <w:tcPr>
            <w:tcW w:w="900" w:type="dxa"/>
            <w:vAlign w:val="bottom"/>
            <w:gridSpan w:val="2"/>
            <w:shd w:val="clear" w:color="auto" w:fill="EFEBE9"/>
          </w:tcPr>
          <w:p>
            <w:pPr>
              <w:jc w:val="center"/>
              <w:ind w:right="220"/>
              <w:spacing w:after="0"/>
              <w:rPr>
                <w:sz w:val="20"/>
                <w:szCs w:val="20"/>
                <w:color w:val="auto"/>
              </w:rPr>
            </w:pPr>
            <w:r>
              <w:rPr>
                <w:rFonts w:ascii="Arial" w:cs="Arial" w:eastAsia="Arial" w:hAnsi="Arial"/>
                <w:sz w:val="14"/>
                <w:szCs w:val="14"/>
                <w:b w:val="1"/>
                <w:bCs w:val="1"/>
                <w:color w:val="867F7C"/>
              </w:rPr>
              <w:t>(% of</w:t>
            </w:r>
          </w:p>
        </w:tc>
      </w:tr>
      <w:tr>
        <w:trPr>
          <w:trHeight w:val="217"/>
        </w:trPr>
        <w:tc>
          <w:tcPr>
            <w:tcW w:w="502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Performance Levels</w:t>
            </w:r>
          </w:p>
        </w:tc>
        <w:tc>
          <w:tcPr>
            <w:tcW w:w="1120" w:type="dxa"/>
            <w:vAlign w:val="bottom"/>
            <w:tcBorders>
              <w:bottom w:val="single" w:sz="8" w:color="EFEBE9"/>
            </w:tcBorders>
            <w:shd w:val="clear" w:color="auto" w:fill="EFEBE9"/>
          </w:tcPr>
          <w:p>
            <w:pPr>
              <w:jc w:val="right"/>
              <w:ind w:right="8"/>
              <w:spacing w:after="0"/>
              <w:rPr>
                <w:sz w:val="20"/>
                <w:szCs w:val="20"/>
                <w:color w:val="auto"/>
              </w:rPr>
            </w:pPr>
            <w:r>
              <w:rPr>
                <w:rFonts w:ascii="Arial" w:cs="Arial" w:eastAsia="Arial" w:hAnsi="Arial"/>
                <w:sz w:val="14"/>
                <w:szCs w:val="14"/>
                <w:b w:val="1"/>
                <w:bCs w:val="1"/>
                <w:color w:val="867F7C"/>
              </w:rPr>
              <w:t>Weighting</w:t>
            </w:r>
          </w:p>
        </w:tc>
        <w:tc>
          <w:tcPr>
            <w:tcW w:w="2040" w:type="dxa"/>
            <w:vAlign w:val="bottom"/>
            <w:tcBorders>
              <w:bottom w:val="single" w:sz="8" w:color="EFEBE9"/>
            </w:tcBorders>
            <w:gridSpan w:val="3"/>
            <w:shd w:val="clear" w:color="auto" w:fill="EFEBE9"/>
          </w:tcPr>
          <w:p>
            <w:pPr>
              <w:jc w:val="right"/>
              <w:ind w:right="148"/>
              <w:spacing w:after="0"/>
              <w:rPr>
                <w:sz w:val="20"/>
                <w:szCs w:val="20"/>
                <w:color w:val="auto"/>
              </w:rPr>
            </w:pPr>
            <w:r>
              <w:rPr>
                <w:rFonts w:ascii="Arial" w:cs="Arial" w:eastAsia="Arial" w:hAnsi="Arial"/>
                <w:sz w:val="14"/>
                <w:szCs w:val="14"/>
                <w:b w:val="1"/>
                <w:bCs w:val="1"/>
                <w:color w:val="867F7C"/>
              </w:rPr>
              <w:t>($, millions)  ($, millions)</w:t>
            </w:r>
          </w:p>
        </w:tc>
        <w:tc>
          <w:tcPr>
            <w:tcW w:w="900" w:type="dxa"/>
            <w:vAlign w:val="bottom"/>
            <w:tcBorders>
              <w:bottom w:val="single" w:sz="8" w:color="EFEBE9"/>
            </w:tcBorders>
            <w:gridSpan w:val="2"/>
            <w:shd w:val="clear" w:color="auto" w:fill="EFEBE9"/>
          </w:tcPr>
          <w:p>
            <w:pPr>
              <w:jc w:val="center"/>
              <w:ind w:right="180"/>
              <w:spacing w:after="0"/>
              <w:rPr>
                <w:sz w:val="20"/>
                <w:szCs w:val="20"/>
                <w:color w:val="auto"/>
              </w:rPr>
            </w:pPr>
            <w:r>
              <w:rPr>
                <w:rFonts w:ascii="Arial" w:cs="Arial" w:eastAsia="Arial" w:hAnsi="Arial"/>
                <w:sz w:val="14"/>
                <w:szCs w:val="14"/>
                <w:b w:val="1"/>
                <w:bCs w:val="1"/>
                <w:color w:val="867F7C"/>
              </w:rPr>
              <w:t>Target)</w:t>
            </w:r>
          </w:p>
        </w:tc>
      </w:tr>
      <w:tr>
        <w:trPr>
          <w:trHeight w:val="155"/>
        </w:trPr>
        <w:tc>
          <w:tcPr>
            <w:tcW w:w="5020" w:type="dxa"/>
            <w:vAlign w:val="bottom"/>
            <w:tcBorders>
              <w:top w:val="single" w:sz="8" w:color="EFEBE9"/>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Adjusted Business Unit EBITDA</w:t>
            </w:r>
          </w:p>
        </w:tc>
        <w:tc>
          <w:tcPr>
            <w:tcW w:w="1120" w:type="dxa"/>
            <w:vAlign w:val="bottom"/>
            <w:tcBorders>
              <w:top w:val="single" w:sz="8" w:color="EFEBE9"/>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50%</w:t>
            </w:r>
          </w:p>
        </w:tc>
        <w:tc>
          <w:tcPr>
            <w:tcW w:w="260" w:type="dxa"/>
            <w:vAlign w:val="bottom"/>
            <w:tcBorders>
              <w:top w:val="single" w:sz="8" w:color="EFEBE9"/>
              <w:bottom w:val="single" w:sz="8" w:color="867F7C"/>
            </w:tcBorders>
          </w:tcPr>
          <w:p>
            <w:pPr>
              <w:spacing w:after="0"/>
              <w:rPr>
                <w:sz w:val="13"/>
                <w:szCs w:val="13"/>
                <w:color w:val="auto"/>
              </w:rPr>
            </w:pPr>
          </w:p>
        </w:tc>
        <w:tc>
          <w:tcPr>
            <w:tcW w:w="800" w:type="dxa"/>
            <w:vAlign w:val="bottom"/>
            <w:tcBorders>
              <w:top w:val="single" w:sz="8" w:color="867F7C"/>
              <w:bottom w:val="single" w:sz="8" w:color="867F7C"/>
            </w:tcBorders>
          </w:tcPr>
          <w:p>
            <w:pPr>
              <w:jc w:val="right"/>
              <w:ind w:right="228"/>
              <w:spacing w:after="0" w:line="155" w:lineRule="exact"/>
              <w:rPr>
                <w:sz w:val="20"/>
                <w:szCs w:val="20"/>
                <w:color w:val="auto"/>
              </w:rPr>
            </w:pPr>
            <w:r>
              <w:rPr>
                <w:rFonts w:ascii="Arial" w:cs="Arial" w:eastAsia="Arial" w:hAnsi="Arial"/>
                <w:sz w:val="14"/>
                <w:szCs w:val="14"/>
                <w:color w:val="auto"/>
              </w:rPr>
              <w:t>174.4</w:t>
            </w:r>
          </w:p>
        </w:tc>
        <w:tc>
          <w:tcPr>
            <w:tcW w:w="980" w:type="dxa"/>
            <w:vAlign w:val="bottom"/>
            <w:tcBorders>
              <w:top w:val="single" w:sz="8" w:color="867F7C"/>
              <w:bottom w:val="single" w:sz="8" w:color="867F7C"/>
            </w:tcBorders>
          </w:tcPr>
          <w:p>
            <w:pPr>
              <w:jc w:val="right"/>
              <w:ind w:right="308"/>
              <w:spacing w:after="0" w:line="155" w:lineRule="exact"/>
              <w:rPr>
                <w:sz w:val="20"/>
                <w:szCs w:val="20"/>
                <w:color w:val="auto"/>
              </w:rPr>
            </w:pPr>
            <w:r>
              <w:rPr>
                <w:rFonts w:ascii="Arial" w:cs="Arial" w:eastAsia="Arial" w:hAnsi="Arial"/>
                <w:sz w:val="14"/>
                <w:szCs w:val="14"/>
                <w:color w:val="auto"/>
              </w:rPr>
              <w:t>160.0</w:t>
            </w:r>
          </w:p>
        </w:tc>
        <w:tc>
          <w:tcPr>
            <w:tcW w:w="700" w:type="dxa"/>
            <w:vAlign w:val="bottom"/>
            <w:tcBorders>
              <w:top w:val="single" w:sz="8" w:color="867F7C"/>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79.5%</w:t>
            </w:r>
          </w:p>
        </w:tc>
        <w:tc>
          <w:tcPr>
            <w:tcW w:w="200" w:type="dxa"/>
            <w:vAlign w:val="bottom"/>
            <w:tcBorders>
              <w:top w:val="single" w:sz="8" w:color="EFEBE9"/>
              <w:bottom w:val="single" w:sz="8" w:color="867F7C"/>
            </w:tcBorders>
          </w:tcPr>
          <w:p>
            <w:pPr>
              <w:spacing w:after="0"/>
              <w:rPr>
                <w:sz w:val="13"/>
                <w:szCs w:val="13"/>
                <w:color w:val="auto"/>
              </w:rPr>
            </w:pPr>
          </w:p>
        </w:tc>
      </w:tr>
      <w:tr>
        <w:trPr>
          <w:trHeight w:val="155"/>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Adjusted Company EBITDA</w:t>
            </w:r>
          </w:p>
        </w:tc>
        <w:tc>
          <w:tcPr>
            <w:tcW w:w="11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25%</w:t>
            </w:r>
          </w:p>
        </w:tc>
        <w:tc>
          <w:tcPr>
            <w:tcW w:w="1060" w:type="dxa"/>
            <w:vAlign w:val="bottom"/>
            <w:tcBorders>
              <w:bottom w:val="single" w:sz="8" w:color="867F7C"/>
            </w:tcBorders>
            <w:gridSpan w:val="2"/>
          </w:tcPr>
          <w:p>
            <w:pPr>
              <w:jc w:val="right"/>
              <w:ind w:right="228"/>
              <w:spacing w:after="0" w:line="155" w:lineRule="exact"/>
              <w:rPr>
                <w:sz w:val="20"/>
                <w:szCs w:val="20"/>
                <w:color w:val="auto"/>
              </w:rPr>
            </w:pPr>
            <w:r>
              <w:rPr>
                <w:rFonts w:ascii="Arial" w:cs="Arial" w:eastAsia="Arial" w:hAnsi="Arial"/>
                <w:sz w:val="14"/>
                <w:szCs w:val="14"/>
                <w:color w:val="auto"/>
              </w:rPr>
              <w:t>457.0</w:t>
            </w:r>
          </w:p>
        </w:tc>
        <w:tc>
          <w:tcPr>
            <w:tcW w:w="980" w:type="dxa"/>
            <w:vAlign w:val="bottom"/>
            <w:tcBorders>
              <w:bottom w:val="single" w:sz="8" w:color="867F7C"/>
            </w:tcBorders>
          </w:tcPr>
          <w:p>
            <w:pPr>
              <w:jc w:val="right"/>
              <w:ind w:right="308"/>
              <w:spacing w:after="0" w:line="155" w:lineRule="exact"/>
              <w:rPr>
                <w:sz w:val="20"/>
                <w:szCs w:val="20"/>
                <w:color w:val="auto"/>
              </w:rPr>
            </w:pPr>
            <w:r>
              <w:rPr>
                <w:rFonts w:ascii="Arial" w:cs="Arial" w:eastAsia="Arial" w:hAnsi="Arial"/>
                <w:sz w:val="14"/>
                <w:szCs w:val="14"/>
                <w:color w:val="auto"/>
              </w:rPr>
              <w:t>398.0</w:t>
            </w: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67.7%</w:t>
            </w:r>
          </w:p>
        </w:tc>
        <w:tc>
          <w:tcPr>
            <w:tcW w:w="200" w:type="dxa"/>
            <w:vAlign w:val="bottom"/>
            <w:tcBorders>
              <w:bottom w:val="single" w:sz="8" w:color="867F7C"/>
            </w:tcBorders>
          </w:tcPr>
          <w:p>
            <w:pPr>
              <w:spacing w:after="0"/>
              <w:rPr>
                <w:sz w:val="13"/>
                <w:szCs w:val="13"/>
                <w:color w:val="auto"/>
              </w:rPr>
            </w:pPr>
          </w:p>
        </w:tc>
      </w:tr>
      <w:tr>
        <w:trPr>
          <w:trHeight w:val="156"/>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Innovation Revenue</w:t>
            </w:r>
          </w:p>
        </w:tc>
        <w:tc>
          <w:tcPr>
            <w:tcW w:w="11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25%</w:t>
            </w:r>
          </w:p>
        </w:tc>
        <w:tc>
          <w:tcPr>
            <w:tcW w:w="1060" w:type="dxa"/>
            <w:vAlign w:val="bottom"/>
            <w:tcBorders>
              <w:bottom w:val="single" w:sz="8" w:color="867F7C"/>
            </w:tcBorders>
            <w:gridSpan w:val="2"/>
          </w:tcPr>
          <w:p>
            <w:pPr>
              <w:jc w:val="right"/>
              <w:ind w:right="228"/>
              <w:spacing w:after="0" w:line="155" w:lineRule="exact"/>
              <w:rPr>
                <w:sz w:val="20"/>
                <w:szCs w:val="20"/>
                <w:color w:val="auto"/>
              </w:rPr>
            </w:pPr>
            <w:r>
              <w:rPr>
                <w:rFonts w:ascii="Arial" w:cs="Arial" w:eastAsia="Arial" w:hAnsi="Arial"/>
                <w:sz w:val="14"/>
                <w:szCs w:val="14"/>
                <w:color w:val="auto"/>
              </w:rPr>
              <w:t>58.6</w:t>
            </w:r>
          </w:p>
        </w:tc>
        <w:tc>
          <w:tcPr>
            <w:tcW w:w="980" w:type="dxa"/>
            <w:vAlign w:val="bottom"/>
            <w:tcBorders>
              <w:bottom w:val="single" w:sz="8" w:color="867F7C"/>
            </w:tcBorders>
          </w:tcPr>
          <w:p>
            <w:pPr>
              <w:jc w:val="right"/>
              <w:ind w:right="308"/>
              <w:spacing w:after="0" w:line="155" w:lineRule="exact"/>
              <w:rPr>
                <w:sz w:val="20"/>
                <w:szCs w:val="20"/>
                <w:color w:val="auto"/>
              </w:rPr>
            </w:pPr>
            <w:r>
              <w:rPr>
                <w:rFonts w:ascii="Arial" w:cs="Arial" w:eastAsia="Arial" w:hAnsi="Arial"/>
                <w:sz w:val="14"/>
                <w:szCs w:val="14"/>
                <w:color w:val="auto"/>
              </w:rPr>
              <w:t>64.3</w:t>
            </w: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148.6%</w:t>
            </w:r>
          </w:p>
        </w:tc>
        <w:tc>
          <w:tcPr>
            <w:tcW w:w="200" w:type="dxa"/>
            <w:vAlign w:val="bottom"/>
            <w:tcBorders>
              <w:bottom w:val="single" w:sz="8" w:color="867F7C"/>
            </w:tcBorders>
          </w:tcPr>
          <w:p>
            <w:pPr>
              <w:spacing w:after="0"/>
              <w:rPr>
                <w:sz w:val="13"/>
                <w:szCs w:val="13"/>
                <w:color w:val="auto"/>
              </w:rPr>
            </w:pPr>
          </w:p>
        </w:tc>
      </w:tr>
      <w:tr>
        <w:trPr>
          <w:trHeight w:val="155"/>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EH&amp;S Modifier</w:t>
            </w:r>
          </w:p>
        </w:tc>
        <w:tc>
          <w:tcPr>
            <w:tcW w:w="11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modifier</w:t>
            </w:r>
          </w:p>
        </w:tc>
        <w:tc>
          <w:tcPr>
            <w:tcW w:w="1060" w:type="dxa"/>
            <w:vAlign w:val="bottom"/>
            <w:tcBorders>
              <w:bottom w:val="single" w:sz="8" w:color="867F7C"/>
            </w:tcBorders>
            <w:gridSpan w:val="2"/>
          </w:tcPr>
          <w:p>
            <w:pPr>
              <w:jc w:val="right"/>
              <w:ind w:right="228"/>
              <w:spacing w:after="0" w:line="155" w:lineRule="exact"/>
              <w:rPr>
                <w:sz w:val="20"/>
                <w:szCs w:val="20"/>
                <w:color w:val="auto"/>
              </w:rPr>
            </w:pPr>
            <w:r>
              <w:rPr>
                <w:rFonts w:ascii="Arial" w:cs="Arial" w:eastAsia="Arial" w:hAnsi="Arial"/>
                <w:sz w:val="14"/>
                <w:szCs w:val="14"/>
                <w:color w:val="0D0D0D"/>
              </w:rPr>
              <w:t>0.32</w:t>
            </w:r>
          </w:p>
        </w:tc>
        <w:tc>
          <w:tcPr>
            <w:tcW w:w="980" w:type="dxa"/>
            <w:vAlign w:val="bottom"/>
            <w:tcBorders>
              <w:bottom w:val="single" w:sz="8" w:color="867F7C"/>
            </w:tcBorders>
          </w:tcPr>
          <w:p>
            <w:pPr>
              <w:jc w:val="right"/>
              <w:ind w:right="308"/>
              <w:spacing w:after="0" w:line="155" w:lineRule="exact"/>
              <w:rPr>
                <w:sz w:val="20"/>
                <w:szCs w:val="20"/>
                <w:color w:val="auto"/>
              </w:rPr>
            </w:pPr>
            <w:r>
              <w:rPr>
                <w:rFonts w:ascii="Arial" w:cs="Arial" w:eastAsia="Arial" w:hAnsi="Arial"/>
                <w:sz w:val="14"/>
                <w:szCs w:val="14"/>
                <w:color w:val="0D0D0D"/>
              </w:rPr>
              <w:t>0.35</w:t>
            </w: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0.0%</w:t>
            </w:r>
          </w:p>
        </w:tc>
        <w:tc>
          <w:tcPr>
            <w:tcW w:w="200" w:type="dxa"/>
            <w:vAlign w:val="bottom"/>
            <w:tcBorders>
              <w:bottom w:val="single" w:sz="8" w:color="867F7C"/>
            </w:tcBorders>
          </w:tcPr>
          <w:p>
            <w:pPr>
              <w:spacing w:after="0"/>
              <w:rPr>
                <w:sz w:val="13"/>
                <w:szCs w:val="13"/>
                <w:color w:val="auto"/>
              </w:rPr>
            </w:pPr>
          </w:p>
        </w:tc>
      </w:tr>
      <w:tr>
        <w:trPr>
          <w:trHeight w:val="155"/>
        </w:trPr>
        <w:tc>
          <w:tcPr>
            <w:tcW w:w="50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auto"/>
              </w:rPr>
              <w:t>Combined Weighted Payout (% of Target)</w:t>
            </w:r>
          </w:p>
        </w:tc>
        <w:tc>
          <w:tcPr>
            <w:tcW w:w="1120" w:type="dxa"/>
            <w:vAlign w:val="bottom"/>
            <w:tcBorders>
              <w:bottom w:val="single" w:sz="8" w:color="867F7C"/>
            </w:tcBorders>
          </w:tcPr>
          <w:p>
            <w:pPr>
              <w:spacing w:after="0"/>
              <w:rPr>
                <w:sz w:val="13"/>
                <w:szCs w:val="13"/>
                <w:color w:val="auto"/>
              </w:rPr>
            </w:pPr>
          </w:p>
        </w:tc>
        <w:tc>
          <w:tcPr>
            <w:tcW w:w="26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spacing w:after="0"/>
              <w:rPr>
                <w:sz w:val="13"/>
                <w:szCs w:val="13"/>
                <w:color w:val="auto"/>
              </w:rPr>
            </w:pPr>
          </w:p>
        </w:tc>
        <w:tc>
          <w:tcPr>
            <w:tcW w:w="9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b w:val="1"/>
                <w:bCs w:val="1"/>
                <w:color w:val="auto"/>
              </w:rPr>
              <w:t>93.8%</w:t>
            </w:r>
          </w:p>
        </w:tc>
        <w:tc>
          <w:tcPr>
            <w:tcW w:w="200" w:type="dxa"/>
            <w:vAlign w:val="bottom"/>
            <w:tcBorders>
              <w:bottom w:val="single" w:sz="8" w:color="867F7C"/>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-565150</wp:posOffset>
            </wp:positionV>
            <wp:extent cx="1289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36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2" w:name="page43"/>
    <w:bookmarkEnd w:id="42"/>
    <w:p>
      <w:pPr>
        <w:ind w:left="6020"/>
        <w:spacing w:after="0"/>
        <w:rPr>
          <w:sz w:val="20"/>
          <w:szCs w:val="20"/>
          <w:color w:val="auto"/>
        </w:rPr>
      </w:pPr>
      <w:r>
        <w:rPr>
          <w:rFonts w:ascii="Arial" w:cs="Arial" w:eastAsia="Arial" w:hAnsi="Arial"/>
          <w:sz w:val="17"/>
          <w:szCs w:val="17"/>
          <w:color w:val="867F7C"/>
        </w:rPr>
        <w:t>compensation discussion and analysis</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4CCEDE"/>
        </w:rPr>
        <w:t>fiscal year 2025 annual incentive payout</w:t>
      </w:r>
    </w:p>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Based on the performance outlined above, the Compensation Committee approved the following annual incentive payouts for the NEOs: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shd w:val="clear" w:color="auto" w:fill="EFEBE9"/>
          </w:tcPr>
          <w:p>
            <w:pPr>
              <w:spacing w:after="0"/>
              <w:rPr>
                <w:sz w:val="14"/>
                <w:szCs w:val="14"/>
                <w:color w:val="auto"/>
              </w:rPr>
            </w:pPr>
          </w:p>
        </w:tc>
        <w:tc>
          <w:tcPr>
            <w:tcW w:w="80" w:type="dxa"/>
            <w:vAlign w:val="bottom"/>
            <w:shd w:val="clear" w:color="auto" w:fill="EFEBE9"/>
          </w:tcPr>
          <w:p>
            <w:pPr>
              <w:spacing w:after="0"/>
              <w:rPr>
                <w:sz w:val="14"/>
                <w:szCs w:val="14"/>
                <w:color w:val="auto"/>
              </w:rPr>
            </w:pPr>
          </w:p>
        </w:tc>
        <w:tc>
          <w:tcPr>
            <w:tcW w:w="1320" w:type="dxa"/>
            <w:vAlign w:val="bottom"/>
            <w:shd w:val="clear" w:color="auto" w:fill="EFEBE9"/>
          </w:tcPr>
          <w:p>
            <w:pPr>
              <w:spacing w:after="0"/>
              <w:rPr>
                <w:sz w:val="14"/>
                <w:szCs w:val="14"/>
                <w:color w:val="auto"/>
              </w:rPr>
            </w:pPr>
          </w:p>
        </w:tc>
        <w:tc>
          <w:tcPr>
            <w:tcW w:w="10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Annual</w:t>
            </w:r>
          </w:p>
        </w:tc>
        <w:tc>
          <w:tcPr>
            <w:tcW w:w="1220" w:type="dxa"/>
            <w:vAlign w:val="bottom"/>
            <w:shd w:val="clear" w:color="auto" w:fill="EFEBE9"/>
          </w:tcPr>
          <w:p>
            <w:pPr>
              <w:spacing w:after="0"/>
              <w:rPr>
                <w:sz w:val="14"/>
                <w:szCs w:val="14"/>
                <w:color w:val="auto"/>
              </w:rPr>
            </w:pPr>
          </w:p>
        </w:tc>
        <w:tc>
          <w:tcPr>
            <w:tcW w:w="1340" w:type="dxa"/>
            <w:vAlign w:val="bottom"/>
            <w:shd w:val="clear" w:color="auto" w:fill="EFEBE9"/>
          </w:tcPr>
          <w:p>
            <w:pPr>
              <w:spacing w:after="0"/>
              <w:rPr>
                <w:sz w:val="14"/>
                <w:szCs w:val="14"/>
                <w:color w:val="auto"/>
              </w:rPr>
            </w:pPr>
          </w:p>
        </w:tc>
      </w:tr>
      <w:tr>
        <w:trPr>
          <w:trHeight w:val="162"/>
        </w:trPr>
        <w:tc>
          <w:tcPr>
            <w:tcW w:w="4120" w:type="dxa"/>
            <w:vAlign w:val="bottom"/>
            <w:shd w:val="clear" w:color="auto" w:fill="EFEBE9"/>
          </w:tcPr>
          <w:p>
            <w:pPr>
              <w:spacing w:after="0"/>
              <w:rPr>
                <w:sz w:val="14"/>
                <w:szCs w:val="14"/>
                <w:color w:val="auto"/>
              </w:rPr>
            </w:pPr>
          </w:p>
        </w:tc>
        <w:tc>
          <w:tcPr>
            <w:tcW w:w="80" w:type="dxa"/>
            <w:vAlign w:val="bottom"/>
            <w:shd w:val="clear" w:color="auto" w:fill="EFEBE9"/>
          </w:tcPr>
          <w:p>
            <w:pPr>
              <w:spacing w:after="0"/>
              <w:rPr>
                <w:sz w:val="14"/>
                <w:szCs w:val="14"/>
                <w:color w:val="auto"/>
              </w:rPr>
            </w:pPr>
          </w:p>
        </w:tc>
        <w:tc>
          <w:tcPr>
            <w:tcW w:w="1320" w:type="dxa"/>
            <w:vAlign w:val="bottom"/>
            <w:shd w:val="clear" w:color="auto" w:fill="EFEBE9"/>
          </w:tcPr>
          <w:p>
            <w:pPr>
              <w:spacing w:after="0"/>
              <w:rPr>
                <w:sz w:val="14"/>
                <w:szCs w:val="14"/>
                <w:color w:val="auto"/>
              </w:rPr>
            </w:pPr>
          </w:p>
        </w:tc>
        <w:tc>
          <w:tcPr>
            <w:tcW w:w="10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Incentive</w:t>
            </w:r>
          </w:p>
        </w:tc>
        <w:tc>
          <w:tcPr>
            <w:tcW w:w="1220" w:type="dxa"/>
            <w:vAlign w:val="bottom"/>
            <w:shd w:val="clear" w:color="auto" w:fill="EFEBE9"/>
          </w:tcPr>
          <w:p>
            <w:pPr>
              <w:spacing w:after="0"/>
              <w:rPr>
                <w:sz w:val="14"/>
                <w:szCs w:val="14"/>
                <w:color w:val="auto"/>
              </w:rPr>
            </w:pPr>
          </w:p>
        </w:tc>
        <w:tc>
          <w:tcPr>
            <w:tcW w:w="1340" w:type="dxa"/>
            <w:vAlign w:val="bottom"/>
            <w:shd w:val="clear" w:color="auto" w:fill="EFEBE9"/>
          </w:tcPr>
          <w:p>
            <w:pPr>
              <w:spacing w:after="0"/>
              <w:rPr>
                <w:sz w:val="14"/>
                <w:szCs w:val="14"/>
                <w:color w:val="auto"/>
              </w:rPr>
            </w:pPr>
          </w:p>
        </w:tc>
      </w:tr>
      <w:tr>
        <w:trPr>
          <w:trHeight w:val="162"/>
        </w:trPr>
        <w:tc>
          <w:tcPr>
            <w:tcW w:w="4120" w:type="dxa"/>
            <w:vAlign w:val="bottom"/>
            <w:shd w:val="clear" w:color="auto" w:fill="EFEBE9"/>
          </w:tcPr>
          <w:p>
            <w:pPr>
              <w:spacing w:after="0"/>
              <w:rPr>
                <w:sz w:val="14"/>
                <w:szCs w:val="14"/>
                <w:color w:val="auto"/>
              </w:rPr>
            </w:pPr>
          </w:p>
        </w:tc>
        <w:tc>
          <w:tcPr>
            <w:tcW w:w="80" w:type="dxa"/>
            <w:vAlign w:val="bottom"/>
            <w:shd w:val="clear" w:color="auto" w:fill="EFEBE9"/>
          </w:tcPr>
          <w:p>
            <w:pPr>
              <w:spacing w:after="0"/>
              <w:rPr>
                <w:sz w:val="14"/>
                <w:szCs w:val="14"/>
                <w:color w:val="auto"/>
              </w:rPr>
            </w:pPr>
          </w:p>
        </w:tc>
        <w:tc>
          <w:tcPr>
            <w:tcW w:w="1320" w:type="dxa"/>
            <w:vAlign w:val="bottom"/>
            <w:shd w:val="clear" w:color="auto" w:fill="EFEBE9"/>
          </w:tcPr>
          <w:p>
            <w:pPr>
              <w:spacing w:after="0"/>
              <w:rPr>
                <w:sz w:val="14"/>
                <w:szCs w:val="14"/>
                <w:color w:val="auto"/>
              </w:rPr>
            </w:pPr>
          </w:p>
        </w:tc>
        <w:tc>
          <w:tcPr>
            <w:tcW w:w="10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Target</w:t>
            </w:r>
          </w:p>
        </w:tc>
        <w:tc>
          <w:tcPr>
            <w:tcW w:w="1220" w:type="dxa"/>
            <w:vAlign w:val="bottom"/>
            <w:shd w:val="clear" w:color="auto" w:fill="EFEBE9"/>
          </w:tcPr>
          <w:p>
            <w:pPr>
              <w:jc w:val="center"/>
              <w:ind w:left="8"/>
              <w:spacing w:after="0"/>
              <w:rPr>
                <w:sz w:val="20"/>
                <w:szCs w:val="20"/>
                <w:color w:val="auto"/>
              </w:rPr>
            </w:pPr>
            <w:r>
              <w:rPr>
                <w:rFonts w:ascii="Arial" w:cs="Arial" w:eastAsia="Arial" w:hAnsi="Arial"/>
                <w:sz w:val="14"/>
                <w:szCs w:val="14"/>
                <w:b w:val="1"/>
                <w:bCs w:val="1"/>
                <w:color w:val="867F7C"/>
              </w:rPr>
              <w:t>EH&amp;S Modifier</w:t>
            </w:r>
          </w:p>
        </w:tc>
        <w:tc>
          <w:tcPr>
            <w:tcW w:w="1340" w:type="dxa"/>
            <w:vAlign w:val="bottom"/>
            <w:shd w:val="clear" w:color="auto" w:fill="EFEBE9"/>
          </w:tcPr>
          <w:p>
            <w:pPr>
              <w:spacing w:after="0"/>
              <w:rPr>
                <w:sz w:val="14"/>
                <w:szCs w:val="14"/>
                <w:color w:val="auto"/>
              </w:rPr>
            </w:pPr>
          </w:p>
        </w:tc>
      </w:tr>
      <w:tr>
        <w:trPr>
          <w:trHeight w:val="162"/>
        </w:trPr>
        <w:tc>
          <w:tcPr>
            <w:tcW w:w="4120" w:type="dxa"/>
            <w:vAlign w:val="bottom"/>
            <w:shd w:val="clear" w:color="auto" w:fill="EFEBE9"/>
          </w:tcPr>
          <w:p>
            <w:pPr>
              <w:spacing w:after="0"/>
              <w:rPr>
                <w:sz w:val="14"/>
                <w:szCs w:val="14"/>
                <w:color w:val="auto"/>
              </w:rPr>
            </w:pPr>
          </w:p>
        </w:tc>
        <w:tc>
          <w:tcPr>
            <w:tcW w:w="80" w:type="dxa"/>
            <w:vAlign w:val="bottom"/>
            <w:shd w:val="clear" w:color="auto" w:fill="EFEBE9"/>
          </w:tcPr>
          <w:p>
            <w:pPr>
              <w:spacing w:after="0"/>
              <w:rPr>
                <w:sz w:val="14"/>
                <w:szCs w:val="14"/>
                <w:color w:val="auto"/>
              </w:rPr>
            </w:pPr>
          </w:p>
        </w:tc>
        <w:tc>
          <w:tcPr>
            <w:tcW w:w="1320" w:type="dxa"/>
            <w:vAlign w:val="bottom"/>
            <w:shd w:val="clear" w:color="auto" w:fill="EFEBE9"/>
          </w:tcPr>
          <w:p>
            <w:pPr>
              <w:jc w:val="right"/>
              <w:ind w:right="88"/>
              <w:spacing w:after="0"/>
              <w:rPr>
                <w:sz w:val="20"/>
                <w:szCs w:val="20"/>
                <w:color w:val="auto"/>
              </w:rPr>
            </w:pPr>
            <w:r>
              <w:rPr>
                <w:rFonts w:ascii="Arial" w:cs="Arial" w:eastAsia="Arial" w:hAnsi="Arial"/>
                <w:sz w:val="14"/>
                <w:szCs w:val="14"/>
                <w:b w:val="1"/>
                <w:bCs w:val="1"/>
                <w:color w:val="867F7C"/>
              </w:rPr>
              <w:t>Annual Incentive</w:t>
            </w:r>
          </w:p>
        </w:tc>
        <w:tc>
          <w:tcPr>
            <w:tcW w:w="10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Earned</w:t>
            </w:r>
          </w:p>
        </w:tc>
        <w:tc>
          <w:tcPr>
            <w:tcW w:w="1220" w:type="dxa"/>
            <w:vAlign w:val="bottom"/>
            <w:shd w:val="clear" w:color="auto" w:fill="EFEBE9"/>
          </w:tcPr>
          <w:p>
            <w:pPr>
              <w:jc w:val="center"/>
              <w:ind w:left="8"/>
              <w:spacing w:after="0"/>
              <w:rPr>
                <w:sz w:val="20"/>
                <w:szCs w:val="20"/>
                <w:color w:val="auto"/>
              </w:rPr>
            </w:pPr>
            <w:r>
              <w:rPr>
                <w:rFonts w:ascii="Arial" w:cs="Arial" w:eastAsia="Arial" w:hAnsi="Arial"/>
                <w:sz w:val="14"/>
                <w:szCs w:val="14"/>
                <w:b w:val="1"/>
                <w:bCs w:val="1"/>
                <w:color w:val="867F7C"/>
              </w:rPr>
              <w:t>Earned</w:t>
            </w:r>
          </w:p>
        </w:tc>
        <w:tc>
          <w:tcPr>
            <w:tcW w:w="1340" w:type="dxa"/>
            <w:vAlign w:val="bottom"/>
            <w:shd w:val="clear" w:color="auto" w:fill="EFEBE9"/>
          </w:tcPr>
          <w:p>
            <w:pPr>
              <w:jc w:val="right"/>
              <w:ind w:right="48"/>
              <w:spacing w:after="0"/>
              <w:rPr>
                <w:sz w:val="20"/>
                <w:szCs w:val="20"/>
                <w:color w:val="auto"/>
              </w:rPr>
            </w:pPr>
            <w:r>
              <w:rPr>
                <w:rFonts w:ascii="Arial" w:cs="Arial" w:eastAsia="Arial" w:hAnsi="Arial"/>
                <w:sz w:val="14"/>
                <w:szCs w:val="14"/>
                <w:b w:val="1"/>
                <w:bCs w:val="1"/>
                <w:color w:val="867F7C"/>
              </w:rPr>
              <w:t>Annual Incentive</w:t>
            </w:r>
          </w:p>
        </w:tc>
      </w:tr>
      <w:tr>
        <w:trPr>
          <w:trHeight w:val="192"/>
        </w:trPr>
        <w:tc>
          <w:tcPr>
            <w:tcW w:w="412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NEO</w:t>
            </w:r>
          </w:p>
        </w:tc>
        <w:tc>
          <w:tcPr>
            <w:tcW w:w="80" w:type="dxa"/>
            <w:vAlign w:val="bottom"/>
            <w:tcBorders>
              <w:bottom w:val="single" w:sz="8" w:color="EFEBE9"/>
            </w:tcBorders>
            <w:shd w:val="clear" w:color="auto" w:fill="EFEBE9"/>
          </w:tcPr>
          <w:p>
            <w:pPr>
              <w:spacing w:after="0"/>
              <w:rPr>
                <w:sz w:val="16"/>
                <w:szCs w:val="16"/>
                <w:color w:val="auto"/>
              </w:rPr>
            </w:pPr>
          </w:p>
        </w:tc>
        <w:tc>
          <w:tcPr>
            <w:tcW w:w="1320" w:type="dxa"/>
            <w:vAlign w:val="bottom"/>
            <w:tcBorders>
              <w:bottom w:val="single" w:sz="8" w:color="EFEBE9"/>
            </w:tcBorders>
            <w:shd w:val="clear" w:color="auto" w:fill="EFEBE9"/>
          </w:tcPr>
          <w:p>
            <w:pPr>
              <w:jc w:val="right"/>
              <w:ind w:right="308"/>
              <w:spacing w:after="0"/>
              <w:rPr>
                <w:sz w:val="20"/>
                <w:szCs w:val="20"/>
                <w:color w:val="auto"/>
              </w:rPr>
            </w:pPr>
            <w:r>
              <w:rPr>
                <w:rFonts w:ascii="Arial" w:cs="Arial" w:eastAsia="Arial" w:hAnsi="Arial"/>
                <w:sz w:val="14"/>
                <w:szCs w:val="14"/>
                <w:b w:val="1"/>
                <w:bCs w:val="1"/>
                <w:color w:val="867F7C"/>
              </w:rPr>
              <w:t>Target ($)</w:t>
            </w:r>
          </w:p>
        </w:tc>
        <w:tc>
          <w:tcPr>
            <w:tcW w:w="100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w:t>
            </w:r>
          </w:p>
        </w:tc>
        <w:tc>
          <w:tcPr>
            <w:tcW w:w="1220" w:type="dxa"/>
            <w:vAlign w:val="bottom"/>
            <w:tcBorders>
              <w:bottom w:val="single" w:sz="8" w:color="EFEBE9"/>
            </w:tcBorders>
            <w:shd w:val="clear" w:color="auto" w:fill="EFEBE9"/>
          </w:tcPr>
          <w:p>
            <w:pPr>
              <w:jc w:val="center"/>
              <w:ind w:left="8"/>
              <w:spacing w:after="0"/>
              <w:rPr>
                <w:sz w:val="20"/>
                <w:szCs w:val="20"/>
                <w:color w:val="auto"/>
              </w:rPr>
            </w:pPr>
            <w:r>
              <w:rPr>
                <w:rFonts w:ascii="Arial" w:cs="Arial" w:eastAsia="Arial" w:hAnsi="Arial"/>
                <w:sz w:val="14"/>
                <w:szCs w:val="14"/>
                <w:b w:val="1"/>
                <w:bCs w:val="1"/>
                <w:color w:val="867F7C"/>
              </w:rPr>
              <w:t>(%)</w:t>
            </w:r>
          </w:p>
        </w:tc>
        <w:tc>
          <w:tcPr>
            <w:tcW w:w="1340" w:type="dxa"/>
            <w:vAlign w:val="bottom"/>
            <w:tcBorders>
              <w:bottom w:val="single" w:sz="8" w:color="EFEBE9"/>
            </w:tcBorders>
            <w:shd w:val="clear" w:color="auto" w:fill="EFEBE9"/>
          </w:tcPr>
          <w:p>
            <w:pPr>
              <w:jc w:val="right"/>
              <w:ind w:right="8"/>
              <w:spacing w:after="0"/>
              <w:rPr>
                <w:sz w:val="20"/>
                <w:szCs w:val="20"/>
                <w:color w:val="auto"/>
              </w:rPr>
            </w:pPr>
            <w:r>
              <w:rPr>
                <w:rFonts w:ascii="Arial" w:cs="Arial" w:eastAsia="Arial" w:hAnsi="Arial"/>
                <w:sz w:val="14"/>
                <w:szCs w:val="14"/>
                <w:b w:val="1"/>
                <w:bCs w:val="1"/>
                <w:color w:val="867F7C"/>
              </w:rPr>
              <w:t>Actual Payout ($)</w:t>
            </w:r>
          </w:p>
        </w:tc>
      </w:tr>
      <w:tr>
        <w:trPr>
          <w:trHeight w:val="162"/>
        </w:trPr>
        <w:tc>
          <w:tcPr>
            <w:tcW w:w="41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80" w:type="dxa"/>
            <w:vAlign w:val="bottom"/>
          </w:tcPr>
          <w:p>
            <w:pPr>
              <w:spacing w:after="0"/>
              <w:rPr>
                <w:sz w:val="14"/>
                <w:szCs w:val="14"/>
                <w:color w:val="auto"/>
              </w:rPr>
            </w:pPr>
          </w:p>
        </w:tc>
        <w:tc>
          <w:tcPr>
            <w:tcW w:w="1320" w:type="dxa"/>
            <w:vAlign w:val="bottom"/>
            <w:tcBorders>
              <w:bottom w:val="single" w:sz="8" w:color="867F7C"/>
            </w:tcBorders>
          </w:tcPr>
          <w:p>
            <w:pPr>
              <w:jc w:val="right"/>
              <w:ind w:right="308"/>
              <w:spacing w:after="0"/>
              <w:rPr>
                <w:sz w:val="20"/>
                <w:szCs w:val="20"/>
                <w:color w:val="auto"/>
              </w:rPr>
            </w:pPr>
            <w:r>
              <w:rPr>
                <w:rFonts w:ascii="Arial" w:cs="Arial" w:eastAsia="Arial" w:hAnsi="Arial"/>
                <w:sz w:val="14"/>
                <w:szCs w:val="14"/>
                <w:color w:val="auto"/>
              </w:rPr>
              <w:t>1,452,950</w:t>
            </w:r>
          </w:p>
        </w:tc>
        <w:tc>
          <w:tcPr>
            <w:tcW w:w="10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87.9%</w:t>
            </w:r>
          </w:p>
        </w:tc>
        <w:tc>
          <w:tcPr>
            <w:tcW w:w="1220" w:type="dxa"/>
            <w:vAlign w:val="bottom"/>
            <w:tcBorders>
              <w:bottom w:val="single" w:sz="8" w:color="867F7C"/>
            </w:tcBorders>
          </w:tcPr>
          <w:p>
            <w:pPr>
              <w:jc w:val="right"/>
              <w:ind w:right="108"/>
              <w:spacing w:after="0"/>
              <w:rPr>
                <w:sz w:val="20"/>
                <w:szCs w:val="20"/>
                <w:color w:val="auto"/>
              </w:rPr>
            </w:pPr>
            <w:r>
              <w:rPr>
                <w:rFonts w:ascii="Arial" w:cs="Arial" w:eastAsia="Arial" w:hAnsi="Arial"/>
                <w:sz w:val="14"/>
                <w:szCs w:val="14"/>
                <w:color w:val="auto"/>
              </w:rPr>
              <w:t>2.5%</w:t>
            </w:r>
          </w:p>
        </w:tc>
        <w:tc>
          <w:tcPr>
            <w:tcW w:w="13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1,313,830</w:t>
            </w:r>
          </w:p>
        </w:tc>
      </w:tr>
      <w:tr>
        <w:trPr>
          <w:trHeight w:val="208"/>
        </w:trPr>
        <w:tc>
          <w:tcPr>
            <w:tcW w:w="41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William Whitaker</w:t>
            </w:r>
          </w:p>
        </w:tc>
        <w:tc>
          <w:tcPr>
            <w:tcW w:w="1400" w:type="dxa"/>
            <w:vAlign w:val="bottom"/>
            <w:tcBorders>
              <w:bottom w:val="single" w:sz="8" w:color="867F7C"/>
            </w:tcBorders>
            <w:gridSpan w:val="2"/>
          </w:tcPr>
          <w:p>
            <w:pPr>
              <w:jc w:val="right"/>
              <w:ind w:right="308"/>
              <w:spacing w:after="0"/>
              <w:rPr>
                <w:sz w:val="20"/>
                <w:szCs w:val="20"/>
                <w:color w:val="auto"/>
              </w:rPr>
            </w:pPr>
            <w:r>
              <w:rPr>
                <w:rFonts w:ascii="Arial" w:cs="Arial" w:eastAsia="Arial" w:hAnsi="Arial"/>
                <w:sz w:val="14"/>
                <w:szCs w:val="14"/>
                <w:color w:val="auto"/>
              </w:rPr>
              <w:t>269,490</w:t>
            </w:r>
          </w:p>
        </w:tc>
        <w:tc>
          <w:tcPr>
            <w:tcW w:w="100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87.9%</w:t>
            </w:r>
          </w:p>
        </w:tc>
        <w:tc>
          <w:tcPr>
            <w:tcW w:w="1220" w:type="dxa"/>
            <w:vAlign w:val="bottom"/>
            <w:tcBorders>
              <w:bottom w:val="single" w:sz="8" w:color="867F7C"/>
            </w:tcBorders>
          </w:tcPr>
          <w:p>
            <w:pPr>
              <w:jc w:val="right"/>
              <w:ind w:right="108"/>
              <w:spacing w:after="0"/>
              <w:rPr>
                <w:sz w:val="20"/>
                <w:szCs w:val="20"/>
                <w:color w:val="auto"/>
              </w:rPr>
            </w:pPr>
            <w:r>
              <w:rPr>
                <w:rFonts w:ascii="Arial" w:cs="Arial" w:eastAsia="Arial" w:hAnsi="Arial"/>
                <w:sz w:val="14"/>
                <w:szCs w:val="14"/>
                <w:color w:val="auto"/>
              </w:rPr>
              <w:t>2.5%</w:t>
            </w:r>
          </w:p>
        </w:tc>
        <w:tc>
          <w:tcPr>
            <w:tcW w:w="134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243,686</w:t>
            </w:r>
          </w:p>
        </w:tc>
      </w:tr>
      <w:tr>
        <w:trPr>
          <w:trHeight w:val="157"/>
        </w:trPr>
        <w:tc>
          <w:tcPr>
            <w:tcW w:w="4120" w:type="dxa"/>
            <w:vAlign w:val="bottom"/>
            <w:tcBorders>
              <w:bottom w:val="single" w:sz="8" w:color="867F7C"/>
            </w:tcBorders>
          </w:tcPr>
          <w:p>
            <w:pPr>
              <w:ind w:left="100"/>
              <w:spacing w:after="0" w:line="157" w:lineRule="exact"/>
              <w:rPr>
                <w:sz w:val="20"/>
                <w:szCs w:val="20"/>
                <w:color w:val="auto"/>
              </w:rPr>
            </w:pPr>
            <w:r>
              <w:rPr>
                <w:rFonts w:ascii="Arial" w:cs="Arial" w:eastAsia="Arial" w:hAnsi="Arial"/>
                <w:sz w:val="14"/>
                <w:szCs w:val="14"/>
                <w:b w:val="1"/>
                <w:bCs w:val="1"/>
                <w:color w:val="4CCEDE"/>
              </w:rPr>
              <w:t>Alessandra Faccin Assis</w:t>
            </w:r>
          </w:p>
        </w:tc>
        <w:tc>
          <w:tcPr>
            <w:tcW w:w="1400" w:type="dxa"/>
            <w:vAlign w:val="bottom"/>
            <w:tcBorders>
              <w:bottom w:val="single" w:sz="8" w:color="867F7C"/>
            </w:tcBorders>
            <w:gridSpan w:val="2"/>
          </w:tcPr>
          <w:p>
            <w:pPr>
              <w:jc w:val="right"/>
              <w:ind w:right="308"/>
              <w:spacing w:after="0" w:line="157" w:lineRule="exact"/>
              <w:rPr>
                <w:sz w:val="20"/>
                <w:szCs w:val="20"/>
                <w:color w:val="auto"/>
              </w:rPr>
            </w:pPr>
            <w:r>
              <w:rPr>
                <w:rFonts w:ascii="Arial" w:cs="Arial" w:eastAsia="Arial" w:hAnsi="Arial"/>
                <w:sz w:val="14"/>
                <w:szCs w:val="14"/>
                <w:color w:val="auto"/>
              </w:rPr>
              <w:t>328,055</w:t>
            </w:r>
          </w:p>
        </w:tc>
        <w:tc>
          <w:tcPr>
            <w:tcW w:w="1000" w:type="dxa"/>
            <w:vAlign w:val="bottom"/>
            <w:tcBorders>
              <w:bottom w:val="single" w:sz="8" w:color="867F7C"/>
            </w:tcBorders>
          </w:tcPr>
          <w:p>
            <w:pPr>
              <w:jc w:val="right"/>
              <w:ind w:right="68"/>
              <w:spacing w:after="0" w:line="157" w:lineRule="exact"/>
              <w:rPr>
                <w:sz w:val="20"/>
                <w:szCs w:val="20"/>
                <w:color w:val="auto"/>
              </w:rPr>
            </w:pPr>
            <w:r>
              <w:rPr>
                <w:rFonts w:ascii="Arial" w:cs="Arial" w:eastAsia="Arial" w:hAnsi="Arial"/>
                <w:sz w:val="14"/>
                <w:szCs w:val="14"/>
                <w:color w:val="auto"/>
              </w:rPr>
              <w:t>82.2%</w:t>
            </w:r>
          </w:p>
        </w:tc>
        <w:tc>
          <w:tcPr>
            <w:tcW w:w="1220" w:type="dxa"/>
            <w:vAlign w:val="bottom"/>
            <w:tcBorders>
              <w:bottom w:val="single" w:sz="8" w:color="867F7C"/>
            </w:tcBorders>
          </w:tcPr>
          <w:p>
            <w:pPr>
              <w:jc w:val="right"/>
              <w:ind w:right="108"/>
              <w:spacing w:after="0" w:line="157" w:lineRule="exact"/>
              <w:rPr>
                <w:sz w:val="20"/>
                <w:szCs w:val="20"/>
                <w:color w:val="auto"/>
              </w:rPr>
            </w:pPr>
            <w:r>
              <w:rPr>
                <w:rFonts w:ascii="Arial" w:cs="Arial" w:eastAsia="Arial" w:hAnsi="Arial"/>
                <w:sz w:val="14"/>
                <w:szCs w:val="14"/>
                <w:color w:val="auto"/>
              </w:rPr>
              <w:t>5.0%</w:t>
            </w:r>
          </w:p>
        </w:tc>
        <w:tc>
          <w:tcPr>
            <w:tcW w:w="1340" w:type="dxa"/>
            <w:vAlign w:val="bottom"/>
            <w:tcBorders>
              <w:bottom w:val="single" w:sz="8" w:color="867F7C"/>
            </w:tcBorders>
          </w:tcPr>
          <w:p>
            <w:pPr>
              <w:jc w:val="right"/>
              <w:ind w:right="208"/>
              <w:spacing w:after="0" w:line="157" w:lineRule="exact"/>
              <w:rPr>
                <w:sz w:val="20"/>
                <w:szCs w:val="20"/>
                <w:color w:val="auto"/>
              </w:rPr>
            </w:pPr>
            <w:r>
              <w:rPr>
                <w:rFonts w:ascii="Arial" w:cs="Arial" w:eastAsia="Arial" w:hAnsi="Arial"/>
                <w:sz w:val="14"/>
                <w:szCs w:val="14"/>
                <w:color w:val="auto"/>
              </w:rPr>
              <w:t>286,146</w:t>
            </w:r>
          </w:p>
        </w:tc>
      </w:tr>
      <w:tr>
        <w:trPr>
          <w:trHeight w:val="156"/>
        </w:trPr>
        <w:tc>
          <w:tcPr>
            <w:tcW w:w="41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Osama M. Musa</w:t>
            </w:r>
          </w:p>
        </w:tc>
        <w:tc>
          <w:tcPr>
            <w:tcW w:w="1400" w:type="dxa"/>
            <w:vAlign w:val="bottom"/>
            <w:tcBorders>
              <w:bottom w:val="single" w:sz="8" w:color="867F7C"/>
            </w:tcBorders>
            <w:gridSpan w:val="2"/>
          </w:tcPr>
          <w:p>
            <w:pPr>
              <w:jc w:val="right"/>
              <w:ind w:right="308"/>
              <w:spacing w:after="0" w:line="155" w:lineRule="exact"/>
              <w:rPr>
                <w:sz w:val="20"/>
                <w:szCs w:val="20"/>
                <w:color w:val="auto"/>
              </w:rPr>
            </w:pPr>
            <w:r>
              <w:rPr>
                <w:rFonts w:ascii="Arial" w:cs="Arial" w:eastAsia="Arial" w:hAnsi="Arial"/>
                <w:sz w:val="14"/>
                <w:szCs w:val="14"/>
                <w:color w:val="auto"/>
              </w:rPr>
              <w:t>393,533</w:t>
            </w:r>
          </w:p>
        </w:tc>
        <w:tc>
          <w:tcPr>
            <w:tcW w:w="100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87.9%</w:t>
            </w:r>
          </w:p>
        </w:tc>
        <w:tc>
          <w:tcPr>
            <w:tcW w:w="12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2.5%</w:t>
            </w:r>
          </w:p>
        </w:tc>
        <w:tc>
          <w:tcPr>
            <w:tcW w:w="13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355,852</w:t>
            </w:r>
          </w:p>
        </w:tc>
      </w:tr>
      <w:tr>
        <w:trPr>
          <w:trHeight w:val="155"/>
        </w:trPr>
        <w:tc>
          <w:tcPr>
            <w:tcW w:w="41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James Minicucci</w:t>
            </w:r>
          </w:p>
        </w:tc>
        <w:tc>
          <w:tcPr>
            <w:tcW w:w="1400" w:type="dxa"/>
            <w:vAlign w:val="bottom"/>
            <w:tcBorders>
              <w:bottom w:val="single" w:sz="8" w:color="867F7C"/>
            </w:tcBorders>
            <w:gridSpan w:val="2"/>
          </w:tcPr>
          <w:p>
            <w:pPr>
              <w:jc w:val="right"/>
              <w:ind w:right="308"/>
              <w:spacing w:after="0" w:line="155" w:lineRule="exact"/>
              <w:rPr>
                <w:sz w:val="20"/>
                <w:szCs w:val="20"/>
                <w:color w:val="auto"/>
              </w:rPr>
            </w:pPr>
            <w:r>
              <w:rPr>
                <w:rFonts w:ascii="Arial" w:cs="Arial" w:eastAsia="Arial" w:hAnsi="Arial"/>
                <w:sz w:val="14"/>
                <w:szCs w:val="14"/>
                <w:color w:val="auto"/>
              </w:rPr>
              <w:t>299,936</w:t>
            </w:r>
          </w:p>
        </w:tc>
        <w:tc>
          <w:tcPr>
            <w:tcW w:w="100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93.8%</w:t>
            </w:r>
          </w:p>
        </w:tc>
        <w:tc>
          <w:tcPr>
            <w:tcW w:w="12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10.0%</w:t>
            </w:r>
          </w:p>
        </w:tc>
        <w:tc>
          <w:tcPr>
            <w:tcW w:w="13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311,409</w:t>
            </w:r>
          </w:p>
        </w:tc>
      </w:tr>
      <w:tr>
        <w:trPr>
          <w:trHeight w:val="156"/>
        </w:trPr>
        <w:tc>
          <w:tcPr>
            <w:tcW w:w="412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b w:val="1"/>
                <w:bCs w:val="1"/>
                <w:color w:val="4CCEDE"/>
              </w:rPr>
              <w:t xml:space="preserve">Karl Bostaph </w:t>
            </w:r>
            <w:r>
              <w:rPr>
                <w:rFonts w:ascii="Arial" w:cs="Arial" w:eastAsia="Arial" w:hAnsi="Arial"/>
                <w:sz w:val="18"/>
                <w:szCs w:val="18"/>
                <w:b w:val="1"/>
                <w:bCs w:val="1"/>
                <w:color w:val="4CCEDE"/>
                <w:vertAlign w:val="superscript"/>
              </w:rPr>
              <w:t>(1)</w:t>
            </w:r>
          </w:p>
        </w:tc>
        <w:tc>
          <w:tcPr>
            <w:tcW w:w="1400" w:type="dxa"/>
            <w:vAlign w:val="bottom"/>
            <w:tcBorders>
              <w:bottom w:val="single" w:sz="8" w:color="867F7C"/>
            </w:tcBorders>
            <w:gridSpan w:val="2"/>
          </w:tcPr>
          <w:p>
            <w:pPr>
              <w:jc w:val="right"/>
              <w:ind w:right="308"/>
              <w:spacing w:after="0" w:line="155" w:lineRule="exact"/>
              <w:rPr>
                <w:sz w:val="20"/>
                <w:szCs w:val="20"/>
                <w:color w:val="auto"/>
              </w:rPr>
            </w:pPr>
            <w:r>
              <w:rPr>
                <w:rFonts w:ascii="Arial" w:cs="Arial" w:eastAsia="Arial" w:hAnsi="Arial"/>
                <w:sz w:val="14"/>
                <w:szCs w:val="14"/>
                <w:color w:val="auto"/>
              </w:rPr>
              <w:t>261,547</w:t>
            </w:r>
          </w:p>
        </w:tc>
        <w:tc>
          <w:tcPr>
            <w:tcW w:w="100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87.9%</w:t>
            </w:r>
          </w:p>
        </w:tc>
        <w:tc>
          <w:tcPr>
            <w:tcW w:w="12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2.5%</w:t>
            </w:r>
          </w:p>
        </w:tc>
        <w:tc>
          <w:tcPr>
            <w:tcW w:w="13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236,504</w:t>
            </w:r>
          </w:p>
        </w:tc>
      </w:tr>
      <w:tr>
        <w:trPr>
          <w:trHeight w:val="156"/>
        </w:trPr>
        <w:tc>
          <w:tcPr>
            <w:tcW w:w="412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b w:val="1"/>
                <w:bCs w:val="1"/>
                <w:color w:val="4CCEDE"/>
              </w:rPr>
              <w:t xml:space="preserve">J. Kevin Willis </w:t>
            </w:r>
            <w:r>
              <w:rPr>
                <w:rFonts w:ascii="Arial" w:cs="Arial" w:eastAsia="Arial" w:hAnsi="Arial"/>
                <w:sz w:val="18"/>
                <w:szCs w:val="18"/>
                <w:b w:val="1"/>
                <w:bCs w:val="1"/>
                <w:color w:val="4CCEDE"/>
                <w:vertAlign w:val="superscript"/>
              </w:rPr>
              <w:t>(2)</w:t>
            </w:r>
          </w:p>
        </w:tc>
        <w:tc>
          <w:tcPr>
            <w:tcW w:w="1400" w:type="dxa"/>
            <w:vAlign w:val="bottom"/>
            <w:tcBorders>
              <w:bottom w:val="single" w:sz="8" w:color="867F7C"/>
            </w:tcBorders>
            <w:gridSpan w:val="2"/>
          </w:tcPr>
          <w:p>
            <w:pPr>
              <w:jc w:val="right"/>
              <w:ind w:right="308"/>
              <w:spacing w:after="0" w:line="155" w:lineRule="exact"/>
              <w:rPr>
                <w:sz w:val="20"/>
                <w:szCs w:val="20"/>
                <w:color w:val="auto"/>
              </w:rPr>
            </w:pPr>
            <w:r>
              <w:rPr>
                <w:rFonts w:ascii="Arial" w:cs="Arial" w:eastAsia="Arial" w:hAnsi="Arial"/>
                <w:sz w:val="14"/>
                <w:szCs w:val="14"/>
                <w:color w:val="auto"/>
              </w:rPr>
              <w:t>567,243</w:t>
            </w:r>
          </w:p>
        </w:tc>
        <w:tc>
          <w:tcPr>
            <w:tcW w:w="100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0.0%</w:t>
            </w:r>
          </w:p>
        </w:tc>
        <w:tc>
          <w:tcPr>
            <w:tcW w:w="12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0.0%</w:t>
            </w:r>
          </w:p>
        </w:tc>
        <w:tc>
          <w:tcPr>
            <w:tcW w:w="13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Mr. Bostaph retired after the fiscal year was completed and will receive an annual bonus payment per the Plan.</w:t>
      </w:r>
    </w:p>
    <w:p>
      <w:pPr>
        <w:ind w:left="160" w:hanging="152"/>
        <w:spacing w:after="0" w:line="232" w:lineRule="auto"/>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Mr. Willis departed Ashland prior to the fiscal year close and is not entitled to an annual bonus per the Plan.</w:t>
      </w:r>
    </w:p>
    <w:p>
      <w:pPr>
        <w:spacing w:after="0" w:line="87"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fiscal year 2025 equity grants</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typically grant annual equity awards during the first quarter of each fiscal year. Neither the Board nor the Compensation Committee takes material non-public information into account when determining the timing or terms of equity awards and we do not time the disclosure of material non-public information for the purpose of affecting the value of executive compensation. During fiscal 2025, the Company did not grant awards of stock options to any NEO within four business days before the filing of a periodic report on Form 10-Q or Form 10-K, or the filing or furnishing of a Current Report on Form 8-K that discloses material non-public information, and ending one business day after the filing or furnishing of any such report.</w:t>
      </w: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Compensation Committee approved the annual grants shown in the table below during the first quarter of fiscal 2025 and for Mr. Whitaker, upon his appointment as Chief Financial Officer in July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shd w:val="clear" w:color="auto" w:fill="EFEBE9"/>
          </w:tcPr>
          <w:p>
            <w:pPr>
              <w:spacing w:after="0"/>
              <w:rPr>
                <w:sz w:val="14"/>
                <w:szCs w:val="14"/>
                <w:color w:val="auto"/>
              </w:rPr>
            </w:pPr>
          </w:p>
        </w:tc>
        <w:tc>
          <w:tcPr>
            <w:tcW w:w="1080" w:type="dxa"/>
            <w:vAlign w:val="bottom"/>
            <w:shd w:val="clear" w:color="auto" w:fill="EFEBE9"/>
          </w:tcPr>
          <w:p>
            <w:pPr>
              <w:jc w:val="center"/>
              <w:ind w:left="148"/>
              <w:spacing w:after="0"/>
              <w:rPr>
                <w:sz w:val="20"/>
                <w:szCs w:val="20"/>
                <w:color w:val="auto"/>
              </w:rPr>
            </w:pPr>
            <w:r>
              <w:rPr>
                <w:rFonts w:ascii="Arial" w:cs="Arial" w:eastAsia="Arial" w:hAnsi="Arial"/>
                <w:sz w:val="14"/>
                <w:szCs w:val="14"/>
                <w:b w:val="1"/>
                <w:bCs w:val="1"/>
                <w:color w:val="867F7C"/>
              </w:rPr>
              <w:t>Aggregate</w:t>
            </w:r>
          </w:p>
        </w:tc>
        <w:tc>
          <w:tcPr>
            <w:tcW w:w="460" w:type="dxa"/>
            <w:vAlign w:val="bottom"/>
            <w:shd w:val="clear" w:color="auto" w:fill="EFEBE9"/>
          </w:tcPr>
          <w:p>
            <w:pPr>
              <w:spacing w:after="0"/>
              <w:rPr>
                <w:sz w:val="14"/>
                <w:szCs w:val="14"/>
                <w:color w:val="auto"/>
              </w:rPr>
            </w:pPr>
          </w:p>
        </w:tc>
        <w:tc>
          <w:tcPr>
            <w:tcW w:w="980" w:type="dxa"/>
            <w:vAlign w:val="bottom"/>
            <w:shd w:val="clear" w:color="auto" w:fill="EFEBE9"/>
          </w:tcPr>
          <w:p>
            <w:pPr>
              <w:spacing w:after="0"/>
              <w:rPr>
                <w:sz w:val="14"/>
                <w:szCs w:val="14"/>
                <w:color w:val="auto"/>
              </w:rPr>
            </w:pPr>
          </w:p>
        </w:tc>
        <w:tc>
          <w:tcPr>
            <w:tcW w:w="1360" w:type="dxa"/>
            <w:vAlign w:val="bottom"/>
            <w:shd w:val="clear" w:color="auto" w:fill="EFEBE9"/>
          </w:tcPr>
          <w:p>
            <w:pPr>
              <w:spacing w:after="0"/>
              <w:rPr>
                <w:sz w:val="14"/>
                <w:szCs w:val="14"/>
                <w:color w:val="auto"/>
              </w:rPr>
            </w:pPr>
          </w:p>
        </w:tc>
        <w:tc>
          <w:tcPr>
            <w:tcW w:w="1000" w:type="dxa"/>
            <w:vAlign w:val="bottom"/>
            <w:shd w:val="clear" w:color="auto" w:fill="EFEBE9"/>
          </w:tcPr>
          <w:p>
            <w:pPr>
              <w:spacing w:after="0"/>
              <w:rPr>
                <w:sz w:val="14"/>
                <w:szCs w:val="14"/>
                <w:color w:val="auto"/>
              </w:rPr>
            </w:pPr>
          </w:p>
        </w:tc>
        <w:tc>
          <w:tcPr>
            <w:tcW w:w="1080" w:type="dxa"/>
            <w:vAlign w:val="bottom"/>
            <w:shd w:val="clear" w:color="auto" w:fill="EFEBE9"/>
          </w:tcPr>
          <w:p>
            <w:pPr>
              <w:spacing w:after="0"/>
              <w:rPr>
                <w:sz w:val="14"/>
                <w:szCs w:val="14"/>
                <w:color w:val="auto"/>
              </w:rPr>
            </w:pPr>
          </w:p>
        </w:tc>
        <w:tc>
          <w:tcPr>
            <w:tcW w:w="1080" w:type="dxa"/>
            <w:vAlign w:val="bottom"/>
            <w:shd w:val="clear" w:color="auto" w:fill="EFEBE9"/>
          </w:tcPr>
          <w:p>
            <w:pPr>
              <w:spacing w:after="0"/>
              <w:rPr>
                <w:sz w:val="14"/>
                <w:szCs w:val="14"/>
                <w:color w:val="auto"/>
              </w:rPr>
            </w:pPr>
          </w:p>
        </w:tc>
      </w:tr>
      <w:tr>
        <w:trPr>
          <w:trHeight w:val="162"/>
        </w:trPr>
        <w:tc>
          <w:tcPr>
            <w:tcW w:w="2040" w:type="dxa"/>
            <w:vAlign w:val="bottom"/>
            <w:shd w:val="clear" w:color="auto" w:fill="EFEBE9"/>
          </w:tcPr>
          <w:p>
            <w:pPr>
              <w:spacing w:after="0"/>
              <w:rPr>
                <w:sz w:val="14"/>
                <w:szCs w:val="14"/>
                <w:color w:val="auto"/>
              </w:rPr>
            </w:pPr>
          </w:p>
        </w:tc>
        <w:tc>
          <w:tcPr>
            <w:tcW w:w="1080" w:type="dxa"/>
            <w:vAlign w:val="bottom"/>
            <w:shd w:val="clear" w:color="auto" w:fill="EFEBE9"/>
          </w:tcPr>
          <w:p>
            <w:pPr>
              <w:jc w:val="center"/>
              <w:ind w:left="168"/>
              <w:spacing w:after="0"/>
              <w:rPr>
                <w:sz w:val="20"/>
                <w:szCs w:val="20"/>
                <w:color w:val="auto"/>
              </w:rPr>
            </w:pPr>
            <w:r>
              <w:rPr>
                <w:rFonts w:ascii="Arial" w:cs="Arial" w:eastAsia="Arial" w:hAnsi="Arial"/>
                <w:sz w:val="14"/>
                <w:szCs w:val="14"/>
                <w:b w:val="1"/>
                <w:bCs w:val="1"/>
                <w:color w:val="867F7C"/>
              </w:rPr>
              <w:t>Target</w:t>
            </w:r>
          </w:p>
        </w:tc>
        <w:tc>
          <w:tcPr>
            <w:tcW w:w="460" w:type="dxa"/>
            <w:vAlign w:val="bottom"/>
            <w:shd w:val="clear" w:color="auto" w:fill="EFEBE9"/>
          </w:tcPr>
          <w:p>
            <w:pPr>
              <w:spacing w:after="0"/>
              <w:rPr>
                <w:sz w:val="14"/>
                <w:szCs w:val="14"/>
                <w:color w:val="auto"/>
              </w:rPr>
            </w:pPr>
          </w:p>
        </w:tc>
        <w:tc>
          <w:tcPr>
            <w:tcW w:w="980" w:type="dxa"/>
            <w:vAlign w:val="bottom"/>
            <w:shd w:val="clear" w:color="auto" w:fill="EFEBE9"/>
          </w:tcPr>
          <w:p>
            <w:pPr>
              <w:jc w:val="right"/>
              <w:ind w:right="130"/>
              <w:spacing w:after="0"/>
              <w:rPr>
                <w:sz w:val="20"/>
                <w:szCs w:val="20"/>
                <w:color w:val="auto"/>
              </w:rPr>
            </w:pPr>
            <w:r>
              <w:rPr>
                <w:rFonts w:ascii="Arial" w:cs="Arial" w:eastAsia="Arial" w:hAnsi="Arial"/>
                <w:sz w:val="14"/>
                <w:szCs w:val="14"/>
                <w:b w:val="1"/>
                <w:bCs w:val="1"/>
                <w:color w:val="867F7C"/>
              </w:rPr>
              <w:t>Aggregate</w:t>
            </w:r>
          </w:p>
        </w:tc>
        <w:tc>
          <w:tcPr>
            <w:tcW w:w="1360" w:type="dxa"/>
            <w:vAlign w:val="bottom"/>
            <w:shd w:val="clear" w:color="auto" w:fill="EFEBE9"/>
          </w:tcPr>
          <w:p>
            <w:pPr>
              <w:jc w:val="center"/>
              <w:ind w:right="50"/>
              <w:spacing w:after="0"/>
              <w:rPr>
                <w:sz w:val="20"/>
                <w:szCs w:val="20"/>
                <w:color w:val="auto"/>
              </w:rPr>
            </w:pPr>
            <w:r>
              <w:rPr>
                <w:rFonts w:ascii="Arial" w:cs="Arial" w:eastAsia="Arial" w:hAnsi="Arial"/>
                <w:sz w:val="14"/>
                <w:szCs w:val="14"/>
                <w:b w:val="1"/>
                <w:bCs w:val="1"/>
                <w:color w:val="867F7C"/>
              </w:rPr>
              <w:t>Target</w:t>
            </w:r>
          </w:p>
        </w:tc>
        <w:tc>
          <w:tcPr>
            <w:tcW w:w="1000" w:type="dxa"/>
            <w:vAlign w:val="bottom"/>
            <w:shd w:val="clear" w:color="auto" w:fill="EFEBE9"/>
          </w:tcPr>
          <w:p>
            <w:pPr>
              <w:spacing w:after="0"/>
              <w:rPr>
                <w:sz w:val="14"/>
                <w:szCs w:val="14"/>
                <w:color w:val="auto"/>
              </w:rPr>
            </w:pPr>
          </w:p>
        </w:tc>
        <w:tc>
          <w:tcPr>
            <w:tcW w:w="1080" w:type="dxa"/>
            <w:vAlign w:val="bottom"/>
            <w:shd w:val="clear" w:color="auto" w:fill="EFEBE9"/>
          </w:tcPr>
          <w:p>
            <w:pPr>
              <w:jc w:val="center"/>
              <w:ind w:right="10"/>
              <w:spacing w:after="0"/>
              <w:rPr>
                <w:sz w:val="20"/>
                <w:szCs w:val="20"/>
                <w:color w:val="auto"/>
              </w:rPr>
            </w:pPr>
            <w:r>
              <w:rPr>
                <w:rFonts w:ascii="Arial" w:cs="Arial" w:eastAsia="Arial" w:hAnsi="Arial"/>
                <w:sz w:val="14"/>
                <w:szCs w:val="14"/>
                <w:b w:val="1"/>
                <w:bCs w:val="1"/>
                <w:color w:val="867F7C"/>
              </w:rPr>
              <w:t>Target RSU</w:t>
            </w:r>
          </w:p>
        </w:tc>
        <w:tc>
          <w:tcPr>
            <w:tcW w:w="1080" w:type="dxa"/>
            <w:vAlign w:val="bottom"/>
            <w:shd w:val="clear" w:color="auto" w:fill="EFEBE9"/>
          </w:tcPr>
          <w:p>
            <w:pPr>
              <w:spacing w:after="0"/>
              <w:rPr>
                <w:sz w:val="14"/>
                <w:szCs w:val="14"/>
                <w:color w:val="auto"/>
              </w:rPr>
            </w:pPr>
          </w:p>
        </w:tc>
      </w:tr>
      <w:tr>
        <w:trPr>
          <w:trHeight w:val="162"/>
        </w:trPr>
        <w:tc>
          <w:tcPr>
            <w:tcW w:w="2040" w:type="dxa"/>
            <w:vAlign w:val="bottom"/>
            <w:shd w:val="clear" w:color="auto" w:fill="EFEBE9"/>
          </w:tcPr>
          <w:p>
            <w:pPr>
              <w:spacing w:after="0"/>
              <w:rPr>
                <w:sz w:val="14"/>
                <w:szCs w:val="14"/>
                <w:color w:val="auto"/>
              </w:rPr>
            </w:pPr>
          </w:p>
        </w:tc>
        <w:tc>
          <w:tcPr>
            <w:tcW w:w="1080" w:type="dxa"/>
            <w:vAlign w:val="bottom"/>
            <w:shd w:val="clear" w:color="auto" w:fill="EFEBE9"/>
          </w:tcPr>
          <w:p>
            <w:pPr>
              <w:jc w:val="center"/>
              <w:ind w:left="188"/>
              <w:spacing w:after="0"/>
              <w:rPr>
                <w:sz w:val="20"/>
                <w:szCs w:val="20"/>
                <w:color w:val="auto"/>
              </w:rPr>
            </w:pPr>
            <w:r>
              <w:rPr>
                <w:rFonts w:ascii="Arial" w:cs="Arial" w:eastAsia="Arial" w:hAnsi="Arial"/>
                <w:sz w:val="14"/>
                <w:szCs w:val="14"/>
                <w:b w:val="1"/>
                <w:bCs w:val="1"/>
                <w:color w:val="867F7C"/>
              </w:rPr>
              <w:t>FY2025</w:t>
            </w:r>
          </w:p>
        </w:tc>
        <w:tc>
          <w:tcPr>
            <w:tcW w:w="460" w:type="dxa"/>
            <w:vAlign w:val="bottom"/>
            <w:shd w:val="clear" w:color="auto" w:fill="EFEBE9"/>
          </w:tcPr>
          <w:p>
            <w:pPr>
              <w:spacing w:after="0"/>
              <w:rPr>
                <w:sz w:val="14"/>
                <w:szCs w:val="14"/>
                <w:color w:val="auto"/>
              </w:rPr>
            </w:pPr>
          </w:p>
        </w:tc>
        <w:tc>
          <w:tcPr>
            <w:tcW w:w="980" w:type="dxa"/>
            <w:vAlign w:val="bottom"/>
            <w:shd w:val="clear" w:color="auto" w:fill="EFEBE9"/>
          </w:tcPr>
          <w:p>
            <w:pPr>
              <w:jc w:val="right"/>
              <w:ind w:right="250"/>
              <w:spacing w:after="0"/>
              <w:rPr>
                <w:sz w:val="20"/>
                <w:szCs w:val="20"/>
                <w:color w:val="auto"/>
              </w:rPr>
            </w:pPr>
            <w:r>
              <w:rPr>
                <w:rFonts w:ascii="Arial" w:cs="Arial" w:eastAsia="Arial" w:hAnsi="Arial"/>
                <w:sz w:val="14"/>
                <w:szCs w:val="14"/>
                <w:b w:val="1"/>
                <w:bCs w:val="1"/>
                <w:color w:val="867F7C"/>
              </w:rPr>
              <w:t>Target</w:t>
            </w:r>
          </w:p>
        </w:tc>
        <w:tc>
          <w:tcPr>
            <w:tcW w:w="1360" w:type="dxa"/>
            <w:vAlign w:val="bottom"/>
            <w:shd w:val="clear" w:color="auto" w:fill="EFEBE9"/>
          </w:tcPr>
          <w:p>
            <w:pPr>
              <w:jc w:val="center"/>
              <w:ind w:right="50"/>
              <w:spacing w:after="0"/>
              <w:rPr>
                <w:sz w:val="20"/>
                <w:szCs w:val="20"/>
                <w:color w:val="auto"/>
              </w:rPr>
            </w:pPr>
            <w:r>
              <w:rPr>
                <w:rFonts w:ascii="Arial" w:cs="Arial" w:eastAsia="Arial" w:hAnsi="Arial"/>
                <w:sz w:val="14"/>
                <w:szCs w:val="14"/>
                <w:b w:val="1"/>
                <w:bCs w:val="1"/>
                <w:color w:val="867F7C"/>
              </w:rPr>
              <w:t>FY2025 -</w:t>
            </w:r>
          </w:p>
        </w:tc>
        <w:tc>
          <w:tcPr>
            <w:tcW w:w="1000" w:type="dxa"/>
            <w:vAlign w:val="bottom"/>
            <w:shd w:val="clear" w:color="auto" w:fill="EFEBE9"/>
          </w:tcPr>
          <w:p>
            <w:pPr>
              <w:spacing w:after="0"/>
              <w:rPr>
                <w:sz w:val="14"/>
                <w:szCs w:val="14"/>
                <w:color w:val="auto"/>
              </w:rPr>
            </w:pPr>
          </w:p>
        </w:tc>
        <w:tc>
          <w:tcPr>
            <w:tcW w:w="1080" w:type="dxa"/>
            <w:vAlign w:val="bottom"/>
            <w:shd w:val="clear" w:color="auto" w:fill="EFEBE9"/>
          </w:tcPr>
          <w:p>
            <w:pPr>
              <w:jc w:val="center"/>
              <w:ind w:right="10"/>
              <w:spacing w:after="0"/>
              <w:rPr>
                <w:sz w:val="20"/>
                <w:szCs w:val="20"/>
                <w:color w:val="auto"/>
              </w:rPr>
            </w:pPr>
            <w:r>
              <w:rPr>
                <w:rFonts w:ascii="Arial" w:cs="Arial" w:eastAsia="Arial" w:hAnsi="Arial"/>
                <w:sz w:val="14"/>
                <w:szCs w:val="14"/>
                <w:b w:val="1"/>
                <w:bCs w:val="1"/>
                <w:color w:val="867F7C"/>
              </w:rPr>
              <w:t>Award</w:t>
            </w:r>
          </w:p>
        </w:tc>
        <w:tc>
          <w:tcPr>
            <w:tcW w:w="1080" w:type="dxa"/>
            <w:vAlign w:val="bottom"/>
            <w:shd w:val="clear" w:color="auto" w:fill="EFEBE9"/>
          </w:tcPr>
          <w:p>
            <w:pPr>
              <w:spacing w:after="0"/>
              <w:rPr>
                <w:sz w:val="14"/>
                <w:szCs w:val="14"/>
                <w:color w:val="auto"/>
              </w:rPr>
            </w:pPr>
          </w:p>
        </w:tc>
      </w:tr>
      <w:tr>
        <w:trPr>
          <w:trHeight w:val="162"/>
        </w:trPr>
        <w:tc>
          <w:tcPr>
            <w:tcW w:w="2040" w:type="dxa"/>
            <w:vAlign w:val="bottom"/>
            <w:shd w:val="clear" w:color="auto" w:fill="EFEBE9"/>
          </w:tcPr>
          <w:p>
            <w:pPr>
              <w:spacing w:after="0"/>
              <w:rPr>
                <w:sz w:val="14"/>
                <w:szCs w:val="14"/>
                <w:color w:val="auto"/>
              </w:rPr>
            </w:pPr>
          </w:p>
        </w:tc>
        <w:tc>
          <w:tcPr>
            <w:tcW w:w="1080" w:type="dxa"/>
            <w:vAlign w:val="bottom"/>
            <w:shd w:val="clear" w:color="auto" w:fill="EFEBE9"/>
          </w:tcPr>
          <w:p>
            <w:pPr>
              <w:jc w:val="center"/>
              <w:ind w:left="168"/>
              <w:spacing w:after="0"/>
              <w:rPr>
                <w:sz w:val="20"/>
                <w:szCs w:val="20"/>
                <w:color w:val="auto"/>
              </w:rPr>
            </w:pPr>
            <w:r>
              <w:rPr>
                <w:rFonts w:ascii="Arial" w:cs="Arial" w:eastAsia="Arial" w:hAnsi="Arial"/>
                <w:sz w:val="14"/>
                <w:szCs w:val="14"/>
                <w:b w:val="1"/>
                <w:bCs w:val="1"/>
                <w:color w:val="867F7C"/>
              </w:rPr>
              <w:t>Equity</w:t>
            </w:r>
          </w:p>
        </w:tc>
        <w:tc>
          <w:tcPr>
            <w:tcW w:w="460" w:type="dxa"/>
            <w:vAlign w:val="bottom"/>
            <w:shd w:val="clear" w:color="auto" w:fill="EFEBE9"/>
          </w:tcPr>
          <w:p>
            <w:pPr>
              <w:spacing w:after="0"/>
              <w:rPr>
                <w:sz w:val="14"/>
                <w:szCs w:val="14"/>
                <w:color w:val="auto"/>
              </w:rPr>
            </w:pPr>
          </w:p>
        </w:tc>
        <w:tc>
          <w:tcPr>
            <w:tcW w:w="980" w:type="dxa"/>
            <w:vAlign w:val="bottom"/>
            <w:shd w:val="clear" w:color="auto" w:fill="EFEBE9"/>
          </w:tcPr>
          <w:p>
            <w:pPr>
              <w:jc w:val="center"/>
              <w:ind w:right="10"/>
              <w:spacing w:after="0"/>
              <w:rPr>
                <w:sz w:val="20"/>
                <w:szCs w:val="20"/>
                <w:color w:val="auto"/>
              </w:rPr>
            </w:pPr>
            <w:r>
              <w:rPr>
                <w:rFonts w:ascii="Arial" w:cs="Arial" w:eastAsia="Arial" w:hAnsi="Arial"/>
                <w:sz w:val="14"/>
                <w:szCs w:val="14"/>
                <w:b w:val="1"/>
                <w:bCs w:val="1"/>
                <w:color w:val="867F7C"/>
              </w:rPr>
              <w:t>FY2025</w:t>
            </w:r>
          </w:p>
        </w:tc>
        <w:tc>
          <w:tcPr>
            <w:tcW w:w="1360" w:type="dxa"/>
            <w:vAlign w:val="bottom"/>
            <w:shd w:val="clear" w:color="auto" w:fill="EFEBE9"/>
          </w:tcPr>
          <w:p>
            <w:pPr>
              <w:jc w:val="center"/>
              <w:ind w:right="50"/>
              <w:spacing w:after="0"/>
              <w:rPr>
                <w:sz w:val="20"/>
                <w:szCs w:val="20"/>
                <w:color w:val="auto"/>
              </w:rPr>
            </w:pPr>
            <w:r>
              <w:rPr>
                <w:rFonts w:ascii="Arial" w:cs="Arial" w:eastAsia="Arial" w:hAnsi="Arial"/>
                <w:sz w:val="14"/>
                <w:szCs w:val="14"/>
                <w:b w:val="1"/>
                <w:bCs w:val="1"/>
                <w:color w:val="867F7C"/>
              </w:rPr>
              <w:t>2027</w:t>
            </w:r>
          </w:p>
        </w:tc>
        <w:tc>
          <w:tcPr>
            <w:tcW w:w="1000" w:type="dxa"/>
            <w:vAlign w:val="bottom"/>
            <w:shd w:val="clear" w:color="auto" w:fill="EFEBE9"/>
          </w:tcPr>
          <w:p>
            <w:pPr>
              <w:jc w:val="center"/>
              <w:ind w:right="91"/>
              <w:spacing w:after="0"/>
              <w:rPr>
                <w:sz w:val="20"/>
                <w:szCs w:val="20"/>
                <w:color w:val="auto"/>
              </w:rPr>
            </w:pPr>
            <w:r>
              <w:rPr>
                <w:rFonts w:ascii="Arial" w:cs="Arial" w:eastAsia="Arial" w:hAnsi="Arial"/>
                <w:sz w:val="14"/>
                <w:szCs w:val="14"/>
                <w:b w:val="1"/>
                <w:bCs w:val="1"/>
                <w:color w:val="867F7C"/>
              </w:rPr>
              <w:t>Target</w:t>
            </w:r>
          </w:p>
        </w:tc>
        <w:tc>
          <w:tcPr>
            <w:tcW w:w="1080" w:type="dxa"/>
            <w:vAlign w:val="bottom"/>
            <w:shd w:val="clear" w:color="auto" w:fill="EFEBE9"/>
          </w:tcPr>
          <w:p>
            <w:pPr>
              <w:jc w:val="center"/>
              <w:ind w:right="50"/>
              <w:spacing w:after="0"/>
              <w:rPr>
                <w:sz w:val="20"/>
                <w:szCs w:val="20"/>
                <w:color w:val="auto"/>
              </w:rPr>
            </w:pPr>
            <w:r>
              <w:rPr>
                <w:rFonts w:ascii="Arial" w:cs="Arial" w:eastAsia="Arial" w:hAnsi="Arial"/>
                <w:sz w:val="14"/>
                <w:szCs w:val="14"/>
                <w:b w:val="1"/>
                <w:bCs w:val="1"/>
                <w:color w:val="867F7C"/>
              </w:rPr>
              <w:t>(40% of</w:t>
            </w:r>
          </w:p>
        </w:tc>
        <w:tc>
          <w:tcPr>
            <w:tcW w:w="1080" w:type="dxa"/>
            <w:vAlign w:val="bottom"/>
            <w:shd w:val="clear" w:color="auto" w:fill="EFEBE9"/>
          </w:tcPr>
          <w:p>
            <w:pPr>
              <w:spacing w:after="0"/>
              <w:rPr>
                <w:sz w:val="14"/>
                <w:szCs w:val="14"/>
                <w:color w:val="auto"/>
              </w:rPr>
            </w:pPr>
          </w:p>
        </w:tc>
      </w:tr>
      <w:tr>
        <w:trPr>
          <w:trHeight w:val="162"/>
        </w:trPr>
        <w:tc>
          <w:tcPr>
            <w:tcW w:w="2040" w:type="dxa"/>
            <w:vAlign w:val="bottom"/>
            <w:shd w:val="clear" w:color="auto" w:fill="EFEBE9"/>
          </w:tcPr>
          <w:p>
            <w:pPr>
              <w:spacing w:after="0"/>
              <w:rPr>
                <w:sz w:val="14"/>
                <w:szCs w:val="14"/>
                <w:color w:val="auto"/>
              </w:rPr>
            </w:pPr>
          </w:p>
        </w:tc>
        <w:tc>
          <w:tcPr>
            <w:tcW w:w="1080" w:type="dxa"/>
            <w:vAlign w:val="bottom"/>
            <w:shd w:val="clear" w:color="auto" w:fill="EFEBE9"/>
          </w:tcPr>
          <w:p>
            <w:pPr>
              <w:jc w:val="center"/>
              <w:ind w:left="168"/>
              <w:spacing w:after="0"/>
              <w:rPr>
                <w:sz w:val="20"/>
                <w:szCs w:val="20"/>
                <w:color w:val="auto"/>
              </w:rPr>
            </w:pPr>
            <w:r>
              <w:rPr>
                <w:rFonts w:ascii="Arial" w:cs="Arial" w:eastAsia="Arial" w:hAnsi="Arial"/>
                <w:sz w:val="14"/>
                <w:szCs w:val="14"/>
                <w:b w:val="1"/>
                <w:bCs w:val="1"/>
                <w:color w:val="867F7C"/>
              </w:rPr>
              <w:t>Award</w:t>
            </w:r>
          </w:p>
        </w:tc>
        <w:tc>
          <w:tcPr>
            <w:tcW w:w="460" w:type="dxa"/>
            <w:vAlign w:val="bottom"/>
            <w:shd w:val="clear" w:color="auto" w:fill="EFEBE9"/>
          </w:tcPr>
          <w:p>
            <w:pPr>
              <w:spacing w:after="0"/>
              <w:rPr>
                <w:sz w:val="14"/>
                <w:szCs w:val="14"/>
                <w:color w:val="auto"/>
              </w:rPr>
            </w:pPr>
          </w:p>
        </w:tc>
        <w:tc>
          <w:tcPr>
            <w:tcW w:w="980" w:type="dxa"/>
            <w:vAlign w:val="bottom"/>
            <w:shd w:val="clear" w:color="auto" w:fill="EFEBE9"/>
          </w:tcPr>
          <w:p>
            <w:pPr>
              <w:jc w:val="right"/>
              <w:ind w:right="250"/>
              <w:spacing w:after="0"/>
              <w:rPr>
                <w:sz w:val="20"/>
                <w:szCs w:val="20"/>
                <w:color w:val="auto"/>
              </w:rPr>
            </w:pPr>
            <w:r>
              <w:rPr>
                <w:rFonts w:ascii="Arial" w:cs="Arial" w:eastAsia="Arial" w:hAnsi="Arial"/>
                <w:sz w:val="14"/>
                <w:szCs w:val="14"/>
                <w:b w:val="1"/>
                <w:bCs w:val="1"/>
                <w:color w:val="867F7C"/>
              </w:rPr>
              <w:t>Equity</w:t>
            </w:r>
          </w:p>
        </w:tc>
        <w:tc>
          <w:tcPr>
            <w:tcW w:w="1360" w:type="dxa"/>
            <w:vAlign w:val="bottom"/>
            <w:shd w:val="clear" w:color="auto" w:fill="EFEBE9"/>
          </w:tcPr>
          <w:p>
            <w:pPr>
              <w:jc w:val="center"/>
              <w:ind w:right="50"/>
              <w:spacing w:after="0"/>
              <w:rPr>
                <w:sz w:val="20"/>
                <w:szCs w:val="20"/>
                <w:color w:val="auto"/>
              </w:rPr>
            </w:pPr>
            <w:r>
              <w:rPr>
                <w:rFonts w:ascii="Arial" w:cs="Arial" w:eastAsia="Arial" w:hAnsi="Arial"/>
                <w:sz w:val="14"/>
                <w:szCs w:val="14"/>
                <w:b w:val="1"/>
                <w:bCs w:val="1"/>
                <w:color w:val="867F7C"/>
              </w:rPr>
              <w:t>PSUs (60% of</w:t>
            </w:r>
          </w:p>
        </w:tc>
        <w:tc>
          <w:tcPr>
            <w:tcW w:w="1000" w:type="dxa"/>
            <w:vAlign w:val="bottom"/>
            <w:shd w:val="clear" w:color="auto" w:fill="EFEBE9"/>
          </w:tcPr>
          <w:p>
            <w:pPr>
              <w:jc w:val="center"/>
              <w:ind w:right="31"/>
              <w:spacing w:after="0"/>
              <w:rPr>
                <w:sz w:val="20"/>
                <w:szCs w:val="20"/>
                <w:color w:val="auto"/>
              </w:rPr>
            </w:pPr>
            <w:r>
              <w:rPr>
                <w:rFonts w:ascii="Arial" w:cs="Arial" w:eastAsia="Arial" w:hAnsi="Arial"/>
                <w:sz w:val="14"/>
                <w:szCs w:val="14"/>
                <w:b w:val="1"/>
                <w:bCs w:val="1"/>
                <w:color w:val="867F7C"/>
              </w:rPr>
              <w:t>FY2025-</w:t>
            </w:r>
          </w:p>
        </w:tc>
        <w:tc>
          <w:tcPr>
            <w:tcW w:w="1080" w:type="dxa"/>
            <w:vAlign w:val="bottom"/>
            <w:shd w:val="clear" w:color="auto" w:fill="EFEBE9"/>
          </w:tcPr>
          <w:p>
            <w:pPr>
              <w:jc w:val="center"/>
              <w:ind w:right="10"/>
              <w:spacing w:after="0"/>
              <w:rPr>
                <w:sz w:val="20"/>
                <w:szCs w:val="20"/>
                <w:color w:val="auto"/>
              </w:rPr>
            </w:pPr>
            <w:r>
              <w:rPr>
                <w:rFonts w:ascii="Arial" w:cs="Arial" w:eastAsia="Arial" w:hAnsi="Arial"/>
                <w:sz w:val="14"/>
                <w:szCs w:val="14"/>
                <w:b w:val="1"/>
                <w:bCs w:val="1"/>
                <w:color w:val="867F7C"/>
              </w:rPr>
              <w:t>Equity</w:t>
            </w:r>
          </w:p>
        </w:tc>
        <w:tc>
          <w:tcPr>
            <w:tcW w:w="108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Target RSU</w:t>
            </w:r>
          </w:p>
        </w:tc>
      </w:tr>
      <w:tr>
        <w:trPr>
          <w:trHeight w:val="144"/>
        </w:trPr>
        <w:tc>
          <w:tcPr>
            <w:tcW w:w="2040" w:type="dxa"/>
            <w:vAlign w:val="bottom"/>
            <w:shd w:val="clear" w:color="auto" w:fill="EFEBE9"/>
          </w:tcPr>
          <w:p>
            <w:pPr>
              <w:spacing w:after="0"/>
              <w:rPr>
                <w:sz w:val="12"/>
                <w:szCs w:val="12"/>
                <w:color w:val="auto"/>
              </w:rPr>
            </w:pPr>
          </w:p>
        </w:tc>
        <w:tc>
          <w:tcPr>
            <w:tcW w:w="1080" w:type="dxa"/>
            <w:vAlign w:val="bottom"/>
            <w:shd w:val="clear" w:color="auto" w:fill="EFEBE9"/>
          </w:tcPr>
          <w:p>
            <w:pPr>
              <w:jc w:val="center"/>
              <w:ind w:left="188"/>
              <w:spacing w:after="0" w:line="145" w:lineRule="exact"/>
              <w:rPr>
                <w:sz w:val="20"/>
                <w:szCs w:val="20"/>
                <w:color w:val="auto"/>
              </w:rPr>
            </w:pPr>
            <w:r>
              <w:rPr>
                <w:rFonts w:ascii="Arial" w:cs="Arial" w:eastAsia="Arial" w:hAnsi="Arial"/>
                <w:sz w:val="14"/>
                <w:szCs w:val="14"/>
                <w:b w:val="1"/>
                <w:bCs w:val="1"/>
                <w:color w:val="867F7C"/>
              </w:rPr>
              <w:t>(% of Base</w:t>
            </w:r>
          </w:p>
        </w:tc>
        <w:tc>
          <w:tcPr>
            <w:tcW w:w="460" w:type="dxa"/>
            <w:vAlign w:val="bottom"/>
            <w:shd w:val="clear" w:color="auto" w:fill="EFEBE9"/>
          </w:tcPr>
          <w:p>
            <w:pPr>
              <w:spacing w:after="0"/>
              <w:rPr>
                <w:sz w:val="12"/>
                <w:szCs w:val="12"/>
                <w:color w:val="auto"/>
              </w:rPr>
            </w:pPr>
          </w:p>
        </w:tc>
        <w:tc>
          <w:tcPr>
            <w:tcW w:w="980" w:type="dxa"/>
            <w:vAlign w:val="bottom"/>
            <w:shd w:val="clear" w:color="auto" w:fill="EFEBE9"/>
          </w:tcPr>
          <w:p>
            <w:pPr>
              <w:jc w:val="right"/>
              <w:ind w:right="250"/>
              <w:spacing w:after="0" w:line="145" w:lineRule="exact"/>
              <w:rPr>
                <w:sz w:val="20"/>
                <w:szCs w:val="20"/>
                <w:color w:val="auto"/>
              </w:rPr>
            </w:pPr>
            <w:r>
              <w:rPr>
                <w:rFonts w:ascii="Arial" w:cs="Arial" w:eastAsia="Arial" w:hAnsi="Arial"/>
                <w:sz w:val="14"/>
                <w:szCs w:val="14"/>
                <w:b w:val="1"/>
                <w:bCs w:val="1"/>
                <w:color w:val="867F7C"/>
              </w:rPr>
              <w:t>Award</w:t>
            </w:r>
          </w:p>
        </w:tc>
        <w:tc>
          <w:tcPr>
            <w:tcW w:w="1360" w:type="dxa"/>
            <w:vAlign w:val="bottom"/>
            <w:shd w:val="clear" w:color="auto" w:fill="EFEBE9"/>
          </w:tcPr>
          <w:p>
            <w:pPr>
              <w:jc w:val="center"/>
              <w:ind w:right="50"/>
              <w:spacing w:after="0" w:line="145" w:lineRule="exact"/>
              <w:rPr>
                <w:sz w:val="20"/>
                <w:szCs w:val="20"/>
                <w:color w:val="auto"/>
              </w:rPr>
            </w:pPr>
            <w:r>
              <w:rPr>
                <w:rFonts w:ascii="Arial" w:cs="Arial" w:eastAsia="Arial" w:hAnsi="Arial"/>
                <w:sz w:val="14"/>
                <w:szCs w:val="14"/>
                <w:b w:val="1"/>
                <w:bCs w:val="1"/>
                <w:color w:val="867F7C"/>
              </w:rPr>
              <w:t>Equity Award)</w:t>
            </w:r>
          </w:p>
        </w:tc>
        <w:tc>
          <w:tcPr>
            <w:tcW w:w="1000" w:type="dxa"/>
            <w:vAlign w:val="bottom"/>
            <w:shd w:val="clear" w:color="auto" w:fill="EFEBE9"/>
          </w:tcPr>
          <w:p>
            <w:pPr>
              <w:jc w:val="center"/>
              <w:ind w:right="91"/>
              <w:spacing w:after="0" w:line="145" w:lineRule="exact"/>
              <w:rPr>
                <w:sz w:val="20"/>
                <w:szCs w:val="20"/>
                <w:color w:val="auto"/>
              </w:rPr>
            </w:pPr>
            <w:r>
              <w:rPr>
                <w:rFonts w:ascii="Arial" w:cs="Arial" w:eastAsia="Arial" w:hAnsi="Arial"/>
                <w:sz w:val="14"/>
                <w:szCs w:val="14"/>
                <w:b w:val="1"/>
                <w:bCs w:val="1"/>
                <w:color w:val="867F7C"/>
              </w:rPr>
              <w:t>2027</w:t>
            </w:r>
          </w:p>
        </w:tc>
        <w:tc>
          <w:tcPr>
            <w:tcW w:w="1080" w:type="dxa"/>
            <w:vAlign w:val="bottom"/>
            <w:shd w:val="clear" w:color="auto" w:fill="EFEBE9"/>
          </w:tcPr>
          <w:p>
            <w:pPr>
              <w:jc w:val="center"/>
              <w:ind w:right="10"/>
              <w:spacing w:after="0" w:line="145" w:lineRule="exact"/>
              <w:rPr>
                <w:sz w:val="20"/>
                <w:szCs w:val="20"/>
                <w:color w:val="auto"/>
              </w:rPr>
            </w:pPr>
            <w:r>
              <w:rPr>
                <w:rFonts w:ascii="Arial" w:cs="Arial" w:eastAsia="Arial" w:hAnsi="Arial"/>
                <w:sz w:val="14"/>
                <w:szCs w:val="14"/>
                <w:b w:val="1"/>
                <w:bCs w:val="1"/>
                <w:color w:val="867F7C"/>
              </w:rPr>
              <w:t>Award)</w:t>
            </w:r>
          </w:p>
        </w:tc>
        <w:tc>
          <w:tcPr>
            <w:tcW w:w="108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Award</w:t>
            </w:r>
          </w:p>
        </w:tc>
      </w:tr>
      <w:tr>
        <w:trPr>
          <w:trHeight w:val="210"/>
        </w:trPr>
        <w:tc>
          <w:tcPr>
            <w:tcW w:w="204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NEO</w:t>
            </w:r>
          </w:p>
        </w:tc>
        <w:tc>
          <w:tcPr>
            <w:tcW w:w="1080" w:type="dxa"/>
            <w:vAlign w:val="bottom"/>
            <w:tcBorders>
              <w:bottom w:val="single" w:sz="8" w:color="EFEBE9"/>
            </w:tcBorders>
            <w:shd w:val="clear" w:color="auto" w:fill="EFEBE9"/>
          </w:tcPr>
          <w:p>
            <w:pPr>
              <w:jc w:val="center"/>
              <w:ind w:left="168"/>
              <w:spacing w:after="0"/>
              <w:rPr>
                <w:sz w:val="20"/>
                <w:szCs w:val="20"/>
                <w:color w:val="auto"/>
              </w:rPr>
            </w:pPr>
            <w:r>
              <w:rPr>
                <w:rFonts w:ascii="Arial" w:cs="Arial" w:eastAsia="Arial" w:hAnsi="Arial"/>
                <w:sz w:val="14"/>
                <w:szCs w:val="14"/>
                <w:b w:val="1"/>
                <w:bCs w:val="1"/>
                <w:color w:val="867F7C"/>
              </w:rPr>
              <w:t>Salary)</w:t>
            </w:r>
          </w:p>
        </w:tc>
        <w:tc>
          <w:tcPr>
            <w:tcW w:w="460" w:type="dxa"/>
            <w:vAlign w:val="bottom"/>
            <w:tcBorders>
              <w:bottom w:val="single" w:sz="8" w:color="EFEBE9"/>
            </w:tcBorders>
            <w:shd w:val="clear" w:color="auto" w:fill="EFEBE9"/>
          </w:tcPr>
          <w:p>
            <w:pPr>
              <w:spacing w:after="0"/>
              <w:rPr>
                <w:sz w:val="18"/>
                <w:szCs w:val="18"/>
                <w:color w:val="auto"/>
              </w:rPr>
            </w:pPr>
          </w:p>
        </w:tc>
        <w:tc>
          <w:tcPr>
            <w:tcW w:w="980" w:type="dxa"/>
            <w:vAlign w:val="bottom"/>
            <w:tcBorders>
              <w:bottom w:val="single" w:sz="8" w:color="EFEBE9"/>
            </w:tcBorders>
            <w:shd w:val="clear" w:color="auto" w:fill="EFEBE9"/>
          </w:tcPr>
          <w:p>
            <w:pPr>
              <w:jc w:val="right"/>
              <w:ind w:right="370"/>
              <w:spacing w:after="0"/>
              <w:rPr>
                <w:sz w:val="20"/>
                <w:szCs w:val="20"/>
                <w:color w:val="auto"/>
              </w:rPr>
            </w:pPr>
            <w:r>
              <w:rPr>
                <w:rFonts w:ascii="Arial" w:cs="Arial" w:eastAsia="Arial" w:hAnsi="Arial"/>
                <w:sz w:val="14"/>
                <w:szCs w:val="14"/>
                <w:b w:val="1"/>
                <w:bCs w:val="1"/>
                <w:color w:val="867F7C"/>
              </w:rPr>
              <w:t>($)</w:t>
            </w:r>
          </w:p>
        </w:tc>
        <w:tc>
          <w:tcPr>
            <w:tcW w:w="1360" w:type="dxa"/>
            <w:vAlign w:val="bottom"/>
            <w:tcBorders>
              <w:bottom w:val="single" w:sz="8" w:color="EFEBE9"/>
            </w:tcBorders>
            <w:shd w:val="clear" w:color="auto" w:fill="EFEBE9"/>
          </w:tcPr>
          <w:p>
            <w:pPr>
              <w:jc w:val="center"/>
              <w:ind w:right="30"/>
              <w:spacing w:after="0"/>
              <w:rPr>
                <w:sz w:val="20"/>
                <w:szCs w:val="20"/>
                <w:color w:val="auto"/>
              </w:rPr>
            </w:pPr>
            <w:r>
              <w:rPr>
                <w:rFonts w:ascii="Arial" w:cs="Arial" w:eastAsia="Arial" w:hAnsi="Arial"/>
                <w:sz w:val="14"/>
                <w:szCs w:val="14"/>
                <w:b w:val="1"/>
                <w:bCs w:val="1"/>
                <w:color w:val="867F7C"/>
              </w:rPr>
              <w:t>($)</w:t>
            </w:r>
          </w:p>
        </w:tc>
        <w:tc>
          <w:tcPr>
            <w:tcW w:w="1000" w:type="dxa"/>
            <w:vAlign w:val="bottom"/>
            <w:tcBorders>
              <w:bottom w:val="single" w:sz="8" w:color="EFEBE9"/>
            </w:tcBorders>
            <w:shd w:val="clear" w:color="auto" w:fill="EFEBE9"/>
          </w:tcPr>
          <w:p>
            <w:pPr>
              <w:jc w:val="center"/>
              <w:ind w:right="51"/>
              <w:spacing w:after="0" w:line="189" w:lineRule="exact"/>
              <w:rPr>
                <w:sz w:val="20"/>
                <w:szCs w:val="20"/>
                <w:color w:val="auto"/>
              </w:rPr>
            </w:pPr>
            <w:r>
              <w:rPr>
                <w:rFonts w:ascii="Arial" w:cs="Arial" w:eastAsia="Arial" w:hAnsi="Arial"/>
                <w:sz w:val="14"/>
                <w:szCs w:val="14"/>
                <w:b w:val="1"/>
                <w:bCs w:val="1"/>
                <w:color w:val="867F7C"/>
                <w:w w:val="92"/>
              </w:rPr>
              <w:t xml:space="preserve">PSUs </w:t>
            </w:r>
            <w:r>
              <w:rPr>
                <w:rFonts w:ascii="Arial" w:cs="Arial" w:eastAsia="Arial" w:hAnsi="Arial"/>
                <w:sz w:val="19"/>
                <w:szCs w:val="19"/>
                <w:b w:val="1"/>
                <w:bCs w:val="1"/>
                <w:color w:val="867F7C"/>
                <w:w w:val="92"/>
                <w:vertAlign w:val="superscript"/>
              </w:rPr>
              <w:t>(1)</w:t>
            </w:r>
          </w:p>
        </w:tc>
        <w:tc>
          <w:tcPr>
            <w:tcW w:w="1080" w:type="dxa"/>
            <w:vAlign w:val="bottom"/>
            <w:tcBorders>
              <w:bottom w:val="single" w:sz="8" w:color="EFEBE9"/>
            </w:tcBorders>
            <w:shd w:val="clear" w:color="auto" w:fill="EFEBE9"/>
          </w:tcPr>
          <w:p>
            <w:pPr>
              <w:jc w:val="center"/>
              <w:ind w:right="10"/>
              <w:spacing w:after="0"/>
              <w:rPr>
                <w:sz w:val="20"/>
                <w:szCs w:val="20"/>
                <w:color w:val="auto"/>
              </w:rPr>
            </w:pPr>
            <w:r>
              <w:rPr>
                <w:rFonts w:ascii="Arial" w:cs="Arial" w:eastAsia="Arial" w:hAnsi="Arial"/>
                <w:sz w:val="14"/>
                <w:szCs w:val="14"/>
                <w:b w:val="1"/>
                <w:bCs w:val="1"/>
                <w:color w:val="867F7C"/>
                <w:w w:val="93"/>
              </w:rPr>
              <w:t>($)</w:t>
            </w:r>
          </w:p>
        </w:tc>
        <w:tc>
          <w:tcPr>
            <w:tcW w:w="1080" w:type="dxa"/>
            <w:vAlign w:val="bottom"/>
            <w:tcBorders>
              <w:bottom w:val="single" w:sz="8" w:color="EFEBE9"/>
            </w:tcBorders>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1"/>
              </w:rPr>
              <w:t>(#)</w:t>
            </w:r>
            <w:r>
              <w:rPr>
                <w:rFonts w:ascii="Arial" w:cs="Arial" w:eastAsia="Arial" w:hAnsi="Arial"/>
                <w:sz w:val="19"/>
                <w:szCs w:val="19"/>
                <w:b w:val="1"/>
                <w:bCs w:val="1"/>
                <w:color w:val="867F7C"/>
                <w:w w:val="91"/>
                <w:vertAlign w:val="superscript"/>
              </w:rPr>
              <w:t>(1)</w:t>
            </w:r>
          </w:p>
        </w:tc>
      </w:tr>
      <w:tr>
        <w:trPr>
          <w:trHeight w:val="162"/>
        </w:trPr>
        <w:tc>
          <w:tcPr>
            <w:tcW w:w="204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1080" w:type="dxa"/>
            <w:vAlign w:val="bottom"/>
            <w:tcBorders>
              <w:bottom w:val="single" w:sz="8" w:color="867F7C"/>
            </w:tcBorders>
          </w:tcPr>
          <w:p>
            <w:pPr>
              <w:spacing w:after="0"/>
              <w:rPr>
                <w:sz w:val="14"/>
                <w:szCs w:val="14"/>
                <w:color w:val="auto"/>
              </w:rPr>
            </w:pPr>
          </w:p>
        </w:tc>
        <w:tc>
          <w:tcPr>
            <w:tcW w:w="460" w:type="dxa"/>
            <w:vAlign w:val="bottom"/>
            <w:tcBorders>
              <w:bottom w:val="single" w:sz="8" w:color="867F7C"/>
            </w:tcBorders>
          </w:tcPr>
          <w:p>
            <w:pPr>
              <w:jc w:val="right"/>
              <w:ind w:right="13"/>
              <w:spacing w:after="0"/>
              <w:rPr>
                <w:sz w:val="20"/>
                <w:szCs w:val="20"/>
                <w:color w:val="auto"/>
              </w:rPr>
            </w:pPr>
            <w:r>
              <w:rPr>
                <w:rFonts w:ascii="Arial" w:cs="Arial" w:eastAsia="Arial" w:hAnsi="Arial"/>
                <w:sz w:val="13"/>
                <w:szCs w:val="13"/>
                <w:color w:val="auto"/>
              </w:rPr>
              <w:t>439%</w:t>
            </w:r>
          </w:p>
        </w:tc>
        <w:tc>
          <w:tcPr>
            <w:tcW w:w="9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5,100,000</w:t>
            </w:r>
          </w:p>
        </w:tc>
        <w:tc>
          <w:tcPr>
            <w:tcW w:w="1360" w:type="dxa"/>
            <w:vAlign w:val="bottom"/>
            <w:tcBorders>
              <w:bottom w:val="single" w:sz="8" w:color="867F7C"/>
            </w:tcBorders>
          </w:tcPr>
          <w:p>
            <w:pPr>
              <w:jc w:val="right"/>
              <w:ind w:right="110"/>
              <w:spacing w:after="0"/>
              <w:rPr>
                <w:sz w:val="20"/>
                <w:szCs w:val="20"/>
                <w:color w:val="auto"/>
              </w:rPr>
            </w:pPr>
            <w:r>
              <w:rPr>
                <w:rFonts w:ascii="Arial" w:cs="Arial" w:eastAsia="Arial" w:hAnsi="Arial"/>
                <w:sz w:val="13"/>
                <w:szCs w:val="13"/>
                <w:color w:val="auto"/>
              </w:rPr>
              <w:t>3,060,000</w:t>
            </w:r>
          </w:p>
        </w:tc>
        <w:tc>
          <w:tcPr>
            <w:tcW w:w="1000" w:type="dxa"/>
            <w:vAlign w:val="bottom"/>
            <w:tcBorders>
              <w:bottom w:val="single" w:sz="8" w:color="867F7C"/>
            </w:tcBorders>
          </w:tcPr>
          <w:p>
            <w:pPr>
              <w:jc w:val="right"/>
              <w:ind w:right="51"/>
              <w:spacing w:after="0"/>
              <w:rPr>
                <w:sz w:val="20"/>
                <w:szCs w:val="20"/>
                <w:color w:val="auto"/>
              </w:rPr>
            </w:pPr>
            <w:r>
              <w:rPr>
                <w:rFonts w:ascii="Arial" w:cs="Arial" w:eastAsia="Arial" w:hAnsi="Arial"/>
                <w:sz w:val="13"/>
                <w:szCs w:val="13"/>
                <w:color w:val="auto"/>
              </w:rPr>
              <w:t>39,509</w:t>
            </w:r>
          </w:p>
        </w:tc>
        <w:tc>
          <w:tcPr>
            <w:tcW w:w="10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2,040,000</w:t>
            </w:r>
          </w:p>
        </w:tc>
        <w:tc>
          <w:tcPr>
            <w:tcW w:w="1080" w:type="dxa"/>
            <w:vAlign w:val="bottom"/>
            <w:tcBorders>
              <w:bottom w:val="single" w:sz="8" w:color="867F7C"/>
            </w:tcBorders>
          </w:tcPr>
          <w:p>
            <w:pPr>
              <w:jc w:val="right"/>
              <w:ind w:right="31"/>
              <w:spacing w:after="0"/>
              <w:rPr>
                <w:sz w:val="20"/>
                <w:szCs w:val="20"/>
                <w:color w:val="auto"/>
              </w:rPr>
            </w:pPr>
            <w:r>
              <w:rPr>
                <w:rFonts w:ascii="Arial" w:cs="Arial" w:eastAsia="Arial" w:hAnsi="Arial"/>
                <w:sz w:val="13"/>
                <w:szCs w:val="13"/>
                <w:color w:val="auto"/>
              </w:rPr>
              <w:t>26,340</w:t>
            </w:r>
          </w:p>
        </w:tc>
      </w:tr>
      <w:tr>
        <w:trPr>
          <w:trHeight w:val="156"/>
        </w:trPr>
        <w:tc>
          <w:tcPr>
            <w:tcW w:w="204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b w:val="1"/>
                <w:bCs w:val="1"/>
                <w:color w:val="4CCEDE"/>
              </w:rPr>
              <w:t xml:space="preserve">William Whitaker </w:t>
            </w:r>
            <w:r>
              <w:rPr>
                <w:rFonts w:ascii="Arial" w:cs="Arial" w:eastAsia="Arial" w:hAnsi="Arial"/>
                <w:sz w:val="18"/>
                <w:szCs w:val="18"/>
                <w:b w:val="1"/>
                <w:bCs w:val="1"/>
                <w:color w:val="4CCEDE"/>
                <w:vertAlign w:val="superscript"/>
              </w:rPr>
              <w:t>(2)</w:t>
            </w:r>
          </w:p>
        </w:tc>
        <w:tc>
          <w:tcPr>
            <w:tcW w:w="1080" w:type="dxa"/>
            <w:vAlign w:val="bottom"/>
            <w:tcBorders>
              <w:bottom w:val="single" w:sz="8" w:color="867F7C"/>
            </w:tcBorders>
          </w:tcPr>
          <w:p>
            <w:pPr>
              <w:spacing w:after="0"/>
              <w:rPr>
                <w:sz w:val="13"/>
                <w:szCs w:val="13"/>
                <w:color w:val="auto"/>
              </w:rPr>
            </w:pPr>
          </w:p>
        </w:tc>
        <w:tc>
          <w:tcPr>
            <w:tcW w:w="460" w:type="dxa"/>
            <w:vAlign w:val="bottom"/>
            <w:tcBorders>
              <w:bottom w:val="single" w:sz="8" w:color="867F7C"/>
            </w:tcBorders>
          </w:tcPr>
          <w:p>
            <w:pPr>
              <w:jc w:val="right"/>
              <w:ind w:right="13"/>
              <w:spacing w:after="0"/>
              <w:rPr>
                <w:sz w:val="20"/>
                <w:szCs w:val="20"/>
                <w:color w:val="auto"/>
              </w:rPr>
            </w:pPr>
            <w:r>
              <w:rPr>
                <w:rFonts w:ascii="Arial" w:cs="Arial" w:eastAsia="Arial" w:hAnsi="Arial"/>
                <w:sz w:val="13"/>
                <w:szCs w:val="13"/>
                <w:color w:val="auto"/>
              </w:rPr>
              <w:t>265%</w:t>
            </w:r>
          </w:p>
        </w:tc>
        <w:tc>
          <w:tcPr>
            <w:tcW w:w="9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1,100,000</w:t>
            </w:r>
          </w:p>
        </w:tc>
        <w:tc>
          <w:tcPr>
            <w:tcW w:w="1360" w:type="dxa"/>
            <w:vAlign w:val="bottom"/>
            <w:tcBorders>
              <w:bottom w:val="single" w:sz="8" w:color="867F7C"/>
            </w:tcBorders>
          </w:tcPr>
          <w:p>
            <w:pPr>
              <w:jc w:val="right"/>
              <w:ind w:right="110"/>
              <w:spacing w:after="0"/>
              <w:rPr>
                <w:sz w:val="20"/>
                <w:szCs w:val="20"/>
                <w:color w:val="auto"/>
              </w:rPr>
            </w:pPr>
            <w:r>
              <w:rPr>
                <w:rFonts w:ascii="Arial" w:cs="Arial" w:eastAsia="Arial" w:hAnsi="Arial"/>
                <w:sz w:val="13"/>
                <w:szCs w:val="13"/>
                <w:color w:val="auto"/>
              </w:rPr>
              <w:t>660,000</w:t>
            </w:r>
          </w:p>
        </w:tc>
        <w:tc>
          <w:tcPr>
            <w:tcW w:w="1000" w:type="dxa"/>
            <w:vAlign w:val="bottom"/>
            <w:tcBorders>
              <w:bottom w:val="single" w:sz="8" w:color="867F7C"/>
            </w:tcBorders>
          </w:tcPr>
          <w:p>
            <w:pPr>
              <w:jc w:val="right"/>
              <w:ind w:right="51"/>
              <w:spacing w:after="0"/>
              <w:rPr>
                <w:sz w:val="20"/>
                <w:szCs w:val="20"/>
                <w:color w:val="auto"/>
              </w:rPr>
            </w:pPr>
            <w:r>
              <w:rPr>
                <w:rFonts w:ascii="Arial" w:cs="Arial" w:eastAsia="Arial" w:hAnsi="Arial"/>
                <w:sz w:val="13"/>
                <w:szCs w:val="13"/>
                <w:color w:val="auto"/>
              </w:rPr>
              <w:t>8,521</w:t>
            </w:r>
          </w:p>
        </w:tc>
        <w:tc>
          <w:tcPr>
            <w:tcW w:w="10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440,000</w:t>
            </w:r>
          </w:p>
        </w:tc>
        <w:tc>
          <w:tcPr>
            <w:tcW w:w="1080" w:type="dxa"/>
            <w:vAlign w:val="bottom"/>
            <w:tcBorders>
              <w:bottom w:val="single" w:sz="8" w:color="867F7C"/>
            </w:tcBorders>
          </w:tcPr>
          <w:p>
            <w:pPr>
              <w:jc w:val="right"/>
              <w:ind w:right="31"/>
              <w:spacing w:after="0"/>
              <w:rPr>
                <w:sz w:val="20"/>
                <w:szCs w:val="20"/>
                <w:color w:val="auto"/>
              </w:rPr>
            </w:pPr>
            <w:r>
              <w:rPr>
                <w:rFonts w:ascii="Arial" w:cs="Arial" w:eastAsia="Arial" w:hAnsi="Arial"/>
                <w:sz w:val="13"/>
                <w:szCs w:val="13"/>
                <w:color w:val="auto"/>
              </w:rPr>
              <w:t>5,681</w:t>
            </w:r>
          </w:p>
        </w:tc>
      </w:tr>
      <w:tr>
        <w:trPr>
          <w:trHeight w:val="155"/>
        </w:trPr>
        <w:tc>
          <w:tcPr>
            <w:tcW w:w="20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Alessandra Faccin Assis</w:t>
            </w:r>
          </w:p>
        </w:tc>
        <w:tc>
          <w:tcPr>
            <w:tcW w:w="1080" w:type="dxa"/>
            <w:vAlign w:val="bottom"/>
            <w:tcBorders>
              <w:bottom w:val="single" w:sz="8" w:color="867F7C"/>
            </w:tcBorders>
          </w:tcPr>
          <w:p>
            <w:pPr>
              <w:spacing w:after="0"/>
              <w:rPr>
                <w:sz w:val="13"/>
                <w:szCs w:val="13"/>
                <w:color w:val="auto"/>
              </w:rPr>
            </w:pPr>
          </w:p>
        </w:tc>
        <w:tc>
          <w:tcPr>
            <w:tcW w:w="460" w:type="dxa"/>
            <w:vAlign w:val="bottom"/>
            <w:tcBorders>
              <w:bottom w:val="single" w:sz="8" w:color="867F7C"/>
            </w:tcBorders>
          </w:tcPr>
          <w:p>
            <w:pPr>
              <w:jc w:val="right"/>
              <w:ind w:right="13"/>
              <w:spacing w:after="0"/>
              <w:rPr>
                <w:sz w:val="20"/>
                <w:szCs w:val="20"/>
                <w:color w:val="auto"/>
              </w:rPr>
            </w:pPr>
            <w:r>
              <w:rPr>
                <w:rFonts w:ascii="Arial" w:cs="Arial" w:eastAsia="Arial" w:hAnsi="Arial"/>
                <w:sz w:val="13"/>
                <w:szCs w:val="13"/>
                <w:color w:val="auto"/>
              </w:rPr>
              <w:t>150%</w:t>
            </w:r>
          </w:p>
        </w:tc>
        <w:tc>
          <w:tcPr>
            <w:tcW w:w="9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757,050</w:t>
            </w:r>
          </w:p>
        </w:tc>
        <w:tc>
          <w:tcPr>
            <w:tcW w:w="1360" w:type="dxa"/>
            <w:vAlign w:val="bottom"/>
            <w:tcBorders>
              <w:bottom w:val="single" w:sz="8" w:color="867F7C"/>
            </w:tcBorders>
          </w:tcPr>
          <w:p>
            <w:pPr>
              <w:jc w:val="right"/>
              <w:ind w:right="110"/>
              <w:spacing w:after="0"/>
              <w:rPr>
                <w:sz w:val="20"/>
                <w:szCs w:val="20"/>
                <w:color w:val="auto"/>
              </w:rPr>
            </w:pPr>
            <w:r>
              <w:rPr>
                <w:rFonts w:ascii="Arial" w:cs="Arial" w:eastAsia="Arial" w:hAnsi="Arial"/>
                <w:sz w:val="13"/>
                <w:szCs w:val="13"/>
                <w:color w:val="auto"/>
              </w:rPr>
              <w:t>454,230</w:t>
            </w:r>
          </w:p>
        </w:tc>
        <w:tc>
          <w:tcPr>
            <w:tcW w:w="1000" w:type="dxa"/>
            <w:vAlign w:val="bottom"/>
            <w:tcBorders>
              <w:bottom w:val="single" w:sz="8" w:color="867F7C"/>
            </w:tcBorders>
          </w:tcPr>
          <w:p>
            <w:pPr>
              <w:jc w:val="right"/>
              <w:ind w:right="51"/>
              <w:spacing w:after="0"/>
              <w:rPr>
                <w:sz w:val="20"/>
                <w:szCs w:val="20"/>
                <w:color w:val="auto"/>
              </w:rPr>
            </w:pPr>
            <w:r>
              <w:rPr>
                <w:rFonts w:ascii="Arial" w:cs="Arial" w:eastAsia="Arial" w:hAnsi="Arial"/>
                <w:sz w:val="13"/>
                <w:szCs w:val="13"/>
                <w:color w:val="auto"/>
              </w:rPr>
              <w:t>5,864</w:t>
            </w:r>
          </w:p>
        </w:tc>
        <w:tc>
          <w:tcPr>
            <w:tcW w:w="10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302,820</w:t>
            </w:r>
          </w:p>
        </w:tc>
        <w:tc>
          <w:tcPr>
            <w:tcW w:w="1080" w:type="dxa"/>
            <w:vAlign w:val="bottom"/>
            <w:tcBorders>
              <w:bottom w:val="single" w:sz="8" w:color="867F7C"/>
            </w:tcBorders>
          </w:tcPr>
          <w:p>
            <w:pPr>
              <w:jc w:val="right"/>
              <w:ind w:right="31"/>
              <w:spacing w:after="0"/>
              <w:rPr>
                <w:sz w:val="20"/>
                <w:szCs w:val="20"/>
                <w:color w:val="auto"/>
              </w:rPr>
            </w:pPr>
            <w:r>
              <w:rPr>
                <w:rFonts w:ascii="Arial" w:cs="Arial" w:eastAsia="Arial" w:hAnsi="Arial"/>
                <w:sz w:val="13"/>
                <w:szCs w:val="13"/>
                <w:color w:val="auto"/>
              </w:rPr>
              <w:t>3,910</w:t>
            </w:r>
          </w:p>
        </w:tc>
      </w:tr>
      <w:tr>
        <w:trPr>
          <w:trHeight w:val="155"/>
        </w:trPr>
        <w:tc>
          <w:tcPr>
            <w:tcW w:w="20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Osama M. Musa</w:t>
            </w:r>
          </w:p>
        </w:tc>
        <w:tc>
          <w:tcPr>
            <w:tcW w:w="1080" w:type="dxa"/>
            <w:vAlign w:val="bottom"/>
            <w:tcBorders>
              <w:bottom w:val="single" w:sz="8" w:color="867F7C"/>
            </w:tcBorders>
          </w:tcPr>
          <w:p>
            <w:pPr>
              <w:spacing w:after="0"/>
              <w:rPr>
                <w:sz w:val="13"/>
                <w:szCs w:val="13"/>
                <w:color w:val="auto"/>
              </w:rPr>
            </w:pPr>
          </w:p>
        </w:tc>
        <w:tc>
          <w:tcPr>
            <w:tcW w:w="460" w:type="dxa"/>
            <w:vAlign w:val="bottom"/>
            <w:tcBorders>
              <w:bottom w:val="single" w:sz="8" w:color="867F7C"/>
            </w:tcBorders>
          </w:tcPr>
          <w:p>
            <w:pPr>
              <w:jc w:val="right"/>
              <w:ind w:right="13"/>
              <w:spacing w:after="0"/>
              <w:rPr>
                <w:sz w:val="20"/>
                <w:szCs w:val="20"/>
                <w:color w:val="auto"/>
              </w:rPr>
            </w:pPr>
            <w:r>
              <w:rPr>
                <w:rFonts w:ascii="Arial" w:cs="Arial" w:eastAsia="Arial" w:hAnsi="Arial"/>
                <w:sz w:val="13"/>
                <w:szCs w:val="13"/>
                <w:color w:val="auto"/>
              </w:rPr>
              <w:t>150%</w:t>
            </w:r>
          </w:p>
        </w:tc>
        <w:tc>
          <w:tcPr>
            <w:tcW w:w="9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787,065</w:t>
            </w:r>
          </w:p>
        </w:tc>
        <w:tc>
          <w:tcPr>
            <w:tcW w:w="1360" w:type="dxa"/>
            <w:vAlign w:val="bottom"/>
            <w:tcBorders>
              <w:bottom w:val="single" w:sz="8" w:color="867F7C"/>
            </w:tcBorders>
          </w:tcPr>
          <w:p>
            <w:pPr>
              <w:jc w:val="right"/>
              <w:ind w:right="110"/>
              <w:spacing w:after="0"/>
              <w:rPr>
                <w:sz w:val="20"/>
                <w:szCs w:val="20"/>
                <w:color w:val="auto"/>
              </w:rPr>
            </w:pPr>
            <w:r>
              <w:rPr>
                <w:rFonts w:ascii="Arial" w:cs="Arial" w:eastAsia="Arial" w:hAnsi="Arial"/>
                <w:sz w:val="13"/>
                <w:szCs w:val="13"/>
                <w:color w:val="auto"/>
              </w:rPr>
              <w:t>472,239</w:t>
            </w:r>
          </w:p>
        </w:tc>
        <w:tc>
          <w:tcPr>
            <w:tcW w:w="1000" w:type="dxa"/>
            <w:vAlign w:val="bottom"/>
            <w:tcBorders>
              <w:bottom w:val="single" w:sz="8" w:color="867F7C"/>
            </w:tcBorders>
          </w:tcPr>
          <w:p>
            <w:pPr>
              <w:jc w:val="right"/>
              <w:ind w:right="51"/>
              <w:spacing w:after="0"/>
              <w:rPr>
                <w:sz w:val="20"/>
                <w:szCs w:val="20"/>
                <w:color w:val="auto"/>
              </w:rPr>
            </w:pPr>
            <w:r>
              <w:rPr>
                <w:rFonts w:ascii="Arial" w:cs="Arial" w:eastAsia="Arial" w:hAnsi="Arial"/>
                <w:sz w:val="13"/>
                <w:szCs w:val="13"/>
                <w:color w:val="auto"/>
              </w:rPr>
              <w:t>6,097</w:t>
            </w:r>
          </w:p>
        </w:tc>
        <w:tc>
          <w:tcPr>
            <w:tcW w:w="10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314,826</w:t>
            </w:r>
          </w:p>
        </w:tc>
        <w:tc>
          <w:tcPr>
            <w:tcW w:w="1080" w:type="dxa"/>
            <w:vAlign w:val="bottom"/>
            <w:tcBorders>
              <w:bottom w:val="single" w:sz="8" w:color="867F7C"/>
            </w:tcBorders>
          </w:tcPr>
          <w:p>
            <w:pPr>
              <w:jc w:val="right"/>
              <w:ind w:right="31"/>
              <w:spacing w:after="0"/>
              <w:rPr>
                <w:sz w:val="20"/>
                <w:szCs w:val="20"/>
                <w:color w:val="auto"/>
              </w:rPr>
            </w:pPr>
            <w:r>
              <w:rPr>
                <w:rFonts w:ascii="Arial" w:cs="Arial" w:eastAsia="Arial" w:hAnsi="Arial"/>
                <w:sz w:val="13"/>
                <w:szCs w:val="13"/>
                <w:color w:val="auto"/>
              </w:rPr>
              <w:t>4,065</w:t>
            </w:r>
          </w:p>
        </w:tc>
      </w:tr>
      <w:tr>
        <w:trPr>
          <w:trHeight w:val="155"/>
        </w:trPr>
        <w:tc>
          <w:tcPr>
            <w:tcW w:w="20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James Minicucci</w:t>
            </w:r>
          </w:p>
        </w:tc>
        <w:tc>
          <w:tcPr>
            <w:tcW w:w="1080" w:type="dxa"/>
            <w:vAlign w:val="bottom"/>
            <w:tcBorders>
              <w:bottom w:val="single" w:sz="8" w:color="867F7C"/>
            </w:tcBorders>
          </w:tcPr>
          <w:p>
            <w:pPr>
              <w:spacing w:after="0"/>
              <w:rPr>
                <w:sz w:val="13"/>
                <w:szCs w:val="13"/>
                <w:color w:val="auto"/>
              </w:rPr>
            </w:pPr>
          </w:p>
        </w:tc>
        <w:tc>
          <w:tcPr>
            <w:tcW w:w="460" w:type="dxa"/>
            <w:vAlign w:val="bottom"/>
            <w:tcBorders>
              <w:bottom w:val="single" w:sz="8" w:color="867F7C"/>
            </w:tcBorders>
          </w:tcPr>
          <w:p>
            <w:pPr>
              <w:jc w:val="right"/>
              <w:ind w:right="13"/>
              <w:spacing w:after="0"/>
              <w:rPr>
                <w:sz w:val="20"/>
                <w:szCs w:val="20"/>
                <w:color w:val="auto"/>
              </w:rPr>
            </w:pPr>
            <w:r>
              <w:rPr>
                <w:rFonts w:ascii="Arial" w:cs="Arial" w:eastAsia="Arial" w:hAnsi="Arial"/>
                <w:sz w:val="13"/>
                <w:szCs w:val="13"/>
                <w:color w:val="auto"/>
              </w:rPr>
              <w:t>125%</w:t>
            </w:r>
          </w:p>
        </w:tc>
        <w:tc>
          <w:tcPr>
            <w:tcW w:w="9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576,800</w:t>
            </w:r>
          </w:p>
        </w:tc>
        <w:tc>
          <w:tcPr>
            <w:tcW w:w="1360" w:type="dxa"/>
            <w:vAlign w:val="bottom"/>
            <w:tcBorders>
              <w:bottom w:val="single" w:sz="8" w:color="867F7C"/>
            </w:tcBorders>
          </w:tcPr>
          <w:p>
            <w:pPr>
              <w:jc w:val="right"/>
              <w:ind w:right="110"/>
              <w:spacing w:after="0"/>
              <w:rPr>
                <w:sz w:val="20"/>
                <w:szCs w:val="20"/>
                <w:color w:val="auto"/>
              </w:rPr>
            </w:pPr>
            <w:r>
              <w:rPr>
                <w:rFonts w:ascii="Arial" w:cs="Arial" w:eastAsia="Arial" w:hAnsi="Arial"/>
                <w:sz w:val="13"/>
                <w:szCs w:val="13"/>
                <w:color w:val="auto"/>
              </w:rPr>
              <w:t>346,080</w:t>
            </w:r>
          </w:p>
        </w:tc>
        <w:tc>
          <w:tcPr>
            <w:tcW w:w="1000" w:type="dxa"/>
            <w:vAlign w:val="bottom"/>
            <w:tcBorders>
              <w:bottom w:val="single" w:sz="8" w:color="867F7C"/>
            </w:tcBorders>
          </w:tcPr>
          <w:p>
            <w:pPr>
              <w:jc w:val="right"/>
              <w:ind w:right="51"/>
              <w:spacing w:after="0"/>
              <w:rPr>
                <w:sz w:val="20"/>
                <w:szCs w:val="20"/>
                <w:color w:val="auto"/>
              </w:rPr>
            </w:pPr>
            <w:r>
              <w:rPr>
                <w:rFonts w:ascii="Arial" w:cs="Arial" w:eastAsia="Arial" w:hAnsi="Arial"/>
                <w:sz w:val="13"/>
                <w:szCs w:val="13"/>
                <w:color w:val="auto"/>
              </w:rPr>
              <w:t>4,468</w:t>
            </w:r>
          </w:p>
        </w:tc>
        <w:tc>
          <w:tcPr>
            <w:tcW w:w="10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230,720</w:t>
            </w:r>
          </w:p>
        </w:tc>
        <w:tc>
          <w:tcPr>
            <w:tcW w:w="1080" w:type="dxa"/>
            <w:vAlign w:val="bottom"/>
            <w:tcBorders>
              <w:bottom w:val="single" w:sz="8" w:color="867F7C"/>
            </w:tcBorders>
          </w:tcPr>
          <w:p>
            <w:pPr>
              <w:jc w:val="right"/>
              <w:ind w:right="31"/>
              <w:spacing w:after="0"/>
              <w:rPr>
                <w:sz w:val="20"/>
                <w:szCs w:val="20"/>
                <w:color w:val="auto"/>
              </w:rPr>
            </w:pPr>
            <w:r>
              <w:rPr>
                <w:rFonts w:ascii="Arial" w:cs="Arial" w:eastAsia="Arial" w:hAnsi="Arial"/>
                <w:sz w:val="13"/>
                <w:szCs w:val="13"/>
                <w:color w:val="auto"/>
              </w:rPr>
              <w:t>2,979</w:t>
            </w:r>
          </w:p>
        </w:tc>
      </w:tr>
      <w:tr>
        <w:trPr>
          <w:trHeight w:val="155"/>
        </w:trPr>
        <w:tc>
          <w:tcPr>
            <w:tcW w:w="20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Karl Bostaph</w:t>
            </w:r>
          </w:p>
        </w:tc>
        <w:tc>
          <w:tcPr>
            <w:tcW w:w="1080" w:type="dxa"/>
            <w:vAlign w:val="bottom"/>
            <w:tcBorders>
              <w:bottom w:val="single" w:sz="8" w:color="867F7C"/>
            </w:tcBorders>
          </w:tcPr>
          <w:p>
            <w:pPr>
              <w:spacing w:after="0"/>
              <w:rPr>
                <w:sz w:val="13"/>
                <w:szCs w:val="13"/>
                <w:color w:val="auto"/>
              </w:rPr>
            </w:pPr>
          </w:p>
        </w:tc>
        <w:tc>
          <w:tcPr>
            <w:tcW w:w="460" w:type="dxa"/>
            <w:vAlign w:val="bottom"/>
            <w:tcBorders>
              <w:bottom w:val="single" w:sz="8" w:color="867F7C"/>
            </w:tcBorders>
          </w:tcPr>
          <w:p>
            <w:pPr>
              <w:jc w:val="right"/>
              <w:ind w:right="13"/>
              <w:spacing w:after="0"/>
              <w:rPr>
                <w:sz w:val="20"/>
                <w:szCs w:val="20"/>
                <w:color w:val="auto"/>
              </w:rPr>
            </w:pPr>
            <w:r>
              <w:rPr>
                <w:rFonts w:ascii="Arial" w:cs="Arial" w:eastAsia="Arial" w:hAnsi="Arial"/>
                <w:sz w:val="13"/>
                <w:szCs w:val="13"/>
                <w:color w:val="auto"/>
              </w:rPr>
              <w:t>100%</w:t>
            </w:r>
          </w:p>
        </w:tc>
        <w:tc>
          <w:tcPr>
            <w:tcW w:w="9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402,380</w:t>
            </w:r>
          </w:p>
        </w:tc>
        <w:tc>
          <w:tcPr>
            <w:tcW w:w="1360" w:type="dxa"/>
            <w:vAlign w:val="bottom"/>
            <w:tcBorders>
              <w:bottom w:val="single" w:sz="8" w:color="867F7C"/>
            </w:tcBorders>
          </w:tcPr>
          <w:p>
            <w:pPr>
              <w:jc w:val="right"/>
              <w:ind w:right="110"/>
              <w:spacing w:after="0"/>
              <w:rPr>
                <w:sz w:val="20"/>
                <w:szCs w:val="20"/>
                <w:color w:val="auto"/>
              </w:rPr>
            </w:pPr>
            <w:r>
              <w:rPr>
                <w:rFonts w:ascii="Arial" w:cs="Arial" w:eastAsia="Arial" w:hAnsi="Arial"/>
                <w:sz w:val="13"/>
                <w:szCs w:val="13"/>
                <w:color w:val="auto"/>
              </w:rPr>
              <w:t>241,428</w:t>
            </w:r>
          </w:p>
        </w:tc>
        <w:tc>
          <w:tcPr>
            <w:tcW w:w="1000" w:type="dxa"/>
            <w:vAlign w:val="bottom"/>
            <w:tcBorders>
              <w:bottom w:val="single" w:sz="8" w:color="867F7C"/>
            </w:tcBorders>
          </w:tcPr>
          <w:p>
            <w:pPr>
              <w:jc w:val="right"/>
              <w:ind w:right="51"/>
              <w:spacing w:after="0"/>
              <w:rPr>
                <w:sz w:val="20"/>
                <w:szCs w:val="20"/>
                <w:color w:val="auto"/>
              </w:rPr>
            </w:pPr>
            <w:r>
              <w:rPr>
                <w:rFonts w:ascii="Arial" w:cs="Arial" w:eastAsia="Arial" w:hAnsi="Arial"/>
                <w:sz w:val="13"/>
                <w:szCs w:val="13"/>
                <w:color w:val="auto"/>
              </w:rPr>
              <w:t>3,117</w:t>
            </w:r>
          </w:p>
        </w:tc>
        <w:tc>
          <w:tcPr>
            <w:tcW w:w="10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160,952</w:t>
            </w:r>
          </w:p>
        </w:tc>
        <w:tc>
          <w:tcPr>
            <w:tcW w:w="1080" w:type="dxa"/>
            <w:vAlign w:val="bottom"/>
            <w:tcBorders>
              <w:bottom w:val="single" w:sz="8" w:color="867F7C"/>
            </w:tcBorders>
          </w:tcPr>
          <w:p>
            <w:pPr>
              <w:jc w:val="right"/>
              <w:ind w:right="31"/>
              <w:spacing w:after="0"/>
              <w:rPr>
                <w:sz w:val="20"/>
                <w:szCs w:val="20"/>
                <w:color w:val="auto"/>
              </w:rPr>
            </w:pPr>
            <w:r>
              <w:rPr>
                <w:rFonts w:ascii="Arial" w:cs="Arial" w:eastAsia="Arial" w:hAnsi="Arial"/>
                <w:sz w:val="13"/>
                <w:szCs w:val="13"/>
                <w:color w:val="auto"/>
              </w:rPr>
              <w:t>2,078</w:t>
            </w:r>
          </w:p>
        </w:tc>
      </w:tr>
      <w:tr>
        <w:trPr>
          <w:trHeight w:val="155"/>
        </w:trPr>
        <w:tc>
          <w:tcPr>
            <w:tcW w:w="20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 Kevin Willis</w:t>
            </w:r>
          </w:p>
        </w:tc>
        <w:tc>
          <w:tcPr>
            <w:tcW w:w="1080" w:type="dxa"/>
            <w:vAlign w:val="bottom"/>
            <w:tcBorders>
              <w:bottom w:val="single" w:sz="8" w:color="867F7C"/>
            </w:tcBorders>
          </w:tcPr>
          <w:p>
            <w:pPr>
              <w:spacing w:after="0"/>
              <w:rPr>
                <w:sz w:val="13"/>
                <w:szCs w:val="13"/>
                <w:color w:val="auto"/>
              </w:rPr>
            </w:pPr>
          </w:p>
        </w:tc>
        <w:tc>
          <w:tcPr>
            <w:tcW w:w="460" w:type="dxa"/>
            <w:vAlign w:val="bottom"/>
            <w:tcBorders>
              <w:bottom w:val="single" w:sz="8" w:color="867F7C"/>
            </w:tcBorders>
          </w:tcPr>
          <w:p>
            <w:pPr>
              <w:jc w:val="right"/>
              <w:ind w:right="13"/>
              <w:spacing w:after="0"/>
              <w:rPr>
                <w:sz w:val="20"/>
                <w:szCs w:val="20"/>
                <w:color w:val="auto"/>
              </w:rPr>
            </w:pPr>
            <w:r>
              <w:rPr>
                <w:rFonts w:ascii="Arial" w:cs="Arial" w:eastAsia="Arial" w:hAnsi="Arial"/>
                <w:sz w:val="13"/>
                <w:szCs w:val="13"/>
                <w:color w:val="auto"/>
              </w:rPr>
              <w:t>225%</w:t>
            </w:r>
          </w:p>
        </w:tc>
        <w:tc>
          <w:tcPr>
            <w:tcW w:w="9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1,418,000</w:t>
            </w:r>
          </w:p>
        </w:tc>
        <w:tc>
          <w:tcPr>
            <w:tcW w:w="1360" w:type="dxa"/>
            <w:vAlign w:val="bottom"/>
            <w:tcBorders>
              <w:bottom w:val="single" w:sz="8" w:color="867F7C"/>
            </w:tcBorders>
          </w:tcPr>
          <w:p>
            <w:pPr>
              <w:jc w:val="right"/>
              <w:ind w:right="110"/>
              <w:spacing w:after="0"/>
              <w:rPr>
                <w:sz w:val="20"/>
                <w:szCs w:val="20"/>
                <w:color w:val="auto"/>
              </w:rPr>
            </w:pPr>
            <w:r>
              <w:rPr>
                <w:rFonts w:ascii="Arial" w:cs="Arial" w:eastAsia="Arial" w:hAnsi="Arial"/>
                <w:sz w:val="13"/>
                <w:szCs w:val="13"/>
                <w:color w:val="auto"/>
              </w:rPr>
              <w:t>850,800</w:t>
            </w:r>
          </w:p>
        </w:tc>
        <w:tc>
          <w:tcPr>
            <w:tcW w:w="1000" w:type="dxa"/>
            <w:vAlign w:val="bottom"/>
            <w:tcBorders>
              <w:bottom w:val="single" w:sz="8" w:color="867F7C"/>
            </w:tcBorders>
          </w:tcPr>
          <w:p>
            <w:pPr>
              <w:jc w:val="right"/>
              <w:ind w:right="51"/>
              <w:spacing w:after="0"/>
              <w:rPr>
                <w:sz w:val="20"/>
                <w:szCs w:val="20"/>
                <w:color w:val="auto"/>
              </w:rPr>
            </w:pPr>
            <w:r>
              <w:rPr>
                <w:rFonts w:ascii="Arial" w:cs="Arial" w:eastAsia="Arial" w:hAnsi="Arial"/>
                <w:sz w:val="13"/>
                <w:szCs w:val="13"/>
                <w:color w:val="auto"/>
              </w:rPr>
              <w:t>10,985</w:t>
            </w:r>
          </w:p>
        </w:tc>
        <w:tc>
          <w:tcPr>
            <w:tcW w:w="1080" w:type="dxa"/>
            <w:vAlign w:val="bottom"/>
            <w:tcBorders>
              <w:bottom w:val="single" w:sz="8" w:color="867F7C"/>
            </w:tcBorders>
          </w:tcPr>
          <w:p>
            <w:pPr>
              <w:jc w:val="right"/>
              <w:ind w:right="70"/>
              <w:spacing w:after="0"/>
              <w:rPr>
                <w:sz w:val="20"/>
                <w:szCs w:val="20"/>
                <w:color w:val="auto"/>
              </w:rPr>
            </w:pPr>
            <w:r>
              <w:rPr>
                <w:rFonts w:ascii="Arial" w:cs="Arial" w:eastAsia="Arial" w:hAnsi="Arial"/>
                <w:sz w:val="13"/>
                <w:szCs w:val="13"/>
                <w:color w:val="auto"/>
              </w:rPr>
              <w:t>567,200</w:t>
            </w:r>
          </w:p>
        </w:tc>
        <w:tc>
          <w:tcPr>
            <w:tcW w:w="1080" w:type="dxa"/>
            <w:vAlign w:val="bottom"/>
            <w:tcBorders>
              <w:bottom w:val="single" w:sz="8" w:color="867F7C"/>
            </w:tcBorders>
          </w:tcPr>
          <w:p>
            <w:pPr>
              <w:jc w:val="right"/>
              <w:ind w:right="31"/>
              <w:spacing w:after="0"/>
              <w:rPr>
                <w:sz w:val="20"/>
                <w:szCs w:val="20"/>
                <w:color w:val="auto"/>
              </w:rPr>
            </w:pPr>
            <w:r>
              <w:rPr>
                <w:rFonts w:ascii="Arial" w:cs="Arial" w:eastAsia="Arial" w:hAnsi="Arial"/>
                <w:sz w:val="13"/>
                <w:szCs w:val="13"/>
                <w:color w:val="auto"/>
              </w:rPr>
              <w:t>7,323</w:t>
            </w:r>
          </w:p>
        </w:tc>
      </w:tr>
    </w:tbl>
    <w:p>
      <w:pPr>
        <w:spacing w:after="0" w:line="165" w:lineRule="exact"/>
        <w:rPr>
          <w:sz w:val="20"/>
          <w:szCs w:val="20"/>
          <w:color w:val="auto"/>
        </w:rPr>
      </w:pPr>
    </w:p>
    <w:p>
      <w:pPr>
        <w:ind w:left="220" w:hanging="212"/>
        <w:spacing w:after="0"/>
        <w:tabs>
          <w:tab w:leader="none" w:pos="220" w:val="left"/>
        </w:tabs>
        <w:numPr>
          <w:ilvl w:val="0"/>
          <w:numId w:val="42"/>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number of units reflected here are based on the per share of Ashland Common Stock on November 13, 2024 ($77.45).</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fiscal year 2025-2027 PSU design</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Long-Term Incentive Performance Plan (“LTIPP”) for our NEOs in fiscal 2025 was composed of 60% in the form of PSUs and 40% in the form of RSUs. We grant executives a mix of equity award types to provide an effective balance between rewarding our NEOs for strong corporate performance and encouraging NEO retention. This design enhances the alignment of the executives’ interests and long-term strategies with those of our stockholders. LTIPP targets are expressed as a percentage of base salary and, in the</w:t>
      </w:r>
    </w:p>
    <w:p>
      <w:pPr>
        <w:spacing w:after="0" w:line="167"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486410</wp:posOffset>
            </wp:positionV>
            <wp:extent cx="703770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867F7C"/>
        </w:rPr>
        <w:t>compensation discussion and analysis</w:t>
      </w:r>
    </w:p>
    <w:p>
      <w:pPr>
        <w:spacing w:after="0" w:line="3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case of PSUs and RSUs, the number of units awarded is determined by dividing the amount of the LTIPP target by the closing price of Ashland Common Stock on the grant date and rounding down to the nearest whole share.</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performance stock units (“PSUs”)</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PSUs are designed to reward executives for achieving long-term performance that meets or exceeds pre-established performance metrics. PSUs vest in full at the end of the three-year performance period and the number of PSUs that can be earned by the NEOs depends upon the level of achievement against the pre-established performance metrics at the end of the performance period. PSUs issued prior to September 2024 are not entitled to receive dividend equivalents or to receive cash dividends during the performance period. After September 2024, dividend equivalents on PSUs are accumulated but only become payable if the underlying PSU vests. At the time of vesting, one share of Ashland Common Stock is issued for each PSU and any accrued dividend equivalents that were declared during the performance period.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restricted stock units (“RSUs”)</w:t>
      </w:r>
    </w:p>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RSUs provide strong retentive value, while still providing alignment with stockholder value creation. Our annual RSU grants generally vest in equal installments on each anniversary of the date of grant over a three-year period. Dividend equivalents are accrued on outstanding RSUs at the same time and at the same rate as dividends are paid to stockholders. Dividend equivalents on RSUs are accumulated but only become payable if the underlying RSU vests. At the time of vesting, one share of Ashland Common Stock is issued for each RSU and any accrued dividend equivalents.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annual RSU grants generally vest in equal installments on each anniversary of the date of grant over a three-year period. Dividend equivalents are accrued on outstanding RSUs at the same time and at the same rate as dividends are paid to stockholders. Dividend equivalents on RSUs are accumulated but only become payable if the underlying RSU vests. At the time of vesting, one share of Ashland Common Stock is issued for each RSU and any accrued dividend equivalents.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2024, the Compensation Committee reviewed and approved the performance metrics and target performance levels for the PSUs covering a performance period beginning October 1, 2024 and ending September 30, 2027 (the “2025-2027 PSUs”).</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structure for the 2025-2027 PSUs will be measured based on achievement against adjusted Return on Net Assets (“RONA”), adjusted Earnings Per Share (“aEPS”) and relative total stockholder return (“rTSR”) at the end of the performance period. Twenty percent (20%) of the PSUs will be earned based on the average of each fiscal year RONA final performance. Twenty percent (20%) of the PSUs will be earned based the Adjusted EPS performance at the end of fiscal year 2027. Sixty percent (60%) of the PSUs will be earned based on Ashland’s rTSR performance versus the S&amp;P400 at the end of fiscal year 2027. rTSR payout is capped @ 100% if overall performance is negative. Depending on the level of performance against the RONA, Adjusted EPS and rTSR metrics, NEOs can earn from 0% of the target number of PSUs to up to 200% of the target number of PSUs for above target performance.</w:t>
      </w:r>
    </w:p>
    <w:p>
      <w:pPr>
        <w:spacing w:after="0" w:line="13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Target performance against the rTSR metric is achieved for rTSR at the 50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peer group. Due to the competitive sensitivity and the forward-looking nature of the RONA and aEPS metrics, Ashland does not disclose the targets for the RONA or aEPS metric for in-progress PSU programs. The Compensation Committee nonetheless views the RONA and aEPS performance targets for the 2025-2027 PSUs as challenging to achieve and subject to performance risk. Both targets for the 2025-2027 PSUs will be disclosed in a future Ashland proxy statement reporting NEO compensation for the year in which the award has been earned.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38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867F7C"/>
        </w:rPr>
        <w:t>compensation discussion and analysis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4CCEDE"/>
        </w:rPr>
        <w:t>fiscal year 2023 - 2025 PSUs performance results and payouts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November 2022, the Compensation Committee established a three-year performance share unit program, covering a measurement period from October 1, 2022 to September 30, 2025 (the “2023-2025 PSUs”). The 2023-2025 PSUs could be earned based on achievement against two weighted performance metrics - RONA and rTSR.</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shows the performance objectives for each performance metric measured for the 2023-2025 PSUs, Ashland’s actual performance against those metrics, and the resulting payout as a percentage of the target performance: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EFEBE9"/>
          </w:tcPr>
          <w:p>
            <w:pPr>
              <w:spacing w:after="0"/>
              <w:rPr>
                <w:sz w:val="14"/>
                <w:szCs w:val="14"/>
                <w:color w:val="auto"/>
              </w:rPr>
            </w:pPr>
          </w:p>
        </w:tc>
        <w:tc>
          <w:tcPr>
            <w:tcW w:w="860" w:type="dxa"/>
            <w:vAlign w:val="bottom"/>
            <w:shd w:val="clear" w:color="auto" w:fill="EFEBE9"/>
          </w:tcPr>
          <w:p>
            <w:pPr>
              <w:spacing w:after="0"/>
              <w:rPr>
                <w:sz w:val="14"/>
                <w:szCs w:val="14"/>
                <w:color w:val="auto"/>
              </w:rPr>
            </w:pPr>
          </w:p>
        </w:tc>
        <w:tc>
          <w:tcPr>
            <w:tcW w:w="940" w:type="dxa"/>
            <w:vAlign w:val="bottom"/>
            <w:shd w:val="clear" w:color="auto" w:fill="EFEBE9"/>
          </w:tcPr>
          <w:p>
            <w:pPr>
              <w:spacing w:after="0"/>
              <w:rPr>
                <w:sz w:val="14"/>
                <w:szCs w:val="14"/>
                <w:color w:val="auto"/>
              </w:rPr>
            </w:pPr>
          </w:p>
        </w:tc>
        <w:tc>
          <w:tcPr>
            <w:tcW w:w="920" w:type="dxa"/>
            <w:vAlign w:val="bottom"/>
            <w:shd w:val="clear" w:color="auto" w:fill="EFEBE9"/>
          </w:tcPr>
          <w:p>
            <w:pPr>
              <w:spacing w:after="0"/>
              <w:rPr>
                <w:sz w:val="14"/>
                <w:szCs w:val="14"/>
                <w:color w:val="auto"/>
              </w:rPr>
            </w:pPr>
          </w:p>
        </w:tc>
        <w:tc>
          <w:tcPr>
            <w:tcW w:w="860" w:type="dxa"/>
            <w:vAlign w:val="bottom"/>
            <w:shd w:val="clear" w:color="auto" w:fill="EFEBE9"/>
          </w:tcPr>
          <w:p>
            <w:pPr>
              <w:spacing w:after="0"/>
              <w:rPr>
                <w:sz w:val="14"/>
                <w:szCs w:val="14"/>
                <w:color w:val="auto"/>
              </w:rPr>
            </w:pPr>
          </w:p>
        </w:tc>
        <w:tc>
          <w:tcPr>
            <w:tcW w:w="11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Adjusted</w:t>
            </w:r>
          </w:p>
        </w:tc>
        <w:tc>
          <w:tcPr>
            <w:tcW w:w="760" w:type="dxa"/>
            <w:vAlign w:val="bottom"/>
            <w:shd w:val="clear" w:color="auto" w:fill="EFEBE9"/>
          </w:tcPr>
          <w:p>
            <w:pPr>
              <w:jc w:val="center"/>
              <w:ind w:right="8"/>
              <w:spacing w:after="0"/>
              <w:rPr>
                <w:sz w:val="20"/>
                <w:szCs w:val="20"/>
                <w:color w:val="auto"/>
              </w:rPr>
            </w:pPr>
            <w:r>
              <w:rPr>
                <w:rFonts w:ascii="Arial" w:cs="Arial" w:eastAsia="Arial" w:hAnsi="Arial"/>
                <w:sz w:val="14"/>
                <w:szCs w:val="14"/>
                <w:b w:val="1"/>
                <w:bCs w:val="1"/>
                <w:color w:val="867F7C"/>
              </w:rPr>
              <w:t>Payout</w:t>
            </w:r>
          </w:p>
        </w:tc>
      </w:tr>
      <w:tr>
        <w:trPr>
          <w:trHeight w:val="162"/>
        </w:trPr>
        <w:tc>
          <w:tcPr>
            <w:tcW w:w="364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RONA and rTSR</w:t>
            </w:r>
          </w:p>
        </w:tc>
        <w:tc>
          <w:tcPr>
            <w:tcW w:w="860" w:type="dxa"/>
            <w:vAlign w:val="bottom"/>
            <w:shd w:val="clear" w:color="auto" w:fill="EFEBE9"/>
          </w:tcPr>
          <w:p>
            <w:pPr>
              <w:spacing w:after="0"/>
              <w:rPr>
                <w:sz w:val="14"/>
                <w:szCs w:val="14"/>
                <w:color w:val="auto"/>
              </w:rPr>
            </w:pPr>
          </w:p>
        </w:tc>
        <w:tc>
          <w:tcPr>
            <w:tcW w:w="9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Threshold</w:t>
            </w:r>
          </w:p>
        </w:tc>
        <w:tc>
          <w:tcPr>
            <w:tcW w:w="920" w:type="dxa"/>
            <w:vAlign w:val="bottom"/>
            <w:shd w:val="clear" w:color="auto" w:fill="EFEBE9"/>
          </w:tcPr>
          <w:p>
            <w:pPr>
              <w:spacing w:after="0"/>
              <w:rPr>
                <w:sz w:val="14"/>
                <w:szCs w:val="14"/>
                <w:color w:val="auto"/>
              </w:rPr>
            </w:pPr>
          </w:p>
        </w:tc>
        <w:tc>
          <w:tcPr>
            <w:tcW w:w="8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Maximum</w:t>
            </w:r>
          </w:p>
        </w:tc>
        <w:tc>
          <w:tcPr>
            <w:tcW w:w="11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Performance</w:t>
            </w:r>
          </w:p>
        </w:tc>
        <w:tc>
          <w:tcPr>
            <w:tcW w:w="7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 of</w:t>
            </w:r>
          </w:p>
        </w:tc>
      </w:tr>
      <w:tr>
        <w:trPr>
          <w:trHeight w:val="192"/>
        </w:trPr>
        <w:tc>
          <w:tcPr>
            <w:tcW w:w="364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Performance Levels</w:t>
            </w:r>
          </w:p>
        </w:tc>
        <w:tc>
          <w:tcPr>
            <w:tcW w:w="860" w:type="dxa"/>
            <w:vAlign w:val="bottom"/>
            <w:tcBorders>
              <w:bottom w:val="single" w:sz="8" w:color="EFEBE9"/>
            </w:tcBorders>
            <w:shd w:val="clear" w:color="auto" w:fill="EFEBE9"/>
          </w:tcPr>
          <w:p>
            <w:pPr>
              <w:jc w:val="right"/>
              <w:ind w:right="48"/>
              <w:spacing w:after="0"/>
              <w:rPr>
                <w:sz w:val="20"/>
                <w:szCs w:val="20"/>
                <w:color w:val="auto"/>
              </w:rPr>
            </w:pPr>
            <w:r>
              <w:rPr>
                <w:rFonts w:ascii="Arial" w:cs="Arial" w:eastAsia="Arial" w:hAnsi="Arial"/>
                <w:sz w:val="14"/>
                <w:szCs w:val="14"/>
                <w:b w:val="1"/>
                <w:bCs w:val="1"/>
                <w:color w:val="867F7C"/>
              </w:rPr>
              <w:t>Weighting</w:t>
            </w:r>
          </w:p>
        </w:tc>
        <w:tc>
          <w:tcPr>
            <w:tcW w:w="94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w:t>
            </w:r>
          </w:p>
        </w:tc>
        <w:tc>
          <w:tcPr>
            <w:tcW w:w="92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Target (%)</w:t>
            </w:r>
          </w:p>
        </w:tc>
        <w:tc>
          <w:tcPr>
            <w:tcW w:w="86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w:t>
            </w:r>
          </w:p>
        </w:tc>
        <w:tc>
          <w:tcPr>
            <w:tcW w:w="110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w:t>
            </w:r>
          </w:p>
        </w:tc>
        <w:tc>
          <w:tcPr>
            <w:tcW w:w="76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Target)</w:t>
            </w:r>
          </w:p>
        </w:tc>
      </w:tr>
      <w:tr>
        <w:trPr>
          <w:trHeight w:val="162"/>
        </w:trPr>
        <w:tc>
          <w:tcPr>
            <w:tcW w:w="364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RONA</w:t>
            </w:r>
          </w:p>
        </w:tc>
        <w:tc>
          <w:tcPr>
            <w:tcW w:w="86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40%</w:t>
            </w:r>
          </w:p>
        </w:tc>
        <w:tc>
          <w:tcPr>
            <w:tcW w:w="94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16.6</w:t>
            </w:r>
          </w:p>
        </w:tc>
        <w:tc>
          <w:tcPr>
            <w:tcW w:w="92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18.4</w:t>
            </w:r>
          </w:p>
        </w:tc>
        <w:tc>
          <w:tcPr>
            <w:tcW w:w="86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20.2</w:t>
            </w:r>
          </w:p>
        </w:tc>
        <w:tc>
          <w:tcPr>
            <w:tcW w:w="110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8.6</w:t>
            </w:r>
          </w:p>
        </w:tc>
        <w:tc>
          <w:tcPr>
            <w:tcW w:w="760" w:type="dxa"/>
            <w:vAlign w:val="bottom"/>
            <w:tcBorders>
              <w:bottom w:val="single" w:sz="8" w:color="867F7C"/>
            </w:tcBorders>
          </w:tcPr>
          <w:p>
            <w:pPr>
              <w:jc w:val="center"/>
              <w:spacing w:after="0"/>
              <w:rPr>
                <w:sz w:val="20"/>
                <w:szCs w:val="20"/>
                <w:color w:val="auto"/>
              </w:rPr>
            </w:pPr>
            <w:r>
              <w:rPr>
                <w:rFonts w:ascii="Arial" w:cs="Arial" w:eastAsia="Arial" w:hAnsi="Arial"/>
                <w:sz w:val="14"/>
                <w:szCs w:val="14"/>
                <w:color w:val="auto"/>
              </w:rPr>
              <w:t>0.0</w:t>
            </w:r>
          </w:p>
        </w:tc>
      </w:tr>
      <w:tr>
        <w:trPr>
          <w:trHeight w:val="155"/>
        </w:trPr>
        <w:tc>
          <w:tcPr>
            <w:tcW w:w="36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rTSR</w:t>
            </w:r>
          </w:p>
        </w:tc>
        <w:tc>
          <w:tcPr>
            <w:tcW w:w="86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60%</w:t>
            </w:r>
          </w:p>
        </w:tc>
        <w:tc>
          <w:tcPr>
            <w:tcW w:w="94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25.0</w:t>
            </w:r>
          </w:p>
        </w:tc>
        <w:tc>
          <w:tcPr>
            <w:tcW w:w="92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50.0</w:t>
            </w:r>
          </w:p>
        </w:tc>
        <w:tc>
          <w:tcPr>
            <w:tcW w:w="86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75.0</w:t>
            </w:r>
          </w:p>
        </w:tc>
        <w:tc>
          <w:tcPr>
            <w:tcW w:w="110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3.0</w:t>
            </w:r>
          </w:p>
        </w:tc>
        <w:tc>
          <w:tcPr>
            <w:tcW w:w="76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0.0</w:t>
            </w:r>
          </w:p>
        </w:tc>
      </w:tr>
      <w:tr>
        <w:trPr>
          <w:trHeight w:val="156"/>
        </w:trPr>
        <w:tc>
          <w:tcPr>
            <w:tcW w:w="364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Combined Weighted Payout (% of Target)</w:t>
            </w:r>
          </w:p>
        </w:tc>
        <w:tc>
          <w:tcPr>
            <w:tcW w:w="860" w:type="dxa"/>
            <w:vAlign w:val="bottom"/>
            <w:tcBorders>
              <w:bottom w:val="single" w:sz="8" w:color="867F7C"/>
            </w:tcBorders>
          </w:tcPr>
          <w:p>
            <w:pPr>
              <w:spacing w:after="0"/>
              <w:rPr>
                <w:sz w:val="13"/>
                <w:szCs w:val="13"/>
                <w:color w:val="auto"/>
              </w:rPr>
            </w:pPr>
          </w:p>
        </w:tc>
        <w:tc>
          <w:tcPr>
            <w:tcW w:w="94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spacing w:after="0"/>
              <w:rPr>
                <w:sz w:val="13"/>
                <w:szCs w:val="13"/>
                <w:color w:val="auto"/>
              </w:rPr>
            </w:pPr>
          </w:p>
        </w:tc>
        <w:tc>
          <w:tcPr>
            <w:tcW w:w="860" w:type="dxa"/>
            <w:vAlign w:val="bottom"/>
            <w:tcBorders>
              <w:bottom w:val="single" w:sz="8" w:color="867F7C"/>
            </w:tcBorders>
          </w:tcPr>
          <w:p>
            <w:pPr>
              <w:spacing w:after="0"/>
              <w:rPr>
                <w:sz w:val="13"/>
                <w:szCs w:val="13"/>
                <w:color w:val="auto"/>
              </w:rPr>
            </w:pPr>
          </w:p>
        </w:tc>
        <w:tc>
          <w:tcPr>
            <w:tcW w:w="110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center"/>
              <w:spacing w:after="0" w:line="155" w:lineRule="exact"/>
              <w:rPr>
                <w:sz w:val="20"/>
                <w:szCs w:val="20"/>
                <w:color w:val="auto"/>
              </w:rPr>
            </w:pPr>
            <w:r>
              <w:rPr>
                <w:rFonts w:ascii="Arial" w:cs="Arial" w:eastAsia="Arial" w:hAnsi="Arial"/>
                <w:sz w:val="14"/>
                <w:szCs w:val="14"/>
                <w:color w:val="auto"/>
              </w:rPr>
              <w:t>0.0</w:t>
            </w:r>
          </w:p>
        </w:tc>
      </w:tr>
    </w:tbl>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Ashland’s performance against each of these measures fell below the minimum level of performance required to earn a payout under the 2023 - 2025 PSUs, no NEO received a payout at the end of the performance period for the 2023 - 2025 PSUs as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shd w:val="clear" w:color="auto" w:fill="EFEBE9"/>
          </w:tcPr>
          <w:p>
            <w:pPr>
              <w:spacing w:after="0"/>
              <w:rPr>
                <w:sz w:val="14"/>
                <w:szCs w:val="14"/>
                <w:color w:val="auto"/>
              </w:rPr>
            </w:pPr>
          </w:p>
        </w:tc>
        <w:tc>
          <w:tcPr>
            <w:tcW w:w="1800" w:type="dxa"/>
            <w:vAlign w:val="bottom"/>
            <w:shd w:val="clear" w:color="auto" w:fill="EFEBE9"/>
          </w:tcPr>
          <w:p>
            <w:pPr>
              <w:spacing w:after="0"/>
              <w:rPr>
                <w:sz w:val="14"/>
                <w:szCs w:val="14"/>
                <w:color w:val="auto"/>
              </w:rPr>
            </w:pPr>
          </w:p>
        </w:tc>
        <w:tc>
          <w:tcPr>
            <w:tcW w:w="1580" w:type="dxa"/>
            <w:vAlign w:val="bottom"/>
            <w:shd w:val="clear" w:color="auto" w:fill="EFEBE9"/>
          </w:tcPr>
          <w:p>
            <w:pPr>
              <w:spacing w:after="0"/>
              <w:rPr>
                <w:sz w:val="14"/>
                <w:szCs w:val="14"/>
                <w:color w:val="auto"/>
              </w:rPr>
            </w:pPr>
          </w:p>
        </w:tc>
        <w:tc>
          <w:tcPr>
            <w:tcW w:w="15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Number of</w:t>
            </w:r>
          </w:p>
        </w:tc>
        <w:tc>
          <w:tcPr>
            <w:tcW w:w="620" w:type="dxa"/>
            <w:vAlign w:val="bottom"/>
            <w:shd w:val="clear" w:color="auto" w:fill="EFEBE9"/>
          </w:tcPr>
          <w:p>
            <w:pPr>
              <w:spacing w:after="0"/>
              <w:rPr>
                <w:sz w:val="14"/>
                <w:szCs w:val="14"/>
                <w:color w:val="auto"/>
              </w:rPr>
            </w:pPr>
          </w:p>
        </w:tc>
        <w:tc>
          <w:tcPr>
            <w:tcW w:w="1000" w:type="dxa"/>
            <w:vAlign w:val="bottom"/>
            <w:shd w:val="clear" w:color="auto" w:fill="EFEBE9"/>
          </w:tcPr>
          <w:p>
            <w:pPr>
              <w:spacing w:after="0"/>
              <w:rPr>
                <w:sz w:val="14"/>
                <w:szCs w:val="14"/>
                <w:color w:val="auto"/>
              </w:rPr>
            </w:pPr>
          </w:p>
        </w:tc>
      </w:tr>
      <w:tr>
        <w:trPr>
          <w:trHeight w:val="162"/>
        </w:trPr>
        <w:tc>
          <w:tcPr>
            <w:tcW w:w="2580" w:type="dxa"/>
            <w:vAlign w:val="bottom"/>
            <w:shd w:val="clear" w:color="auto" w:fill="EFEBE9"/>
          </w:tcPr>
          <w:p>
            <w:pPr>
              <w:spacing w:after="0"/>
              <w:rPr>
                <w:sz w:val="14"/>
                <w:szCs w:val="14"/>
                <w:color w:val="auto"/>
              </w:rPr>
            </w:pPr>
          </w:p>
        </w:tc>
        <w:tc>
          <w:tcPr>
            <w:tcW w:w="1800" w:type="dxa"/>
            <w:vAlign w:val="bottom"/>
            <w:shd w:val="clear" w:color="auto" w:fill="EFEBE9"/>
          </w:tcPr>
          <w:p>
            <w:pPr>
              <w:jc w:val="right"/>
              <w:ind w:right="408"/>
              <w:spacing w:after="0"/>
              <w:rPr>
                <w:sz w:val="20"/>
                <w:szCs w:val="20"/>
                <w:color w:val="auto"/>
              </w:rPr>
            </w:pPr>
            <w:r>
              <w:rPr>
                <w:rFonts w:ascii="Arial" w:cs="Arial" w:eastAsia="Arial" w:hAnsi="Arial"/>
                <w:sz w:val="14"/>
                <w:szCs w:val="14"/>
                <w:b w:val="1"/>
                <w:bCs w:val="1"/>
                <w:color w:val="867F7C"/>
              </w:rPr>
              <w:t>Number of</w:t>
            </w:r>
          </w:p>
        </w:tc>
        <w:tc>
          <w:tcPr>
            <w:tcW w:w="1580" w:type="dxa"/>
            <w:vAlign w:val="bottom"/>
            <w:shd w:val="clear" w:color="auto" w:fill="EFEBE9"/>
          </w:tcPr>
          <w:p>
            <w:pPr>
              <w:jc w:val="right"/>
              <w:ind w:right="528"/>
              <w:spacing w:after="0"/>
              <w:rPr>
                <w:sz w:val="20"/>
                <w:szCs w:val="20"/>
                <w:color w:val="auto"/>
              </w:rPr>
            </w:pPr>
            <w:r>
              <w:rPr>
                <w:rFonts w:ascii="Arial" w:cs="Arial" w:eastAsia="Arial" w:hAnsi="Arial"/>
                <w:sz w:val="14"/>
                <w:szCs w:val="14"/>
                <w:b w:val="1"/>
                <w:bCs w:val="1"/>
                <w:color w:val="867F7C"/>
              </w:rPr>
              <w:t>Award</w:t>
            </w:r>
          </w:p>
        </w:tc>
        <w:tc>
          <w:tcPr>
            <w:tcW w:w="15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Units</w:t>
            </w:r>
          </w:p>
        </w:tc>
        <w:tc>
          <w:tcPr>
            <w:tcW w:w="1620" w:type="dxa"/>
            <w:vAlign w:val="bottom"/>
            <w:gridSpan w:val="2"/>
            <w:shd w:val="clear" w:color="auto" w:fill="EFEBE9"/>
          </w:tcPr>
          <w:p>
            <w:pPr>
              <w:ind w:left="360"/>
              <w:spacing w:after="0"/>
              <w:rPr>
                <w:sz w:val="20"/>
                <w:szCs w:val="20"/>
                <w:color w:val="auto"/>
              </w:rPr>
            </w:pPr>
            <w:r>
              <w:rPr>
                <w:rFonts w:ascii="Arial" w:cs="Arial" w:eastAsia="Arial" w:hAnsi="Arial"/>
                <w:sz w:val="14"/>
                <w:szCs w:val="14"/>
                <w:b w:val="1"/>
                <w:bCs w:val="1"/>
                <w:color w:val="867F7C"/>
              </w:rPr>
              <w:t>Payout Amount</w:t>
            </w:r>
          </w:p>
        </w:tc>
      </w:tr>
      <w:tr>
        <w:trPr>
          <w:trHeight w:val="192"/>
        </w:trPr>
        <w:tc>
          <w:tcPr>
            <w:tcW w:w="258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NEO</w:t>
            </w:r>
          </w:p>
        </w:tc>
        <w:tc>
          <w:tcPr>
            <w:tcW w:w="1800" w:type="dxa"/>
            <w:vAlign w:val="bottom"/>
            <w:tcBorders>
              <w:bottom w:val="single" w:sz="8" w:color="EFEBE9"/>
            </w:tcBorders>
            <w:shd w:val="clear" w:color="auto" w:fill="EFEBE9"/>
          </w:tcPr>
          <w:p>
            <w:pPr>
              <w:jc w:val="right"/>
              <w:ind w:right="288"/>
              <w:spacing w:after="0"/>
              <w:rPr>
                <w:sz w:val="20"/>
                <w:szCs w:val="20"/>
                <w:color w:val="auto"/>
              </w:rPr>
            </w:pPr>
            <w:r>
              <w:rPr>
                <w:rFonts w:ascii="Arial" w:cs="Arial" w:eastAsia="Arial" w:hAnsi="Arial"/>
                <w:sz w:val="14"/>
                <w:szCs w:val="14"/>
                <w:b w:val="1"/>
                <w:bCs w:val="1"/>
                <w:color w:val="867F7C"/>
              </w:rPr>
              <w:t>PSUs Granted</w:t>
            </w:r>
          </w:p>
        </w:tc>
        <w:tc>
          <w:tcPr>
            <w:tcW w:w="1580" w:type="dxa"/>
            <w:vAlign w:val="bottom"/>
            <w:tcBorders>
              <w:bottom w:val="single" w:sz="8" w:color="EFEBE9"/>
            </w:tcBorders>
            <w:shd w:val="clear" w:color="auto" w:fill="EFEBE9"/>
          </w:tcPr>
          <w:p>
            <w:pPr>
              <w:jc w:val="right"/>
              <w:ind w:right="348"/>
              <w:spacing w:after="0"/>
              <w:rPr>
                <w:sz w:val="20"/>
                <w:szCs w:val="20"/>
                <w:color w:val="auto"/>
              </w:rPr>
            </w:pPr>
            <w:r>
              <w:rPr>
                <w:rFonts w:ascii="Arial" w:cs="Arial" w:eastAsia="Arial" w:hAnsi="Arial"/>
                <w:sz w:val="14"/>
                <w:szCs w:val="14"/>
                <w:b w:val="1"/>
                <w:bCs w:val="1"/>
                <w:color w:val="867F7C"/>
              </w:rPr>
              <w:t>% of Target</w:t>
            </w:r>
          </w:p>
        </w:tc>
        <w:tc>
          <w:tcPr>
            <w:tcW w:w="150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Earned (#)</w:t>
            </w:r>
          </w:p>
        </w:tc>
        <w:tc>
          <w:tcPr>
            <w:tcW w:w="620" w:type="dxa"/>
            <w:vAlign w:val="bottom"/>
            <w:tcBorders>
              <w:bottom w:val="single" w:sz="8" w:color="EFEBE9"/>
            </w:tcBorders>
            <w:shd w:val="clear" w:color="auto" w:fill="EFEBE9"/>
          </w:tcPr>
          <w:p>
            <w:pPr>
              <w:spacing w:after="0"/>
              <w:rPr>
                <w:sz w:val="16"/>
                <w:szCs w:val="16"/>
                <w:color w:val="auto"/>
              </w:rPr>
            </w:pPr>
          </w:p>
        </w:tc>
        <w:tc>
          <w:tcPr>
            <w:tcW w:w="1000" w:type="dxa"/>
            <w:vAlign w:val="bottom"/>
            <w:tcBorders>
              <w:bottom w:val="single" w:sz="8" w:color="EFEBE9"/>
            </w:tcBorders>
            <w:shd w:val="clear" w:color="auto" w:fill="EFEBE9"/>
          </w:tcPr>
          <w:p>
            <w:pPr>
              <w:jc w:val="right"/>
              <w:ind w:right="568"/>
              <w:spacing w:after="0"/>
              <w:rPr>
                <w:sz w:val="20"/>
                <w:szCs w:val="20"/>
                <w:color w:val="auto"/>
              </w:rPr>
            </w:pPr>
            <w:r>
              <w:rPr>
                <w:rFonts w:ascii="Arial" w:cs="Arial" w:eastAsia="Arial" w:hAnsi="Arial"/>
                <w:sz w:val="14"/>
                <w:szCs w:val="14"/>
                <w:b w:val="1"/>
                <w:bCs w:val="1"/>
                <w:color w:val="867F7C"/>
              </w:rPr>
              <w:t>($)</w:t>
            </w:r>
          </w:p>
        </w:tc>
      </w:tr>
      <w:tr>
        <w:trPr>
          <w:trHeight w:val="215"/>
        </w:trPr>
        <w:tc>
          <w:tcPr>
            <w:tcW w:w="25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180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26,006</w:t>
            </w:r>
          </w:p>
        </w:tc>
        <w:tc>
          <w:tcPr>
            <w:tcW w:w="1580" w:type="dxa"/>
            <w:vAlign w:val="bottom"/>
            <w:tcBorders>
              <w:bottom w:val="single" w:sz="8" w:color="867F7C"/>
            </w:tcBorders>
          </w:tcPr>
          <w:p>
            <w:pPr>
              <w:jc w:val="right"/>
              <w:ind w:right="348"/>
              <w:spacing w:after="0"/>
              <w:rPr>
                <w:sz w:val="20"/>
                <w:szCs w:val="20"/>
                <w:color w:val="auto"/>
              </w:rPr>
            </w:pPr>
            <w:r>
              <w:rPr>
                <w:rFonts w:ascii="Arial" w:cs="Arial" w:eastAsia="Arial" w:hAnsi="Arial"/>
                <w:sz w:val="14"/>
                <w:szCs w:val="14"/>
                <w:color w:val="auto"/>
              </w:rPr>
              <w:t>0.0%</w:t>
            </w:r>
          </w:p>
        </w:tc>
        <w:tc>
          <w:tcPr>
            <w:tcW w:w="150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w:t>
            </w:r>
          </w:p>
        </w:tc>
      </w:tr>
      <w:tr>
        <w:trPr>
          <w:trHeight w:val="209"/>
        </w:trPr>
        <w:tc>
          <w:tcPr>
            <w:tcW w:w="25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William Whitaker</w:t>
            </w:r>
          </w:p>
        </w:tc>
        <w:tc>
          <w:tcPr>
            <w:tcW w:w="180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449</w:t>
            </w:r>
          </w:p>
        </w:tc>
        <w:tc>
          <w:tcPr>
            <w:tcW w:w="1580" w:type="dxa"/>
            <w:vAlign w:val="bottom"/>
            <w:tcBorders>
              <w:bottom w:val="single" w:sz="8" w:color="867F7C"/>
            </w:tcBorders>
          </w:tcPr>
          <w:p>
            <w:pPr>
              <w:jc w:val="right"/>
              <w:ind w:right="348"/>
              <w:spacing w:after="0"/>
              <w:rPr>
                <w:sz w:val="20"/>
                <w:szCs w:val="20"/>
                <w:color w:val="auto"/>
              </w:rPr>
            </w:pPr>
            <w:r>
              <w:rPr>
                <w:rFonts w:ascii="Arial" w:cs="Arial" w:eastAsia="Arial" w:hAnsi="Arial"/>
                <w:sz w:val="14"/>
                <w:szCs w:val="14"/>
                <w:color w:val="auto"/>
              </w:rPr>
              <w:t>0.0%</w:t>
            </w:r>
          </w:p>
        </w:tc>
        <w:tc>
          <w:tcPr>
            <w:tcW w:w="150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w:t>
            </w:r>
          </w:p>
        </w:tc>
      </w:tr>
      <w:tr>
        <w:trPr>
          <w:trHeight w:val="210"/>
        </w:trPr>
        <w:tc>
          <w:tcPr>
            <w:tcW w:w="2580" w:type="dxa"/>
            <w:vAlign w:val="bottom"/>
            <w:tcBorders>
              <w:bottom w:val="single" w:sz="8" w:color="867F7C"/>
            </w:tcBorders>
          </w:tcPr>
          <w:p>
            <w:pPr>
              <w:ind w:left="100"/>
              <w:spacing w:after="0" w:line="211" w:lineRule="exact"/>
              <w:rPr>
                <w:sz w:val="20"/>
                <w:szCs w:val="20"/>
                <w:color w:val="auto"/>
              </w:rPr>
            </w:pPr>
            <w:r>
              <w:rPr>
                <w:rFonts w:ascii="Arial" w:cs="Arial" w:eastAsia="Arial" w:hAnsi="Arial"/>
                <w:sz w:val="14"/>
                <w:szCs w:val="14"/>
                <w:b w:val="1"/>
                <w:bCs w:val="1"/>
                <w:color w:val="4CCEDE"/>
              </w:rPr>
              <w:t>Alessandra Faccin Assis</w:t>
            </w:r>
            <w:r>
              <w:rPr>
                <w:rFonts w:ascii="Arial" w:cs="Arial" w:eastAsia="Arial" w:hAnsi="Arial"/>
                <w:sz w:val="19"/>
                <w:szCs w:val="19"/>
                <w:b w:val="1"/>
                <w:bCs w:val="1"/>
                <w:color w:val="4CCEDE"/>
                <w:vertAlign w:val="superscript"/>
              </w:rPr>
              <w:t>(1)</w:t>
            </w:r>
          </w:p>
        </w:tc>
        <w:tc>
          <w:tcPr>
            <w:tcW w:w="180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867F7C"/>
            </w:tcBorders>
          </w:tcPr>
          <w:p>
            <w:pPr>
              <w:jc w:val="right"/>
              <w:ind w:right="4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w:t>
            </w:r>
          </w:p>
        </w:tc>
      </w:tr>
      <w:tr>
        <w:trPr>
          <w:trHeight w:val="209"/>
        </w:trPr>
        <w:tc>
          <w:tcPr>
            <w:tcW w:w="25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Osama M. Musa</w:t>
            </w:r>
          </w:p>
        </w:tc>
        <w:tc>
          <w:tcPr>
            <w:tcW w:w="180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4,140</w:t>
            </w:r>
          </w:p>
        </w:tc>
        <w:tc>
          <w:tcPr>
            <w:tcW w:w="1580" w:type="dxa"/>
            <w:vAlign w:val="bottom"/>
            <w:tcBorders>
              <w:bottom w:val="single" w:sz="8" w:color="867F7C"/>
            </w:tcBorders>
          </w:tcPr>
          <w:p>
            <w:pPr>
              <w:jc w:val="right"/>
              <w:ind w:right="348"/>
              <w:spacing w:after="0"/>
              <w:rPr>
                <w:sz w:val="20"/>
                <w:szCs w:val="20"/>
                <w:color w:val="auto"/>
              </w:rPr>
            </w:pPr>
            <w:r>
              <w:rPr>
                <w:rFonts w:ascii="Arial" w:cs="Arial" w:eastAsia="Arial" w:hAnsi="Arial"/>
                <w:sz w:val="14"/>
                <w:szCs w:val="14"/>
                <w:color w:val="auto"/>
              </w:rPr>
              <w:t>0.0%</w:t>
            </w:r>
          </w:p>
        </w:tc>
        <w:tc>
          <w:tcPr>
            <w:tcW w:w="150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w:t>
            </w:r>
          </w:p>
        </w:tc>
      </w:tr>
      <w:tr>
        <w:trPr>
          <w:trHeight w:val="210"/>
        </w:trPr>
        <w:tc>
          <w:tcPr>
            <w:tcW w:w="2580" w:type="dxa"/>
            <w:vAlign w:val="bottom"/>
            <w:tcBorders>
              <w:bottom w:val="single" w:sz="8" w:color="867F7C"/>
            </w:tcBorders>
          </w:tcPr>
          <w:p>
            <w:pPr>
              <w:ind w:left="100"/>
              <w:spacing w:after="0" w:line="211" w:lineRule="exact"/>
              <w:rPr>
                <w:sz w:val="20"/>
                <w:szCs w:val="20"/>
                <w:color w:val="auto"/>
              </w:rPr>
            </w:pPr>
            <w:r>
              <w:rPr>
                <w:rFonts w:ascii="Arial" w:cs="Arial" w:eastAsia="Arial" w:hAnsi="Arial"/>
                <w:sz w:val="14"/>
                <w:szCs w:val="14"/>
                <w:b w:val="1"/>
                <w:bCs w:val="1"/>
                <w:color w:val="4CCEDE"/>
              </w:rPr>
              <w:t xml:space="preserve">James Minicucci </w:t>
            </w:r>
            <w:r>
              <w:rPr>
                <w:rFonts w:ascii="Arial" w:cs="Arial" w:eastAsia="Arial" w:hAnsi="Arial"/>
                <w:sz w:val="19"/>
                <w:szCs w:val="19"/>
                <w:b w:val="1"/>
                <w:bCs w:val="1"/>
                <w:color w:val="4CCEDE"/>
                <w:vertAlign w:val="superscript"/>
              </w:rPr>
              <w:t>(1)</w:t>
            </w:r>
          </w:p>
        </w:tc>
        <w:tc>
          <w:tcPr>
            <w:tcW w:w="180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867F7C"/>
            </w:tcBorders>
          </w:tcPr>
          <w:p>
            <w:pPr>
              <w:jc w:val="right"/>
              <w:ind w:right="4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w:t>
            </w:r>
          </w:p>
        </w:tc>
      </w:tr>
      <w:tr>
        <w:trPr>
          <w:trHeight w:val="209"/>
        </w:trPr>
        <w:tc>
          <w:tcPr>
            <w:tcW w:w="25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Karl Bostaph</w:t>
            </w:r>
          </w:p>
        </w:tc>
        <w:tc>
          <w:tcPr>
            <w:tcW w:w="180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1,678</w:t>
            </w:r>
          </w:p>
        </w:tc>
        <w:tc>
          <w:tcPr>
            <w:tcW w:w="1580" w:type="dxa"/>
            <w:vAlign w:val="bottom"/>
            <w:tcBorders>
              <w:bottom w:val="single" w:sz="8" w:color="867F7C"/>
            </w:tcBorders>
          </w:tcPr>
          <w:p>
            <w:pPr>
              <w:jc w:val="right"/>
              <w:ind w:right="348"/>
              <w:spacing w:after="0"/>
              <w:rPr>
                <w:sz w:val="20"/>
                <w:szCs w:val="20"/>
                <w:color w:val="auto"/>
              </w:rPr>
            </w:pPr>
            <w:r>
              <w:rPr>
                <w:rFonts w:ascii="Arial" w:cs="Arial" w:eastAsia="Arial" w:hAnsi="Arial"/>
                <w:sz w:val="14"/>
                <w:szCs w:val="14"/>
                <w:color w:val="auto"/>
              </w:rPr>
              <w:t>0.0%</w:t>
            </w:r>
          </w:p>
        </w:tc>
        <w:tc>
          <w:tcPr>
            <w:tcW w:w="150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w:t>
            </w:r>
          </w:p>
        </w:tc>
      </w:tr>
      <w:tr>
        <w:trPr>
          <w:trHeight w:val="210"/>
        </w:trPr>
        <w:tc>
          <w:tcPr>
            <w:tcW w:w="258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 Kevin Willis</w:t>
            </w:r>
          </w:p>
        </w:tc>
        <w:tc>
          <w:tcPr>
            <w:tcW w:w="180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7,683</w:t>
            </w:r>
          </w:p>
        </w:tc>
        <w:tc>
          <w:tcPr>
            <w:tcW w:w="1580" w:type="dxa"/>
            <w:vAlign w:val="bottom"/>
            <w:tcBorders>
              <w:bottom w:val="single" w:sz="8" w:color="867F7C"/>
            </w:tcBorders>
          </w:tcPr>
          <w:p>
            <w:pPr>
              <w:jc w:val="right"/>
              <w:ind w:right="348"/>
              <w:spacing w:after="0"/>
              <w:rPr>
                <w:sz w:val="20"/>
                <w:szCs w:val="20"/>
                <w:color w:val="auto"/>
              </w:rPr>
            </w:pPr>
            <w:r>
              <w:rPr>
                <w:rFonts w:ascii="Arial" w:cs="Arial" w:eastAsia="Arial" w:hAnsi="Arial"/>
                <w:sz w:val="14"/>
                <w:szCs w:val="14"/>
                <w:color w:val="auto"/>
              </w:rPr>
              <w:t>0.0%</w:t>
            </w:r>
          </w:p>
        </w:tc>
        <w:tc>
          <w:tcPr>
            <w:tcW w:w="150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w:t>
            </w:r>
          </w:p>
        </w:tc>
      </w:tr>
    </w:tbl>
    <w:p>
      <w:pPr>
        <w:spacing w:after="0" w:line="273" w:lineRule="exact"/>
        <w:rPr>
          <w:sz w:val="20"/>
          <w:szCs w:val="20"/>
          <w:color w:val="auto"/>
        </w:rPr>
      </w:pPr>
    </w:p>
    <w:p>
      <w:pPr>
        <w:ind w:left="220" w:hanging="212"/>
        <w:spacing w:after="0"/>
        <w:tabs>
          <w:tab w:leader="none" w:pos="220" w:val="left"/>
        </w:tabs>
        <w:numPr>
          <w:ilvl w:val="0"/>
          <w:numId w:val="4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Ms. Faccin Assis and Mr. Minicucci were hired after November 2022 and thus were not eligible to receive a 2023 PSU award.</w:t>
      </w:r>
    </w:p>
    <w:p>
      <w:pPr>
        <w:spacing w:after="0" w:line="262"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other compensation elements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CCEDE"/>
        </w:rPr>
        <w:t>retirement benefits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Ashland offers NEOs a combination of tax-qualified and non-qualified retirement plans that are designed to assist the NEOs in building savings for retirement over the term of their employment. A summary of our various plans is listed below.</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Employee Savings Plan is a tax-qualified vehicle which provides retirement benefits to the NEOs and their families. The benefits in this plan are available to most U.S.-based employees. The Company contributions, 4% match and 4% basic contribution, are funded to an external trust and are separate from the assets of Ashland and by law are protected from Ashland’s creditors.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benefits that may be provided under the tax-qualified plan are limited by the IRS. This plan, standing alone, does not provide sufficient retirement income to the NEOs when compared to their pay as an active employee. To make up for this gap in potential replacement income in retirement, Ashland offers the NEOs non-qualified retirement plans that complement each other and the tax-qualified plan (non-qualified defined contribution plan and voluntary employee deferral plan).</w:t>
      </w:r>
    </w:p>
    <w:p>
      <w:pPr>
        <w:spacing w:after="0" w:line="153"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867F7C"/>
        </w:rPr>
        <w:t>compensation discussion and analysis</w:t>
      </w:r>
    </w:p>
    <w:p>
      <w:pPr>
        <w:spacing w:after="0" w:line="3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Ashland has an unfunded, non-qualified defined contribution plan that provides a company contribution equivalent to a base contribution of 4% basic and a 4% Company match on annual incentive compensation paid and eligible earnings in excess of limits established under Code Section 401(a)(17) not permitted in the Employee Savings Plan.</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Ashland also has employee deferral plans that allow the NEOs to annually make a separate deferral election so that the NEOs and other senior leaders can save amounts from their own pay in addition to amounts they are allowed to save in the Employee Savings Plan.</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 description of these plans, see the “Non-Qualified Deferred Compensation” section on page 51 of this Proxy Statement.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NEOs are also offered additional benefits the same as other U.S.-based employees.</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4CCEDE"/>
        </w:rPr>
        <w:t>executive perquisites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Ashland provides the NEOs and other selected executives with financial planning services (including tax preparation) and reimbursement for an annual executive physical. Each NEO also participates in various health and welfare programs, in each case, on the same terms (including with respect to premiums paid and Company contributions) as are available to Ashland employees generally.</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reviews the perquisites provided to executive officers as part of its overall review of executive compensation. The Compensation Committee has determined the perquisites serve a useful business purpose, as such expenditures allow the executives to be more effective in their duties and the types and amounts are well within the appropriate range of market practices. A detailed description of the cost of these perquisites is included in the “Summary Compensation Table” section of this Proxy Statement.</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4CCEDE"/>
        </w:rPr>
        <w:t>senior leadership severance plan</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August 2021, the Committee approved a Senior Leadership Severance Plan for U.S. executive officers and certain senior leaders (the “Senior Leadership Severance Plan”) designed to provide for financial protection to certain key executives of the Company in the event of unexpected job loss (whether before or in connection with a Change in Control), in order to encourage the continued attention of Participants who are expected to make substantial contributions to the success of the Company and thereby provide for stability and continuity of management. The Senior Leadership Severance Plan provides certain benefits in the event of a qualified termination with and without a change in control. A qualified termination means any termination of a Participant’s employment: (i) at any time other than during the Change in Control Protection Period, by the Company without Cause (and not as a result of the Participant’s disability or death); or (ii) solely during the Change in Control Protection Period, by the Company without Cause (and not as a result of the Participant’s disability or death), or by the Participant for Good Reason. The plan does not provide benefits in the event of a termination for cause or a voluntary resignation.</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Senior Leadership Severance Plan, in the event of a termination without cause or resignation for good reason within two years after a change in control and not otherwise covered by a change in control agreement, certain benefits will be paid as follows:</w:t>
      </w:r>
    </w:p>
    <w:p>
      <w:pPr>
        <w:spacing w:after="0" w:line="61" w:lineRule="exact"/>
        <w:rPr>
          <w:sz w:val="20"/>
          <w:szCs w:val="20"/>
          <w:color w:val="auto"/>
        </w:rPr>
      </w:pPr>
    </w:p>
    <w:p>
      <w:pPr>
        <w:ind w:left="240" w:hanging="232"/>
        <w:spacing w:after="0" w:line="270" w:lineRule="auto"/>
        <w:tabs>
          <w:tab w:leader="none" w:pos="240" w:val="left"/>
        </w:tabs>
        <w:numPr>
          <w:ilvl w:val="0"/>
          <w:numId w:val="44"/>
        </w:numPr>
        <w:rPr>
          <w:rFonts w:ascii="Times New Roman" w:cs="Times New Roman" w:eastAsia="Times New Roman" w:hAnsi="Times New Roman"/>
          <w:sz w:val="18"/>
          <w:szCs w:val="18"/>
          <w:color w:val="4CCEDE"/>
        </w:rPr>
      </w:pPr>
      <w:r>
        <w:rPr>
          <w:rFonts w:ascii="Arial" w:cs="Arial" w:eastAsia="Arial" w:hAnsi="Arial"/>
          <w:sz w:val="18"/>
          <w:szCs w:val="18"/>
          <w:color w:val="auto"/>
        </w:rPr>
        <w:t>Lump sum cash severance (2x—3x) annual base salary, target annual incentive plan bonus and current fiscal year annual incentive plan bonus (pro-rated);</w:t>
      </w:r>
    </w:p>
    <w:p>
      <w:pPr>
        <w:spacing w:after="0" w:line="46"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44"/>
        </w:numPr>
        <w:rPr>
          <w:rFonts w:ascii="Times New Roman" w:cs="Times New Roman" w:eastAsia="Times New Roman" w:hAnsi="Times New Roman"/>
          <w:sz w:val="18"/>
          <w:szCs w:val="18"/>
          <w:color w:val="4CCEDE"/>
        </w:rPr>
      </w:pPr>
      <w:r>
        <w:rPr>
          <w:rFonts w:ascii="Arial" w:cs="Arial" w:eastAsia="Arial" w:hAnsi="Arial"/>
          <w:sz w:val="18"/>
          <w:szCs w:val="18"/>
          <w:color w:val="auto"/>
        </w:rPr>
        <w:t>Continued coverage under Ashland’s medical, dental and vision plans for the applicable COBRA continuation period, with Ashland continuing to subsidize its share of the premium for the same period;</w:t>
      </w:r>
    </w:p>
    <w:p>
      <w:pPr>
        <w:spacing w:after="0" w:line="4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44"/>
        </w:numPr>
        <w:rPr>
          <w:rFonts w:ascii="Times New Roman" w:cs="Times New Roman" w:eastAsia="Times New Roman" w:hAnsi="Times New Roman"/>
          <w:sz w:val="18"/>
          <w:szCs w:val="18"/>
          <w:color w:val="4CCEDE"/>
        </w:rPr>
      </w:pPr>
      <w:r>
        <w:rPr>
          <w:rFonts w:ascii="Arial" w:cs="Arial" w:eastAsia="Arial" w:hAnsi="Arial"/>
          <w:sz w:val="18"/>
          <w:szCs w:val="18"/>
          <w:color w:val="auto"/>
        </w:rPr>
        <w:t>Outplacement services for up to one year and reimbursement of legal fees to enforce rights to benefits; and</w:t>
      </w:r>
    </w:p>
    <w:p>
      <w:pPr>
        <w:spacing w:after="0" w:line="11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44"/>
        </w:numPr>
        <w:rPr>
          <w:rFonts w:ascii="Times New Roman" w:cs="Times New Roman" w:eastAsia="Times New Roman" w:hAnsi="Times New Roman"/>
          <w:sz w:val="18"/>
          <w:szCs w:val="18"/>
          <w:color w:val="4CCEDE"/>
        </w:rPr>
      </w:pPr>
      <w:r>
        <w:rPr>
          <w:rFonts w:ascii="Arial" w:cs="Arial" w:eastAsia="Arial" w:hAnsi="Arial"/>
          <w:sz w:val="18"/>
          <w:szCs w:val="18"/>
          <w:color w:val="auto"/>
        </w:rPr>
        <w:t>Financial planning services for the current calendar year for plan participants prior to September 2022.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40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867F7C"/>
        </w:rPr>
        <w:t>compensation discussion and analysis</w:t>
      </w:r>
    </w:p>
    <w:p>
      <w:pPr>
        <w:spacing w:after="0" w:line="3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detailed description of this plan is included in the “Potential Payments upon Termination or Change in Control” section on page 52 of this Proxy Statement.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4CCEDE"/>
        </w:rPr>
        <w:t>change in control agreements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Novo entered into a change in control agreement that sets forth the economic consequences and entitlements for a termination without cause or for good reason after a change in control. The primary purpose of these agreements is to align executive and stockholder interests by enabling the executives to assess possible corporate transactions without regard to the effect such transactions could have on their employment.</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detailed description of these agreements is included in the “Potential Payments upon Termination or Change in Control” section on page 52 of this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compensation setting process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CCEDE"/>
        </w:rPr>
        <w:t>role of stockholder say-on-pay votes</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regularly reviews the philosophy, objectives and elements of our executive compensation programs in relation to our short- and long-term business objectives. In undertaking this review, the Compensation Committee considers the views of stockholders as reflected in their annual advisory vote on our executive compensation proposal. At our 2025 Annual Meeting, stockholders approved our executive compensation proposal by an overwhelming majority (approximately 98%). Based on the Compensation Committee’s review and the support of our executive compensation programs received from stockholders, the Compensation Committee maintained the core elements of our executive compensation programs in fiscal 2025.</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4CCEDE"/>
        </w:rPr>
        <w:t>role of the compensation committee</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is responsible for the approval and administration of compensation programs for directors, executive officers and certain other employees of Ashland. The Compensation Committee frequently reviews Ashland’s compensation practices and considers, among other things: Ashland’s compensation philosophy, its financial and operating performance, individual performance, practices and compensation levels of peer companies and the voting guidelines of certain proxy advisory firms and stockholders. In making compensation decisions, the Compensation Committee uses several resources and tools, including competitive market information, and reviews accumulated and potential equity holdings.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making individual recommendations to the Compensation Committee for NEOs other than himself with respect to base salary, annual incentive and long-term compensation, the CEO considers the relative importance of the executive’s position within the organization, individual tenure and experience, individual performance and the contributions to Ashland’s financial and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4CCEDE"/>
        </w:rPr>
        <w:t>role of management</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also plays an important role in the process of setting compensation for executives other than the CEO. The CEO, and in certain instances other executives, in consultation with the Compensation Committee’s independent compensation consultant and human resources, develops compensation recommendations for the Compensation Committee’s consideration.</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4CCEDE"/>
        </w:rPr>
        <w:t>role of the independent compensation committee consultant</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July 2020, the Compensation Committee engaged Meridian Compensation Partners, LLC (“Meridian”) as its consultant, which continued throughout fiscal 2025. Meridian is independent under the Dodd-Frank</w:t>
      </w:r>
    </w:p>
    <w:p>
      <w:pPr>
        <w:spacing w:after="0" w:line="130"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867F7C"/>
        </w:rPr>
        <w:t>compensation discussion and analysis</w:t>
      </w:r>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Wall Street Reform and Consumer Protection Act and does not provide any other non-executive compensation related work for Ashland. During fiscal 2025, Meridian assisted the Compensation Committee with various activities related to benchmarking and advising on executive compensation matters.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4CCEDE"/>
        </w:rPr>
        <w:t>compensation comparator peer group</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primarily uses two comparator groups as part of its executive compensation process. The “Compensation Peer Group” is used to assess the competitiveness of our NEO’s compensation and the “Performance Peer Group” is used to evaluate our stock performance.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compensation peer group</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considers relevant market pay practices, among other factors, when setting executive compensation to enhance our ability to recruit and retain high-performing talent. In assessing market competitiveness, the compensation of our NEOs is reviewed against executive compensation at a number of companies with which we compete for executive talent. Factors used to determine the companies included in the analysis and how the data is used is set forth below:</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867F7C"/>
        </w:rPr>
        <w:t>Considerations used to choose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5760720"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60720" cy="128905"/>
                    </a:xfrm>
                    <a:prstGeom prst="rect">
                      <a:avLst/>
                    </a:prstGeom>
                    <a:noFill/>
                  </pic:spPr>
                </pic:pic>
              </a:graphicData>
            </a:graphic>
          </wp:anchor>
        </w:drawing>
      </w:r>
    </w:p>
    <w:p>
      <w:pPr>
        <w:ind w:left="300" w:hanging="162"/>
        <w:spacing w:after="0"/>
        <w:tabs>
          <w:tab w:leader="none" w:pos="300" w:val="left"/>
        </w:tabs>
        <w:numPr>
          <w:ilvl w:val="0"/>
          <w:numId w:val="45"/>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Comparable revenue size</w:t>
      </w:r>
    </w:p>
    <w:p>
      <w:pPr>
        <w:ind w:left="300" w:hanging="162"/>
        <w:spacing w:after="0" w:line="234" w:lineRule="auto"/>
        <w:tabs>
          <w:tab w:leader="none" w:pos="300" w:val="left"/>
        </w:tabs>
        <w:numPr>
          <w:ilvl w:val="0"/>
          <w:numId w:val="45"/>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Global operations</w:t>
      </w:r>
    </w:p>
    <w:p>
      <w:pPr>
        <w:ind w:left="300" w:hanging="162"/>
        <w:spacing w:after="0" w:line="234" w:lineRule="auto"/>
        <w:tabs>
          <w:tab w:leader="none" w:pos="300" w:val="left"/>
        </w:tabs>
        <w:numPr>
          <w:ilvl w:val="0"/>
          <w:numId w:val="45"/>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Industry</w:t>
      </w:r>
    </w:p>
    <w:p>
      <w:pPr>
        <w:ind w:left="300" w:hanging="162"/>
        <w:spacing w:after="0" w:line="234" w:lineRule="auto"/>
        <w:tabs>
          <w:tab w:leader="none" w:pos="300" w:val="left"/>
        </w:tabs>
        <w:numPr>
          <w:ilvl w:val="0"/>
          <w:numId w:val="45"/>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Business Model</w:t>
      </w:r>
    </w:p>
    <w:p>
      <w:pPr>
        <w:ind w:left="300" w:hanging="162"/>
        <w:spacing w:after="0" w:line="234" w:lineRule="auto"/>
        <w:tabs>
          <w:tab w:leader="none" w:pos="300" w:val="left"/>
        </w:tabs>
        <w:numPr>
          <w:ilvl w:val="0"/>
          <w:numId w:val="45"/>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Market Capitalization</w:t>
      </w:r>
    </w:p>
    <w:p>
      <w:pPr>
        <w:jc w:val="center"/>
        <w:ind w:right="20"/>
        <w:spacing w:after="0" w:line="235" w:lineRule="auto"/>
        <w:rPr>
          <w:sz w:val="20"/>
          <w:szCs w:val="20"/>
          <w:color w:val="auto"/>
        </w:rPr>
      </w:pPr>
      <w:r>
        <w:rPr>
          <w:rFonts w:ascii="Arial" w:cs="Arial" w:eastAsia="Arial" w:hAnsi="Arial"/>
          <w:sz w:val="18"/>
          <w:szCs w:val="18"/>
          <w:b w:val="1"/>
          <w:bCs w:val="1"/>
          <w:color w:val="867F7C"/>
        </w:rPr>
        <w:t>How we use peer group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760720"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60720" cy="128905"/>
                    </a:xfrm>
                    <a:prstGeom prst="rect">
                      <a:avLst/>
                    </a:prstGeom>
                    <a:noFill/>
                  </pic:spPr>
                </pic:pic>
              </a:graphicData>
            </a:graphic>
          </wp:anchor>
        </w:drawing>
      </w:r>
    </w:p>
    <w:p>
      <w:pPr>
        <w:ind w:left="300" w:hanging="162"/>
        <w:spacing w:after="0" w:line="184" w:lineRule="auto"/>
        <w:tabs>
          <w:tab w:leader="none" w:pos="300" w:val="left"/>
        </w:tabs>
        <w:numPr>
          <w:ilvl w:val="0"/>
          <w:numId w:val="46"/>
        </w:numPr>
        <w:rPr>
          <w:rFonts w:ascii="Wingdings" w:cs="Wingdings" w:eastAsia="Wingdings" w:hAnsi="Wingdings"/>
          <w:sz w:val="26"/>
          <w:szCs w:val="26"/>
          <w:b w:val="1"/>
          <w:bCs w:val="1"/>
          <w:color w:val="auto"/>
          <w:vertAlign w:val="subscript"/>
          <w:shd w:val="clear" w:color="auto" w:fill="4CCEDE"/>
        </w:rPr>
      </w:pPr>
      <w:r>
        <w:rPr>
          <w:rFonts w:ascii="Arial" w:cs="Arial" w:eastAsia="Arial" w:hAnsi="Arial"/>
          <w:sz w:val="15"/>
          <w:szCs w:val="15"/>
          <w:color w:val="auto"/>
        </w:rPr>
        <w:t>Input in developing base salary ranges, annual incentive target opportunities and long-term incentive awards</w:t>
      </w:r>
    </w:p>
    <w:p>
      <w:pPr>
        <w:spacing w:after="0" w:line="166" w:lineRule="exact"/>
        <w:rPr>
          <w:rFonts w:ascii="Wingdings" w:cs="Wingdings" w:eastAsia="Wingdings" w:hAnsi="Wingdings"/>
          <w:sz w:val="26"/>
          <w:szCs w:val="26"/>
          <w:b w:val="1"/>
          <w:bCs w:val="1"/>
          <w:color w:val="auto"/>
          <w:vertAlign w:val="subscript"/>
          <w:shd w:val="clear" w:color="auto" w:fill="4CCEDE"/>
        </w:rPr>
      </w:pPr>
    </w:p>
    <w:p>
      <w:pPr>
        <w:ind w:left="300" w:hanging="162"/>
        <w:spacing w:after="0"/>
        <w:tabs>
          <w:tab w:leader="none" w:pos="300" w:val="left"/>
        </w:tabs>
        <w:numPr>
          <w:ilvl w:val="0"/>
          <w:numId w:val="46"/>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Assess competitiveness of total direct compensation</w:t>
      </w:r>
    </w:p>
    <w:p>
      <w:pPr>
        <w:spacing w:after="0" w:line="103" w:lineRule="exact"/>
        <w:rPr>
          <w:rFonts w:ascii="Wingdings" w:cs="Wingdings" w:eastAsia="Wingdings" w:hAnsi="Wingdings"/>
          <w:sz w:val="16"/>
          <w:szCs w:val="16"/>
          <w:b w:val="1"/>
          <w:bCs w:val="1"/>
          <w:color w:val="auto"/>
          <w:shd w:val="clear" w:color="auto" w:fill="4CCEDE"/>
        </w:rPr>
      </w:pPr>
    </w:p>
    <w:p>
      <w:pPr>
        <w:ind w:left="300" w:hanging="162"/>
        <w:spacing w:after="0"/>
        <w:tabs>
          <w:tab w:leader="none" w:pos="300" w:val="left"/>
        </w:tabs>
        <w:numPr>
          <w:ilvl w:val="0"/>
          <w:numId w:val="46"/>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Determine form and mix of equity</w:t>
      </w:r>
    </w:p>
    <w:p>
      <w:pPr>
        <w:spacing w:after="0" w:line="103" w:lineRule="exact"/>
        <w:rPr>
          <w:rFonts w:ascii="Wingdings" w:cs="Wingdings" w:eastAsia="Wingdings" w:hAnsi="Wingdings"/>
          <w:sz w:val="16"/>
          <w:szCs w:val="16"/>
          <w:b w:val="1"/>
          <w:bCs w:val="1"/>
          <w:color w:val="auto"/>
          <w:shd w:val="clear" w:color="auto" w:fill="4CCEDE"/>
        </w:rPr>
      </w:pPr>
    </w:p>
    <w:p>
      <w:pPr>
        <w:ind w:left="300" w:hanging="162"/>
        <w:spacing w:after="0"/>
        <w:tabs>
          <w:tab w:leader="none" w:pos="300" w:val="left"/>
        </w:tabs>
        <w:numPr>
          <w:ilvl w:val="0"/>
          <w:numId w:val="46"/>
        </w:numPr>
        <w:rPr>
          <w:rFonts w:ascii="Wingdings" w:cs="Wingdings" w:eastAsia="Wingdings" w:hAnsi="Wingdings"/>
          <w:sz w:val="16"/>
          <w:szCs w:val="16"/>
          <w:b w:val="1"/>
          <w:bCs w:val="1"/>
          <w:color w:val="auto"/>
          <w:shd w:val="clear" w:color="auto" w:fill="4CCEDE"/>
        </w:rPr>
      </w:pPr>
      <w:r>
        <w:rPr>
          <w:rFonts w:ascii="Arial" w:cs="Arial" w:eastAsia="Arial" w:hAnsi="Arial"/>
          <w:sz w:val="18"/>
          <w:szCs w:val="18"/>
          <w:color w:val="auto"/>
        </w:rPr>
        <w:t>Input to designing compensation plans, benefits and perquisites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Peer Group is annually reviewed by the Compensation Committee, with support from its independent compensation consultant, Meridian Compensation Partners. During the review, the Compensation Committee considers whether the Compensation Peer Group companies remain appropriate from a business and talent perspective.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2025 compensation peer group</w:t>
      </w: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2580" w:type="dxa"/>
            <w:vAlign w:val="bottom"/>
          </w:tcPr>
          <w:p>
            <w:pPr>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Albemarle Corporation</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FMC Corporation</w:t>
            </w:r>
          </w:p>
        </w:tc>
        <w:tc>
          <w:tcPr>
            <w:tcW w:w="3200" w:type="dxa"/>
            <w:vAlign w:val="bottom"/>
          </w:tcPr>
          <w:p>
            <w:pPr>
              <w:ind w:left="46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Quaker Chemical</w:t>
            </w:r>
          </w:p>
        </w:tc>
      </w:tr>
      <w:tr>
        <w:trPr>
          <w:trHeight w:val="242"/>
        </w:trPr>
        <w:tc>
          <w:tcPr>
            <w:tcW w:w="2580" w:type="dxa"/>
            <w:vAlign w:val="bottom"/>
          </w:tcPr>
          <w:p>
            <w:pPr>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Avient Corporation</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H.B. Fuller Company</w:t>
            </w:r>
          </w:p>
        </w:tc>
        <w:tc>
          <w:tcPr>
            <w:tcW w:w="3200" w:type="dxa"/>
            <w:vAlign w:val="bottom"/>
          </w:tcPr>
          <w:p>
            <w:pPr>
              <w:ind w:left="46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RPM International Inc.</w:t>
            </w:r>
          </w:p>
        </w:tc>
      </w:tr>
      <w:tr>
        <w:trPr>
          <w:trHeight w:val="230"/>
        </w:trPr>
        <w:tc>
          <w:tcPr>
            <w:tcW w:w="2580" w:type="dxa"/>
            <w:vAlign w:val="bottom"/>
          </w:tcPr>
          <w:p>
            <w:pPr>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Axalta Coating Systems Ltd</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Ingevity Corporation</w:t>
            </w:r>
          </w:p>
        </w:tc>
        <w:tc>
          <w:tcPr>
            <w:tcW w:w="3200" w:type="dxa"/>
            <w:vAlign w:val="bottom"/>
          </w:tcPr>
          <w:p>
            <w:pPr>
              <w:ind w:left="460"/>
              <w:spacing w:after="0"/>
              <w:rPr>
                <w:sz w:val="20"/>
                <w:szCs w:val="20"/>
                <w:color w:val="auto"/>
              </w:rPr>
            </w:pPr>
            <w:r>
              <w:rPr>
                <w:rFonts w:ascii="Wingdings" w:cs="Wingdings" w:eastAsia="Wingdings" w:hAnsi="Wingdings"/>
                <w:sz w:val="16"/>
                <w:szCs w:val="16"/>
                <w:b w:val="1"/>
                <w:bCs w:val="1"/>
                <w:color w:val="4CCEDE"/>
                <w:w w:val="97"/>
              </w:rPr>
              <w:t xml:space="preserve">Ø </w:t>
            </w:r>
            <w:r>
              <w:rPr>
                <w:rFonts w:ascii="Arial" w:cs="Arial" w:eastAsia="Arial" w:hAnsi="Arial"/>
                <w:sz w:val="16"/>
                <w:szCs w:val="16"/>
                <w:color w:val="000000"/>
                <w:w w:val="97"/>
              </w:rPr>
              <w:t>Sensient Technologies Corporation</w:t>
            </w:r>
          </w:p>
        </w:tc>
      </w:tr>
      <w:tr>
        <w:trPr>
          <w:trHeight w:val="230"/>
        </w:trPr>
        <w:tc>
          <w:tcPr>
            <w:tcW w:w="2580" w:type="dxa"/>
            <w:vAlign w:val="bottom"/>
          </w:tcPr>
          <w:p>
            <w:pPr>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Cabot Corporation</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Innospec Inc.</w:t>
            </w:r>
          </w:p>
        </w:tc>
        <w:tc>
          <w:tcPr>
            <w:tcW w:w="3200" w:type="dxa"/>
            <w:vAlign w:val="bottom"/>
          </w:tcPr>
          <w:p>
            <w:pPr>
              <w:ind w:left="46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Stepan Corporation</w:t>
            </w:r>
          </w:p>
        </w:tc>
      </w:tr>
      <w:tr>
        <w:trPr>
          <w:trHeight w:val="229"/>
        </w:trPr>
        <w:tc>
          <w:tcPr>
            <w:tcW w:w="2580" w:type="dxa"/>
            <w:vAlign w:val="bottom"/>
          </w:tcPr>
          <w:p>
            <w:pPr>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Element Solutions, Inc.</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Minerals Technologies</w:t>
            </w:r>
          </w:p>
        </w:tc>
        <w:tc>
          <w:tcPr>
            <w:tcW w:w="3200" w:type="dxa"/>
            <w:vAlign w:val="bottom"/>
          </w:tcPr>
          <w:p>
            <w:pPr>
              <w:ind w:left="46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The Chemours Company</w:t>
            </w:r>
          </w:p>
        </w:tc>
      </w:tr>
      <w:tr>
        <w:trPr>
          <w:trHeight w:val="230"/>
        </w:trPr>
        <w:tc>
          <w:tcPr>
            <w:tcW w:w="2580" w:type="dxa"/>
            <w:vAlign w:val="bottom"/>
          </w:tcPr>
          <w:p>
            <w:pPr>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Entegris, Inc.</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4CCEDE"/>
              </w:rPr>
              <w:t xml:space="preserve">Ø </w:t>
            </w:r>
            <w:r>
              <w:rPr>
                <w:rFonts w:ascii="Arial" w:cs="Arial" w:eastAsia="Arial" w:hAnsi="Arial"/>
                <w:sz w:val="16"/>
                <w:szCs w:val="16"/>
                <w:color w:val="000000"/>
              </w:rPr>
              <w:t>New Market Corporation</w:t>
            </w:r>
          </w:p>
        </w:tc>
        <w:tc>
          <w:tcPr>
            <w:tcW w:w="3200" w:type="dxa"/>
            <w:vAlign w:val="bottom"/>
          </w:tcPr>
          <w:p>
            <w:pPr>
              <w:spacing w:after="0"/>
              <w:rPr>
                <w:sz w:val="19"/>
                <w:szCs w:val="19"/>
                <w:color w:val="auto"/>
              </w:rPr>
            </w:pPr>
          </w:p>
        </w:tc>
      </w:tr>
    </w:tbl>
    <w:p>
      <w:pPr>
        <w:spacing w:after="0" w:line="13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Additionally, competitive pay data was gathered from the Equilar 2025 Executive Compensation Survey. The data from the survey is scoped to Ashland’s industry and adjusted to Ashland’s revenue size.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42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867F7C"/>
        </w:rPr>
        <w:t>compensation discussion and analysis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performance peer group</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fiscal 2025 the Compensation Committee utilized the entire S&amp;P 400 index as our performance peer group (the “Performance Peer Group”). We believed the Performance Peer Group was an appropriate measure for determining rTSR, because it reflects Ashland’s performance compared to the broader stock market and provides transparency as to ongoing performance for our investors and incentive plan participants through a publicly available stock index. Our Performance Peer Group is used solely for assessing rTSR performance for our PSUs.</w:t>
      </w:r>
    </w:p>
    <w:p>
      <w:pPr>
        <w:spacing w:after="0" w:line="98"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additional compensation information and tax matters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CCEDE"/>
        </w:rPr>
        <w:t>policies regarding stock ownership</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currently have Stock Ownership Guidelines (“Guidelines”) for our executive officers and other key executives as designated by the Compensation Committee. The purpose of these Guidelines is to align the interests of our executives with the interests of our stockholders within 5 years of appointment as a Section 16 Officer. Ownership includes stock actually owned by each executive officer, a family member, within a retirement plan, shares held in trust, or deferred shares. The current Guidelines as determined by the Compensation Committee are noted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shd w:val="clear" w:color="auto" w:fill="EFEBE9"/>
          </w:tcPr>
          <w:p>
            <w:pPr>
              <w:ind w:left="80"/>
              <w:spacing w:after="0"/>
              <w:rPr>
                <w:sz w:val="20"/>
                <w:szCs w:val="20"/>
                <w:color w:val="auto"/>
              </w:rPr>
            </w:pPr>
            <w:r>
              <w:rPr>
                <w:rFonts w:ascii="Arial" w:cs="Arial" w:eastAsia="Arial" w:hAnsi="Arial"/>
                <w:sz w:val="14"/>
                <w:szCs w:val="14"/>
                <w:b w:val="1"/>
                <w:bCs w:val="1"/>
                <w:color w:val="867F7C"/>
              </w:rPr>
              <w:t>Role</w:t>
            </w:r>
          </w:p>
        </w:tc>
        <w:tc>
          <w:tcPr>
            <w:tcW w:w="5100" w:type="dxa"/>
            <w:vAlign w:val="bottom"/>
            <w:shd w:val="clear" w:color="auto" w:fill="EFEBE9"/>
          </w:tcPr>
          <w:p>
            <w:pPr>
              <w:ind w:left="560"/>
              <w:spacing w:after="0"/>
              <w:rPr>
                <w:sz w:val="20"/>
                <w:szCs w:val="20"/>
                <w:color w:val="auto"/>
              </w:rPr>
            </w:pPr>
            <w:r>
              <w:rPr>
                <w:rFonts w:ascii="Arial" w:cs="Arial" w:eastAsia="Arial" w:hAnsi="Arial"/>
                <w:sz w:val="14"/>
                <w:szCs w:val="14"/>
                <w:b w:val="1"/>
                <w:bCs w:val="1"/>
                <w:color w:val="867F7C"/>
              </w:rPr>
              <w:t>Stock Ownership Requirements</w:t>
            </w:r>
          </w:p>
        </w:tc>
      </w:tr>
      <w:tr>
        <w:trPr>
          <w:trHeight w:val="208"/>
        </w:trPr>
        <w:tc>
          <w:tcPr>
            <w:tcW w:w="398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5100" w:type="dxa"/>
            <w:vAlign w:val="bottom"/>
          </w:tcPr>
          <w:p>
            <w:pPr>
              <w:ind w:left="560"/>
              <w:spacing w:after="0"/>
              <w:rPr>
                <w:sz w:val="20"/>
                <w:szCs w:val="20"/>
                <w:color w:val="auto"/>
              </w:rPr>
            </w:pPr>
            <w:r>
              <w:rPr>
                <w:rFonts w:ascii="Arial" w:cs="Arial" w:eastAsia="Arial" w:hAnsi="Arial"/>
                <w:sz w:val="14"/>
                <w:szCs w:val="14"/>
                <w:color w:val="auto"/>
              </w:rPr>
              <w:t>Ownership equal to 5 times base salary</w:t>
            </w:r>
          </w:p>
        </w:tc>
      </w:tr>
      <w:tr>
        <w:trPr>
          <w:trHeight w:val="203"/>
        </w:trPr>
        <w:tc>
          <w:tcPr>
            <w:tcW w:w="3980" w:type="dxa"/>
            <w:vAlign w:val="bottom"/>
          </w:tcPr>
          <w:p>
            <w:pPr>
              <w:ind w:left="80"/>
              <w:spacing w:after="0"/>
              <w:rPr>
                <w:sz w:val="20"/>
                <w:szCs w:val="20"/>
                <w:color w:val="auto"/>
              </w:rPr>
            </w:pPr>
            <w:r>
              <w:rPr>
                <w:rFonts w:ascii="Arial" w:cs="Arial" w:eastAsia="Arial" w:hAnsi="Arial"/>
                <w:sz w:val="14"/>
                <w:szCs w:val="14"/>
                <w:color w:val="auto"/>
              </w:rPr>
              <w:t>Chief Financial Officer and Other Section 16 Officers</w:t>
            </w:r>
          </w:p>
        </w:tc>
        <w:tc>
          <w:tcPr>
            <w:tcW w:w="5100" w:type="dxa"/>
            <w:vAlign w:val="bottom"/>
          </w:tcPr>
          <w:p>
            <w:pPr>
              <w:ind w:left="560"/>
              <w:spacing w:after="0"/>
              <w:rPr>
                <w:sz w:val="20"/>
                <w:szCs w:val="20"/>
                <w:color w:val="auto"/>
              </w:rPr>
            </w:pPr>
            <w:r>
              <w:rPr>
                <w:rFonts w:ascii="Arial" w:cs="Arial" w:eastAsia="Arial" w:hAnsi="Arial"/>
                <w:sz w:val="14"/>
                <w:szCs w:val="14"/>
                <w:color w:val="auto"/>
              </w:rPr>
              <w:t>Ownership equal to 3 times base salary</w:t>
            </w:r>
          </w:p>
        </w:tc>
      </w:tr>
      <w:tr>
        <w:trPr>
          <w:trHeight w:val="22"/>
        </w:trPr>
        <w:tc>
          <w:tcPr>
            <w:tcW w:w="3980" w:type="dxa"/>
            <w:vAlign w:val="bottom"/>
            <w:tcBorders>
              <w:bottom w:val="single" w:sz="8" w:color="867F7C"/>
            </w:tcBorders>
          </w:tcPr>
          <w:p>
            <w:pPr>
              <w:spacing w:after="0" w:line="20" w:lineRule="exact"/>
              <w:rPr>
                <w:sz w:val="1"/>
                <w:szCs w:val="1"/>
                <w:color w:val="auto"/>
              </w:rPr>
            </w:pPr>
          </w:p>
        </w:tc>
        <w:tc>
          <w:tcPr>
            <w:tcW w:w="5100" w:type="dxa"/>
            <w:vAlign w:val="bottom"/>
            <w:tcBorders>
              <w:bottom w:val="single" w:sz="8" w:color="867F7C"/>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4CCEDE"/>
        </w:rPr>
        <w:t>policy regarding employee, officer and director hedging and pledging</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Ashland’s Insider Trading Policy, directors, officers, employees and certain persons or entities related to these individuals, are prohibited from purchasing any financial instruments that are designed to hedge or offset any decrease in the market value of equity securities of Ashland granted to or held by such covered persons. Such financial instruments include, but are not limited to, prepaid variable forward contracts, equity swaps, collars, and exchange funds.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all directors and officers of Ashland are prohibited from, directly or indirectly, pledging equity securities of Ashland. Pledging includes, but is not limited to, the creation of any form of pledge, security interest, deposit, lien or other hypothecation, including the holding of shares in a margin account.</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4CCEDE"/>
        </w:rPr>
        <w:t>clawback policy</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October 2023, the Board approved updates to Ashland's clawback policy in compliance with the rules of the New York Stock Exchange. Under the clawback policy, Ashland may recoup “excess” incentive compensation, if any, earned by current and former executive officers during a three year look back period in the event of a financial restatement due to material noncompliance with any financial reporting requirement under the securities laws (with no fault required).</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in September 2024, Ashland adopted a supplemental recoupment policy for all employees permitting the recovery of “excess” incentive compensation in the event of accounting restatement from non-executives, and from all employees in other circumstances including: a manifest error in the payment of incentive compensation to the employee; the employee’s fraud or material misrepresentation directed at or impacting Ashland; acts that cause material financial, reputational, or other harm to Ashland; the employee’s willful and material violations of Ashland’s code of conduct or other policies; violations by the employee of any employment or restrictive covenants agreements; or acts for which the employee has been terminated from Ashland for cause.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486410</wp:posOffset>
            </wp:positionV>
            <wp:extent cx="703770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49" w:name="page50"/>
    <w:bookmarkEnd w:id="49"/>
    <w:p>
      <w:pPr>
        <w:spacing w:after="0" w:line="223" w:lineRule="exact"/>
        <w:rPr>
          <w:sz w:val="20"/>
          <w:szCs w:val="20"/>
          <w:color w:val="auto"/>
        </w:rPr>
      </w:pPr>
    </w:p>
    <w:p>
      <w:pPr>
        <w:spacing w:after="0"/>
        <w:rPr>
          <w:sz w:val="20"/>
          <w:szCs w:val="20"/>
          <w:color w:val="auto"/>
        </w:rPr>
      </w:pPr>
      <w:r>
        <w:rPr>
          <w:rFonts w:ascii="Arial" w:cs="Arial" w:eastAsia="Arial" w:hAnsi="Arial"/>
          <w:sz w:val="54"/>
          <w:szCs w:val="54"/>
          <w:color w:val="867F7C"/>
        </w:rPr>
        <w:t>compensation committee report</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has reviewed the Compensation Discussion and Analysis contained in this Proxy Statement and discussed it with management. Based on its review and discussions with management, the Compensation Committee recommended to the Board of Directors that the Compensation Discussion and Analysis be included in Ashland’s Annual Report on Form 10-K for fiscal 2025 and Ashland’s Proxy Statement for its 2026 Annual Meeting of Stockholders. This report is provided by the following independent directors who comprise the Compensation Committee: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compensation committee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Suzan F. Harrison, Chair</w:t>
      </w:r>
    </w:p>
    <w:p>
      <w:pPr>
        <w:spacing w:after="0" w:line="234" w:lineRule="auto"/>
        <w:rPr>
          <w:sz w:val="20"/>
          <w:szCs w:val="20"/>
          <w:color w:val="auto"/>
        </w:rPr>
      </w:pPr>
      <w:r>
        <w:rPr>
          <w:rFonts w:ascii="Arial" w:cs="Arial" w:eastAsia="Arial" w:hAnsi="Arial"/>
          <w:sz w:val="18"/>
          <w:szCs w:val="18"/>
          <w:color w:val="auto"/>
        </w:rPr>
        <w:t>Steven D. Bishop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Susan L. Main</w:t>
      </w:r>
    </w:p>
    <w:p>
      <w:pPr>
        <w:spacing w:after="0" w:line="3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Report does not constitute soliciting material and shall not be deemed to be filed or incorporated by reference into any other filing under the Securities Act of 1933 or the Securities Exchange Act of 1934, except to the extent that Ashland specifically incorporates the Compensation Committee Report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44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50" w:name="page51"/>
    <w:bookmarkEnd w:id="50"/>
    <w:p>
      <w:pPr>
        <w:ind w:right="540"/>
        <w:spacing w:after="0" w:line="260" w:lineRule="auto"/>
        <w:rPr>
          <w:sz w:val="20"/>
          <w:szCs w:val="20"/>
          <w:color w:val="auto"/>
        </w:rPr>
      </w:pPr>
      <w:r>
        <w:rPr>
          <w:rFonts w:ascii="Arial" w:cs="Arial" w:eastAsia="Arial" w:hAnsi="Arial"/>
          <w:sz w:val="54"/>
          <w:szCs w:val="54"/>
          <w:color w:val="867F7C"/>
        </w:rPr>
        <w:t>fiscal 2025 executive compensation tables</w:t>
      </w:r>
    </w:p>
    <w:p>
      <w:pPr>
        <w:spacing w:after="0" w:line="5"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summary compensation table</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summarizes the compensation of the Company’s CEO, CFO, the three other most highly compensated executive officers, and certain other former executive officers for the fiscal years ended September 30, 2025,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shd w:val="clear" w:color="auto" w:fill="EFEBE9"/>
          </w:tcPr>
          <w:p>
            <w:pPr>
              <w:spacing w:after="0"/>
              <w:rPr>
                <w:sz w:val="13"/>
                <w:szCs w:val="13"/>
                <w:color w:val="auto"/>
              </w:rPr>
            </w:pPr>
          </w:p>
        </w:tc>
        <w:tc>
          <w:tcPr>
            <w:tcW w:w="800" w:type="dxa"/>
            <w:vAlign w:val="bottom"/>
            <w:shd w:val="clear" w:color="auto" w:fill="EFEBE9"/>
          </w:tcPr>
          <w:p>
            <w:pPr>
              <w:spacing w:after="0"/>
              <w:rPr>
                <w:sz w:val="13"/>
                <w:szCs w:val="13"/>
                <w:color w:val="auto"/>
              </w:rPr>
            </w:pPr>
          </w:p>
        </w:tc>
        <w:tc>
          <w:tcPr>
            <w:tcW w:w="1080" w:type="dxa"/>
            <w:vAlign w:val="bottom"/>
            <w:shd w:val="clear" w:color="auto" w:fill="EFEBE9"/>
          </w:tcPr>
          <w:p>
            <w:pPr>
              <w:spacing w:after="0"/>
              <w:rPr>
                <w:sz w:val="13"/>
                <w:szCs w:val="13"/>
                <w:color w:val="auto"/>
              </w:rPr>
            </w:pPr>
          </w:p>
        </w:tc>
        <w:tc>
          <w:tcPr>
            <w:tcW w:w="900" w:type="dxa"/>
            <w:vAlign w:val="bottom"/>
            <w:shd w:val="clear" w:color="auto" w:fill="EFEBE9"/>
          </w:tcPr>
          <w:p>
            <w:pPr>
              <w:spacing w:after="0"/>
              <w:rPr>
                <w:sz w:val="13"/>
                <w:szCs w:val="13"/>
                <w:color w:val="auto"/>
              </w:rPr>
            </w:pPr>
          </w:p>
        </w:tc>
        <w:tc>
          <w:tcPr>
            <w:tcW w:w="920" w:type="dxa"/>
            <w:vAlign w:val="bottom"/>
            <w:shd w:val="clear" w:color="auto" w:fill="EFEBE9"/>
          </w:tcPr>
          <w:p>
            <w:pPr>
              <w:spacing w:after="0"/>
              <w:rPr>
                <w:sz w:val="13"/>
                <w:szCs w:val="13"/>
                <w:color w:val="auto"/>
              </w:rPr>
            </w:pPr>
          </w:p>
        </w:tc>
        <w:tc>
          <w:tcPr>
            <w:tcW w:w="1140" w:type="dxa"/>
            <w:vAlign w:val="bottom"/>
            <w:shd w:val="clear" w:color="auto" w:fill="EFEBE9"/>
          </w:tcPr>
          <w:p>
            <w:pPr>
              <w:jc w:val="center"/>
              <w:spacing w:after="0"/>
              <w:rPr>
                <w:sz w:val="20"/>
                <w:szCs w:val="20"/>
                <w:color w:val="auto"/>
              </w:rPr>
            </w:pPr>
            <w:r>
              <w:rPr>
                <w:rFonts w:ascii="Arial" w:cs="Arial" w:eastAsia="Arial" w:hAnsi="Arial"/>
                <w:sz w:val="13"/>
                <w:szCs w:val="13"/>
                <w:b w:val="1"/>
                <w:bCs w:val="1"/>
                <w:color w:val="867F7C"/>
                <w:w w:val="95"/>
              </w:rPr>
              <w:t>Non-Equity</w:t>
            </w:r>
          </w:p>
        </w:tc>
        <w:tc>
          <w:tcPr>
            <w:tcW w:w="1280" w:type="dxa"/>
            <w:vAlign w:val="bottom"/>
            <w:shd w:val="clear" w:color="auto" w:fill="EFEBE9"/>
          </w:tcPr>
          <w:p>
            <w:pPr>
              <w:spacing w:after="0"/>
              <w:rPr>
                <w:sz w:val="13"/>
                <w:szCs w:val="13"/>
                <w:color w:val="auto"/>
              </w:rPr>
            </w:pPr>
          </w:p>
        </w:tc>
        <w:tc>
          <w:tcPr>
            <w:tcW w:w="1040" w:type="dxa"/>
            <w:vAlign w:val="bottom"/>
            <w:shd w:val="clear" w:color="auto" w:fill="EFEBE9"/>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EFEBE9"/>
          </w:tcPr>
          <w:p>
            <w:pPr>
              <w:spacing w:after="0"/>
              <w:rPr>
                <w:sz w:val="11"/>
                <w:szCs w:val="11"/>
                <w:color w:val="auto"/>
              </w:rPr>
            </w:pPr>
          </w:p>
        </w:tc>
        <w:tc>
          <w:tcPr>
            <w:tcW w:w="800" w:type="dxa"/>
            <w:vAlign w:val="bottom"/>
            <w:shd w:val="clear" w:color="auto" w:fill="EFEBE9"/>
          </w:tcPr>
          <w:p>
            <w:pPr>
              <w:spacing w:after="0"/>
              <w:rPr>
                <w:sz w:val="11"/>
                <w:szCs w:val="11"/>
                <w:color w:val="auto"/>
              </w:rPr>
            </w:pPr>
          </w:p>
        </w:tc>
        <w:tc>
          <w:tcPr>
            <w:tcW w:w="1080" w:type="dxa"/>
            <w:vAlign w:val="bottom"/>
            <w:shd w:val="clear" w:color="auto" w:fill="EFEBE9"/>
          </w:tcPr>
          <w:p>
            <w:pPr>
              <w:spacing w:after="0"/>
              <w:rPr>
                <w:sz w:val="11"/>
                <w:szCs w:val="11"/>
                <w:color w:val="auto"/>
              </w:rPr>
            </w:pPr>
          </w:p>
        </w:tc>
        <w:tc>
          <w:tcPr>
            <w:tcW w:w="900" w:type="dxa"/>
            <w:vAlign w:val="bottom"/>
            <w:shd w:val="clear" w:color="auto" w:fill="EFEBE9"/>
          </w:tcPr>
          <w:p>
            <w:pPr>
              <w:spacing w:after="0"/>
              <w:rPr>
                <w:sz w:val="11"/>
                <w:szCs w:val="11"/>
                <w:color w:val="auto"/>
              </w:rPr>
            </w:pPr>
          </w:p>
        </w:tc>
        <w:tc>
          <w:tcPr>
            <w:tcW w:w="920" w:type="dxa"/>
            <w:vAlign w:val="bottom"/>
            <w:vMerge w:val="restart"/>
            <w:shd w:val="clear" w:color="auto" w:fill="EFEBE9"/>
          </w:tcPr>
          <w:p>
            <w:pPr>
              <w:jc w:val="center"/>
              <w:spacing w:after="0"/>
              <w:rPr>
                <w:sz w:val="20"/>
                <w:szCs w:val="20"/>
                <w:color w:val="auto"/>
              </w:rPr>
            </w:pPr>
            <w:r>
              <w:rPr>
                <w:rFonts w:ascii="Arial" w:cs="Arial" w:eastAsia="Arial" w:hAnsi="Arial"/>
                <w:sz w:val="13"/>
                <w:szCs w:val="13"/>
                <w:b w:val="1"/>
                <w:bCs w:val="1"/>
                <w:color w:val="867F7C"/>
                <w:w w:val="95"/>
              </w:rPr>
              <w:t>Stock</w:t>
            </w:r>
          </w:p>
        </w:tc>
        <w:tc>
          <w:tcPr>
            <w:tcW w:w="114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Incentive</w:t>
            </w:r>
          </w:p>
        </w:tc>
        <w:tc>
          <w:tcPr>
            <w:tcW w:w="1280" w:type="dxa"/>
            <w:vAlign w:val="bottom"/>
            <w:vMerge w:val="restart"/>
            <w:shd w:val="clear" w:color="auto" w:fill="EFEBE9"/>
          </w:tcPr>
          <w:p>
            <w:pPr>
              <w:jc w:val="center"/>
              <w:ind w:right="77"/>
              <w:spacing w:after="0"/>
              <w:rPr>
                <w:sz w:val="20"/>
                <w:szCs w:val="20"/>
                <w:color w:val="auto"/>
              </w:rPr>
            </w:pPr>
            <w:r>
              <w:rPr>
                <w:rFonts w:ascii="Arial" w:cs="Arial" w:eastAsia="Arial" w:hAnsi="Arial"/>
                <w:sz w:val="13"/>
                <w:szCs w:val="13"/>
                <w:b w:val="1"/>
                <w:bCs w:val="1"/>
                <w:color w:val="867F7C"/>
                <w:w w:val="98"/>
              </w:rPr>
              <w:t>All Other</w:t>
            </w:r>
          </w:p>
        </w:tc>
        <w:tc>
          <w:tcPr>
            <w:tcW w:w="1040" w:type="dxa"/>
            <w:vAlign w:val="bottom"/>
            <w:shd w:val="clear" w:color="auto" w:fill="EFEBE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EFEBE9"/>
          </w:tcPr>
          <w:p>
            <w:pPr>
              <w:spacing w:after="0"/>
              <w:rPr>
                <w:sz w:val="11"/>
                <w:szCs w:val="11"/>
                <w:color w:val="auto"/>
              </w:rPr>
            </w:pPr>
          </w:p>
        </w:tc>
        <w:tc>
          <w:tcPr>
            <w:tcW w:w="800" w:type="dxa"/>
            <w:vAlign w:val="bottom"/>
            <w:vMerge w:val="restart"/>
            <w:shd w:val="clear" w:color="auto" w:fill="EFEBE9"/>
          </w:tcPr>
          <w:p>
            <w:pPr>
              <w:ind w:left="220"/>
              <w:spacing w:after="0"/>
              <w:rPr>
                <w:sz w:val="20"/>
                <w:szCs w:val="20"/>
                <w:color w:val="auto"/>
              </w:rPr>
            </w:pPr>
            <w:r>
              <w:rPr>
                <w:rFonts w:ascii="Arial" w:cs="Arial" w:eastAsia="Arial" w:hAnsi="Arial"/>
                <w:sz w:val="13"/>
                <w:szCs w:val="13"/>
                <w:b w:val="1"/>
                <w:bCs w:val="1"/>
                <w:color w:val="867F7C"/>
              </w:rPr>
              <w:t>Year</w:t>
            </w:r>
          </w:p>
        </w:tc>
        <w:tc>
          <w:tcPr>
            <w:tcW w:w="1080" w:type="dxa"/>
            <w:vAlign w:val="bottom"/>
            <w:vMerge w:val="restart"/>
            <w:shd w:val="clear" w:color="auto" w:fill="EFEBE9"/>
          </w:tcPr>
          <w:p>
            <w:pPr>
              <w:jc w:val="right"/>
              <w:ind w:right="337"/>
              <w:spacing w:after="0"/>
              <w:rPr>
                <w:sz w:val="20"/>
                <w:szCs w:val="20"/>
                <w:color w:val="auto"/>
              </w:rPr>
            </w:pPr>
            <w:r>
              <w:rPr>
                <w:rFonts w:ascii="Arial" w:cs="Arial" w:eastAsia="Arial" w:hAnsi="Arial"/>
                <w:sz w:val="13"/>
                <w:szCs w:val="13"/>
                <w:b w:val="1"/>
                <w:bCs w:val="1"/>
                <w:color w:val="867F7C"/>
              </w:rPr>
              <w:t>Salary</w:t>
            </w:r>
          </w:p>
        </w:tc>
        <w:tc>
          <w:tcPr>
            <w:tcW w:w="900" w:type="dxa"/>
            <w:vAlign w:val="bottom"/>
            <w:vMerge w:val="restart"/>
            <w:shd w:val="clear" w:color="auto" w:fill="EFEBE9"/>
          </w:tcPr>
          <w:p>
            <w:pPr>
              <w:jc w:val="right"/>
              <w:ind w:right="237"/>
              <w:spacing w:after="0"/>
              <w:rPr>
                <w:sz w:val="20"/>
                <w:szCs w:val="20"/>
                <w:color w:val="auto"/>
              </w:rPr>
            </w:pPr>
            <w:r>
              <w:rPr>
                <w:rFonts w:ascii="Arial" w:cs="Arial" w:eastAsia="Arial" w:hAnsi="Arial"/>
                <w:sz w:val="13"/>
                <w:szCs w:val="13"/>
                <w:b w:val="1"/>
                <w:bCs w:val="1"/>
                <w:color w:val="867F7C"/>
              </w:rPr>
              <w:t>Bonus</w:t>
            </w:r>
          </w:p>
        </w:tc>
        <w:tc>
          <w:tcPr>
            <w:tcW w:w="920" w:type="dxa"/>
            <w:vAlign w:val="bottom"/>
            <w:vMerge w:val="continue"/>
            <w:shd w:val="clear" w:color="auto" w:fill="EFEBE9"/>
          </w:tcPr>
          <w:p>
            <w:pPr>
              <w:spacing w:after="0"/>
              <w:rPr>
                <w:sz w:val="11"/>
                <w:szCs w:val="11"/>
                <w:color w:val="auto"/>
              </w:rPr>
            </w:pPr>
          </w:p>
        </w:tc>
        <w:tc>
          <w:tcPr>
            <w:tcW w:w="114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4"/>
              </w:rPr>
              <w:t>Plan</w:t>
            </w:r>
          </w:p>
        </w:tc>
        <w:tc>
          <w:tcPr>
            <w:tcW w:w="1280" w:type="dxa"/>
            <w:vAlign w:val="bottom"/>
            <w:vMerge w:val="continue"/>
            <w:shd w:val="clear" w:color="auto" w:fill="EFEBE9"/>
          </w:tcPr>
          <w:p>
            <w:pPr>
              <w:spacing w:after="0"/>
              <w:rPr>
                <w:sz w:val="11"/>
                <w:szCs w:val="11"/>
                <w:color w:val="auto"/>
              </w:rPr>
            </w:pPr>
          </w:p>
        </w:tc>
        <w:tc>
          <w:tcPr>
            <w:tcW w:w="1040" w:type="dxa"/>
            <w:vAlign w:val="bottom"/>
            <w:vMerge w:val="restart"/>
            <w:shd w:val="clear" w:color="auto" w:fill="EFEBE9"/>
          </w:tcPr>
          <w:p>
            <w:pPr>
              <w:ind w:left="300"/>
              <w:spacing w:after="0"/>
              <w:rPr>
                <w:sz w:val="20"/>
                <w:szCs w:val="20"/>
                <w:color w:val="auto"/>
              </w:rPr>
            </w:pPr>
            <w:r>
              <w:rPr>
                <w:rFonts w:ascii="Arial" w:cs="Arial" w:eastAsia="Arial" w:hAnsi="Arial"/>
                <w:sz w:val="13"/>
                <w:szCs w:val="13"/>
                <w:b w:val="1"/>
                <w:bCs w:val="1"/>
                <w:color w:val="867F7C"/>
              </w:rPr>
              <w:t>Total</w:t>
            </w:r>
          </w:p>
        </w:tc>
        <w:tc>
          <w:tcPr>
            <w:tcW w:w="0" w:type="dxa"/>
            <w:vAlign w:val="bottom"/>
          </w:tcPr>
          <w:p>
            <w:pPr>
              <w:spacing w:after="0"/>
              <w:rPr>
                <w:sz w:val="1"/>
                <w:szCs w:val="1"/>
                <w:color w:val="auto"/>
              </w:rPr>
            </w:pPr>
          </w:p>
        </w:tc>
      </w:tr>
      <w:tr>
        <w:trPr>
          <w:trHeight w:val="126"/>
        </w:trPr>
        <w:tc>
          <w:tcPr>
            <w:tcW w:w="1920" w:type="dxa"/>
            <w:vAlign w:val="bottom"/>
            <w:vMerge w:val="restart"/>
            <w:shd w:val="clear" w:color="auto" w:fill="EFEBE9"/>
          </w:tcPr>
          <w:p>
            <w:pPr>
              <w:ind w:left="100"/>
              <w:spacing w:after="0"/>
              <w:rPr>
                <w:sz w:val="20"/>
                <w:szCs w:val="20"/>
                <w:color w:val="auto"/>
              </w:rPr>
            </w:pPr>
            <w:r>
              <w:rPr>
                <w:rFonts w:ascii="Arial" w:cs="Arial" w:eastAsia="Arial" w:hAnsi="Arial"/>
                <w:sz w:val="13"/>
                <w:szCs w:val="13"/>
                <w:b w:val="1"/>
                <w:bCs w:val="1"/>
                <w:color w:val="867F7C"/>
                <w:w w:val="95"/>
              </w:rPr>
              <w:t>Name and Principal Position</w:t>
            </w:r>
            <w:r>
              <w:rPr>
                <w:rFonts w:ascii="Arial" w:cs="Arial" w:eastAsia="Arial" w:hAnsi="Arial"/>
                <w:sz w:val="16"/>
                <w:szCs w:val="16"/>
                <w:b w:val="1"/>
                <w:bCs w:val="1"/>
                <w:color w:val="867F7C"/>
                <w:w w:val="95"/>
                <w:vertAlign w:val="superscript"/>
              </w:rPr>
              <w:t>(1)</w:t>
            </w:r>
          </w:p>
        </w:tc>
        <w:tc>
          <w:tcPr>
            <w:tcW w:w="800" w:type="dxa"/>
            <w:vAlign w:val="bottom"/>
            <w:vMerge w:val="continue"/>
            <w:shd w:val="clear" w:color="auto" w:fill="EFEBE9"/>
          </w:tcPr>
          <w:p>
            <w:pPr>
              <w:spacing w:after="0"/>
              <w:rPr>
                <w:sz w:val="10"/>
                <w:szCs w:val="10"/>
                <w:color w:val="auto"/>
              </w:rPr>
            </w:pPr>
          </w:p>
        </w:tc>
        <w:tc>
          <w:tcPr>
            <w:tcW w:w="1080" w:type="dxa"/>
            <w:vAlign w:val="bottom"/>
            <w:vMerge w:val="continue"/>
            <w:shd w:val="clear" w:color="auto" w:fill="EFEBE9"/>
          </w:tcPr>
          <w:p>
            <w:pPr>
              <w:spacing w:after="0"/>
              <w:rPr>
                <w:sz w:val="10"/>
                <w:szCs w:val="10"/>
                <w:color w:val="auto"/>
              </w:rPr>
            </w:pPr>
          </w:p>
        </w:tc>
        <w:tc>
          <w:tcPr>
            <w:tcW w:w="900" w:type="dxa"/>
            <w:vAlign w:val="bottom"/>
            <w:vMerge w:val="continue"/>
            <w:shd w:val="clear" w:color="auto" w:fill="EFEBE9"/>
          </w:tcPr>
          <w:p>
            <w:pPr>
              <w:spacing w:after="0"/>
              <w:rPr>
                <w:sz w:val="10"/>
                <w:szCs w:val="10"/>
                <w:color w:val="auto"/>
              </w:rPr>
            </w:pPr>
          </w:p>
        </w:tc>
        <w:tc>
          <w:tcPr>
            <w:tcW w:w="920" w:type="dxa"/>
            <w:vAlign w:val="bottom"/>
            <w:shd w:val="clear" w:color="auto" w:fill="EFEBE9"/>
          </w:tcPr>
          <w:p>
            <w:pPr>
              <w:jc w:val="center"/>
              <w:ind w:right="37"/>
              <w:spacing w:after="0" w:line="126" w:lineRule="exact"/>
              <w:rPr>
                <w:sz w:val="20"/>
                <w:szCs w:val="20"/>
                <w:color w:val="auto"/>
              </w:rPr>
            </w:pPr>
            <w:r>
              <w:rPr>
                <w:rFonts w:ascii="Arial" w:cs="Arial" w:eastAsia="Arial" w:hAnsi="Arial"/>
                <w:sz w:val="13"/>
                <w:szCs w:val="13"/>
                <w:b w:val="1"/>
                <w:bCs w:val="1"/>
                <w:color w:val="867F7C"/>
                <w:w w:val="97"/>
              </w:rPr>
              <w:t>Awards</w:t>
            </w:r>
          </w:p>
        </w:tc>
        <w:tc>
          <w:tcPr>
            <w:tcW w:w="1140" w:type="dxa"/>
            <w:vAlign w:val="bottom"/>
            <w:shd w:val="clear" w:color="auto" w:fill="EFEBE9"/>
          </w:tcPr>
          <w:p>
            <w:pPr>
              <w:jc w:val="center"/>
              <w:spacing w:after="0" w:line="126" w:lineRule="exact"/>
              <w:rPr>
                <w:sz w:val="20"/>
                <w:szCs w:val="20"/>
                <w:color w:val="auto"/>
              </w:rPr>
            </w:pPr>
            <w:r>
              <w:rPr>
                <w:rFonts w:ascii="Arial" w:cs="Arial" w:eastAsia="Arial" w:hAnsi="Arial"/>
                <w:sz w:val="13"/>
                <w:szCs w:val="13"/>
                <w:b w:val="1"/>
                <w:bCs w:val="1"/>
                <w:color w:val="867F7C"/>
                <w:w w:val="95"/>
              </w:rPr>
              <w:t>Compensation</w:t>
            </w:r>
          </w:p>
        </w:tc>
        <w:tc>
          <w:tcPr>
            <w:tcW w:w="1280" w:type="dxa"/>
            <w:vAlign w:val="bottom"/>
            <w:shd w:val="clear" w:color="auto" w:fill="EFEBE9"/>
          </w:tcPr>
          <w:p>
            <w:pPr>
              <w:jc w:val="center"/>
              <w:ind w:right="117"/>
              <w:spacing w:after="0" w:line="126" w:lineRule="exact"/>
              <w:rPr>
                <w:sz w:val="20"/>
                <w:szCs w:val="20"/>
                <w:color w:val="auto"/>
              </w:rPr>
            </w:pPr>
            <w:r>
              <w:rPr>
                <w:rFonts w:ascii="Arial" w:cs="Arial" w:eastAsia="Arial" w:hAnsi="Arial"/>
                <w:sz w:val="13"/>
                <w:szCs w:val="13"/>
                <w:b w:val="1"/>
                <w:bCs w:val="1"/>
                <w:color w:val="867F7C"/>
                <w:w w:val="95"/>
              </w:rPr>
              <w:t>Compensation</w:t>
            </w:r>
          </w:p>
        </w:tc>
        <w:tc>
          <w:tcPr>
            <w:tcW w:w="1040" w:type="dxa"/>
            <w:vAlign w:val="bottom"/>
            <w:vMerge w:val="continue"/>
            <w:shd w:val="clear" w:color="auto" w:fill="EFEBE9"/>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EFEBE9"/>
            </w:tcBorders>
            <w:vMerge w:val="continue"/>
            <w:shd w:val="clear" w:color="auto" w:fill="EFEBE9"/>
          </w:tcPr>
          <w:p>
            <w:pPr>
              <w:spacing w:after="0"/>
              <w:rPr>
                <w:sz w:val="15"/>
                <w:szCs w:val="15"/>
                <w:color w:val="auto"/>
              </w:rPr>
            </w:pPr>
          </w:p>
        </w:tc>
        <w:tc>
          <w:tcPr>
            <w:tcW w:w="800" w:type="dxa"/>
            <w:vAlign w:val="bottom"/>
            <w:tcBorders>
              <w:bottom w:val="single" w:sz="8" w:color="EFEBE9"/>
            </w:tcBorders>
            <w:shd w:val="clear" w:color="auto" w:fill="EFEBE9"/>
          </w:tcPr>
          <w:p>
            <w:pPr>
              <w:jc w:val="center"/>
              <w:ind w:right="17"/>
              <w:spacing w:after="0"/>
              <w:rPr>
                <w:sz w:val="20"/>
                <w:szCs w:val="20"/>
                <w:color w:val="auto"/>
              </w:rPr>
            </w:pPr>
            <w:r>
              <w:rPr>
                <w:rFonts w:ascii="Arial" w:cs="Arial" w:eastAsia="Arial" w:hAnsi="Arial"/>
                <w:sz w:val="13"/>
                <w:szCs w:val="13"/>
                <w:b w:val="1"/>
                <w:bCs w:val="1"/>
                <w:color w:val="867F7C"/>
              </w:rPr>
              <w:t>($)</w:t>
            </w:r>
          </w:p>
        </w:tc>
        <w:tc>
          <w:tcPr>
            <w:tcW w:w="1080" w:type="dxa"/>
            <w:vAlign w:val="bottom"/>
            <w:tcBorders>
              <w:bottom w:val="single" w:sz="8" w:color="EFEBE9"/>
            </w:tcBorders>
            <w:shd w:val="clear" w:color="auto" w:fill="EFEBE9"/>
          </w:tcPr>
          <w:p>
            <w:pPr>
              <w:jc w:val="right"/>
              <w:ind w:right="457"/>
              <w:spacing w:after="0"/>
              <w:rPr>
                <w:sz w:val="20"/>
                <w:szCs w:val="20"/>
                <w:color w:val="auto"/>
              </w:rPr>
            </w:pPr>
            <w:r>
              <w:rPr>
                <w:rFonts w:ascii="Arial" w:cs="Arial" w:eastAsia="Arial" w:hAnsi="Arial"/>
                <w:sz w:val="13"/>
                <w:szCs w:val="13"/>
                <w:b w:val="1"/>
                <w:bCs w:val="1"/>
                <w:color w:val="867F7C"/>
              </w:rPr>
              <w:t>($)</w:t>
            </w:r>
          </w:p>
        </w:tc>
        <w:tc>
          <w:tcPr>
            <w:tcW w:w="900" w:type="dxa"/>
            <w:vAlign w:val="bottom"/>
            <w:tcBorders>
              <w:bottom w:val="single" w:sz="8" w:color="EFEBE9"/>
            </w:tcBorders>
            <w:shd w:val="clear" w:color="auto" w:fill="EFEBE9"/>
          </w:tcPr>
          <w:p>
            <w:pPr>
              <w:jc w:val="right"/>
              <w:ind w:right="357"/>
              <w:spacing w:after="0"/>
              <w:rPr>
                <w:sz w:val="20"/>
                <w:szCs w:val="20"/>
                <w:color w:val="auto"/>
              </w:rPr>
            </w:pPr>
            <w:r>
              <w:rPr>
                <w:rFonts w:ascii="Arial" w:cs="Arial" w:eastAsia="Arial" w:hAnsi="Arial"/>
                <w:sz w:val="13"/>
                <w:szCs w:val="13"/>
                <w:b w:val="1"/>
                <w:bCs w:val="1"/>
                <w:color w:val="867F7C"/>
              </w:rPr>
              <w:t>($)</w:t>
            </w:r>
          </w:p>
        </w:tc>
        <w:tc>
          <w:tcPr>
            <w:tcW w:w="920" w:type="dxa"/>
            <w:vAlign w:val="bottom"/>
            <w:tcBorders>
              <w:bottom w:val="single" w:sz="8" w:color="EFEBE9"/>
            </w:tcBorders>
            <w:shd w:val="clear" w:color="auto" w:fill="EFEBE9"/>
          </w:tcPr>
          <w:p>
            <w:pPr>
              <w:jc w:val="center"/>
              <w:spacing w:after="0" w:line="162" w:lineRule="exact"/>
              <w:rPr>
                <w:sz w:val="20"/>
                <w:szCs w:val="20"/>
                <w:color w:val="auto"/>
              </w:rPr>
            </w:pPr>
            <w:r>
              <w:rPr>
                <w:rFonts w:ascii="Arial" w:cs="Arial" w:eastAsia="Arial" w:hAnsi="Arial"/>
                <w:sz w:val="13"/>
                <w:szCs w:val="13"/>
                <w:b w:val="1"/>
                <w:bCs w:val="1"/>
                <w:color w:val="867F7C"/>
                <w:w w:val="89"/>
              </w:rPr>
              <w:t>($)</w:t>
            </w:r>
            <w:r>
              <w:rPr>
                <w:rFonts w:ascii="Arial" w:cs="Arial" w:eastAsia="Arial" w:hAnsi="Arial"/>
                <w:sz w:val="16"/>
                <w:szCs w:val="16"/>
                <w:color w:val="867F7C"/>
                <w:w w:val="89"/>
                <w:vertAlign w:val="superscript"/>
              </w:rPr>
              <w:t>(2)</w:t>
            </w:r>
          </w:p>
        </w:tc>
        <w:tc>
          <w:tcPr>
            <w:tcW w:w="1140" w:type="dxa"/>
            <w:vAlign w:val="bottom"/>
            <w:tcBorders>
              <w:bottom w:val="single" w:sz="8" w:color="EFEBE9"/>
            </w:tcBorders>
            <w:shd w:val="clear" w:color="auto" w:fill="EFEBE9"/>
          </w:tcPr>
          <w:p>
            <w:pPr>
              <w:jc w:val="center"/>
              <w:spacing w:after="0" w:line="162" w:lineRule="exact"/>
              <w:rPr>
                <w:sz w:val="20"/>
                <w:szCs w:val="20"/>
                <w:color w:val="auto"/>
              </w:rPr>
            </w:pPr>
            <w:r>
              <w:rPr>
                <w:rFonts w:ascii="Arial" w:cs="Arial" w:eastAsia="Arial" w:hAnsi="Arial"/>
                <w:sz w:val="13"/>
                <w:szCs w:val="13"/>
                <w:b w:val="1"/>
                <w:bCs w:val="1"/>
                <w:color w:val="867F7C"/>
                <w:w w:val="89"/>
              </w:rPr>
              <w:t>($)</w:t>
            </w:r>
            <w:r>
              <w:rPr>
                <w:rFonts w:ascii="Arial" w:cs="Arial" w:eastAsia="Arial" w:hAnsi="Arial"/>
                <w:sz w:val="16"/>
                <w:szCs w:val="16"/>
                <w:color w:val="867F7C"/>
                <w:w w:val="89"/>
                <w:vertAlign w:val="superscript"/>
              </w:rPr>
              <w:t>(3)</w:t>
            </w:r>
          </w:p>
        </w:tc>
        <w:tc>
          <w:tcPr>
            <w:tcW w:w="1280" w:type="dxa"/>
            <w:vAlign w:val="bottom"/>
            <w:tcBorders>
              <w:bottom w:val="single" w:sz="8" w:color="EFEBE9"/>
            </w:tcBorders>
            <w:shd w:val="clear" w:color="auto" w:fill="EFEBE9"/>
          </w:tcPr>
          <w:p>
            <w:pPr>
              <w:jc w:val="center"/>
              <w:ind w:right="77"/>
              <w:spacing w:after="0" w:line="162" w:lineRule="exact"/>
              <w:rPr>
                <w:sz w:val="20"/>
                <w:szCs w:val="20"/>
                <w:color w:val="auto"/>
              </w:rPr>
            </w:pPr>
            <w:r>
              <w:rPr>
                <w:rFonts w:ascii="Arial" w:cs="Arial" w:eastAsia="Arial" w:hAnsi="Arial"/>
                <w:sz w:val="13"/>
                <w:szCs w:val="13"/>
                <w:b w:val="1"/>
                <w:bCs w:val="1"/>
                <w:color w:val="867F7C"/>
                <w:w w:val="89"/>
              </w:rPr>
              <w:t>($)</w:t>
            </w:r>
            <w:r>
              <w:rPr>
                <w:rFonts w:ascii="Arial" w:cs="Arial" w:eastAsia="Arial" w:hAnsi="Arial"/>
                <w:sz w:val="16"/>
                <w:szCs w:val="16"/>
                <w:color w:val="867F7C"/>
                <w:w w:val="89"/>
                <w:vertAlign w:val="superscript"/>
              </w:rPr>
              <w:t>(4)</w:t>
            </w:r>
          </w:p>
        </w:tc>
        <w:tc>
          <w:tcPr>
            <w:tcW w:w="1040" w:type="dxa"/>
            <w:vAlign w:val="bottom"/>
            <w:tcBorders>
              <w:bottom w:val="single" w:sz="8" w:color="EFEBE9"/>
            </w:tcBorders>
            <w:shd w:val="clear" w:color="auto" w:fill="EFEBE9"/>
          </w:tcPr>
          <w:p>
            <w:pPr>
              <w:ind w:left="380"/>
              <w:spacing w:after="0"/>
              <w:rPr>
                <w:sz w:val="20"/>
                <w:szCs w:val="20"/>
                <w:color w:val="auto"/>
              </w:rPr>
            </w:pPr>
            <w:r>
              <w:rPr>
                <w:rFonts w:ascii="Arial" w:cs="Arial" w:eastAsia="Arial" w:hAnsi="Arial"/>
                <w:sz w:val="13"/>
                <w:szCs w:val="13"/>
                <w:b w:val="1"/>
                <w:bCs w:val="1"/>
                <w:color w:val="867F7C"/>
              </w:rPr>
              <w:t>($)</w:t>
            </w:r>
          </w:p>
        </w:tc>
        <w:tc>
          <w:tcPr>
            <w:tcW w:w="0" w:type="dxa"/>
            <w:vAlign w:val="bottom"/>
          </w:tcPr>
          <w:p>
            <w:pPr>
              <w:spacing w:after="0"/>
              <w:rPr>
                <w:sz w:val="1"/>
                <w:szCs w:val="1"/>
                <w:color w:val="auto"/>
              </w:rPr>
            </w:pPr>
          </w:p>
        </w:tc>
      </w:tr>
      <w:tr>
        <w:trPr>
          <w:trHeight w:val="149"/>
        </w:trPr>
        <w:tc>
          <w:tcPr>
            <w:tcW w:w="1920" w:type="dxa"/>
            <w:vAlign w:val="bottom"/>
          </w:tcPr>
          <w:p>
            <w:pPr>
              <w:ind w:left="100"/>
              <w:spacing w:after="0"/>
              <w:rPr>
                <w:sz w:val="20"/>
                <w:szCs w:val="20"/>
                <w:color w:val="auto"/>
              </w:rPr>
            </w:pPr>
            <w:r>
              <w:rPr>
                <w:rFonts w:ascii="Arial" w:cs="Arial" w:eastAsia="Arial" w:hAnsi="Arial"/>
                <w:sz w:val="13"/>
                <w:szCs w:val="13"/>
                <w:b w:val="1"/>
                <w:bCs w:val="1"/>
                <w:color w:val="4CCEDE"/>
              </w:rPr>
              <w:t>Guillermo Novo</w:t>
            </w:r>
          </w:p>
        </w:tc>
        <w:tc>
          <w:tcPr>
            <w:tcW w:w="800" w:type="dxa"/>
            <w:vAlign w:val="bottom"/>
          </w:tcPr>
          <w:p>
            <w:pPr>
              <w:jc w:val="center"/>
              <w:ind w:right="17"/>
              <w:spacing w:after="0"/>
              <w:rPr>
                <w:sz w:val="20"/>
                <w:szCs w:val="20"/>
                <w:color w:val="auto"/>
              </w:rPr>
            </w:pPr>
            <w:r>
              <w:rPr>
                <w:rFonts w:ascii="Arial" w:cs="Arial" w:eastAsia="Arial" w:hAnsi="Arial"/>
                <w:sz w:val="13"/>
                <w:szCs w:val="13"/>
                <w:color w:val="auto"/>
                <w:w w:val="96"/>
              </w:rPr>
              <w:t>2025</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1,152,332</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5,233,863</w:t>
            </w:r>
          </w:p>
        </w:tc>
        <w:tc>
          <w:tcPr>
            <w:tcW w:w="1140" w:type="dxa"/>
            <w:vAlign w:val="bottom"/>
          </w:tcPr>
          <w:p>
            <w:pPr>
              <w:jc w:val="right"/>
              <w:ind w:right="137"/>
              <w:spacing w:after="0"/>
              <w:rPr>
                <w:sz w:val="20"/>
                <w:szCs w:val="20"/>
                <w:color w:val="auto"/>
              </w:rPr>
            </w:pPr>
            <w:r>
              <w:rPr>
                <w:rFonts w:ascii="Arial" w:cs="Arial" w:eastAsia="Arial" w:hAnsi="Arial"/>
                <w:sz w:val="13"/>
                <w:szCs w:val="13"/>
                <w:color w:val="auto"/>
              </w:rPr>
              <w:t>1,313,830</w:t>
            </w: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207,398</w:t>
            </w:r>
          </w:p>
        </w:tc>
        <w:tc>
          <w:tcPr>
            <w:tcW w:w="1040" w:type="dxa"/>
            <w:vAlign w:val="bottom"/>
          </w:tcPr>
          <w:p>
            <w:pPr>
              <w:ind w:left="300"/>
              <w:spacing w:after="0"/>
              <w:rPr>
                <w:sz w:val="20"/>
                <w:szCs w:val="20"/>
                <w:color w:val="auto"/>
              </w:rPr>
            </w:pPr>
            <w:r>
              <w:rPr>
                <w:rFonts w:ascii="Arial" w:cs="Arial" w:eastAsia="Arial" w:hAnsi="Arial"/>
                <w:sz w:val="13"/>
                <w:szCs w:val="13"/>
                <w:color w:val="auto"/>
              </w:rPr>
              <w:t>7,907,423</w:t>
            </w:r>
          </w:p>
        </w:tc>
        <w:tc>
          <w:tcPr>
            <w:tcW w:w="0" w:type="dxa"/>
            <w:vAlign w:val="bottom"/>
          </w:tcPr>
          <w:p>
            <w:pPr>
              <w:spacing w:after="0"/>
              <w:rPr>
                <w:sz w:val="1"/>
                <w:szCs w:val="1"/>
                <w:color w:val="auto"/>
              </w:rPr>
            </w:pPr>
          </w:p>
        </w:tc>
      </w:tr>
      <w:tr>
        <w:trPr>
          <w:trHeight w:val="162"/>
        </w:trPr>
        <w:tc>
          <w:tcPr>
            <w:tcW w:w="1920" w:type="dxa"/>
            <w:vAlign w:val="bottom"/>
          </w:tcPr>
          <w:p>
            <w:pPr>
              <w:ind w:left="220"/>
              <w:spacing w:after="0"/>
              <w:rPr>
                <w:sz w:val="20"/>
                <w:szCs w:val="20"/>
                <w:color w:val="auto"/>
              </w:rPr>
            </w:pPr>
            <w:r>
              <w:rPr>
                <w:rFonts w:ascii="Arial" w:cs="Arial" w:eastAsia="Arial" w:hAnsi="Arial"/>
                <w:sz w:val="13"/>
                <w:szCs w:val="13"/>
                <w:color w:val="auto"/>
              </w:rPr>
              <w:t>Chair and Chief</w:t>
            </w:r>
          </w:p>
        </w:tc>
        <w:tc>
          <w:tcPr>
            <w:tcW w:w="800" w:type="dxa"/>
            <w:vAlign w:val="bottom"/>
          </w:tcPr>
          <w:p>
            <w:pPr>
              <w:jc w:val="center"/>
              <w:ind w:right="17"/>
              <w:spacing w:after="0"/>
              <w:rPr>
                <w:sz w:val="20"/>
                <w:szCs w:val="20"/>
                <w:color w:val="auto"/>
              </w:rPr>
            </w:pPr>
            <w:r>
              <w:rPr>
                <w:rFonts w:ascii="Arial" w:cs="Arial" w:eastAsia="Arial" w:hAnsi="Arial"/>
                <w:sz w:val="13"/>
                <w:szCs w:val="13"/>
                <w:color w:val="auto"/>
                <w:w w:val="96"/>
              </w:rPr>
              <w:t>2024</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1,128,500</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6,242,771</w:t>
            </w:r>
          </w:p>
        </w:tc>
        <w:tc>
          <w:tcPr>
            <w:tcW w:w="1140" w:type="dxa"/>
            <w:vAlign w:val="bottom"/>
          </w:tcPr>
          <w:p>
            <w:pPr>
              <w:jc w:val="right"/>
              <w:ind w:right="137"/>
              <w:spacing w:after="0"/>
              <w:rPr>
                <w:sz w:val="20"/>
                <w:szCs w:val="20"/>
                <w:color w:val="auto"/>
              </w:rPr>
            </w:pPr>
            <w:r>
              <w:rPr>
                <w:rFonts w:ascii="Arial" w:cs="Arial" w:eastAsia="Arial" w:hAnsi="Arial"/>
                <w:sz w:val="13"/>
                <w:szCs w:val="13"/>
                <w:color w:val="auto"/>
              </w:rPr>
              <w:t>1,477,772</w:t>
            </w: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132,948</w:t>
            </w:r>
          </w:p>
        </w:tc>
        <w:tc>
          <w:tcPr>
            <w:tcW w:w="1040" w:type="dxa"/>
            <w:vAlign w:val="bottom"/>
          </w:tcPr>
          <w:p>
            <w:pPr>
              <w:ind w:left="300"/>
              <w:spacing w:after="0"/>
              <w:rPr>
                <w:sz w:val="20"/>
                <w:szCs w:val="20"/>
                <w:color w:val="auto"/>
              </w:rPr>
            </w:pPr>
            <w:r>
              <w:rPr>
                <w:rFonts w:ascii="Arial" w:cs="Arial" w:eastAsia="Arial" w:hAnsi="Arial"/>
                <w:sz w:val="13"/>
                <w:szCs w:val="13"/>
                <w:color w:val="auto"/>
              </w:rPr>
              <w:t>8,981,991</w:t>
            </w:r>
          </w:p>
        </w:tc>
        <w:tc>
          <w:tcPr>
            <w:tcW w:w="0" w:type="dxa"/>
            <w:vAlign w:val="bottom"/>
          </w:tcPr>
          <w:p>
            <w:pPr>
              <w:spacing w:after="0"/>
              <w:rPr>
                <w:sz w:val="1"/>
                <w:szCs w:val="1"/>
                <w:color w:val="auto"/>
              </w:rPr>
            </w:pPr>
          </w:p>
        </w:tc>
      </w:tr>
      <w:tr>
        <w:trPr>
          <w:trHeight w:val="175"/>
        </w:trPr>
        <w:tc>
          <w:tcPr>
            <w:tcW w:w="1920" w:type="dxa"/>
            <w:vAlign w:val="bottom"/>
            <w:tcBorders>
              <w:bottom w:val="single" w:sz="8" w:color="867F7C"/>
            </w:tcBorders>
          </w:tcPr>
          <w:p>
            <w:pPr>
              <w:ind w:left="220"/>
              <w:spacing w:after="0"/>
              <w:rPr>
                <w:sz w:val="20"/>
                <w:szCs w:val="20"/>
                <w:color w:val="auto"/>
              </w:rPr>
            </w:pPr>
            <w:r>
              <w:rPr>
                <w:rFonts w:ascii="Arial" w:cs="Arial" w:eastAsia="Arial" w:hAnsi="Arial"/>
                <w:sz w:val="13"/>
                <w:szCs w:val="13"/>
                <w:color w:val="auto"/>
              </w:rPr>
              <w:t>Executive Officer</w:t>
            </w:r>
          </w:p>
        </w:tc>
        <w:tc>
          <w:tcPr>
            <w:tcW w:w="800" w:type="dxa"/>
            <w:vAlign w:val="bottom"/>
            <w:tcBorders>
              <w:bottom w:val="single" w:sz="8" w:color="867F7C"/>
            </w:tcBorders>
          </w:tcPr>
          <w:p>
            <w:pPr>
              <w:jc w:val="center"/>
              <w:ind w:right="17"/>
              <w:spacing w:after="0"/>
              <w:rPr>
                <w:sz w:val="20"/>
                <w:szCs w:val="20"/>
                <w:color w:val="auto"/>
              </w:rPr>
            </w:pPr>
            <w:r>
              <w:rPr>
                <w:rFonts w:ascii="Arial" w:cs="Arial" w:eastAsia="Arial" w:hAnsi="Arial"/>
                <w:sz w:val="13"/>
                <w:szCs w:val="13"/>
                <w:color w:val="auto"/>
                <w:w w:val="96"/>
              </w:rPr>
              <w:t>2023</w:t>
            </w:r>
          </w:p>
        </w:tc>
        <w:tc>
          <w:tcPr>
            <w:tcW w:w="10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1,114,805</w:t>
            </w:r>
          </w:p>
        </w:tc>
        <w:tc>
          <w:tcPr>
            <w:tcW w:w="90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867F7C"/>
            </w:tcBorders>
          </w:tcPr>
          <w:p>
            <w:pPr>
              <w:jc w:val="right"/>
              <w:ind w:right="97"/>
              <w:spacing w:after="0"/>
              <w:rPr>
                <w:sz w:val="20"/>
                <w:szCs w:val="20"/>
                <w:color w:val="auto"/>
              </w:rPr>
            </w:pPr>
            <w:r>
              <w:rPr>
                <w:rFonts w:ascii="Arial" w:cs="Arial" w:eastAsia="Arial" w:hAnsi="Arial"/>
                <w:sz w:val="13"/>
                <w:szCs w:val="13"/>
                <w:color w:val="auto"/>
              </w:rPr>
              <w:t>5,454,895</w:t>
            </w:r>
          </w:p>
        </w:tc>
        <w:tc>
          <w:tcPr>
            <w:tcW w:w="114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101,565</w:t>
            </w:r>
          </w:p>
        </w:tc>
        <w:tc>
          <w:tcPr>
            <w:tcW w:w="1280" w:type="dxa"/>
            <w:vAlign w:val="bottom"/>
            <w:tcBorders>
              <w:bottom w:val="single" w:sz="8" w:color="867F7C"/>
            </w:tcBorders>
          </w:tcPr>
          <w:p>
            <w:pPr>
              <w:jc w:val="right"/>
              <w:ind w:right="337"/>
              <w:spacing w:after="0"/>
              <w:rPr>
                <w:sz w:val="20"/>
                <w:szCs w:val="20"/>
                <w:color w:val="auto"/>
              </w:rPr>
            </w:pPr>
            <w:r>
              <w:rPr>
                <w:rFonts w:ascii="Arial" w:cs="Arial" w:eastAsia="Arial" w:hAnsi="Arial"/>
                <w:sz w:val="13"/>
                <w:szCs w:val="13"/>
                <w:color w:val="auto"/>
              </w:rPr>
              <w:t>286,649</w:t>
            </w:r>
          </w:p>
        </w:tc>
        <w:tc>
          <w:tcPr>
            <w:tcW w:w="1040" w:type="dxa"/>
            <w:vAlign w:val="bottom"/>
            <w:tcBorders>
              <w:bottom w:val="single" w:sz="8" w:color="867F7C"/>
            </w:tcBorders>
          </w:tcPr>
          <w:p>
            <w:pPr>
              <w:ind w:left="300"/>
              <w:spacing w:after="0"/>
              <w:rPr>
                <w:sz w:val="20"/>
                <w:szCs w:val="20"/>
                <w:color w:val="auto"/>
              </w:rPr>
            </w:pPr>
            <w:r>
              <w:rPr>
                <w:rFonts w:ascii="Arial" w:cs="Arial" w:eastAsia="Arial" w:hAnsi="Arial"/>
                <w:sz w:val="13"/>
                <w:szCs w:val="13"/>
                <w:color w:val="auto"/>
              </w:rPr>
              <w:t>6,957,914</w:t>
            </w:r>
          </w:p>
        </w:tc>
        <w:tc>
          <w:tcPr>
            <w:tcW w:w="0" w:type="dxa"/>
            <w:vAlign w:val="bottom"/>
          </w:tcPr>
          <w:p>
            <w:pPr>
              <w:spacing w:after="0"/>
              <w:rPr>
                <w:sz w:val="1"/>
                <w:szCs w:val="1"/>
                <w:color w:val="auto"/>
              </w:rPr>
            </w:pPr>
          </w:p>
        </w:tc>
      </w:tr>
      <w:tr>
        <w:trPr>
          <w:trHeight w:val="138"/>
        </w:trPr>
        <w:tc>
          <w:tcPr>
            <w:tcW w:w="1920" w:type="dxa"/>
            <w:vAlign w:val="bottom"/>
          </w:tcPr>
          <w:p>
            <w:pPr>
              <w:ind w:left="100"/>
              <w:spacing w:after="0" w:line="138" w:lineRule="exact"/>
              <w:rPr>
                <w:sz w:val="20"/>
                <w:szCs w:val="20"/>
                <w:color w:val="auto"/>
              </w:rPr>
            </w:pPr>
            <w:r>
              <w:rPr>
                <w:rFonts w:ascii="Arial" w:cs="Arial" w:eastAsia="Arial" w:hAnsi="Arial"/>
                <w:sz w:val="13"/>
                <w:szCs w:val="13"/>
                <w:b w:val="1"/>
                <w:bCs w:val="1"/>
                <w:color w:val="4CCEDE"/>
              </w:rPr>
              <w:t>William Whitaker</w:t>
            </w:r>
          </w:p>
        </w:tc>
        <w:tc>
          <w:tcPr>
            <w:tcW w:w="800" w:type="dxa"/>
            <w:vAlign w:val="bottom"/>
          </w:tcPr>
          <w:p>
            <w:pPr>
              <w:jc w:val="center"/>
              <w:ind w:right="17"/>
              <w:spacing w:after="0" w:line="138" w:lineRule="exact"/>
              <w:rPr>
                <w:sz w:val="20"/>
                <w:szCs w:val="20"/>
                <w:color w:val="auto"/>
              </w:rPr>
            </w:pPr>
            <w:r>
              <w:rPr>
                <w:rFonts w:ascii="Arial" w:cs="Arial" w:eastAsia="Arial" w:hAnsi="Arial"/>
                <w:sz w:val="13"/>
                <w:szCs w:val="13"/>
                <w:color w:val="auto"/>
                <w:w w:val="96"/>
              </w:rPr>
              <w:t>2025</w:t>
            </w:r>
          </w:p>
        </w:tc>
        <w:tc>
          <w:tcPr>
            <w:tcW w:w="108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323,475</w:t>
            </w:r>
          </w:p>
        </w:tc>
        <w:tc>
          <w:tcPr>
            <w:tcW w:w="90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1,748,658</w:t>
            </w:r>
          </w:p>
        </w:tc>
        <w:tc>
          <w:tcPr>
            <w:tcW w:w="114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243,686</w:t>
            </w:r>
          </w:p>
        </w:tc>
        <w:tc>
          <w:tcPr>
            <w:tcW w:w="1280" w:type="dxa"/>
            <w:vAlign w:val="bottom"/>
          </w:tcPr>
          <w:p>
            <w:pPr>
              <w:jc w:val="right"/>
              <w:ind w:right="337"/>
              <w:spacing w:after="0" w:line="138" w:lineRule="exact"/>
              <w:rPr>
                <w:sz w:val="20"/>
                <w:szCs w:val="20"/>
                <w:color w:val="auto"/>
              </w:rPr>
            </w:pPr>
            <w:r>
              <w:rPr>
                <w:rFonts w:ascii="Arial" w:cs="Arial" w:eastAsia="Arial" w:hAnsi="Arial"/>
                <w:sz w:val="13"/>
                <w:szCs w:val="13"/>
                <w:color w:val="auto"/>
              </w:rPr>
              <w:t>34,549</w:t>
            </w:r>
          </w:p>
        </w:tc>
        <w:tc>
          <w:tcPr>
            <w:tcW w:w="1040" w:type="dxa"/>
            <w:vAlign w:val="bottom"/>
          </w:tcPr>
          <w:p>
            <w:pPr>
              <w:ind w:left="300"/>
              <w:spacing w:after="0" w:line="138" w:lineRule="exact"/>
              <w:rPr>
                <w:sz w:val="20"/>
                <w:szCs w:val="20"/>
                <w:color w:val="auto"/>
              </w:rPr>
            </w:pPr>
            <w:r>
              <w:rPr>
                <w:rFonts w:ascii="Arial" w:cs="Arial" w:eastAsia="Arial" w:hAnsi="Arial"/>
                <w:sz w:val="13"/>
                <w:szCs w:val="13"/>
                <w:color w:val="auto"/>
              </w:rPr>
              <w:t>2,350,368</w:t>
            </w:r>
          </w:p>
        </w:tc>
        <w:tc>
          <w:tcPr>
            <w:tcW w:w="0" w:type="dxa"/>
            <w:vAlign w:val="bottom"/>
          </w:tcPr>
          <w:p>
            <w:pPr>
              <w:spacing w:after="0"/>
              <w:rPr>
                <w:sz w:val="1"/>
                <w:szCs w:val="1"/>
                <w:color w:val="auto"/>
              </w:rPr>
            </w:pPr>
          </w:p>
        </w:tc>
      </w:tr>
      <w:tr>
        <w:trPr>
          <w:trHeight w:val="135"/>
        </w:trPr>
        <w:tc>
          <w:tcPr>
            <w:tcW w:w="1920" w:type="dxa"/>
            <w:vAlign w:val="bottom"/>
          </w:tcPr>
          <w:p>
            <w:pPr>
              <w:ind w:left="220"/>
              <w:spacing w:after="0" w:line="135" w:lineRule="exact"/>
              <w:rPr>
                <w:sz w:val="20"/>
                <w:szCs w:val="20"/>
                <w:color w:val="auto"/>
              </w:rPr>
            </w:pPr>
            <w:r>
              <w:rPr>
                <w:rFonts w:ascii="Arial" w:cs="Arial" w:eastAsia="Arial" w:hAnsi="Arial"/>
                <w:sz w:val="13"/>
                <w:szCs w:val="13"/>
                <w:color w:val="auto"/>
              </w:rPr>
              <w:t>SVP and Chief Financial</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tcBorders>
              <w:bottom w:val="single" w:sz="8" w:color="867F7C"/>
            </w:tcBorders>
          </w:tcPr>
          <w:p>
            <w:pPr>
              <w:ind w:left="220"/>
              <w:spacing w:after="0"/>
              <w:rPr>
                <w:sz w:val="20"/>
                <w:szCs w:val="20"/>
                <w:color w:val="auto"/>
              </w:rPr>
            </w:pPr>
            <w:r>
              <w:rPr>
                <w:rFonts w:ascii="Arial" w:cs="Arial" w:eastAsia="Arial" w:hAnsi="Arial"/>
                <w:sz w:val="13"/>
                <w:szCs w:val="13"/>
                <w:color w:val="auto"/>
              </w:rPr>
              <w:t>Officer</w:t>
            </w:r>
          </w:p>
        </w:tc>
        <w:tc>
          <w:tcPr>
            <w:tcW w:w="800" w:type="dxa"/>
            <w:vAlign w:val="bottom"/>
            <w:tcBorders>
              <w:bottom w:val="single" w:sz="8" w:color="867F7C"/>
            </w:tcBorders>
          </w:tcPr>
          <w:p>
            <w:pPr>
              <w:spacing w:after="0"/>
              <w:rPr>
                <w:sz w:val="13"/>
                <w:szCs w:val="13"/>
                <w:color w:val="auto"/>
              </w:rPr>
            </w:pPr>
          </w:p>
        </w:tc>
        <w:tc>
          <w:tcPr>
            <w:tcW w:w="1080" w:type="dxa"/>
            <w:vAlign w:val="bottom"/>
            <w:tcBorders>
              <w:bottom w:val="single" w:sz="8" w:color="867F7C"/>
            </w:tcBorders>
          </w:tcPr>
          <w:p>
            <w:pPr>
              <w:spacing w:after="0"/>
              <w:rPr>
                <w:sz w:val="13"/>
                <w:szCs w:val="13"/>
                <w:color w:val="auto"/>
              </w:rPr>
            </w:pPr>
          </w:p>
        </w:tc>
        <w:tc>
          <w:tcPr>
            <w:tcW w:w="90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spacing w:after="0"/>
              <w:rPr>
                <w:sz w:val="13"/>
                <w:szCs w:val="13"/>
                <w:color w:val="auto"/>
              </w:rPr>
            </w:pPr>
          </w:p>
        </w:tc>
        <w:tc>
          <w:tcPr>
            <w:tcW w:w="1140" w:type="dxa"/>
            <w:vAlign w:val="bottom"/>
            <w:tcBorders>
              <w:bottom w:val="single" w:sz="8" w:color="867F7C"/>
            </w:tcBorders>
          </w:tcPr>
          <w:p>
            <w:pPr>
              <w:spacing w:after="0"/>
              <w:rPr>
                <w:sz w:val="13"/>
                <w:szCs w:val="13"/>
                <w:color w:val="auto"/>
              </w:rPr>
            </w:pPr>
          </w:p>
        </w:tc>
        <w:tc>
          <w:tcPr>
            <w:tcW w:w="1280" w:type="dxa"/>
            <w:vAlign w:val="bottom"/>
            <w:tcBorders>
              <w:bottom w:val="single" w:sz="8" w:color="867F7C"/>
            </w:tcBorders>
          </w:tcPr>
          <w:p>
            <w:pPr>
              <w:spacing w:after="0"/>
              <w:rPr>
                <w:sz w:val="13"/>
                <w:szCs w:val="13"/>
                <w:color w:val="auto"/>
              </w:rPr>
            </w:pPr>
          </w:p>
        </w:tc>
        <w:tc>
          <w:tcPr>
            <w:tcW w:w="104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20" w:type="dxa"/>
            <w:vAlign w:val="bottom"/>
          </w:tcPr>
          <w:p>
            <w:pPr>
              <w:ind w:left="100"/>
              <w:spacing w:after="0" w:line="138" w:lineRule="exact"/>
              <w:rPr>
                <w:sz w:val="20"/>
                <w:szCs w:val="20"/>
                <w:color w:val="auto"/>
              </w:rPr>
            </w:pPr>
            <w:r>
              <w:rPr>
                <w:rFonts w:ascii="Arial" w:cs="Arial" w:eastAsia="Arial" w:hAnsi="Arial"/>
                <w:sz w:val="13"/>
                <w:szCs w:val="13"/>
                <w:b w:val="1"/>
                <w:bCs w:val="1"/>
                <w:color w:val="4CCEDE"/>
              </w:rPr>
              <w:t>Alessandra Faccin Assis</w:t>
            </w:r>
          </w:p>
        </w:tc>
        <w:tc>
          <w:tcPr>
            <w:tcW w:w="800" w:type="dxa"/>
            <w:vAlign w:val="bottom"/>
          </w:tcPr>
          <w:p>
            <w:pPr>
              <w:jc w:val="center"/>
              <w:ind w:right="17"/>
              <w:spacing w:after="0" w:line="138" w:lineRule="exact"/>
              <w:rPr>
                <w:sz w:val="20"/>
                <w:szCs w:val="20"/>
                <w:color w:val="auto"/>
              </w:rPr>
            </w:pPr>
            <w:r>
              <w:rPr>
                <w:rFonts w:ascii="Arial" w:cs="Arial" w:eastAsia="Arial" w:hAnsi="Arial"/>
                <w:sz w:val="13"/>
                <w:szCs w:val="13"/>
                <w:color w:val="auto"/>
                <w:w w:val="96"/>
              </w:rPr>
              <w:t>2025</w:t>
            </w:r>
          </w:p>
        </w:tc>
        <w:tc>
          <w:tcPr>
            <w:tcW w:w="108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500,347</w:t>
            </w:r>
          </w:p>
        </w:tc>
        <w:tc>
          <w:tcPr>
            <w:tcW w:w="90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776,798</w:t>
            </w:r>
          </w:p>
        </w:tc>
        <w:tc>
          <w:tcPr>
            <w:tcW w:w="114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286,146</w:t>
            </w:r>
          </w:p>
        </w:tc>
        <w:tc>
          <w:tcPr>
            <w:tcW w:w="1280" w:type="dxa"/>
            <w:vAlign w:val="bottom"/>
          </w:tcPr>
          <w:p>
            <w:pPr>
              <w:jc w:val="right"/>
              <w:ind w:right="337"/>
              <w:spacing w:after="0" w:line="138" w:lineRule="exact"/>
              <w:rPr>
                <w:sz w:val="20"/>
                <w:szCs w:val="20"/>
                <w:color w:val="auto"/>
              </w:rPr>
            </w:pPr>
            <w:r>
              <w:rPr>
                <w:rFonts w:ascii="Arial" w:cs="Arial" w:eastAsia="Arial" w:hAnsi="Arial"/>
                <w:sz w:val="13"/>
                <w:szCs w:val="13"/>
                <w:color w:val="auto"/>
              </w:rPr>
              <w:t>522,888</w:t>
            </w:r>
          </w:p>
        </w:tc>
        <w:tc>
          <w:tcPr>
            <w:tcW w:w="1040" w:type="dxa"/>
            <w:vAlign w:val="bottom"/>
          </w:tcPr>
          <w:p>
            <w:pPr>
              <w:ind w:left="300"/>
              <w:spacing w:after="0" w:line="138" w:lineRule="exact"/>
              <w:rPr>
                <w:sz w:val="20"/>
                <w:szCs w:val="20"/>
                <w:color w:val="auto"/>
              </w:rPr>
            </w:pPr>
            <w:r>
              <w:rPr>
                <w:rFonts w:ascii="Arial" w:cs="Arial" w:eastAsia="Arial" w:hAnsi="Arial"/>
                <w:sz w:val="13"/>
                <w:szCs w:val="13"/>
                <w:color w:val="auto"/>
              </w:rPr>
              <w:t>2,086,178</w:t>
            </w:r>
          </w:p>
        </w:tc>
        <w:tc>
          <w:tcPr>
            <w:tcW w:w="0" w:type="dxa"/>
            <w:vAlign w:val="bottom"/>
          </w:tcPr>
          <w:p>
            <w:pPr>
              <w:spacing w:after="0"/>
              <w:rPr>
                <w:sz w:val="1"/>
                <w:szCs w:val="1"/>
                <w:color w:val="auto"/>
              </w:rPr>
            </w:pPr>
          </w:p>
        </w:tc>
      </w:tr>
      <w:tr>
        <w:trPr>
          <w:trHeight w:val="135"/>
        </w:trPr>
        <w:tc>
          <w:tcPr>
            <w:tcW w:w="1920" w:type="dxa"/>
            <w:vAlign w:val="bottom"/>
          </w:tcPr>
          <w:p>
            <w:pPr>
              <w:ind w:left="220"/>
              <w:spacing w:after="0" w:line="135" w:lineRule="exact"/>
              <w:rPr>
                <w:sz w:val="20"/>
                <w:szCs w:val="20"/>
                <w:color w:val="auto"/>
              </w:rPr>
            </w:pPr>
            <w:r>
              <w:rPr>
                <w:rFonts w:ascii="Arial" w:cs="Arial" w:eastAsia="Arial" w:hAnsi="Arial"/>
                <w:sz w:val="13"/>
                <w:szCs w:val="13"/>
                <w:color w:val="auto"/>
              </w:rPr>
              <w:t>SVP &amp; GM Life Sciences &amp;</w:t>
            </w: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color w:val="auto"/>
                <w:w w:val="96"/>
              </w:rPr>
              <w:t>2024</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auto"/>
              </w:rPr>
              <w:t>131,923</w:t>
            </w:r>
          </w:p>
        </w:tc>
        <w:tc>
          <w:tcPr>
            <w:tcW w:w="900" w:type="dxa"/>
            <w:vAlign w:val="bottom"/>
            <w:vMerge w:val="restart"/>
          </w:tcPr>
          <w:p>
            <w:pPr>
              <w:jc w:val="right"/>
              <w:ind w:right="117"/>
              <w:spacing w:after="0"/>
              <w:rPr>
                <w:sz w:val="20"/>
                <w:szCs w:val="20"/>
                <w:color w:val="auto"/>
              </w:rPr>
            </w:pPr>
            <w:r>
              <w:rPr>
                <w:rFonts w:ascii="Arial" w:cs="Arial" w:eastAsia="Arial" w:hAnsi="Arial"/>
                <w:sz w:val="13"/>
                <w:szCs w:val="13"/>
                <w:color w:val="auto"/>
              </w:rPr>
              <w:t>90,000</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1,439,918</w:t>
            </w:r>
          </w:p>
        </w:tc>
        <w:tc>
          <w:tcPr>
            <w:tcW w:w="1140" w:type="dxa"/>
            <w:vAlign w:val="bottom"/>
            <w:vMerge w:val="restart"/>
          </w:tcPr>
          <w:p>
            <w:pPr>
              <w:jc w:val="right"/>
              <w:ind w:right="137"/>
              <w:spacing w:after="0"/>
              <w:rPr>
                <w:sz w:val="20"/>
                <w:szCs w:val="20"/>
                <w:color w:val="auto"/>
              </w:rPr>
            </w:pPr>
            <w:r>
              <w:rPr>
                <w:rFonts w:ascii="Arial" w:cs="Arial" w:eastAsia="Arial" w:hAnsi="Arial"/>
                <w:sz w:val="13"/>
                <w:szCs w:val="13"/>
                <w:color w:val="auto"/>
              </w:rPr>
              <w:t>96,487</w:t>
            </w:r>
          </w:p>
        </w:tc>
        <w:tc>
          <w:tcPr>
            <w:tcW w:w="1280" w:type="dxa"/>
            <w:vAlign w:val="bottom"/>
            <w:vMerge w:val="restart"/>
          </w:tcPr>
          <w:p>
            <w:pPr>
              <w:jc w:val="right"/>
              <w:ind w:right="337"/>
              <w:spacing w:after="0"/>
              <w:rPr>
                <w:sz w:val="20"/>
                <w:szCs w:val="20"/>
                <w:color w:val="auto"/>
              </w:rPr>
            </w:pPr>
            <w:r>
              <w:rPr>
                <w:rFonts w:ascii="Arial" w:cs="Arial" w:eastAsia="Arial" w:hAnsi="Arial"/>
                <w:sz w:val="13"/>
                <w:szCs w:val="13"/>
                <w:color w:val="auto"/>
              </w:rPr>
              <w:t>252,119</w:t>
            </w:r>
          </w:p>
        </w:tc>
        <w:tc>
          <w:tcPr>
            <w:tcW w:w="1040" w:type="dxa"/>
            <w:vAlign w:val="bottom"/>
            <w:vMerge w:val="restart"/>
          </w:tcPr>
          <w:p>
            <w:pPr>
              <w:ind w:left="300"/>
              <w:spacing w:after="0"/>
              <w:rPr>
                <w:sz w:val="20"/>
                <w:szCs w:val="20"/>
                <w:color w:val="auto"/>
              </w:rPr>
            </w:pPr>
            <w:r>
              <w:rPr>
                <w:rFonts w:ascii="Arial" w:cs="Arial" w:eastAsia="Arial" w:hAnsi="Arial"/>
                <w:sz w:val="13"/>
                <w:szCs w:val="13"/>
                <w:color w:val="auto"/>
              </w:rPr>
              <w:t>2,010,447</w:t>
            </w:r>
          </w:p>
        </w:tc>
        <w:tc>
          <w:tcPr>
            <w:tcW w:w="0" w:type="dxa"/>
            <w:vAlign w:val="bottom"/>
          </w:tcPr>
          <w:p>
            <w:pPr>
              <w:spacing w:after="0"/>
              <w:rPr>
                <w:sz w:val="1"/>
                <w:szCs w:val="1"/>
                <w:color w:val="auto"/>
              </w:rPr>
            </w:pPr>
          </w:p>
        </w:tc>
      </w:tr>
      <w:tr>
        <w:trPr>
          <w:trHeight w:val="100"/>
        </w:trPr>
        <w:tc>
          <w:tcPr>
            <w:tcW w:w="1920" w:type="dxa"/>
            <w:vAlign w:val="bottom"/>
            <w:vMerge w:val="restart"/>
          </w:tcPr>
          <w:p>
            <w:pPr>
              <w:ind w:left="220"/>
              <w:spacing w:after="0"/>
              <w:rPr>
                <w:sz w:val="20"/>
                <w:szCs w:val="20"/>
                <w:color w:val="auto"/>
              </w:rPr>
            </w:pPr>
            <w:r>
              <w:rPr>
                <w:rFonts w:ascii="Arial" w:cs="Arial" w:eastAsia="Arial" w:hAnsi="Arial"/>
                <w:sz w:val="13"/>
                <w:szCs w:val="13"/>
                <w:color w:val="auto"/>
              </w:rPr>
              <w:t>Intermediates</w:t>
            </w: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920" w:type="dxa"/>
            <w:vAlign w:val="bottom"/>
            <w:tcBorders>
              <w:bottom w:val="single" w:sz="8" w:color="867F7C"/>
            </w:tcBorders>
            <w:vMerge w:val="continue"/>
          </w:tcPr>
          <w:p>
            <w:pPr>
              <w:spacing w:after="0"/>
              <w:rPr>
                <w:sz w:val="4"/>
                <w:szCs w:val="4"/>
                <w:color w:val="auto"/>
              </w:rPr>
            </w:pPr>
          </w:p>
        </w:tc>
        <w:tc>
          <w:tcPr>
            <w:tcW w:w="800" w:type="dxa"/>
            <w:vAlign w:val="bottom"/>
            <w:tcBorders>
              <w:bottom w:val="single" w:sz="8" w:color="867F7C"/>
            </w:tcBorders>
          </w:tcPr>
          <w:p>
            <w:pPr>
              <w:spacing w:after="0"/>
              <w:rPr>
                <w:sz w:val="4"/>
                <w:szCs w:val="4"/>
                <w:color w:val="auto"/>
              </w:rPr>
            </w:pPr>
          </w:p>
        </w:tc>
        <w:tc>
          <w:tcPr>
            <w:tcW w:w="1080" w:type="dxa"/>
            <w:vAlign w:val="bottom"/>
            <w:tcBorders>
              <w:bottom w:val="single" w:sz="8" w:color="867F7C"/>
            </w:tcBorders>
          </w:tcPr>
          <w:p>
            <w:pPr>
              <w:spacing w:after="0"/>
              <w:rPr>
                <w:sz w:val="4"/>
                <w:szCs w:val="4"/>
                <w:color w:val="auto"/>
              </w:rPr>
            </w:pPr>
          </w:p>
        </w:tc>
        <w:tc>
          <w:tcPr>
            <w:tcW w:w="900" w:type="dxa"/>
            <w:vAlign w:val="bottom"/>
            <w:tcBorders>
              <w:bottom w:val="single" w:sz="8" w:color="867F7C"/>
            </w:tcBorders>
          </w:tcPr>
          <w:p>
            <w:pPr>
              <w:spacing w:after="0"/>
              <w:rPr>
                <w:sz w:val="4"/>
                <w:szCs w:val="4"/>
                <w:color w:val="auto"/>
              </w:rPr>
            </w:pPr>
          </w:p>
        </w:tc>
        <w:tc>
          <w:tcPr>
            <w:tcW w:w="920" w:type="dxa"/>
            <w:vAlign w:val="bottom"/>
            <w:tcBorders>
              <w:bottom w:val="single" w:sz="8" w:color="867F7C"/>
            </w:tcBorders>
          </w:tcPr>
          <w:p>
            <w:pPr>
              <w:spacing w:after="0"/>
              <w:rPr>
                <w:sz w:val="4"/>
                <w:szCs w:val="4"/>
                <w:color w:val="auto"/>
              </w:rPr>
            </w:pPr>
          </w:p>
        </w:tc>
        <w:tc>
          <w:tcPr>
            <w:tcW w:w="1140" w:type="dxa"/>
            <w:vAlign w:val="bottom"/>
            <w:tcBorders>
              <w:bottom w:val="single" w:sz="8" w:color="867F7C"/>
            </w:tcBorders>
          </w:tcPr>
          <w:p>
            <w:pPr>
              <w:spacing w:after="0"/>
              <w:rPr>
                <w:sz w:val="4"/>
                <w:szCs w:val="4"/>
                <w:color w:val="auto"/>
              </w:rPr>
            </w:pPr>
          </w:p>
        </w:tc>
        <w:tc>
          <w:tcPr>
            <w:tcW w:w="1280" w:type="dxa"/>
            <w:vAlign w:val="bottom"/>
            <w:tcBorders>
              <w:bottom w:val="single" w:sz="8" w:color="867F7C"/>
            </w:tcBorders>
          </w:tcPr>
          <w:p>
            <w:pPr>
              <w:spacing w:after="0"/>
              <w:rPr>
                <w:sz w:val="4"/>
                <w:szCs w:val="4"/>
                <w:color w:val="auto"/>
              </w:rPr>
            </w:pPr>
          </w:p>
        </w:tc>
        <w:tc>
          <w:tcPr>
            <w:tcW w:w="1040" w:type="dxa"/>
            <w:vAlign w:val="bottom"/>
            <w:tcBorders>
              <w:bottom w:val="single" w:sz="8" w:color="867F7C"/>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920" w:type="dxa"/>
            <w:vAlign w:val="bottom"/>
          </w:tcPr>
          <w:p>
            <w:pPr>
              <w:ind w:left="100"/>
              <w:spacing w:after="0" w:line="143" w:lineRule="exact"/>
              <w:rPr>
                <w:sz w:val="20"/>
                <w:szCs w:val="20"/>
                <w:color w:val="auto"/>
              </w:rPr>
            </w:pPr>
            <w:r>
              <w:rPr>
                <w:rFonts w:ascii="Arial" w:cs="Arial" w:eastAsia="Arial" w:hAnsi="Arial"/>
                <w:sz w:val="13"/>
                <w:szCs w:val="13"/>
                <w:b w:val="1"/>
                <w:bCs w:val="1"/>
                <w:color w:val="4CCEDE"/>
              </w:rPr>
              <w:t>Osama M. Musa</w:t>
            </w:r>
          </w:p>
        </w:tc>
        <w:tc>
          <w:tcPr>
            <w:tcW w:w="800" w:type="dxa"/>
            <w:vAlign w:val="bottom"/>
          </w:tcPr>
          <w:p>
            <w:pPr>
              <w:jc w:val="center"/>
              <w:ind w:right="17"/>
              <w:spacing w:after="0" w:line="143" w:lineRule="exact"/>
              <w:rPr>
                <w:sz w:val="20"/>
                <w:szCs w:val="20"/>
                <w:color w:val="auto"/>
              </w:rPr>
            </w:pPr>
            <w:r>
              <w:rPr>
                <w:rFonts w:ascii="Arial" w:cs="Arial" w:eastAsia="Arial" w:hAnsi="Arial"/>
                <w:sz w:val="13"/>
                <w:szCs w:val="13"/>
                <w:color w:val="auto"/>
                <w:w w:val="96"/>
              </w:rPr>
              <w:t>2025</w:t>
            </w:r>
          </w:p>
        </w:tc>
        <w:tc>
          <w:tcPr>
            <w:tcW w:w="108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520,185</w:t>
            </w:r>
          </w:p>
        </w:tc>
        <w:tc>
          <w:tcPr>
            <w:tcW w:w="9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807,638</w:t>
            </w:r>
          </w:p>
        </w:tc>
        <w:tc>
          <w:tcPr>
            <w:tcW w:w="114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355,852</w:t>
            </w:r>
          </w:p>
        </w:tc>
        <w:tc>
          <w:tcPr>
            <w:tcW w:w="128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60,147</w:t>
            </w:r>
          </w:p>
        </w:tc>
        <w:tc>
          <w:tcPr>
            <w:tcW w:w="1040" w:type="dxa"/>
            <w:vAlign w:val="bottom"/>
          </w:tcPr>
          <w:p>
            <w:pPr>
              <w:ind w:left="300"/>
              <w:spacing w:after="0" w:line="143" w:lineRule="exact"/>
              <w:rPr>
                <w:sz w:val="20"/>
                <w:szCs w:val="20"/>
                <w:color w:val="auto"/>
              </w:rPr>
            </w:pPr>
            <w:r>
              <w:rPr>
                <w:rFonts w:ascii="Arial" w:cs="Arial" w:eastAsia="Arial" w:hAnsi="Arial"/>
                <w:sz w:val="13"/>
                <w:szCs w:val="13"/>
                <w:color w:val="auto"/>
              </w:rPr>
              <w:t>1,743,822</w:t>
            </w:r>
          </w:p>
        </w:tc>
        <w:tc>
          <w:tcPr>
            <w:tcW w:w="0" w:type="dxa"/>
            <w:vAlign w:val="bottom"/>
          </w:tcPr>
          <w:p>
            <w:pPr>
              <w:spacing w:after="0"/>
              <w:rPr>
                <w:sz w:val="1"/>
                <w:szCs w:val="1"/>
                <w:color w:val="auto"/>
              </w:rPr>
            </w:pPr>
          </w:p>
        </w:tc>
      </w:tr>
      <w:tr>
        <w:trPr>
          <w:trHeight w:val="162"/>
        </w:trPr>
        <w:tc>
          <w:tcPr>
            <w:tcW w:w="1920" w:type="dxa"/>
            <w:vAlign w:val="bottom"/>
          </w:tcPr>
          <w:p>
            <w:pPr>
              <w:ind w:left="220"/>
              <w:spacing w:after="0"/>
              <w:rPr>
                <w:sz w:val="20"/>
                <w:szCs w:val="20"/>
                <w:color w:val="auto"/>
              </w:rPr>
            </w:pPr>
            <w:r>
              <w:rPr>
                <w:rFonts w:ascii="Arial" w:cs="Arial" w:eastAsia="Arial" w:hAnsi="Arial"/>
                <w:sz w:val="13"/>
                <w:szCs w:val="13"/>
                <w:color w:val="auto"/>
              </w:rPr>
              <w:t>SVP, Chief</w:t>
            </w:r>
          </w:p>
        </w:tc>
        <w:tc>
          <w:tcPr>
            <w:tcW w:w="800" w:type="dxa"/>
            <w:vAlign w:val="bottom"/>
          </w:tcPr>
          <w:p>
            <w:pPr>
              <w:jc w:val="center"/>
              <w:ind w:right="17"/>
              <w:spacing w:after="0"/>
              <w:rPr>
                <w:sz w:val="20"/>
                <w:szCs w:val="20"/>
                <w:color w:val="auto"/>
              </w:rPr>
            </w:pPr>
            <w:r>
              <w:rPr>
                <w:rFonts w:ascii="Arial" w:cs="Arial" w:eastAsia="Arial" w:hAnsi="Arial"/>
                <w:sz w:val="13"/>
                <w:szCs w:val="13"/>
                <w:color w:val="auto"/>
                <w:w w:val="96"/>
              </w:rPr>
              <w:t>2024</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509,430</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947,789</w:t>
            </w:r>
          </w:p>
        </w:tc>
        <w:tc>
          <w:tcPr>
            <w:tcW w:w="1140" w:type="dxa"/>
            <w:vAlign w:val="bottom"/>
          </w:tcPr>
          <w:p>
            <w:pPr>
              <w:jc w:val="right"/>
              <w:ind w:right="137"/>
              <w:spacing w:after="0"/>
              <w:rPr>
                <w:sz w:val="20"/>
                <w:szCs w:val="20"/>
                <w:color w:val="auto"/>
              </w:rPr>
            </w:pPr>
            <w:r>
              <w:rPr>
                <w:rFonts w:ascii="Arial" w:cs="Arial" w:eastAsia="Arial" w:hAnsi="Arial"/>
                <w:sz w:val="13"/>
                <w:szCs w:val="13"/>
                <w:color w:val="auto"/>
              </w:rPr>
              <w:t>400,260</w:t>
            </w: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65,188</w:t>
            </w:r>
          </w:p>
        </w:tc>
        <w:tc>
          <w:tcPr>
            <w:tcW w:w="1040" w:type="dxa"/>
            <w:vAlign w:val="bottom"/>
          </w:tcPr>
          <w:p>
            <w:pPr>
              <w:ind w:left="300"/>
              <w:spacing w:after="0"/>
              <w:rPr>
                <w:sz w:val="20"/>
                <w:szCs w:val="20"/>
                <w:color w:val="auto"/>
              </w:rPr>
            </w:pPr>
            <w:r>
              <w:rPr>
                <w:rFonts w:ascii="Arial" w:cs="Arial" w:eastAsia="Arial" w:hAnsi="Arial"/>
                <w:sz w:val="13"/>
                <w:szCs w:val="13"/>
                <w:color w:val="auto"/>
              </w:rPr>
              <w:t>1,922,667</w:t>
            </w:r>
          </w:p>
        </w:tc>
        <w:tc>
          <w:tcPr>
            <w:tcW w:w="0" w:type="dxa"/>
            <w:vAlign w:val="bottom"/>
          </w:tcPr>
          <w:p>
            <w:pPr>
              <w:spacing w:after="0"/>
              <w:rPr>
                <w:sz w:val="1"/>
                <w:szCs w:val="1"/>
                <w:color w:val="auto"/>
              </w:rPr>
            </w:pPr>
          </w:p>
        </w:tc>
      </w:tr>
      <w:tr>
        <w:trPr>
          <w:trHeight w:val="175"/>
        </w:trPr>
        <w:tc>
          <w:tcPr>
            <w:tcW w:w="1920" w:type="dxa"/>
            <w:vAlign w:val="bottom"/>
            <w:tcBorders>
              <w:bottom w:val="single" w:sz="8" w:color="867F7C"/>
            </w:tcBorders>
          </w:tcPr>
          <w:p>
            <w:pPr>
              <w:ind w:left="220"/>
              <w:spacing w:after="0"/>
              <w:rPr>
                <w:sz w:val="20"/>
                <w:szCs w:val="20"/>
                <w:color w:val="auto"/>
              </w:rPr>
            </w:pPr>
            <w:r>
              <w:rPr>
                <w:rFonts w:ascii="Arial" w:cs="Arial" w:eastAsia="Arial" w:hAnsi="Arial"/>
                <w:sz w:val="13"/>
                <w:szCs w:val="13"/>
                <w:color w:val="auto"/>
              </w:rPr>
              <w:t>Technology Officer</w:t>
            </w:r>
          </w:p>
        </w:tc>
        <w:tc>
          <w:tcPr>
            <w:tcW w:w="800" w:type="dxa"/>
            <w:vAlign w:val="bottom"/>
            <w:tcBorders>
              <w:bottom w:val="single" w:sz="8" w:color="867F7C"/>
            </w:tcBorders>
          </w:tcPr>
          <w:p>
            <w:pPr>
              <w:jc w:val="center"/>
              <w:ind w:right="17"/>
              <w:spacing w:after="0"/>
              <w:rPr>
                <w:sz w:val="20"/>
                <w:szCs w:val="20"/>
                <w:color w:val="auto"/>
              </w:rPr>
            </w:pPr>
            <w:r>
              <w:rPr>
                <w:rFonts w:ascii="Arial" w:cs="Arial" w:eastAsia="Arial" w:hAnsi="Arial"/>
                <w:sz w:val="13"/>
                <w:szCs w:val="13"/>
                <w:color w:val="auto"/>
                <w:w w:val="96"/>
              </w:rPr>
              <w:t>2023</w:t>
            </w:r>
          </w:p>
        </w:tc>
        <w:tc>
          <w:tcPr>
            <w:tcW w:w="10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505,150</w:t>
            </w:r>
          </w:p>
        </w:tc>
        <w:tc>
          <w:tcPr>
            <w:tcW w:w="90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867F7C"/>
            </w:tcBorders>
          </w:tcPr>
          <w:p>
            <w:pPr>
              <w:jc w:val="right"/>
              <w:ind w:right="97"/>
              <w:spacing w:after="0"/>
              <w:rPr>
                <w:sz w:val="20"/>
                <w:szCs w:val="20"/>
                <w:color w:val="auto"/>
              </w:rPr>
            </w:pPr>
            <w:r>
              <w:rPr>
                <w:rFonts w:ascii="Arial" w:cs="Arial" w:eastAsia="Arial" w:hAnsi="Arial"/>
                <w:sz w:val="13"/>
                <w:szCs w:val="13"/>
                <w:color w:val="auto"/>
              </w:rPr>
              <w:t>1,668,341</w:t>
            </w:r>
          </w:p>
        </w:tc>
        <w:tc>
          <w:tcPr>
            <w:tcW w:w="114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28,656</w:t>
            </w:r>
          </w:p>
        </w:tc>
        <w:tc>
          <w:tcPr>
            <w:tcW w:w="1280" w:type="dxa"/>
            <w:vAlign w:val="bottom"/>
            <w:tcBorders>
              <w:bottom w:val="single" w:sz="8" w:color="867F7C"/>
            </w:tcBorders>
          </w:tcPr>
          <w:p>
            <w:pPr>
              <w:jc w:val="right"/>
              <w:ind w:right="337"/>
              <w:spacing w:after="0"/>
              <w:rPr>
                <w:sz w:val="20"/>
                <w:szCs w:val="20"/>
                <w:color w:val="auto"/>
              </w:rPr>
            </w:pPr>
            <w:r>
              <w:rPr>
                <w:rFonts w:ascii="Arial" w:cs="Arial" w:eastAsia="Arial" w:hAnsi="Arial"/>
                <w:sz w:val="13"/>
                <w:szCs w:val="13"/>
                <w:color w:val="auto"/>
              </w:rPr>
              <w:t>96,770</w:t>
            </w:r>
          </w:p>
        </w:tc>
        <w:tc>
          <w:tcPr>
            <w:tcW w:w="1040" w:type="dxa"/>
            <w:vAlign w:val="bottom"/>
            <w:tcBorders>
              <w:bottom w:val="single" w:sz="8" w:color="867F7C"/>
            </w:tcBorders>
          </w:tcPr>
          <w:p>
            <w:pPr>
              <w:ind w:left="300"/>
              <w:spacing w:after="0"/>
              <w:rPr>
                <w:sz w:val="20"/>
                <w:szCs w:val="20"/>
                <w:color w:val="auto"/>
              </w:rPr>
            </w:pPr>
            <w:r>
              <w:rPr>
                <w:rFonts w:ascii="Arial" w:cs="Arial" w:eastAsia="Arial" w:hAnsi="Arial"/>
                <w:sz w:val="13"/>
                <w:szCs w:val="13"/>
                <w:color w:val="auto"/>
              </w:rPr>
              <w:t>2,298,917</w:t>
            </w:r>
          </w:p>
        </w:tc>
        <w:tc>
          <w:tcPr>
            <w:tcW w:w="0" w:type="dxa"/>
            <w:vAlign w:val="bottom"/>
          </w:tcPr>
          <w:p>
            <w:pPr>
              <w:spacing w:after="0"/>
              <w:rPr>
                <w:sz w:val="1"/>
                <w:szCs w:val="1"/>
                <w:color w:val="auto"/>
              </w:rPr>
            </w:pPr>
          </w:p>
        </w:tc>
      </w:tr>
      <w:tr>
        <w:trPr>
          <w:trHeight w:val="151"/>
        </w:trPr>
        <w:tc>
          <w:tcPr>
            <w:tcW w:w="1920" w:type="dxa"/>
            <w:vAlign w:val="bottom"/>
          </w:tcPr>
          <w:p>
            <w:pPr>
              <w:ind w:left="100"/>
              <w:spacing w:after="0"/>
              <w:rPr>
                <w:sz w:val="20"/>
                <w:szCs w:val="20"/>
                <w:color w:val="auto"/>
              </w:rPr>
            </w:pPr>
            <w:r>
              <w:rPr>
                <w:rFonts w:ascii="Arial" w:cs="Arial" w:eastAsia="Arial" w:hAnsi="Arial"/>
                <w:sz w:val="13"/>
                <w:szCs w:val="13"/>
                <w:b w:val="1"/>
                <w:bCs w:val="1"/>
                <w:color w:val="4CCEDE"/>
              </w:rPr>
              <w:t>James P. Minicucci</w:t>
            </w:r>
          </w:p>
        </w:tc>
        <w:tc>
          <w:tcPr>
            <w:tcW w:w="800" w:type="dxa"/>
            <w:vAlign w:val="bottom"/>
          </w:tcPr>
          <w:p>
            <w:pPr>
              <w:jc w:val="center"/>
              <w:ind w:right="17"/>
              <w:spacing w:after="0"/>
              <w:rPr>
                <w:sz w:val="20"/>
                <w:szCs w:val="20"/>
                <w:color w:val="auto"/>
              </w:rPr>
            </w:pPr>
            <w:r>
              <w:rPr>
                <w:rFonts w:ascii="Arial" w:cs="Arial" w:eastAsia="Arial" w:hAnsi="Arial"/>
                <w:sz w:val="13"/>
                <w:szCs w:val="13"/>
                <w:color w:val="auto"/>
                <w:w w:val="96"/>
              </w:rPr>
              <w:t>2025</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457,460</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591,839</w:t>
            </w:r>
          </w:p>
        </w:tc>
        <w:tc>
          <w:tcPr>
            <w:tcW w:w="1140" w:type="dxa"/>
            <w:vAlign w:val="bottom"/>
          </w:tcPr>
          <w:p>
            <w:pPr>
              <w:jc w:val="right"/>
              <w:ind w:right="137"/>
              <w:spacing w:after="0"/>
              <w:rPr>
                <w:sz w:val="20"/>
                <w:szCs w:val="20"/>
                <w:color w:val="auto"/>
              </w:rPr>
            </w:pPr>
            <w:r>
              <w:rPr>
                <w:rFonts w:ascii="Arial" w:cs="Arial" w:eastAsia="Arial" w:hAnsi="Arial"/>
                <w:sz w:val="13"/>
                <w:szCs w:val="13"/>
                <w:color w:val="auto"/>
              </w:rPr>
              <w:t>311,409</w:t>
            </w: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60,793</w:t>
            </w:r>
          </w:p>
        </w:tc>
        <w:tc>
          <w:tcPr>
            <w:tcW w:w="1040" w:type="dxa"/>
            <w:vAlign w:val="bottom"/>
          </w:tcPr>
          <w:p>
            <w:pPr>
              <w:ind w:left="300"/>
              <w:spacing w:after="0"/>
              <w:rPr>
                <w:sz w:val="20"/>
                <w:szCs w:val="20"/>
                <w:color w:val="auto"/>
              </w:rPr>
            </w:pPr>
            <w:r>
              <w:rPr>
                <w:rFonts w:ascii="Arial" w:cs="Arial" w:eastAsia="Arial" w:hAnsi="Arial"/>
                <w:sz w:val="13"/>
                <w:szCs w:val="13"/>
                <w:color w:val="auto"/>
              </w:rPr>
              <w:t>1,421,501</w:t>
            </w:r>
          </w:p>
        </w:tc>
        <w:tc>
          <w:tcPr>
            <w:tcW w:w="0" w:type="dxa"/>
            <w:vAlign w:val="bottom"/>
          </w:tcPr>
          <w:p>
            <w:pPr>
              <w:spacing w:after="0"/>
              <w:rPr>
                <w:sz w:val="1"/>
                <w:szCs w:val="1"/>
                <w:color w:val="auto"/>
              </w:rPr>
            </w:pPr>
          </w:p>
        </w:tc>
      </w:tr>
      <w:tr>
        <w:trPr>
          <w:trHeight w:val="166"/>
        </w:trPr>
        <w:tc>
          <w:tcPr>
            <w:tcW w:w="1920" w:type="dxa"/>
            <w:vAlign w:val="bottom"/>
            <w:tcBorders>
              <w:bottom w:val="single" w:sz="8" w:color="867F7C"/>
            </w:tcBorders>
          </w:tcPr>
          <w:p>
            <w:pPr>
              <w:ind w:left="220"/>
              <w:spacing w:after="0"/>
              <w:rPr>
                <w:sz w:val="20"/>
                <w:szCs w:val="20"/>
                <w:color w:val="auto"/>
              </w:rPr>
            </w:pPr>
            <w:r>
              <w:rPr>
                <w:rFonts w:ascii="Arial" w:cs="Arial" w:eastAsia="Arial" w:hAnsi="Arial"/>
                <w:sz w:val="13"/>
                <w:szCs w:val="13"/>
                <w:color w:val="auto"/>
              </w:rPr>
              <w:t>SVP &amp; GM Personal Care</w:t>
            </w:r>
          </w:p>
        </w:tc>
        <w:tc>
          <w:tcPr>
            <w:tcW w:w="800" w:type="dxa"/>
            <w:vAlign w:val="bottom"/>
            <w:tcBorders>
              <w:bottom w:val="single" w:sz="8" w:color="867F7C"/>
            </w:tcBorders>
          </w:tcPr>
          <w:p>
            <w:pPr>
              <w:spacing w:after="0"/>
              <w:rPr>
                <w:sz w:val="14"/>
                <w:szCs w:val="14"/>
                <w:color w:val="auto"/>
              </w:rPr>
            </w:pPr>
          </w:p>
        </w:tc>
        <w:tc>
          <w:tcPr>
            <w:tcW w:w="1080" w:type="dxa"/>
            <w:vAlign w:val="bottom"/>
            <w:tcBorders>
              <w:bottom w:val="single" w:sz="8" w:color="867F7C"/>
            </w:tcBorders>
          </w:tcPr>
          <w:p>
            <w:pPr>
              <w:spacing w:after="0"/>
              <w:rPr>
                <w:sz w:val="14"/>
                <w:szCs w:val="14"/>
                <w:color w:val="auto"/>
              </w:rPr>
            </w:pPr>
          </w:p>
        </w:tc>
        <w:tc>
          <w:tcPr>
            <w:tcW w:w="900" w:type="dxa"/>
            <w:vAlign w:val="bottom"/>
            <w:tcBorders>
              <w:bottom w:val="single" w:sz="8" w:color="867F7C"/>
            </w:tcBorders>
          </w:tcPr>
          <w:p>
            <w:pPr>
              <w:spacing w:after="0"/>
              <w:rPr>
                <w:sz w:val="14"/>
                <w:szCs w:val="14"/>
                <w:color w:val="auto"/>
              </w:rPr>
            </w:pPr>
          </w:p>
        </w:tc>
        <w:tc>
          <w:tcPr>
            <w:tcW w:w="920" w:type="dxa"/>
            <w:vAlign w:val="bottom"/>
            <w:tcBorders>
              <w:bottom w:val="single" w:sz="8" w:color="867F7C"/>
            </w:tcBorders>
          </w:tcPr>
          <w:p>
            <w:pPr>
              <w:spacing w:after="0"/>
              <w:rPr>
                <w:sz w:val="14"/>
                <w:szCs w:val="14"/>
                <w:color w:val="auto"/>
              </w:rPr>
            </w:pPr>
          </w:p>
        </w:tc>
        <w:tc>
          <w:tcPr>
            <w:tcW w:w="1140" w:type="dxa"/>
            <w:vAlign w:val="bottom"/>
            <w:tcBorders>
              <w:bottom w:val="single" w:sz="8" w:color="867F7C"/>
            </w:tcBorders>
          </w:tcPr>
          <w:p>
            <w:pPr>
              <w:spacing w:after="0"/>
              <w:rPr>
                <w:sz w:val="14"/>
                <w:szCs w:val="14"/>
                <w:color w:val="auto"/>
              </w:rPr>
            </w:pPr>
          </w:p>
        </w:tc>
        <w:tc>
          <w:tcPr>
            <w:tcW w:w="1280" w:type="dxa"/>
            <w:vAlign w:val="bottom"/>
            <w:tcBorders>
              <w:bottom w:val="single" w:sz="8" w:color="867F7C"/>
            </w:tcBorders>
          </w:tcPr>
          <w:p>
            <w:pPr>
              <w:spacing w:after="0"/>
              <w:rPr>
                <w:sz w:val="14"/>
                <w:szCs w:val="14"/>
                <w:color w:val="auto"/>
              </w:rPr>
            </w:pPr>
          </w:p>
        </w:tc>
        <w:tc>
          <w:tcPr>
            <w:tcW w:w="1040" w:type="dxa"/>
            <w:vAlign w:val="bottom"/>
            <w:tcBorders>
              <w:bottom w:val="single" w:sz="8" w:color="867F7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20" w:type="dxa"/>
            <w:vAlign w:val="bottom"/>
          </w:tcPr>
          <w:p>
            <w:pPr>
              <w:ind w:left="100"/>
              <w:spacing w:after="0" w:line="143" w:lineRule="exact"/>
              <w:rPr>
                <w:sz w:val="20"/>
                <w:szCs w:val="20"/>
                <w:color w:val="auto"/>
              </w:rPr>
            </w:pPr>
            <w:r>
              <w:rPr>
                <w:rFonts w:ascii="Arial" w:cs="Arial" w:eastAsia="Arial" w:hAnsi="Arial"/>
                <w:sz w:val="13"/>
                <w:szCs w:val="13"/>
                <w:b w:val="1"/>
                <w:bCs w:val="1"/>
                <w:color w:val="4CCEDE"/>
              </w:rPr>
              <w:t>Karl Bostaph</w:t>
            </w:r>
          </w:p>
        </w:tc>
        <w:tc>
          <w:tcPr>
            <w:tcW w:w="800" w:type="dxa"/>
            <w:vAlign w:val="bottom"/>
          </w:tcPr>
          <w:p>
            <w:pPr>
              <w:jc w:val="center"/>
              <w:ind w:right="17"/>
              <w:spacing w:after="0" w:line="143" w:lineRule="exact"/>
              <w:rPr>
                <w:sz w:val="20"/>
                <w:szCs w:val="20"/>
                <w:color w:val="auto"/>
              </w:rPr>
            </w:pPr>
            <w:r>
              <w:rPr>
                <w:rFonts w:ascii="Arial" w:cs="Arial" w:eastAsia="Arial" w:hAnsi="Arial"/>
                <w:sz w:val="13"/>
                <w:szCs w:val="13"/>
                <w:color w:val="auto"/>
                <w:w w:val="96"/>
              </w:rPr>
              <w:t>2025</w:t>
            </w:r>
          </w:p>
        </w:tc>
        <w:tc>
          <w:tcPr>
            <w:tcW w:w="108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383,869</w:t>
            </w:r>
          </w:p>
        </w:tc>
        <w:tc>
          <w:tcPr>
            <w:tcW w:w="9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412,919</w:t>
            </w:r>
          </w:p>
        </w:tc>
        <w:tc>
          <w:tcPr>
            <w:tcW w:w="114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236,504</w:t>
            </w:r>
          </w:p>
        </w:tc>
        <w:tc>
          <w:tcPr>
            <w:tcW w:w="128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503,232</w:t>
            </w:r>
          </w:p>
        </w:tc>
        <w:tc>
          <w:tcPr>
            <w:tcW w:w="1040" w:type="dxa"/>
            <w:vAlign w:val="bottom"/>
          </w:tcPr>
          <w:p>
            <w:pPr>
              <w:ind w:left="300"/>
              <w:spacing w:after="0" w:line="143" w:lineRule="exact"/>
              <w:rPr>
                <w:sz w:val="20"/>
                <w:szCs w:val="20"/>
                <w:color w:val="auto"/>
              </w:rPr>
            </w:pPr>
            <w:r>
              <w:rPr>
                <w:rFonts w:ascii="Arial" w:cs="Arial" w:eastAsia="Arial" w:hAnsi="Arial"/>
                <w:sz w:val="13"/>
                <w:szCs w:val="13"/>
                <w:color w:val="auto"/>
              </w:rPr>
              <w:t>1,536,524</w:t>
            </w:r>
          </w:p>
        </w:tc>
        <w:tc>
          <w:tcPr>
            <w:tcW w:w="0" w:type="dxa"/>
            <w:vAlign w:val="bottom"/>
          </w:tcPr>
          <w:p>
            <w:pPr>
              <w:spacing w:after="0"/>
              <w:rPr>
                <w:sz w:val="1"/>
                <w:szCs w:val="1"/>
                <w:color w:val="auto"/>
              </w:rPr>
            </w:pPr>
          </w:p>
        </w:tc>
      </w:tr>
      <w:tr>
        <w:trPr>
          <w:trHeight w:val="175"/>
        </w:trPr>
        <w:tc>
          <w:tcPr>
            <w:tcW w:w="1920" w:type="dxa"/>
            <w:vAlign w:val="bottom"/>
            <w:tcBorders>
              <w:bottom w:val="single" w:sz="8" w:color="867F7C"/>
            </w:tcBorders>
          </w:tcPr>
          <w:p>
            <w:pPr>
              <w:ind w:left="220"/>
              <w:spacing w:after="0"/>
              <w:rPr>
                <w:sz w:val="20"/>
                <w:szCs w:val="20"/>
                <w:color w:val="auto"/>
              </w:rPr>
            </w:pPr>
            <w:r>
              <w:rPr>
                <w:rFonts w:ascii="Arial" w:cs="Arial" w:eastAsia="Arial" w:hAnsi="Arial"/>
                <w:sz w:val="13"/>
                <w:szCs w:val="13"/>
                <w:color w:val="auto"/>
              </w:rPr>
              <w:t>SVP, Operations</w:t>
            </w:r>
          </w:p>
        </w:tc>
        <w:tc>
          <w:tcPr>
            <w:tcW w:w="800" w:type="dxa"/>
            <w:vAlign w:val="bottom"/>
            <w:tcBorders>
              <w:bottom w:val="single" w:sz="8" w:color="867F7C"/>
            </w:tcBorders>
          </w:tcPr>
          <w:p>
            <w:pPr>
              <w:jc w:val="center"/>
              <w:ind w:right="17"/>
              <w:spacing w:after="0"/>
              <w:rPr>
                <w:sz w:val="20"/>
                <w:szCs w:val="20"/>
                <w:color w:val="auto"/>
              </w:rPr>
            </w:pPr>
            <w:r>
              <w:rPr>
                <w:rFonts w:ascii="Arial" w:cs="Arial" w:eastAsia="Arial" w:hAnsi="Arial"/>
                <w:sz w:val="13"/>
                <w:szCs w:val="13"/>
                <w:color w:val="auto"/>
                <w:w w:val="96"/>
              </w:rPr>
              <w:t>2024</w:t>
            </w:r>
          </w:p>
        </w:tc>
        <w:tc>
          <w:tcPr>
            <w:tcW w:w="10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387,420</w:t>
            </w:r>
          </w:p>
        </w:tc>
        <w:tc>
          <w:tcPr>
            <w:tcW w:w="90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867F7C"/>
            </w:tcBorders>
          </w:tcPr>
          <w:p>
            <w:pPr>
              <w:jc w:val="right"/>
              <w:ind w:right="97"/>
              <w:spacing w:after="0"/>
              <w:rPr>
                <w:sz w:val="20"/>
                <w:szCs w:val="20"/>
                <w:color w:val="auto"/>
              </w:rPr>
            </w:pPr>
            <w:r>
              <w:rPr>
                <w:rFonts w:ascii="Arial" w:cs="Arial" w:eastAsia="Arial" w:hAnsi="Arial"/>
                <w:sz w:val="13"/>
                <w:szCs w:val="13"/>
                <w:color w:val="auto"/>
              </w:rPr>
              <w:t>491,685</w:t>
            </w:r>
          </w:p>
        </w:tc>
        <w:tc>
          <w:tcPr>
            <w:tcW w:w="114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269,946</w:t>
            </w:r>
          </w:p>
        </w:tc>
        <w:tc>
          <w:tcPr>
            <w:tcW w:w="1280" w:type="dxa"/>
            <w:vAlign w:val="bottom"/>
            <w:tcBorders>
              <w:bottom w:val="single" w:sz="8" w:color="867F7C"/>
            </w:tcBorders>
          </w:tcPr>
          <w:p>
            <w:pPr>
              <w:jc w:val="right"/>
              <w:ind w:right="337"/>
              <w:spacing w:after="0"/>
              <w:rPr>
                <w:sz w:val="20"/>
                <w:szCs w:val="20"/>
                <w:color w:val="auto"/>
              </w:rPr>
            </w:pPr>
            <w:r>
              <w:rPr>
                <w:rFonts w:ascii="Arial" w:cs="Arial" w:eastAsia="Arial" w:hAnsi="Arial"/>
                <w:sz w:val="13"/>
                <w:szCs w:val="13"/>
                <w:color w:val="auto"/>
              </w:rPr>
              <w:t>462,145</w:t>
            </w:r>
          </w:p>
        </w:tc>
        <w:tc>
          <w:tcPr>
            <w:tcW w:w="1040" w:type="dxa"/>
            <w:vAlign w:val="bottom"/>
            <w:tcBorders>
              <w:bottom w:val="single" w:sz="8" w:color="867F7C"/>
            </w:tcBorders>
          </w:tcPr>
          <w:p>
            <w:pPr>
              <w:ind w:left="300"/>
              <w:spacing w:after="0"/>
              <w:rPr>
                <w:sz w:val="20"/>
                <w:szCs w:val="20"/>
                <w:color w:val="auto"/>
              </w:rPr>
            </w:pPr>
            <w:r>
              <w:rPr>
                <w:rFonts w:ascii="Arial" w:cs="Arial" w:eastAsia="Arial" w:hAnsi="Arial"/>
                <w:sz w:val="13"/>
                <w:szCs w:val="13"/>
                <w:color w:val="auto"/>
              </w:rPr>
              <w:t>1,611,196</w:t>
            </w:r>
          </w:p>
        </w:tc>
        <w:tc>
          <w:tcPr>
            <w:tcW w:w="0" w:type="dxa"/>
            <w:vAlign w:val="bottom"/>
          </w:tcPr>
          <w:p>
            <w:pPr>
              <w:spacing w:after="0"/>
              <w:rPr>
                <w:sz w:val="1"/>
                <w:szCs w:val="1"/>
                <w:color w:val="auto"/>
              </w:rPr>
            </w:pPr>
          </w:p>
        </w:tc>
      </w:tr>
      <w:tr>
        <w:trPr>
          <w:trHeight w:val="143"/>
        </w:trPr>
        <w:tc>
          <w:tcPr>
            <w:tcW w:w="1920" w:type="dxa"/>
            <w:vAlign w:val="bottom"/>
          </w:tcPr>
          <w:p>
            <w:pPr>
              <w:ind w:left="100"/>
              <w:spacing w:after="0" w:line="143" w:lineRule="exact"/>
              <w:rPr>
                <w:sz w:val="20"/>
                <w:szCs w:val="20"/>
                <w:color w:val="auto"/>
              </w:rPr>
            </w:pPr>
            <w:r>
              <w:rPr>
                <w:rFonts w:ascii="Arial" w:cs="Arial" w:eastAsia="Arial" w:hAnsi="Arial"/>
                <w:sz w:val="13"/>
                <w:szCs w:val="13"/>
                <w:b w:val="1"/>
                <w:bCs w:val="1"/>
                <w:color w:val="4CCEDE"/>
              </w:rPr>
              <w:t>J. Kevin Willis</w:t>
            </w:r>
          </w:p>
        </w:tc>
        <w:tc>
          <w:tcPr>
            <w:tcW w:w="800" w:type="dxa"/>
            <w:vAlign w:val="bottom"/>
          </w:tcPr>
          <w:p>
            <w:pPr>
              <w:jc w:val="center"/>
              <w:ind w:right="17"/>
              <w:spacing w:after="0" w:line="143" w:lineRule="exact"/>
              <w:rPr>
                <w:sz w:val="20"/>
                <w:szCs w:val="20"/>
                <w:color w:val="auto"/>
              </w:rPr>
            </w:pPr>
            <w:r>
              <w:rPr>
                <w:rFonts w:ascii="Arial" w:cs="Arial" w:eastAsia="Arial" w:hAnsi="Arial"/>
                <w:sz w:val="13"/>
                <w:szCs w:val="13"/>
                <w:color w:val="auto"/>
                <w:w w:val="96"/>
              </w:rPr>
              <w:t>2025</w:t>
            </w:r>
          </w:p>
        </w:tc>
        <w:tc>
          <w:tcPr>
            <w:tcW w:w="108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496,943</w:t>
            </w:r>
          </w:p>
        </w:tc>
        <w:tc>
          <w:tcPr>
            <w:tcW w:w="9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1,455,194</w:t>
            </w:r>
          </w:p>
        </w:tc>
        <w:tc>
          <w:tcPr>
            <w:tcW w:w="114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354,333</w:t>
            </w:r>
          </w:p>
        </w:tc>
        <w:tc>
          <w:tcPr>
            <w:tcW w:w="128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100,859</w:t>
            </w:r>
          </w:p>
        </w:tc>
        <w:tc>
          <w:tcPr>
            <w:tcW w:w="1040" w:type="dxa"/>
            <w:vAlign w:val="bottom"/>
          </w:tcPr>
          <w:p>
            <w:pPr>
              <w:ind w:left="300"/>
              <w:spacing w:after="0" w:line="143" w:lineRule="exact"/>
              <w:rPr>
                <w:sz w:val="20"/>
                <w:szCs w:val="20"/>
                <w:color w:val="auto"/>
              </w:rPr>
            </w:pPr>
            <w:r>
              <w:rPr>
                <w:rFonts w:ascii="Arial" w:cs="Arial" w:eastAsia="Arial" w:hAnsi="Arial"/>
                <w:sz w:val="13"/>
                <w:szCs w:val="13"/>
                <w:color w:val="auto"/>
              </w:rPr>
              <w:t>2,407,328</w:t>
            </w:r>
          </w:p>
        </w:tc>
        <w:tc>
          <w:tcPr>
            <w:tcW w:w="0" w:type="dxa"/>
            <w:vAlign w:val="bottom"/>
          </w:tcPr>
          <w:p>
            <w:pPr>
              <w:spacing w:after="0"/>
              <w:rPr>
                <w:sz w:val="1"/>
                <w:szCs w:val="1"/>
                <w:color w:val="auto"/>
              </w:rPr>
            </w:pPr>
          </w:p>
        </w:tc>
      </w:tr>
      <w:tr>
        <w:trPr>
          <w:trHeight w:val="162"/>
        </w:trPr>
        <w:tc>
          <w:tcPr>
            <w:tcW w:w="1920" w:type="dxa"/>
            <w:vAlign w:val="bottom"/>
          </w:tcPr>
          <w:p>
            <w:pPr>
              <w:ind w:left="220"/>
              <w:spacing w:after="0"/>
              <w:rPr>
                <w:sz w:val="20"/>
                <w:szCs w:val="20"/>
                <w:color w:val="auto"/>
              </w:rPr>
            </w:pPr>
            <w:r>
              <w:rPr>
                <w:rFonts w:ascii="Arial" w:cs="Arial" w:eastAsia="Arial" w:hAnsi="Arial"/>
                <w:sz w:val="13"/>
                <w:szCs w:val="13"/>
                <w:color w:val="auto"/>
              </w:rPr>
              <w:t>SVP, Chief</w:t>
            </w:r>
          </w:p>
        </w:tc>
        <w:tc>
          <w:tcPr>
            <w:tcW w:w="800" w:type="dxa"/>
            <w:vAlign w:val="bottom"/>
          </w:tcPr>
          <w:p>
            <w:pPr>
              <w:jc w:val="center"/>
              <w:ind w:right="17"/>
              <w:spacing w:after="0"/>
              <w:rPr>
                <w:sz w:val="20"/>
                <w:szCs w:val="20"/>
                <w:color w:val="auto"/>
              </w:rPr>
            </w:pPr>
            <w:r>
              <w:rPr>
                <w:rFonts w:ascii="Arial" w:cs="Arial" w:eastAsia="Arial" w:hAnsi="Arial"/>
                <w:sz w:val="13"/>
                <w:szCs w:val="13"/>
                <w:color w:val="auto"/>
                <w:w w:val="96"/>
              </w:rPr>
              <w:t>2024</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630,270</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1,759,077</w:t>
            </w:r>
          </w:p>
        </w:tc>
        <w:tc>
          <w:tcPr>
            <w:tcW w:w="1140" w:type="dxa"/>
            <w:vAlign w:val="bottom"/>
          </w:tcPr>
          <w:p>
            <w:pPr>
              <w:jc w:val="right"/>
              <w:ind w:right="137"/>
              <w:spacing w:after="0"/>
              <w:rPr>
                <w:sz w:val="20"/>
                <w:szCs w:val="20"/>
                <w:color w:val="auto"/>
              </w:rPr>
            </w:pPr>
            <w:r>
              <w:rPr>
                <w:rFonts w:ascii="Arial" w:cs="Arial" w:eastAsia="Arial" w:hAnsi="Arial"/>
                <w:sz w:val="13"/>
                <w:szCs w:val="13"/>
                <w:color w:val="auto"/>
              </w:rPr>
              <w:t>594,245</w:t>
            </w: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75,556</w:t>
            </w:r>
          </w:p>
        </w:tc>
        <w:tc>
          <w:tcPr>
            <w:tcW w:w="1040" w:type="dxa"/>
            <w:vAlign w:val="bottom"/>
          </w:tcPr>
          <w:p>
            <w:pPr>
              <w:ind w:left="300"/>
              <w:spacing w:after="0"/>
              <w:rPr>
                <w:sz w:val="20"/>
                <w:szCs w:val="20"/>
                <w:color w:val="auto"/>
              </w:rPr>
            </w:pPr>
            <w:r>
              <w:rPr>
                <w:rFonts w:ascii="Arial" w:cs="Arial" w:eastAsia="Arial" w:hAnsi="Arial"/>
                <w:sz w:val="13"/>
                <w:szCs w:val="13"/>
                <w:color w:val="auto"/>
              </w:rPr>
              <w:t>3,059,148</w:t>
            </w:r>
          </w:p>
        </w:tc>
        <w:tc>
          <w:tcPr>
            <w:tcW w:w="0" w:type="dxa"/>
            <w:vAlign w:val="bottom"/>
          </w:tcPr>
          <w:p>
            <w:pPr>
              <w:spacing w:after="0"/>
              <w:rPr>
                <w:sz w:val="1"/>
                <w:szCs w:val="1"/>
                <w:color w:val="auto"/>
              </w:rPr>
            </w:pPr>
          </w:p>
        </w:tc>
      </w:tr>
      <w:tr>
        <w:trPr>
          <w:trHeight w:val="175"/>
        </w:trPr>
        <w:tc>
          <w:tcPr>
            <w:tcW w:w="1920" w:type="dxa"/>
            <w:vAlign w:val="bottom"/>
            <w:tcBorders>
              <w:bottom w:val="single" w:sz="8" w:color="867F7C"/>
            </w:tcBorders>
          </w:tcPr>
          <w:p>
            <w:pPr>
              <w:ind w:left="220"/>
              <w:spacing w:after="0"/>
              <w:rPr>
                <w:sz w:val="20"/>
                <w:szCs w:val="20"/>
                <w:color w:val="auto"/>
              </w:rPr>
            </w:pPr>
            <w:r>
              <w:rPr>
                <w:rFonts w:ascii="Arial" w:cs="Arial" w:eastAsia="Arial" w:hAnsi="Arial"/>
                <w:sz w:val="13"/>
                <w:szCs w:val="13"/>
                <w:color w:val="auto"/>
              </w:rPr>
              <w:t>Financial Officer</w:t>
            </w:r>
          </w:p>
        </w:tc>
        <w:tc>
          <w:tcPr>
            <w:tcW w:w="800" w:type="dxa"/>
            <w:vAlign w:val="bottom"/>
            <w:tcBorders>
              <w:bottom w:val="single" w:sz="8" w:color="867F7C"/>
            </w:tcBorders>
          </w:tcPr>
          <w:p>
            <w:pPr>
              <w:jc w:val="center"/>
              <w:ind w:right="17"/>
              <w:spacing w:after="0"/>
              <w:rPr>
                <w:sz w:val="20"/>
                <w:szCs w:val="20"/>
                <w:color w:val="auto"/>
              </w:rPr>
            </w:pPr>
            <w:r>
              <w:rPr>
                <w:rFonts w:ascii="Arial" w:cs="Arial" w:eastAsia="Arial" w:hAnsi="Arial"/>
                <w:sz w:val="13"/>
                <w:szCs w:val="13"/>
                <w:color w:val="auto"/>
                <w:w w:val="96"/>
              </w:rPr>
              <w:t>2023</w:t>
            </w:r>
          </w:p>
        </w:tc>
        <w:tc>
          <w:tcPr>
            <w:tcW w:w="10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624,974</w:t>
            </w:r>
          </w:p>
        </w:tc>
        <w:tc>
          <w:tcPr>
            <w:tcW w:w="90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867F7C"/>
            </w:tcBorders>
          </w:tcPr>
          <w:p>
            <w:pPr>
              <w:jc w:val="right"/>
              <w:ind w:right="97"/>
              <w:spacing w:after="0"/>
              <w:rPr>
                <w:sz w:val="20"/>
                <w:szCs w:val="20"/>
                <w:color w:val="auto"/>
              </w:rPr>
            </w:pPr>
            <w:r>
              <w:rPr>
                <w:rFonts w:ascii="Arial" w:cs="Arial" w:eastAsia="Arial" w:hAnsi="Arial"/>
                <w:sz w:val="13"/>
                <w:szCs w:val="13"/>
                <w:color w:val="auto"/>
              </w:rPr>
              <w:t>1,611,560</w:t>
            </w:r>
          </w:p>
        </w:tc>
        <w:tc>
          <w:tcPr>
            <w:tcW w:w="114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42,544</w:t>
            </w:r>
          </w:p>
        </w:tc>
        <w:tc>
          <w:tcPr>
            <w:tcW w:w="1280" w:type="dxa"/>
            <w:vAlign w:val="bottom"/>
            <w:tcBorders>
              <w:bottom w:val="single" w:sz="8" w:color="867F7C"/>
            </w:tcBorders>
          </w:tcPr>
          <w:p>
            <w:pPr>
              <w:jc w:val="right"/>
              <w:ind w:right="337"/>
              <w:spacing w:after="0"/>
              <w:rPr>
                <w:sz w:val="20"/>
                <w:szCs w:val="20"/>
                <w:color w:val="auto"/>
              </w:rPr>
            </w:pPr>
            <w:r>
              <w:rPr>
                <w:rFonts w:ascii="Arial" w:cs="Arial" w:eastAsia="Arial" w:hAnsi="Arial"/>
                <w:sz w:val="13"/>
                <w:szCs w:val="13"/>
                <w:color w:val="auto"/>
              </w:rPr>
              <w:t>133,300</w:t>
            </w:r>
          </w:p>
        </w:tc>
        <w:tc>
          <w:tcPr>
            <w:tcW w:w="1040" w:type="dxa"/>
            <w:vAlign w:val="bottom"/>
            <w:tcBorders>
              <w:bottom w:val="single" w:sz="8" w:color="867F7C"/>
            </w:tcBorders>
          </w:tcPr>
          <w:p>
            <w:pPr>
              <w:ind w:left="300"/>
              <w:spacing w:after="0"/>
              <w:rPr>
                <w:sz w:val="20"/>
                <w:szCs w:val="20"/>
                <w:color w:val="auto"/>
              </w:rPr>
            </w:pPr>
            <w:r>
              <w:rPr>
                <w:rFonts w:ascii="Arial" w:cs="Arial" w:eastAsia="Arial" w:hAnsi="Arial"/>
                <w:sz w:val="13"/>
                <w:szCs w:val="13"/>
                <w:color w:val="auto"/>
              </w:rPr>
              <w:t>2,412,378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20" w:hanging="212"/>
        <w:spacing w:after="0"/>
        <w:tabs>
          <w:tab w:leader="none" w:pos="220" w:val="left"/>
        </w:tabs>
        <w:numPr>
          <w:ilvl w:val="0"/>
          <w:numId w:val="4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Amounts for each officer are shown only for the years in which the individual served as an NEO.</w:t>
      </w:r>
    </w:p>
    <w:p>
      <w:pPr>
        <w:spacing w:after="0" w:line="79" w:lineRule="exact"/>
        <w:rPr>
          <w:rFonts w:ascii="Times New Roman" w:cs="Times New Roman" w:eastAsia="Times New Roman" w:hAnsi="Times New Roman"/>
          <w:sz w:val="19"/>
          <w:szCs w:val="19"/>
          <w:color w:val="auto"/>
          <w:vertAlign w:val="superscript"/>
        </w:rPr>
      </w:pPr>
    </w:p>
    <w:p>
      <w:pPr>
        <w:jc w:val="both"/>
        <w:ind w:left="220" w:hanging="212"/>
        <w:spacing w:after="0" w:line="234" w:lineRule="auto"/>
        <w:tabs>
          <w:tab w:leader="none" w:pos="220" w:val="left"/>
        </w:tabs>
        <w:numPr>
          <w:ilvl w:val="0"/>
          <w:numId w:val="4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These amounts represent the aggregate grant date fair value of PSUs and RSUs issued during the applicable fiscal year and computed in accordance with FASB ASC Topic 718. The assumptions made when calculating these amounts with respect to PSUs and RSUs are found in Note O to the Notes to Consolidated Financial Statements included in the Company’s Annual Report on Form 10-K for the fiscal year ended September 30, 2025 and the grant date fair values can be found in the footnotes to the “Grants of Plan-Based Awards” table in this Proxy Statement. For PSU awards, the grant date fair value is based on target levels, which is the assumed probable outcome of performance conditions.</w:t>
      </w:r>
    </w:p>
    <w:p>
      <w:pPr>
        <w:spacing w:after="0" w:line="82" w:lineRule="exact"/>
        <w:rPr>
          <w:rFonts w:ascii="Times New Roman" w:cs="Times New Roman" w:eastAsia="Times New Roman" w:hAnsi="Times New Roman"/>
          <w:sz w:val="19"/>
          <w:szCs w:val="19"/>
          <w:color w:val="auto"/>
          <w:vertAlign w:val="superscript"/>
        </w:rPr>
      </w:pPr>
    </w:p>
    <w:p>
      <w:pPr>
        <w:jc w:val="both"/>
        <w:ind w:left="220"/>
        <w:spacing w:after="0" w:line="263" w:lineRule="auto"/>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grant date fair values of the PSU awards granted in fiscal 2025 assuming the maximum level of performance are as follows: Mr. Novo, $6,423,373; Mr. Whitaker, $2,211,413; Ms. Faccin Assis, $953,369; Dr. Musa, $660,725; Mr. Minicucci, $484,163; Mr. Bostaph $337,841; and Mr. Willis, $1,785,941.</w:t>
      </w:r>
    </w:p>
    <w:p>
      <w:pPr>
        <w:spacing w:after="0" w:line="64" w:lineRule="exact"/>
        <w:rPr>
          <w:rFonts w:ascii="Times New Roman" w:cs="Times New Roman" w:eastAsia="Times New Roman" w:hAnsi="Times New Roman"/>
          <w:sz w:val="19"/>
          <w:szCs w:val="19"/>
          <w:color w:val="auto"/>
          <w:vertAlign w:val="superscript"/>
        </w:rPr>
      </w:pPr>
    </w:p>
    <w:p>
      <w:pPr>
        <w:jc w:val="both"/>
        <w:ind w:left="220" w:hanging="212"/>
        <w:spacing w:after="0" w:line="228" w:lineRule="auto"/>
        <w:tabs>
          <w:tab w:leader="none" w:pos="220" w:val="left"/>
        </w:tabs>
        <w:numPr>
          <w:ilvl w:val="0"/>
          <w:numId w:val="4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These amounts were earned by each officer under the Company's annual incentive plan, which are accrued in the fiscal year earned and paid in the first quarter of the following fiscal year. Mr. Willis received a payment of the annual incentive plan at target, aligning to the treatment of his annual incentive plan bonus upon retirement.</w:t>
      </w:r>
    </w:p>
    <w:p>
      <w:pPr>
        <w:spacing w:after="0" w:line="80" w:lineRule="exact"/>
        <w:rPr>
          <w:rFonts w:ascii="Times New Roman" w:cs="Times New Roman" w:eastAsia="Times New Roman" w:hAnsi="Times New Roman"/>
          <w:sz w:val="19"/>
          <w:szCs w:val="19"/>
          <w:color w:val="auto"/>
          <w:vertAlign w:val="superscript"/>
        </w:rPr>
      </w:pPr>
    </w:p>
    <w:p>
      <w:pPr>
        <w:ind w:left="220" w:right="20" w:hanging="212"/>
        <w:spacing w:after="0" w:line="222" w:lineRule="auto"/>
        <w:tabs>
          <w:tab w:leader="none" w:pos="220" w:val="left"/>
        </w:tabs>
        <w:numPr>
          <w:ilvl w:val="0"/>
          <w:numId w:val="4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For the amounts reported in the “All Other Compensation” column, the table below reflects the types and dollar amounts of perquisites, additional compensation, and other personal benefits provided to the NEOs during fiscal year 2025. For purposes of</w:t>
      </w:r>
    </w:p>
    <w:p>
      <w:pPr>
        <w:spacing w:after="0" w:line="183"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2025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623570</wp:posOffset>
            </wp:positionV>
            <wp:extent cx="703770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867F7C"/>
        </w:rPr>
        <w:t>2025 executive compensation tables</w:t>
      </w:r>
    </w:p>
    <w:p>
      <w:pPr>
        <w:spacing w:after="0" w:line="316" w:lineRule="exact"/>
        <w:rPr>
          <w:sz w:val="20"/>
          <w:szCs w:val="20"/>
          <w:color w:val="auto"/>
        </w:rPr>
      </w:pPr>
    </w:p>
    <w:p>
      <w:pPr>
        <w:ind w:left="220"/>
        <w:spacing w:after="0" w:line="285" w:lineRule="auto"/>
        <w:rPr>
          <w:sz w:val="20"/>
          <w:szCs w:val="20"/>
          <w:color w:val="auto"/>
        </w:rPr>
      </w:pPr>
      <w:r>
        <w:rPr>
          <w:rFonts w:ascii="Arial" w:cs="Arial" w:eastAsia="Arial" w:hAnsi="Arial"/>
          <w:sz w:val="14"/>
          <w:szCs w:val="14"/>
          <w:color w:val="auto"/>
        </w:rPr>
        <w:t>computing the dollar amounts of the items listed below, we used the actual out-of-pocket costs to us of providing the perquisite or other personal benefit to the NEO:</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Perquisites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960" w:type="dxa"/>
            <w:vAlign w:val="bottom"/>
            <w:tcBorders>
              <w:top w:val="single" w:sz="8" w:color="EFEBE9"/>
            </w:tcBorders>
            <w:shd w:val="clear" w:color="auto" w:fill="EFEBE9"/>
          </w:tcPr>
          <w:p>
            <w:pPr>
              <w:spacing w:after="0"/>
              <w:rPr>
                <w:sz w:val="12"/>
                <w:szCs w:val="12"/>
                <w:color w:val="auto"/>
              </w:rPr>
            </w:pPr>
          </w:p>
        </w:tc>
        <w:tc>
          <w:tcPr>
            <w:tcW w:w="820" w:type="dxa"/>
            <w:vAlign w:val="bottom"/>
            <w:tcBorders>
              <w:top w:val="single" w:sz="8" w:color="EFEBE9"/>
            </w:tcBorders>
            <w:shd w:val="clear" w:color="auto" w:fill="EFEBE9"/>
          </w:tcPr>
          <w:p>
            <w:pPr>
              <w:spacing w:after="0"/>
              <w:rPr>
                <w:sz w:val="12"/>
                <w:szCs w:val="12"/>
                <w:color w:val="auto"/>
              </w:rPr>
            </w:pPr>
          </w:p>
        </w:tc>
        <w:tc>
          <w:tcPr>
            <w:tcW w:w="800" w:type="dxa"/>
            <w:vAlign w:val="bottom"/>
            <w:tcBorders>
              <w:top w:val="single" w:sz="8" w:color="867F7C"/>
            </w:tcBorders>
            <w:shd w:val="clear" w:color="auto" w:fill="EFEBE9"/>
          </w:tcPr>
          <w:p>
            <w:pPr>
              <w:spacing w:after="0"/>
              <w:rPr>
                <w:sz w:val="12"/>
                <w:szCs w:val="12"/>
                <w:color w:val="auto"/>
              </w:rPr>
            </w:pPr>
          </w:p>
        </w:tc>
        <w:tc>
          <w:tcPr>
            <w:tcW w:w="900" w:type="dxa"/>
            <w:vAlign w:val="bottom"/>
            <w:tcBorders>
              <w:top w:val="single" w:sz="8" w:color="867F7C"/>
            </w:tcBorders>
            <w:shd w:val="clear" w:color="auto" w:fill="EFEBE9"/>
          </w:tcPr>
          <w:p>
            <w:pPr>
              <w:spacing w:after="0"/>
              <w:rPr>
                <w:sz w:val="12"/>
                <w:szCs w:val="12"/>
                <w:color w:val="auto"/>
              </w:rPr>
            </w:pPr>
          </w:p>
        </w:tc>
        <w:tc>
          <w:tcPr>
            <w:tcW w:w="720" w:type="dxa"/>
            <w:vAlign w:val="bottom"/>
            <w:tcBorders>
              <w:top w:val="single" w:sz="8" w:color="867F7C"/>
            </w:tcBorders>
            <w:shd w:val="clear" w:color="auto" w:fill="EFEBE9"/>
          </w:tcPr>
          <w:p>
            <w:pPr>
              <w:spacing w:after="0"/>
              <w:rPr>
                <w:sz w:val="12"/>
                <w:szCs w:val="12"/>
                <w:color w:val="auto"/>
              </w:rPr>
            </w:pPr>
          </w:p>
        </w:tc>
        <w:tc>
          <w:tcPr>
            <w:tcW w:w="60" w:type="dxa"/>
            <w:vAlign w:val="bottom"/>
            <w:tcBorders>
              <w:top w:val="single" w:sz="8" w:color="EFEBE9"/>
            </w:tcBorders>
            <w:shd w:val="clear" w:color="auto" w:fill="EFEBE9"/>
          </w:tcPr>
          <w:p>
            <w:pPr>
              <w:spacing w:after="0"/>
              <w:rPr>
                <w:sz w:val="12"/>
                <w:szCs w:val="12"/>
                <w:color w:val="auto"/>
              </w:rPr>
            </w:pPr>
          </w:p>
        </w:tc>
        <w:tc>
          <w:tcPr>
            <w:tcW w:w="940" w:type="dxa"/>
            <w:vAlign w:val="bottom"/>
            <w:tcBorders>
              <w:top w:val="single" w:sz="8" w:color="EFEBE9"/>
            </w:tcBorders>
            <w:shd w:val="clear" w:color="auto" w:fill="EFEBE9"/>
          </w:tcPr>
          <w:p>
            <w:pPr>
              <w:spacing w:after="0"/>
              <w:rPr>
                <w:sz w:val="12"/>
                <w:szCs w:val="12"/>
                <w:color w:val="auto"/>
              </w:rPr>
            </w:pPr>
          </w:p>
        </w:tc>
        <w:tc>
          <w:tcPr>
            <w:tcW w:w="1020" w:type="dxa"/>
            <w:vAlign w:val="bottom"/>
            <w:tcBorders>
              <w:top w:val="single" w:sz="8" w:color="EFEBE9"/>
            </w:tcBorders>
            <w:shd w:val="clear" w:color="auto" w:fill="EFEBE9"/>
          </w:tcPr>
          <w:p>
            <w:pPr>
              <w:jc w:val="center"/>
              <w:ind w:right="28"/>
              <w:spacing w:after="0" w:line="147" w:lineRule="exact"/>
              <w:rPr>
                <w:sz w:val="20"/>
                <w:szCs w:val="20"/>
                <w:color w:val="auto"/>
              </w:rPr>
            </w:pPr>
            <w:r>
              <w:rPr>
                <w:rFonts w:ascii="Arial" w:cs="Arial" w:eastAsia="Arial" w:hAnsi="Arial"/>
                <w:sz w:val="14"/>
                <w:szCs w:val="14"/>
                <w:b w:val="1"/>
                <w:bCs w:val="1"/>
                <w:color w:val="867F7C"/>
              </w:rPr>
              <w:t>Matching</w:t>
            </w:r>
          </w:p>
        </w:tc>
        <w:tc>
          <w:tcPr>
            <w:tcW w:w="660" w:type="dxa"/>
            <w:vAlign w:val="bottom"/>
            <w:tcBorders>
              <w:top w:val="single" w:sz="8" w:color="EFEBE9"/>
            </w:tcBorders>
            <w:shd w:val="clear" w:color="auto" w:fill="EFEBE9"/>
          </w:tcPr>
          <w:p>
            <w:pPr>
              <w:spacing w:after="0"/>
              <w:rPr>
                <w:sz w:val="12"/>
                <w:szCs w:val="12"/>
                <w:color w:val="auto"/>
              </w:rPr>
            </w:pPr>
          </w:p>
        </w:tc>
        <w:tc>
          <w:tcPr>
            <w:tcW w:w="1200" w:type="dxa"/>
            <w:vAlign w:val="bottom"/>
            <w:tcBorders>
              <w:top w:val="single" w:sz="8" w:color="EFEBE9"/>
            </w:tcBorders>
            <w:shd w:val="clear" w:color="auto" w:fill="EFEBE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EFEBE9"/>
          </w:tcPr>
          <w:p>
            <w:pPr>
              <w:spacing w:after="0"/>
              <w:rPr>
                <w:sz w:val="14"/>
                <w:szCs w:val="14"/>
                <w:color w:val="auto"/>
              </w:rPr>
            </w:pPr>
          </w:p>
        </w:tc>
        <w:tc>
          <w:tcPr>
            <w:tcW w:w="82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00" w:type="dxa"/>
            <w:vAlign w:val="bottom"/>
            <w:shd w:val="clear" w:color="auto" w:fill="EFEBE9"/>
          </w:tcPr>
          <w:p>
            <w:pPr>
              <w:spacing w:after="0"/>
              <w:rPr>
                <w:sz w:val="14"/>
                <w:szCs w:val="14"/>
                <w:color w:val="auto"/>
              </w:rPr>
            </w:pPr>
          </w:p>
        </w:tc>
        <w:tc>
          <w:tcPr>
            <w:tcW w:w="720" w:type="dxa"/>
            <w:vAlign w:val="bottom"/>
            <w:shd w:val="clear" w:color="auto" w:fill="EFEBE9"/>
          </w:tcPr>
          <w:p>
            <w:pPr>
              <w:spacing w:after="0"/>
              <w:rPr>
                <w:sz w:val="14"/>
                <w:szCs w:val="14"/>
                <w:color w:val="auto"/>
              </w:rPr>
            </w:pPr>
          </w:p>
        </w:tc>
        <w:tc>
          <w:tcPr>
            <w:tcW w:w="60" w:type="dxa"/>
            <w:vAlign w:val="bottom"/>
            <w:shd w:val="clear" w:color="auto" w:fill="EFEBE9"/>
          </w:tcPr>
          <w:p>
            <w:pPr>
              <w:spacing w:after="0"/>
              <w:rPr>
                <w:sz w:val="14"/>
                <w:szCs w:val="14"/>
                <w:color w:val="auto"/>
              </w:rPr>
            </w:pPr>
          </w:p>
        </w:tc>
        <w:tc>
          <w:tcPr>
            <w:tcW w:w="940" w:type="dxa"/>
            <w:vAlign w:val="bottom"/>
            <w:shd w:val="clear" w:color="auto" w:fill="EFEBE9"/>
          </w:tcPr>
          <w:p>
            <w:pPr>
              <w:spacing w:after="0"/>
              <w:rPr>
                <w:sz w:val="14"/>
                <w:szCs w:val="14"/>
                <w:color w:val="auto"/>
              </w:rPr>
            </w:pPr>
          </w:p>
        </w:tc>
        <w:tc>
          <w:tcPr>
            <w:tcW w:w="1020" w:type="dxa"/>
            <w:vAlign w:val="bottom"/>
            <w:shd w:val="clear" w:color="auto" w:fill="EFEBE9"/>
          </w:tcPr>
          <w:p>
            <w:pPr>
              <w:jc w:val="center"/>
              <w:ind w:right="48"/>
              <w:spacing w:after="0"/>
              <w:rPr>
                <w:sz w:val="20"/>
                <w:szCs w:val="20"/>
                <w:color w:val="auto"/>
              </w:rPr>
            </w:pPr>
            <w:r>
              <w:rPr>
                <w:rFonts w:ascii="Arial" w:cs="Arial" w:eastAsia="Arial" w:hAnsi="Arial"/>
                <w:sz w:val="14"/>
                <w:szCs w:val="14"/>
                <w:b w:val="1"/>
                <w:bCs w:val="1"/>
                <w:color w:val="867F7C"/>
              </w:rPr>
              <w:t>Contribution</w:t>
            </w:r>
          </w:p>
        </w:tc>
        <w:tc>
          <w:tcPr>
            <w:tcW w:w="660" w:type="dxa"/>
            <w:vAlign w:val="bottom"/>
            <w:shd w:val="clear" w:color="auto" w:fill="EFEBE9"/>
          </w:tcPr>
          <w:p>
            <w:pPr>
              <w:spacing w:after="0"/>
              <w:rPr>
                <w:sz w:val="14"/>
                <w:szCs w:val="14"/>
                <w:color w:val="auto"/>
              </w:rPr>
            </w:pPr>
          </w:p>
        </w:tc>
        <w:tc>
          <w:tcPr>
            <w:tcW w:w="120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EFEBE9"/>
          </w:tcPr>
          <w:p>
            <w:pPr>
              <w:spacing w:after="0"/>
              <w:rPr>
                <w:sz w:val="14"/>
                <w:szCs w:val="14"/>
                <w:color w:val="auto"/>
              </w:rPr>
            </w:pPr>
          </w:p>
        </w:tc>
        <w:tc>
          <w:tcPr>
            <w:tcW w:w="82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00" w:type="dxa"/>
            <w:vAlign w:val="bottom"/>
            <w:shd w:val="clear" w:color="auto" w:fill="EFEBE9"/>
          </w:tcPr>
          <w:p>
            <w:pPr>
              <w:spacing w:after="0"/>
              <w:rPr>
                <w:sz w:val="14"/>
                <w:szCs w:val="14"/>
                <w:color w:val="auto"/>
              </w:rPr>
            </w:pPr>
          </w:p>
        </w:tc>
        <w:tc>
          <w:tcPr>
            <w:tcW w:w="720" w:type="dxa"/>
            <w:vAlign w:val="bottom"/>
            <w:shd w:val="clear" w:color="auto" w:fill="EFEBE9"/>
          </w:tcPr>
          <w:p>
            <w:pPr>
              <w:spacing w:after="0"/>
              <w:rPr>
                <w:sz w:val="14"/>
                <w:szCs w:val="14"/>
                <w:color w:val="auto"/>
              </w:rPr>
            </w:pPr>
          </w:p>
        </w:tc>
        <w:tc>
          <w:tcPr>
            <w:tcW w:w="60" w:type="dxa"/>
            <w:vAlign w:val="bottom"/>
            <w:shd w:val="clear" w:color="auto" w:fill="EFEBE9"/>
          </w:tcPr>
          <w:p>
            <w:pPr>
              <w:spacing w:after="0"/>
              <w:rPr>
                <w:sz w:val="14"/>
                <w:szCs w:val="14"/>
                <w:color w:val="auto"/>
              </w:rPr>
            </w:pPr>
          </w:p>
        </w:tc>
        <w:tc>
          <w:tcPr>
            <w:tcW w:w="940" w:type="dxa"/>
            <w:vAlign w:val="bottom"/>
            <w:shd w:val="clear" w:color="auto" w:fill="EFEBE9"/>
          </w:tcPr>
          <w:p>
            <w:pPr>
              <w:spacing w:after="0"/>
              <w:rPr>
                <w:sz w:val="14"/>
                <w:szCs w:val="14"/>
                <w:color w:val="auto"/>
              </w:rPr>
            </w:pPr>
          </w:p>
        </w:tc>
        <w:tc>
          <w:tcPr>
            <w:tcW w:w="1020" w:type="dxa"/>
            <w:vAlign w:val="bottom"/>
            <w:shd w:val="clear" w:color="auto" w:fill="EFEBE9"/>
          </w:tcPr>
          <w:p>
            <w:pPr>
              <w:jc w:val="center"/>
              <w:ind w:right="28"/>
              <w:spacing w:after="0"/>
              <w:rPr>
                <w:sz w:val="20"/>
                <w:szCs w:val="20"/>
                <w:color w:val="auto"/>
              </w:rPr>
            </w:pPr>
            <w:r>
              <w:rPr>
                <w:rFonts w:ascii="Arial" w:cs="Arial" w:eastAsia="Arial" w:hAnsi="Arial"/>
                <w:sz w:val="14"/>
                <w:szCs w:val="14"/>
                <w:b w:val="1"/>
                <w:bCs w:val="1"/>
                <w:color w:val="867F7C"/>
              </w:rPr>
              <w:t>s</w:t>
            </w:r>
          </w:p>
        </w:tc>
        <w:tc>
          <w:tcPr>
            <w:tcW w:w="660" w:type="dxa"/>
            <w:vAlign w:val="bottom"/>
            <w:shd w:val="clear" w:color="auto" w:fill="EFEBE9"/>
          </w:tcPr>
          <w:p>
            <w:pPr>
              <w:spacing w:after="0"/>
              <w:rPr>
                <w:sz w:val="14"/>
                <w:szCs w:val="14"/>
                <w:color w:val="auto"/>
              </w:rPr>
            </w:pPr>
          </w:p>
        </w:tc>
        <w:tc>
          <w:tcPr>
            <w:tcW w:w="120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EFEBE9"/>
          </w:tcPr>
          <w:p>
            <w:pPr>
              <w:spacing w:after="0"/>
              <w:rPr>
                <w:sz w:val="14"/>
                <w:szCs w:val="14"/>
                <w:color w:val="auto"/>
              </w:rPr>
            </w:pPr>
          </w:p>
        </w:tc>
        <w:tc>
          <w:tcPr>
            <w:tcW w:w="82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00" w:type="dxa"/>
            <w:vAlign w:val="bottom"/>
            <w:shd w:val="clear" w:color="auto" w:fill="EFEBE9"/>
          </w:tcPr>
          <w:p>
            <w:pPr>
              <w:spacing w:after="0"/>
              <w:rPr>
                <w:sz w:val="14"/>
                <w:szCs w:val="14"/>
                <w:color w:val="auto"/>
              </w:rPr>
            </w:pPr>
          </w:p>
        </w:tc>
        <w:tc>
          <w:tcPr>
            <w:tcW w:w="720" w:type="dxa"/>
            <w:vAlign w:val="bottom"/>
            <w:shd w:val="clear" w:color="auto" w:fill="EFEBE9"/>
          </w:tcPr>
          <w:p>
            <w:pPr>
              <w:spacing w:after="0"/>
              <w:rPr>
                <w:sz w:val="14"/>
                <w:szCs w:val="14"/>
                <w:color w:val="auto"/>
              </w:rPr>
            </w:pPr>
          </w:p>
        </w:tc>
        <w:tc>
          <w:tcPr>
            <w:tcW w:w="60" w:type="dxa"/>
            <w:vAlign w:val="bottom"/>
            <w:shd w:val="clear" w:color="auto" w:fill="EFEBE9"/>
          </w:tcPr>
          <w:p>
            <w:pPr>
              <w:spacing w:after="0"/>
              <w:rPr>
                <w:sz w:val="14"/>
                <w:szCs w:val="14"/>
                <w:color w:val="auto"/>
              </w:rPr>
            </w:pPr>
          </w:p>
        </w:tc>
        <w:tc>
          <w:tcPr>
            <w:tcW w:w="9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Matching</w:t>
            </w:r>
          </w:p>
        </w:tc>
        <w:tc>
          <w:tcPr>
            <w:tcW w:w="1020" w:type="dxa"/>
            <w:vAlign w:val="bottom"/>
            <w:shd w:val="clear" w:color="auto" w:fill="EFEBE9"/>
          </w:tcPr>
          <w:p>
            <w:pPr>
              <w:jc w:val="center"/>
              <w:ind w:right="48"/>
              <w:spacing w:after="0"/>
              <w:rPr>
                <w:sz w:val="20"/>
                <w:szCs w:val="20"/>
                <w:color w:val="auto"/>
              </w:rPr>
            </w:pPr>
            <w:r>
              <w:rPr>
                <w:rFonts w:ascii="Arial" w:cs="Arial" w:eastAsia="Arial" w:hAnsi="Arial"/>
                <w:sz w:val="14"/>
                <w:szCs w:val="14"/>
                <w:b w:val="1"/>
                <w:bCs w:val="1"/>
                <w:color w:val="867F7C"/>
              </w:rPr>
              <w:t>Under</w:t>
            </w:r>
          </w:p>
        </w:tc>
        <w:tc>
          <w:tcPr>
            <w:tcW w:w="660" w:type="dxa"/>
            <w:vAlign w:val="bottom"/>
            <w:shd w:val="clear" w:color="auto" w:fill="EFEBE9"/>
          </w:tcPr>
          <w:p>
            <w:pPr>
              <w:spacing w:after="0"/>
              <w:rPr>
                <w:sz w:val="14"/>
                <w:szCs w:val="14"/>
                <w:color w:val="auto"/>
              </w:rPr>
            </w:pPr>
          </w:p>
        </w:tc>
        <w:tc>
          <w:tcPr>
            <w:tcW w:w="120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EFEBE9"/>
          </w:tcPr>
          <w:p>
            <w:pPr>
              <w:spacing w:after="0"/>
              <w:rPr>
                <w:sz w:val="14"/>
                <w:szCs w:val="14"/>
                <w:color w:val="auto"/>
              </w:rPr>
            </w:pPr>
          </w:p>
        </w:tc>
        <w:tc>
          <w:tcPr>
            <w:tcW w:w="82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00" w:type="dxa"/>
            <w:vAlign w:val="bottom"/>
            <w:shd w:val="clear" w:color="auto" w:fill="EFEBE9"/>
          </w:tcPr>
          <w:p>
            <w:pPr>
              <w:spacing w:after="0"/>
              <w:rPr>
                <w:sz w:val="14"/>
                <w:szCs w:val="14"/>
                <w:color w:val="auto"/>
              </w:rPr>
            </w:pPr>
          </w:p>
        </w:tc>
        <w:tc>
          <w:tcPr>
            <w:tcW w:w="720" w:type="dxa"/>
            <w:vAlign w:val="bottom"/>
            <w:shd w:val="clear" w:color="auto" w:fill="EFEBE9"/>
          </w:tcPr>
          <w:p>
            <w:pPr>
              <w:spacing w:after="0"/>
              <w:rPr>
                <w:sz w:val="14"/>
                <w:szCs w:val="14"/>
                <w:color w:val="auto"/>
              </w:rPr>
            </w:pPr>
          </w:p>
        </w:tc>
        <w:tc>
          <w:tcPr>
            <w:tcW w:w="60" w:type="dxa"/>
            <w:vAlign w:val="bottom"/>
            <w:shd w:val="clear" w:color="auto" w:fill="EFEBE9"/>
          </w:tcPr>
          <w:p>
            <w:pPr>
              <w:spacing w:after="0"/>
              <w:rPr>
                <w:sz w:val="14"/>
                <w:szCs w:val="14"/>
                <w:color w:val="auto"/>
              </w:rPr>
            </w:pPr>
          </w:p>
        </w:tc>
        <w:tc>
          <w:tcPr>
            <w:tcW w:w="9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Contribution</w:t>
            </w:r>
          </w:p>
        </w:tc>
        <w:tc>
          <w:tcPr>
            <w:tcW w:w="1020" w:type="dxa"/>
            <w:vAlign w:val="bottom"/>
            <w:shd w:val="clear" w:color="auto" w:fill="EFEBE9"/>
          </w:tcPr>
          <w:p>
            <w:pPr>
              <w:jc w:val="center"/>
              <w:ind w:right="28"/>
              <w:spacing w:after="0"/>
              <w:rPr>
                <w:sz w:val="20"/>
                <w:szCs w:val="20"/>
                <w:color w:val="auto"/>
              </w:rPr>
            </w:pPr>
            <w:r>
              <w:rPr>
                <w:rFonts w:ascii="Arial" w:cs="Arial" w:eastAsia="Arial" w:hAnsi="Arial"/>
                <w:sz w:val="14"/>
                <w:szCs w:val="14"/>
                <w:b w:val="1"/>
                <w:bCs w:val="1"/>
                <w:color w:val="867F7C"/>
              </w:rPr>
              <w:t>Non-</w:t>
            </w:r>
          </w:p>
        </w:tc>
        <w:tc>
          <w:tcPr>
            <w:tcW w:w="660" w:type="dxa"/>
            <w:vAlign w:val="bottom"/>
            <w:shd w:val="clear" w:color="auto" w:fill="EFEBE9"/>
          </w:tcPr>
          <w:p>
            <w:pPr>
              <w:spacing w:after="0"/>
              <w:rPr>
                <w:sz w:val="14"/>
                <w:szCs w:val="14"/>
                <w:color w:val="auto"/>
              </w:rPr>
            </w:pPr>
          </w:p>
        </w:tc>
        <w:tc>
          <w:tcPr>
            <w:tcW w:w="120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EFEBE9"/>
          </w:tcPr>
          <w:p>
            <w:pPr>
              <w:spacing w:after="0"/>
              <w:rPr>
                <w:sz w:val="14"/>
                <w:szCs w:val="14"/>
                <w:color w:val="auto"/>
              </w:rPr>
            </w:pPr>
          </w:p>
        </w:tc>
        <w:tc>
          <w:tcPr>
            <w:tcW w:w="820" w:type="dxa"/>
            <w:vAlign w:val="bottom"/>
            <w:shd w:val="clear" w:color="auto" w:fill="EFEBE9"/>
          </w:tcPr>
          <w:p>
            <w:pPr>
              <w:spacing w:after="0"/>
              <w:rPr>
                <w:sz w:val="14"/>
                <w:szCs w:val="14"/>
                <w:color w:val="auto"/>
              </w:rPr>
            </w:pPr>
          </w:p>
        </w:tc>
        <w:tc>
          <w:tcPr>
            <w:tcW w:w="800" w:type="dxa"/>
            <w:vAlign w:val="bottom"/>
            <w:shd w:val="clear" w:color="auto" w:fill="EFEBE9"/>
          </w:tcPr>
          <w:p>
            <w:pPr>
              <w:spacing w:after="0"/>
              <w:rPr>
                <w:sz w:val="14"/>
                <w:szCs w:val="14"/>
                <w:color w:val="auto"/>
              </w:rPr>
            </w:pPr>
          </w:p>
        </w:tc>
        <w:tc>
          <w:tcPr>
            <w:tcW w:w="900" w:type="dxa"/>
            <w:vAlign w:val="bottom"/>
            <w:shd w:val="clear" w:color="auto" w:fill="EFEBE9"/>
          </w:tcPr>
          <w:p>
            <w:pPr>
              <w:spacing w:after="0"/>
              <w:rPr>
                <w:sz w:val="14"/>
                <w:szCs w:val="14"/>
                <w:color w:val="auto"/>
              </w:rPr>
            </w:pPr>
          </w:p>
        </w:tc>
        <w:tc>
          <w:tcPr>
            <w:tcW w:w="720" w:type="dxa"/>
            <w:vAlign w:val="bottom"/>
            <w:shd w:val="clear" w:color="auto" w:fill="EFEBE9"/>
          </w:tcPr>
          <w:p>
            <w:pPr>
              <w:spacing w:after="0"/>
              <w:rPr>
                <w:sz w:val="14"/>
                <w:szCs w:val="14"/>
                <w:color w:val="auto"/>
              </w:rPr>
            </w:pPr>
          </w:p>
        </w:tc>
        <w:tc>
          <w:tcPr>
            <w:tcW w:w="60" w:type="dxa"/>
            <w:vAlign w:val="bottom"/>
            <w:shd w:val="clear" w:color="auto" w:fill="EFEBE9"/>
          </w:tcPr>
          <w:p>
            <w:pPr>
              <w:spacing w:after="0"/>
              <w:rPr>
                <w:sz w:val="14"/>
                <w:szCs w:val="14"/>
                <w:color w:val="auto"/>
              </w:rPr>
            </w:pPr>
          </w:p>
        </w:tc>
        <w:tc>
          <w:tcPr>
            <w:tcW w:w="9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s</w:t>
            </w:r>
          </w:p>
        </w:tc>
        <w:tc>
          <w:tcPr>
            <w:tcW w:w="1020" w:type="dxa"/>
            <w:vAlign w:val="bottom"/>
            <w:shd w:val="clear" w:color="auto" w:fill="EFEBE9"/>
          </w:tcPr>
          <w:p>
            <w:pPr>
              <w:jc w:val="center"/>
              <w:ind w:right="48"/>
              <w:spacing w:after="0"/>
              <w:rPr>
                <w:sz w:val="20"/>
                <w:szCs w:val="20"/>
                <w:color w:val="auto"/>
              </w:rPr>
            </w:pPr>
            <w:r>
              <w:rPr>
                <w:rFonts w:ascii="Arial" w:cs="Arial" w:eastAsia="Arial" w:hAnsi="Arial"/>
                <w:sz w:val="14"/>
                <w:szCs w:val="14"/>
                <w:b w:val="1"/>
                <w:bCs w:val="1"/>
                <w:color w:val="867F7C"/>
              </w:rPr>
              <w:t>Qualified</w:t>
            </w:r>
          </w:p>
        </w:tc>
        <w:tc>
          <w:tcPr>
            <w:tcW w:w="660" w:type="dxa"/>
            <w:vAlign w:val="bottom"/>
            <w:shd w:val="clear" w:color="auto" w:fill="EFEBE9"/>
          </w:tcPr>
          <w:p>
            <w:pPr>
              <w:spacing w:after="0"/>
              <w:rPr>
                <w:sz w:val="14"/>
                <w:szCs w:val="14"/>
                <w:color w:val="auto"/>
              </w:rPr>
            </w:pPr>
          </w:p>
        </w:tc>
        <w:tc>
          <w:tcPr>
            <w:tcW w:w="120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EFEBE9"/>
          </w:tcPr>
          <w:p>
            <w:pPr>
              <w:spacing w:after="0"/>
              <w:rPr>
                <w:sz w:val="14"/>
                <w:szCs w:val="14"/>
                <w:color w:val="auto"/>
              </w:rPr>
            </w:pPr>
          </w:p>
        </w:tc>
        <w:tc>
          <w:tcPr>
            <w:tcW w:w="82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Tax and</w:t>
            </w:r>
          </w:p>
        </w:tc>
        <w:tc>
          <w:tcPr>
            <w:tcW w:w="800" w:type="dxa"/>
            <w:vAlign w:val="bottom"/>
            <w:shd w:val="clear" w:color="auto" w:fill="EFEBE9"/>
          </w:tcPr>
          <w:p>
            <w:pPr>
              <w:spacing w:after="0"/>
              <w:rPr>
                <w:sz w:val="14"/>
                <w:szCs w:val="14"/>
                <w:color w:val="auto"/>
              </w:rPr>
            </w:pPr>
          </w:p>
        </w:tc>
        <w:tc>
          <w:tcPr>
            <w:tcW w:w="900" w:type="dxa"/>
            <w:vAlign w:val="bottom"/>
            <w:shd w:val="clear" w:color="auto" w:fill="EFEBE9"/>
          </w:tcPr>
          <w:p>
            <w:pPr>
              <w:spacing w:after="0"/>
              <w:rPr>
                <w:sz w:val="14"/>
                <w:szCs w:val="14"/>
                <w:color w:val="auto"/>
              </w:rPr>
            </w:pPr>
          </w:p>
        </w:tc>
        <w:tc>
          <w:tcPr>
            <w:tcW w:w="720" w:type="dxa"/>
            <w:vAlign w:val="bottom"/>
            <w:shd w:val="clear" w:color="auto" w:fill="EFEBE9"/>
          </w:tcPr>
          <w:p>
            <w:pPr>
              <w:spacing w:after="0"/>
              <w:rPr>
                <w:sz w:val="14"/>
                <w:szCs w:val="14"/>
                <w:color w:val="auto"/>
              </w:rPr>
            </w:pPr>
          </w:p>
        </w:tc>
        <w:tc>
          <w:tcPr>
            <w:tcW w:w="60" w:type="dxa"/>
            <w:vAlign w:val="bottom"/>
            <w:shd w:val="clear" w:color="auto" w:fill="EFEBE9"/>
          </w:tcPr>
          <w:p>
            <w:pPr>
              <w:spacing w:after="0"/>
              <w:rPr>
                <w:sz w:val="14"/>
                <w:szCs w:val="14"/>
                <w:color w:val="auto"/>
              </w:rPr>
            </w:pPr>
          </w:p>
        </w:tc>
        <w:tc>
          <w:tcPr>
            <w:tcW w:w="9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Under</w:t>
            </w:r>
          </w:p>
        </w:tc>
        <w:tc>
          <w:tcPr>
            <w:tcW w:w="1020" w:type="dxa"/>
            <w:vAlign w:val="bottom"/>
            <w:shd w:val="clear" w:color="auto" w:fill="EFEBE9"/>
          </w:tcPr>
          <w:p>
            <w:pPr>
              <w:jc w:val="center"/>
              <w:ind w:right="28"/>
              <w:spacing w:after="0"/>
              <w:rPr>
                <w:sz w:val="20"/>
                <w:szCs w:val="20"/>
                <w:color w:val="auto"/>
              </w:rPr>
            </w:pPr>
            <w:r>
              <w:rPr>
                <w:rFonts w:ascii="Arial" w:cs="Arial" w:eastAsia="Arial" w:hAnsi="Arial"/>
                <w:sz w:val="14"/>
                <w:szCs w:val="14"/>
                <w:b w:val="1"/>
                <w:bCs w:val="1"/>
                <w:color w:val="867F7C"/>
              </w:rPr>
              <w:t>Defined</w:t>
            </w:r>
          </w:p>
        </w:tc>
        <w:tc>
          <w:tcPr>
            <w:tcW w:w="66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Tax</w:t>
            </w:r>
          </w:p>
        </w:tc>
        <w:tc>
          <w:tcPr>
            <w:tcW w:w="12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Total</w:t>
            </w:r>
          </w:p>
        </w:tc>
        <w:tc>
          <w:tcPr>
            <w:tcW w:w="0" w:type="dxa"/>
            <w:vAlign w:val="bottom"/>
          </w:tcPr>
          <w:p>
            <w:pPr>
              <w:spacing w:after="0"/>
              <w:rPr>
                <w:sz w:val="1"/>
                <w:szCs w:val="1"/>
                <w:color w:val="auto"/>
              </w:rPr>
            </w:pPr>
          </w:p>
        </w:tc>
      </w:tr>
      <w:tr>
        <w:trPr>
          <w:trHeight w:val="144"/>
        </w:trPr>
        <w:tc>
          <w:tcPr>
            <w:tcW w:w="1960" w:type="dxa"/>
            <w:vAlign w:val="bottom"/>
            <w:shd w:val="clear" w:color="auto" w:fill="EFEBE9"/>
          </w:tcPr>
          <w:p>
            <w:pPr>
              <w:spacing w:after="0"/>
              <w:rPr>
                <w:sz w:val="12"/>
                <w:szCs w:val="12"/>
                <w:color w:val="auto"/>
              </w:rPr>
            </w:pPr>
          </w:p>
        </w:tc>
        <w:tc>
          <w:tcPr>
            <w:tcW w:w="82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Financial</w:t>
            </w:r>
          </w:p>
        </w:tc>
        <w:tc>
          <w:tcPr>
            <w:tcW w:w="800" w:type="dxa"/>
            <w:vAlign w:val="bottom"/>
            <w:shd w:val="clear" w:color="auto" w:fill="EFEBE9"/>
          </w:tcPr>
          <w:p>
            <w:pPr>
              <w:jc w:val="right"/>
              <w:spacing w:after="0" w:line="145" w:lineRule="exact"/>
              <w:rPr>
                <w:sz w:val="20"/>
                <w:szCs w:val="20"/>
                <w:color w:val="auto"/>
              </w:rPr>
            </w:pPr>
            <w:r>
              <w:rPr>
                <w:rFonts w:ascii="Arial" w:cs="Arial" w:eastAsia="Arial" w:hAnsi="Arial"/>
                <w:sz w:val="14"/>
                <w:szCs w:val="14"/>
                <w:b w:val="1"/>
                <w:bCs w:val="1"/>
                <w:color w:val="867F7C"/>
              </w:rPr>
              <w:t>Executive</w:t>
            </w:r>
          </w:p>
        </w:tc>
        <w:tc>
          <w:tcPr>
            <w:tcW w:w="900" w:type="dxa"/>
            <w:vAlign w:val="bottom"/>
            <w:shd w:val="clear" w:color="auto" w:fill="EFEBE9"/>
          </w:tcPr>
          <w:p>
            <w:pPr>
              <w:ind w:left="80"/>
              <w:spacing w:after="0" w:line="145" w:lineRule="exact"/>
              <w:rPr>
                <w:sz w:val="20"/>
                <w:szCs w:val="20"/>
                <w:color w:val="auto"/>
              </w:rPr>
            </w:pPr>
            <w:r>
              <w:rPr>
                <w:rFonts w:ascii="Arial" w:cs="Arial" w:eastAsia="Arial" w:hAnsi="Arial"/>
                <w:sz w:val="14"/>
                <w:szCs w:val="14"/>
                <w:b w:val="1"/>
                <w:bCs w:val="1"/>
                <w:color w:val="867F7C"/>
              </w:rPr>
              <w:t>Relocation</w:t>
            </w:r>
          </w:p>
        </w:tc>
        <w:tc>
          <w:tcPr>
            <w:tcW w:w="780" w:type="dxa"/>
            <w:vAlign w:val="bottom"/>
            <w:gridSpan w:val="2"/>
            <w:shd w:val="clear" w:color="auto" w:fill="EFEBE9"/>
          </w:tcPr>
          <w:p>
            <w:pPr>
              <w:ind w:left="60"/>
              <w:spacing w:after="0" w:line="145" w:lineRule="exact"/>
              <w:rPr>
                <w:sz w:val="20"/>
                <w:szCs w:val="20"/>
                <w:color w:val="auto"/>
              </w:rPr>
            </w:pPr>
            <w:r>
              <w:rPr>
                <w:rFonts w:ascii="Arial" w:cs="Arial" w:eastAsia="Arial" w:hAnsi="Arial"/>
                <w:sz w:val="14"/>
                <w:szCs w:val="14"/>
                <w:b w:val="1"/>
                <w:bCs w:val="1"/>
                <w:color w:val="867F7C"/>
              </w:rPr>
              <w:t>Expatriate</w:t>
            </w:r>
          </w:p>
        </w:tc>
        <w:tc>
          <w:tcPr>
            <w:tcW w:w="94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Qualified</w:t>
            </w:r>
          </w:p>
        </w:tc>
        <w:tc>
          <w:tcPr>
            <w:tcW w:w="1020" w:type="dxa"/>
            <w:vAlign w:val="bottom"/>
            <w:shd w:val="clear" w:color="auto" w:fill="EFEBE9"/>
          </w:tcPr>
          <w:p>
            <w:pPr>
              <w:jc w:val="center"/>
              <w:ind w:right="48"/>
              <w:spacing w:after="0" w:line="145" w:lineRule="exact"/>
              <w:rPr>
                <w:sz w:val="20"/>
                <w:szCs w:val="20"/>
                <w:color w:val="auto"/>
              </w:rPr>
            </w:pPr>
            <w:r>
              <w:rPr>
                <w:rFonts w:ascii="Arial" w:cs="Arial" w:eastAsia="Arial" w:hAnsi="Arial"/>
                <w:sz w:val="14"/>
                <w:szCs w:val="14"/>
                <w:b w:val="1"/>
                <w:bCs w:val="1"/>
                <w:color w:val="867F7C"/>
              </w:rPr>
              <w:t>Contribution</w:t>
            </w:r>
          </w:p>
        </w:tc>
        <w:tc>
          <w:tcPr>
            <w:tcW w:w="66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Gross</w:t>
            </w:r>
          </w:p>
        </w:tc>
        <w:tc>
          <w:tcPr>
            <w:tcW w:w="1200" w:type="dxa"/>
            <w:vAlign w:val="bottom"/>
            <w:shd w:val="clear" w:color="auto" w:fill="EFEBE9"/>
          </w:tcPr>
          <w:p>
            <w:pPr>
              <w:jc w:val="center"/>
              <w:ind w:right="8"/>
              <w:spacing w:after="0" w:line="145" w:lineRule="exact"/>
              <w:rPr>
                <w:sz w:val="20"/>
                <w:szCs w:val="20"/>
                <w:color w:val="auto"/>
              </w:rPr>
            </w:pPr>
            <w:r>
              <w:rPr>
                <w:rFonts w:ascii="Arial" w:cs="Arial" w:eastAsia="Arial" w:hAnsi="Arial"/>
                <w:sz w:val="14"/>
                <w:szCs w:val="14"/>
                <w:b w:val="1"/>
                <w:bCs w:val="1"/>
                <w:color w:val="867F7C"/>
              </w:rPr>
              <w:t>All Other</w:t>
            </w:r>
          </w:p>
        </w:tc>
        <w:tc>
          <w:tcPr>
            <w:tcW w:w="0" w:type="dxa"/>
            <w:vAlign w:val="bottom"/>
          </w:tcPr>
          <w:p>
            <w:pPr>
              <w:spacing w:after="0"/>
              <w:rPr>
                <w:sz w:val="1"/>
                <w:szCs w:val="1"/>
                <w:color w:val="auto"/>
              </w:rPr>
            </w:pPr>
          </w:p>
        </w:tc>
      </w:tr>
      <w:tr>
        <w:trPr>
          <w:trHeight w:val="189"/>
        </w:trPr>
        <w:tc>
          <w:tcPr>
            <w:tcW w:w="196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Name</w:t>
            </w:r>
          </w:p>
        </w:tc>
        <w:tc>
          <w:tcPr>
            <w:tcW w:w="820" w:type="dxa"/>
            <w:vAlign w:val="bottom"/>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9"/>
              </w:rPr>
              <w:t>Planning</w:t>
            </w:r>
            <w:r>
              <w:rPr>
                <w:rFonts w:ascii="Arial" w:cs="Arial" w:eastAsia="Arial" w:hAnsi="Arial"/>
                <w:sz w:val="19"/>
                <w:szCs w:val="19"/>
                <w:b w:val="1"/>
                <w:bCs w:val="1"/>
                <w:color w:val="867F7C"/>
                <w:w w:val="99"/>
                <w:vertAlign w:val="superscript"/>
              </w:rPr>
              <w:t>(1)</w:t>
            </w:r>
          </w:p>
        </w:tc>
        <w:tc>
          <w:tcPr>
            <w:tcW w:w="800" w:type="dxa"/>
            <w:vAlign w:val="bottom"/>
            <w:shd w:val="clear" w:color="auto" w:fill="EFEBE9"/>
          </w:tcPr>
          <w:p>
            <w:pPr>
              <w:jc w:val="right"/>
              <w:ind w:right="8"/>
              <w:spacing w:after="0"/>
              <w:rPr>
                <w:sz w:val="20"/>
                <w:szCs w:val="20"/>
                <w:color w:val="auto"/>
              </w:rPr>
            </w:pPr>
            <w:r>
              <w:rPr>
                <w:rFonts w:ascii="Arial" w:cs="Arial" w:eastAsia="Arial" w:hAnsi="Arial"/>
                <w:sz w:val="14"/>
                <w:szCs w:val="14"/>
                <w:b w:val="1"/>
                <w:bCs w:val="1"/>
                <w:color w:val="867F7C"/>
              </w:rPr>
              <w:t>Physical</w:t>
            </w:r>
          </w:p>
        </w:tc>
        <w:tc>
          <w:tcPr>
            <w:tcW w:w="900" w:type="dxa"/>
            <w:vAlign w:val="bottom"/>
            <w:shd w:val="clear" w:color="auto" w:fill="EFEBE9"/>
          </w:tcPr>
          <w:p>
            <w:pPr>
              <w:ind w:left="60"/>
              <w:spacing w:after="0" w:line="189" w:lineRule="exact"/>
              <w:rPr>
                <w:sz w:val="20"/>
                <w:szCs w:val="20"/>
                <w:color w:val="auto"/>
              </w:rPr>
            </w:pPr>
            <w:r>
              <w:rPr>
                <w:rFonts w:ascii="Arial" w:cs="Arial" w:eastAsia="Arial" w:hAnsi="Arial"/>
                <w:sz w:val="14"/>
                <w:szCs w:val="14"/>
                <w:b w:val="1"/>
                <w:bCs w:val="1"/>
                <w:color w:val="867F7C"/>
              </w:rPr>
              <w:t>Expenses</w:t>
            </w:r>
            <w:r>
              <w:rPr>
                <w:rFonts w:ascii="Arial" w:cs="Arial" w:eastAsia="Arial" w:hAnsi="Arial"/>
                <w:sz w:val="19"/>
                <w:szCs w:val="19"/>
                <w:color w:val="867F7C"/>
                <w:vertAlign w:val="superscript"/>
              </w:rPr>
              <w:t>(2)</w:t>
            </w:r>
          </w:p>
        </w:tc>
        <w:tc>
          <w:tcPr>
            <w:tcW w:w="1720" w:type="dxa"/>
            <w:vAlign w:val="bottom"/>
            <w:gridSpan w:val="3"/>
            <w:shd w:val="clear" w:color="auto" w:fill="EFEBE9"/>
          </w:tcPr>
          <w:p>
            <w:pPr>
              <w:jc w:val="right"/>
              <w:spacing w:after="0" w:line="189" w:lineRule="exact"/>
              <w:rPr>
                <w:sz w:val="20"/>
                <w:szCs w:val="20"/>
                <w:color w:val="auto"/>
              </w:rPr>
            </w:pPr>
            <w:r>
              <w:rPr>
                <w:rFonts w:ascii="Arial" w:cs="Arial" w:eastAsia="Arial" w:hAnsi="Arial"/>
                <w:sz w:val="14"/>
                <w:szCs w:val="14"/>
                <w:b w:val="1"/>
                <w:bCs w:val="1"/>
                <w:color w:val="867F7C"/>
              </w:rPr>
              <w:t>Benefits</w:t>
            </w:r>
            <w:r>
              <w:rPr>
                <w:rFonts w:ascii="Arial" w:cs="Arial" w:eastAsia="Arial" w:hAnsi="Arial"/>
                <w:sz w:val="19"/>
                <w:szCs w:val="19"/>
                <w:b w:val="1"/>
                <w:bCs w:val="1"/>
                <w:color w:val="867F7C"/>
                <w:vertAlign w:val="superscript"/>
              </w:rPr>
              <w:t>(3)</w:t>
            </w:r>
            <w:r>
              <w:rPr>
                <w:rFonts w:ascii="Arial" w:cs="Arial" w:eastAsia="Arial" w:hAnsi="Arial"/>
                <w:sz w:val="14"/>
                <w:szCs w:val="14"/>
                <w:b w:val="1"/>
                <w:bCs w:val="1"/>
                <w:color w:val="867F7C"/>
              </w:rPr>
              <w:t xml:space="preserve"> Savings Plan</w:t>
            </w:r>
          </w:p>
        </w:tc>
        <w:tc>
          <w:tcPr>
            <w:tcW w:w="1020" w:type="dxa"/>
            <w:vAlign w:val="bottom"/>
            <w:shd w:val="clear" w:color="auto" w:fill="EFEBE9"/>
          </w:tcPr>
          <w:p>
            <w:pPr>
              <w:jc w:val="center"/>
              <w:ind w:right="48"/>
              <w:spacing w:after="0"/>
              <w:rPr>
                <w:sz w:val="20"/>
                <w:szCs w:val="20"/>
                <w:color w:val="auto"/>
              </w:rPr>
            </w:pPr>
            <w:r>
              <w:rPr>
                <w:rFonts w:ascii="Arial" w:cs="Arial" w:eastAsia="Arial" w:hAnsi="Arial"/>
                <w:sz w:val="14"/>
                <w:szCs w:val="14"/>
                <w:b w:val="1"/>
                <w:bCs w:val="1"/>
                <w:color w:val="867F7C"/>
              </w:rPr>
              <w:t>Plan</w:t>
            </w:r>
          </w:p>
        </w:tc>
        <w:tc>
          <w:tcPr>
            <w:tcW w:w="660" w:type="dxa"/>
            <w:vAlign w:val="bottom"/>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0"/>
              </w:rPr>
              <w:t>Ups</w:t>
            </w:r>
            <w:r>
              <w:rPr>
                <w:rFonts w:ascii="Arial" w:cs="Arial" w:eastAsia="Arial" w:hAnsi="Arial"/>
                <w:sz w:val="19"/>
                <w:szCs w:val="19"/>
                <w:b w:val="1"/>
                <w:bCs w:val="1"/>
                <w:color w:val="867F7C"/>
                <w:w w:val="90"/>
                <w:vertAlign w:val="superscript"/>
              </w:rPr>
              <w:t>(4)</w:t>
            </w:r>
          </w:p>
        </w:tc>
        <w:tc>
          <w:tcPr>
            <w:tcW w:w="1200" w:type="dxa"/>
            <w:vAlign w:val="bottom"/>
            <w:shd w:val="clear" w:color="auto" w:fill="EFEBE9"/>
          </w:tcPr>
          <w:p>
            <w:pPr>
              <w:jc w:val="center"/>
              <w:ind w:right="8"/>
              <w:spacing w:after="0"/>
              <w:rPr>
                <w:sz w:val="20"/>
                <w:szCs w:val="20"/>
                <w:color w:val="auto"/>
              </w:rPr>
            </w:pPr>
            <w:r>
              <w:rPr>
                <w:rFonts w:ascii="Arial" w:cs="Arial" w:eastAsia="Arial" w:hAnsi="Arial"/>
                <w:sz w:val="14"/>
                <w:szCs w:val="14"/>
                <w:b w:val="1"/>
                <w:bCs w:val="1"/>
                <w:color w:val="867F7C"/>
              </w:rPr>
              <w:t>Compensation</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867F7C"/>
            </w:tcBorders>
            <w:shd w:val="clear" w:color="auto" w:fill="EFEBE9"/>
          </w:tcPr>
          <w:p>
            <w:pPr>
              <w:spacing w:after="0"/>
              <w:rPr>
                <w:sz w:val="14"/>
                <w:szCs w:val="14"/>
                <w:color w:val="auto"/>
              </w:rPr>
            </w:pPr>
          </w:p>
        </w:tc>
        <w:tc>
          <w:tcPr>
            <w:tcW w:w="820" w:type="dxa"/>
            <w:vAlign w:val="bottom"/>
            <w:tcBorders>
              <w:bottom w:val="single" w:sz="8" w:color="867F7C"/>
            </w:tcBorders>
            <w:shd w:val="clear" w:color="auto" w:fill="EFEBE9"/>
          </w:tcPr>
          <w:p>
            <w:pPr>
              <w:spacing w:after="0"/>
              <w:rPr>
                <w:sz w:val="14"/>
                <w:szCs w:val="14"/>
                <w:color w:val="auto"/>
              </w:rPr>
            </w:pPr>
          </w:p>
        </w:tc>
        <w:tc>
          <w:tcPr>
            <w:tcW w:w="800" w:type="dxa"/>
            <w:vAlign w:val="bottom"/>
            <w:tcBorders>
              <w:bottom w:val="single" w:sz="8" w:color="867F7C"/>
            </w:tcBorders>
            <w:shd w:val="clear" w:color="auto" w:fill="EFEBE9"/>
          </w:tcPr>
          <w:p>
            <w:pPr>
              <w:spacing w:after="0"/>
              <w:rPr>
                <w:sz w:val="14"/>
                <w:szCs w:val="14"/>
                <w:color w:val="auto"/>
              </w:rPr>
            </w:pPr>
          </w:p>
        </w:tc>
        <w:tc>
          <w:tcPr>
            <w:tcW w:w="900" w:type="dxa"/>
            <w:vAlign w:val="bottom"/>
            <w:tcBorders>
              <w:bottom w:val="single" w:sz="8" w:color="867F7C"/>
            </w:tcBorders>
            <w:shd w:val="clear" w:color="auto" w:fill="EFEBE9"/>
          </w:tcPr>
          <w:p>
            <w:pPr>
              <w:spacing w:after="0"/>
              <w:rPr>
                <w:sz w:val="14"/>
                <w:szCs w:val="14"/>
                <w:color w:val="auto"/>
              </w:rPr>
            </w:pPr>
          </w:p>
        </w:tc>
        <w:tc>
          <w:tcPr>
            <w:tcW w:w="720" w:type="dxa"/>
            <w:vAlign w:val="bottom"/>
            <w:tcBorders>
              <w:bottom w:val="single" w:sz="8" w:color="867F7C"/>
            </w:tcBorders>
            <w:shd w:val="clear" w:color="auto" w:fill="EFEBE9"/>
          </w:tcPr>
          <w:p>
            <w:pPr>
              <w:spacing w:after="0"/>
              <w:rPr>
                <w:sz w:val="14"/>
                <w:szCs w:val="14"/>
                <w:color w:val="auto"/>
              </w:rPr>
            </w:pPr>
          </w:p>
        </w:tc>
        <w:tc>
          <w:tcPr>
            <w:tcW w:w="60" w:type="dxa"/>
            <w:vAlign w:val="bottom"/>
            <w:tcBorders>
              <w:bottom w:val="single" w:sz="8" w:color="867F7C"/>
            </w:tcBorders>
            <w:shd w:val="clear" w:color="auto" w:fill="EFEBE9"/>
          </w:tcPr>
          <w:p>
            <w:pPr>
              <w:spacing w:after="0"/>
              <w:rPr>
                <w:sz w:val="14"/>
                <w:szCs w:val="14"/>
                <w:color w:val="auto"/>
              </w:rPr>
            </w:pPr>
          </w:p>
        </w:tc>
        <w:tc>
          <w:tcPr>
            <w:tcW w:w="940" w:type="dxa"/>
            <w:vAlign w:val="bottom"/>
            <w:tcBorders>
              <w:bottom w:val="single" w:sz="8" w:color="867F7C"/>
            </w:tcBorders>
            <w:shd w:val="clear" w:color="auto" w:fill="EFEBE9"/>
          </w:tcPr>
          <w:p>
            <w:pPr>
              <w:spacing w:after="0"/>
              <w:rPr>
                <w:sz w:val="14"/>
                <w:szCs w:val="14"/>
                <w:color w:val="auto"/>
              </w:rPr>
            </w:pPr>
          </w:p>
        </w:tc>
        <w:tc>
          <w:tcPr>
            <w:tcW w:w="1020" w:type="dxa"/>
            <w:vAlign w:val="bottom"/>
            <w:tcBorders>
              <w:bottom w:val="single" w:sz="8" w:color="867F7C"/>
            </w:tcBorders>
            <w:shd w:val="clear" w:color="auto" w:fill="EFEBE9"/>
          </w:tcPr>
          <w:p>
            <w:pPr>
              <w:spacing w:after="0"/>
              <w:rPr>
                <w:sz w:val="14"/>
                <w:szCs w:val="14"/>
                <w:color w:val="auto"/>
              </w:rPr>
            </w:pPr>
          </w:p>
        </w:tc>
        <w:tc>
          <w:tcPr>
            <w:tcW w:w="660" w:type="dxa"/>
            <w:vAlign w:val="bottom"/>
            <w:tcBorders>
              <w:bottom w:val="single" w:sz="8" w:color="867F7C"/>
            </w:tcBorders>
            <w:shd w:val="clear" w:color="auto" w:fill="EFEBE9"/>
          </w:tcPr>
          <w:p>
            <w:pPr>
              <w:spacing w:after="0"/>
              <w:rPr>
                <w:sz w:val="14"/>
                <w:szCs w:val="14"/>
                <w:color w:val="auto"/>
              </w:rPr>
            </w:pPr>
          </w:p>
        </w:tc>
        <w:tc>
          <w:tcPr>
            <w:tcW w:w="1200" w:type="dxa"/>
            <w:vAlign w:val="bottom"/>
            <w:tcBorders>
              <w:bottom w:val="single" w:sz="8" w:color="867F7C"/>
            </w:tcBorders>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Guillermo Novo</w:t>
            </w:r>
          </w:p>
        </w:tc>
        <w:tc>
          <w:tcPr>
            <w:tcW w:w="820" w:type="dxa"/>
            <w:vAlign w:val="bottom"/>
            <w:tcBorders>
              <w:bottom w:val="single" w:sz="8" w:color="867F7C"/>
            </w:tcBorders>
          </w:tcPr>
          <w:p>
            <w:pPr>
              <w:jc w:val="right"/>
              <w:ind w:right="88"/>
              <w:spacing w:after="0" w:line="155" w:lineRule="exact"/>
              <w:rPr>
                <w:sz w:val="20"/>
                <w:szCs w:val="20"/>
                <w:color w:val="auto"/>
              </w:rPr>
            </w:pPr>
            <w:r>
              <w:rPr>
                <w:rFonts w:ascii="Arial" w:cs="Arial" w:eastAsia="Arial" w:hAnsi="Arial"/>
                <w:sz w:val="14"/>
                <w:szCs w:val="14"/>
                <w:color w:val="auto"/>
              </w:rPr>
              <w:t>26,000</w:t>
            </w:r>
          </w:p>
        </w:tc>
        <w:tc>
          <w:tcPr>
            <w:tcW w:w="80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1,877</w:t>
            </w:r>
          </w:p>
        </w:tc>
        <w:tc>
          <w:tcPr>
            <w:tcW w:w="900" w:type="dxa"/>
            <w:vAlign w:val="bottom"/>
            <w:tcBorders>
              <w:bottom w:val="single" w:sz="8" w:color="867F7C"/>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867F7C"/>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28,000</w:t>
            </w:r>
          </w:p>
        </w:tc>
        <w:tc>
          <w:tcPr>
            <w:tcW w:w="10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161,990</w:t>
            </w:r>
          </w:p>
        </w:tc>
        <w:tc>
          <w:tcPr>
            <w:tcW w:w="6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17,408</w:t>
            </w:r>
          </w:p>
        </w:tc>
        <w:tc>
          <w:tcPr>
            <w:tcW w:w="12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207,398</w:t>
            </w:r>
          </w:p>
        </w:tc>
        <w:tc>
          <w:tcPr>
            <w:tcW w:w="0" w:type="dxa"/>
            <w:vAlign w:val="bottom"/>
          </w:tcPr>
          <w:p>
            <w:pPr>
              <w:spacing w:after="0"/>
              <w:rPr>
                <w:sz w:val="1"/>
                <w:szCs w:val="1"/>
                <w:color w:val="auto"/>
              </w:rPr>
            </w:pPr>
          </w:p>
        </w:tc>
      </w:tr>
      <w:tr>
        <w:trPr>
          <w:trHeight w:val="156"/>
        </w:trPr>
        <w:tc>
          <w:tcPr>
            <w:tcW w:w="19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William Whitaker</w:t>
            </w:r>
          </w:p>
        </w:tc>
        <w:tc>
          <w:tcPr>
            <w:tcW w:w="820" w:type="dxa"/>
            <w:vAlign w:val="bottom"/>
            <w:tcBorders>
              <w:bottom w:val="single" w:sz="8" w:color="867F7C"/>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867F7C"/>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25,571</w:t>
            </w:r>
          </w:p>
        </w:tc>
        <w:tc>
          <w:tcPr>
            <w:tcW w:w="10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8,978</w:t>
            </w:r>
          </w:p>
        </w:tc>
        <w:tc>
          <w:tcPr>
            <w:tcW w:w="6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34,549</w:t>
            </w:r>
          </w:p>
        </w:tc>
        <w:tc>
          <w:tcPr>
            <w:tcW w:w="0" w:type="dxa"/>
            <w:vAlign w:val="bottom"/>
          </w:tcPr>
          <w:p>
            <w:pPr>
              <w:spacing w:after="0"/>
              <w:rPr>
                <w:sz w:val="1"/>
                <w:szCs w:val="1"/>
                <w:color w:val="auto"/>
              </w:rPr>
            </w:pPr>
          </w:p>
        </w:tc>
      </w:tr>
      <w:tr>
        <w:trPr>
          <w:trHeight w:val="146"/>
        </w:trPr>
        <w:tc>
          <w:tcPr>
            <w:tcW w:w="1960" w:type="dxa"/>
            <w:vAlign w:val="bottom"/>
            <w:vMerge w:val="restart"/>
          </w:tcPr>
          <w:p>
            <w:pPr>
              <w:ind w:left="100"/>
              <w:spacing w:after="0"/>
              <w:rPr>
                <w:sz w:val="20"/>
                <w:szCs w:val="20"/>
                <w:color w:val="auto"/>
              </w:rPr>
            </w:pPr>
            <w:r>
              <w:rPr>
                <w:rFonts w:ascii="Arial" w:cs="Arial" w:eastAsia="Arial" w:hAnsi="Arial"/>
                <w:sz w:val="14"/>
                <w:szCs w:val="14"/>
                <w:b w:val="1"/>
                <w:bCs w:val="1"/>
                <w:color w:val="4CCEDE"/>
              </w:rPr>
              <w:t>Alessandra Faccin Assis</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312,389</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29,833</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7,524</w:t>
            </w:r>
          </w:p>
        </w:tc>
        <w:tc>
          <w:tcPr>
            <w:tcW w:w="6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173,14</w:t>
            </w:r>
          </w:p>
        </w:tc>
        <w:tc>
          <w:tcPr>
            <w:tcW w:w="1200" w:type="dxa"/>
            <w:vAlign w:val="bottom"/>
            <w:vMerge w:val="restart"/>
          </w:tcPr>
          <w:p>
            <w:pPr>
              <w:jc w:val="right"/>
              <w:ind w:right="248"/>
              <w:spacing w:after="0"/>
              <w:rPr>
                <w:sz w:val="20"/>
                <w:szCs w:val="20"/>
                <w:color w:val="auto"/>
              </w:rPr>
            </w:pPr>
            <w:r>
              <w:rPr>
                <w:rFonts w:ascii="Arial" w:cs="Arial" w:eastAsia="Arial" w:hAnsi="Arial"/>
                <w:sz w:val="14"/>
                <w:szCs w:val="14"/>
                <w:color w:val="auto"/>
              </w:rPr>
              <w:t>522,888</w:t>
            </w:r>
          </w:p>
        </w:tc>
        <w:tc>
          <w:tcPr>
            <w:tcW w:w="0" w:type="dxa"/>
            <w:vAlign w:val="bottom"/>
          </w:tcPr>
          <w:p>
            <w:pPr>
              <w:spacing w:after="0"/>
              <w:rPr>
                <w:sz w:val="1"/>
                <w:szCs w:val="1"/>
                <w:color w:val="auto"/>
              </w:rPr>
            </w:pPr>
          </w:p>
        </w:tc>
      </w:tr>
      <w:tr>
        <w:trPr>
          <w:trHeight w:val="115"/>
        </w:trPr>
        <w:tc>
          <w:tcPr>
            <w:tcW w:w="19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960" w:type="dxa"/>
            <w:vAlign w:val="bottom"/>
            <w:tcBorders>
              <w:bottom w:val="single" w:sz="8" w:color="867F7C"/>
            </w:tcBorders>
          </w:tcPr>
          <w:p>
            <w:pPr>
              <w:spacing w:after="0"/>
              <w:rPr>
                <w:sz w:val="4"/>
                <w:szCs w:val="4"/>
                <w:color w:val="auto"/>
              </w:rPr>
            </w:pPr>
          </w:p>
        </w:tc>
        <w:tc>
          <w:tcPr>
            <w:tcW w:w="820" w:type="dxa"/>
            <w:vAlign w:val="bottom"/>
            <w:tcBorders>
              <w:bottom w:val="single" w:sz="8" w:color="867F7C"/>
            </w:tcBorders>
          </w:tcPr>
          <w:p>
            <w:pPr>
              <w:spacing w:after="0"/>
              <w:rPr>
                <w:sz w:val="4"/>
                <w:szCs w:val="4"/>
                <w:color w:val="auto"/>
              </w:rPr>
            </w:pPr>
          </w:p>
        </w:tc>
        <w:tc>
          <w:tcPr>
            <w:tcW w:w="800" w:type="dxa"/>
            <w:vAlign w:val="bottom"/>
            <w:tcBorders>
              <w:bottom w:val="single" w:sz="8" w:color="867F7C"/>
            </w:tcBorders>
          </w:tcPr>
          <w:p>
            <w:pPr>
              <w:spacing w:after="0"/>
              <w:rPr>
                <w:sz w:val="4"/>
                <w:szCs w:val="4"/>
                <w:color w:val="auto"/>
              </w:rPr>
            </w:pPr>
          </w:p>
        </w:tc>
        <w:tc>
          <w:tcPr>
            <w:tcW w:w="900" w:type="dxa"/>
            <w:vAlign w:val="bottom"/>
            <w:tcBorders>
              <w:bottom w:val="single" w:sz="8" w:color="867F7C"/>
            </w:tcBorders>
          </w:tcPr>
          <w:p>
            <w:pPr>
              <w:spacing w:after="0"/>
              <w:rPr>
                <w:sz w:val="4"/>
                <w:szCs w:val="4"/>
                <w:color w:val="auto"/>
              </w:rPr>
            </w:pPr>
          </w:p>
        </w:tc>
        <w:tc>
          <w:tcPr>
            <w:tcW w:w="720" w:type="dxa"/>
            <w:vAlign w:val="bottom"/>
            <w:tcBorders>
              <w:bottom w:val="single" w:sz="8" w:color="867F7C"/>
            </w:tcBorders>
          </w:tcPr>
          <w:p>
            <w:pPr>
              <w:spacing w:after="0"/>
              <w:rPr>
                <w:sz w:val="4"/>
                <w:szCs w:val="4"/>
                <w:color w:val="auto"/>
              </w:rPr>
            </w:pPr>
          </w:p>
        </w:tc>
        <w:tc>
          <w:tcPr>
            <w:tcW w:w="60" w:type="dxa"/>
            <w:vAlign w:val="bottom"/>
            <w:tcBorders>
              <w:bottom w:val="single" w:sz="8" w:color="867F7C"/>
            </w:tcBorders>
          </w:tcPr>
          <w:p>
            <w:pPr>
              <w:spacing w:after="0"/>
              <w:rPr>
                <w:sz w:val="4"/>
                <w:szCs w:val="4"/>
                <w:color w:val="auto"/>
              </w:rPr>
            </w:pPr>
          </w:p>
        </w:tc>
        <w:tc>
          <w:tcPr>
            <w:tcW w:w="940" w:type="dxa"/>
            <w:vAlign w:val="bottom"/>
            <w:tcBorders>
              <w:bottom w:val="single" w:sz="8" w:color="867F7C"/>
            </w:tcBorders>
          </w:tcPr>
          <w:p>
            <w:pPr>
              <w:spacing w:after="0"/>
              <w:rPr>
                <w:sz w:val="4"/>
                <w:szCs w:val="4"/>
                <w:color w:val="auto"/>
              </w:rPr>
            </w:pPr>
          </w:p>
        </w:tc>
        <w:tc>
          <w:tcPr>
            <w:tcW w:w="1020" w:type="dxa"/>
            <w:vAlign w:val="bottom"/>
            <w:tcBorders>
              <w:bottom w:val="single" w:sz="8" w:color="867F7C"/>
            </w:tcBorders>
          </w:tcPr>
          <w:p>
            <w:pPr>
              <w:spacing w:after="0"/>
              <w:rPr>
                <w:sz w:val="4"/>
                <w:szCs w:val="4"/>
                <w:color w:val="auto"/>
              </w:rPr>
            </w:pPr>
          </w:p>
        </w:tc>
        <w:tc>
          <w:tcPr>
            <w:tcW w:w="660" w:type="dxa"/>
            <w:vAlign w:val="bottom"/>
            <w:tcBorders>
              <w:bottom w:val="single" w:sz="8" w:color="867F7C"/>
            </w:tcBorders>
            <w:vMerge w:val="continue"/>
          </w:tcPr>
          <w:p>
            <w:pPr>
              <w:spacing w:after="0"/>
              <w:rPr>
                <w:sz w:val="4"/>
                <w:szCs w:val="4"/>
                <w:color w:val="auto"/>
              </w:rPr>
            </w:pPr>
          </w:p>
        </w:tc>
        <w:tc>
          <w:tcPr>
            <w:tcW w:w="1200" w:type="dxa"/>
            <w:vAlign w:val="bottom"/>
            <w:tcBorders>
              <w:bottom w:val="single" w:sz="8" w:color="867F7C"/>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Osama M. Musa</w:t>
            </w:r>
          </w:p>
        </w:tc>
        <w:tc>
          <w:tcPr>
            <w:tcW w:w="820" w:type="dxa"/>
            <w:vAlign w:val="bottom"/>
            <w:tcBorders>
              <w:bottom w:val="single" w:sz="8" w:color="867F7C"/>
            </w:tcBorders>
          </w:tcPr>
          <w:p>
            <w:pPr>
              <w:jc w:val="right"/>
              <w:ind w:right="88"/>
              <w:spacing w:after="0" w:line="155" w:lineRule="exact"/>
              <w:rPr>
                <w:sz w:val="20"/>
                <w:szCs w:val="20"/>
                <w:color w:val="auto"/>
              </w:rPr>
            </w:pPr>
            <w:r>
              <w:rPr>
                <w:rFonts w:ascii="Arial" w:cs="Arial" w:eastAsia="Arial" w:hAnsi="Arial"/>
                <w:sz w:val="14"/>
                <w:szCs w:val="14"/>
                <w:color w:val="auto"/>
              </w:rPr>
              <w:t>13,783</w:t>
            </w:r>
          </w:p>
        </w:tc>
        <w:tc>
          <w:tcPr>
            <w:tcW w:w="80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867F7C"/>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27,028</w:t>
            </w:r>
          </w:p>
        </w:tc>
        <w:tc>
          <w:tcPr>
            <w:tcW w:w="10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33,119</w:t>
            </w:r>
          </w:p>
        </w:tc>
        <w:tc>
          <w:tcPr>
            <w:tcW w:w="6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60,147</w:t>
            </w:r>
          </w:p>
        </w:tc>
        <w:tc>
          <w:tcPr>
            <w:tcW w:w="0" w:type="dxa"/>
            <w:vAlign w:val="bottom"/>
          </w:tcPr>
          <w:p>
            <w:pPr>
              <w:spacing w:after="0"/>
              <w:rPr>
                <w:sz w:val="1"/>
                <w:szCs w:val="1"/>
                <w:color w:val="auto"/>
              </w:rPr>
            </w:pPr>
          </w:p>
        </w:tc>
      </w:tr>
      <w:tr>
        <w:trPr>
          <w:trHeight w:val="155"/>
        </w:trPr>
        <w:tc>
          <w:tcPr>
            <w:tcW w:w="19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James Minicucci</w:t>
            </w:r>
          </w:p>
        </w:tc>
        <w:tc>
          <w:tcPr>
            <w:tcW w:w="820" w:type="dxa"/>
            <w:vAlign w:val="bottom"/>
            <w:tcBorders>
              <w:bottom w:val="single" w:sz="8" w:color="867F7C"/>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867F7C"/>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29,612</w:t>
            </w:r>
          </w:p>
        </w:tc>
        <w:tc>
          <w:tcPr>
            <w:tcW w:w="10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31,181</w:t>
            </w:r>
          </w:p>
        </w:tc>
        <w:tc>
          <w:tcPr>
            <w:tcW w:w="6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60,793</w:t>
            </w:r>
          </w:p>
        </w:tc>
        <w:tc>
          <w:tcPr>
            <w:tcW w:w="0" w:type="dxa"/>
            <w:vAlign w:val="bottom"/>
          </w:tcPr>
          <w:p>
            <w:pPr>
              <w:spacing w:after="0"/>
              <w:rPr>
                <w:sz w:val="1"/>
                <w:szCs w:val="1"/>
                <w:color w:val="auto"/>
              </w:rPr>
            </w:pPr>
          </w:p>
        </w:tc>
      </w:tr>
      <w:tr>
        <w:trPr>
          <w:trHeight w:val="210"/>
        </w:trPr>
        <w:tc>
          <w:tcPr>
            <w:tcW w:w="1960" w:type="dxa"/>
            <w:vAlign w:val="bottom"/>
          </w:tcPr>
          <w:p>
            <w:pPr>
              <w:ind w:left="100"/>
              <w:spacing w:after="0" w:line="210" w:lineRule="exact"/>
              <w:rPr>
                <w:sz w:val="20"/>
                <w:szCs w:val="20"/>
                <w:color w:val="auto"/>
              </w:rPr>
            </w:pPr>
            <w:r>
              <w:rPr>
                <w:rFonts w:ascii="Arial" w:cs="Arial" w:eastAsia="Arial" w:hAnsi="Arial"/>
                <w:sz w:val="14"/>
                <w:szCs w:val="14"/>
                <w:b w:val="1"/>
                <w:bCs w:val="1"/>
                <w:color w:val="4CCEDE"/>
              </w:rPr>
              <w:t>Karl Bostaph</w:t>
            </w:r>
            <w:r>
              <w:rPr>
                <w:rFonts w:ascii="Arial" w:cs="Arial" w:eastAsia="Arial" w:hAnsi="Arial"/>
                <w:sz w:val="19"/>
                <w:szCs w:val="19"/>
                <w:b w:val="1"/>
                <w:bCs w:val="1"/>
                <w:color w:val="4CCEDE"/>
                <w:vertAlign w:val="superscript"/>
              </w:rPr>
              <w:t>(3)</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313,406</w:t>
            </w:r>
          </w:p>
        </w:tc>
        <w:tc>
          <w:tcPr>
            <w:tcW w:w="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20,355</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23,743</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145,72</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503,232</w:t>
            </w:r>
          </w:p>
        </w:tc>
        <w:tc>
          <w:tcPr>
            <w:tcW w:w="0" w:type="dxa"/>
            <w:vAlign w:val="bottom"/>
          </w:tcPr>
          <w:p>
            <w:pPr>
              <w:spacing w:after="0"/>
              <w:rPr>
                <w:sz w:val="1"/>
                <w:szCs w:val="1"/>
                <w:color w:val="auto"/>
              </w:rPr>
            </w:pPr>
          </w:p>
        </w:tc>
      </w:tr>
      <w:tr>
        <w:trPr>
          <w:trHeight w:val="108"/>
        </w:trPr>
        <w:tc>
          <w:tcPr>
            <w:tcW w:w="1960" w:type="dxa"/>
            <w:vAlign w:val="bottom"/>
            <w:tcBorders>
              <w:bottom w:val="single" w:sz="8" w:color="867F7C"/>
            </w:tcBorders>
          </w:tcPr>
          <w:p>
            <w:pPr>
              <w:spacing w:after="0"/>
              <w:rPr>
                <w:sz w:val="9"/>
                <w:szCs w:val="9"/>
                <w:color w:val="auto"/>
              </w:rPr>
            </w:pPr>
          </w:p>
        </w:tc>
        <w:tc>
          <w:tcPr>
            <w:tcW w:w="820" w:type="dxa"/>
            <w:vAlign w:val="bottom"/>
            <w:tcBorders>
              <w:bottom w:val="single" w:sz="8" w:color="867F7C"/>
            </w:tcBorders>
          </w:tcPr>
          <w:p>
            <w:pPr>
              <w:spacing w:after="0"/>
              <w:rPr>
                <w:sz w:val="9"/>
                <w:szCs w:val="9"/>
                <w:color w:val="auto"/>
              </w:rPr>
            </w:pPr>
          </w:p>
        </w:tc>
        <w:tc>
          <w:tcPr>
            <w:tcW w:w="800" w:type="dxa"/>
            <w:vAlign w:val="bottom"/>
            <w:tcBorders>
              <w:bottom w:val="single" w:sz="8" w:color="867F7C"/>
            </w:tcBorders>
          </w:tcPr>
          <w:p>
            <w:pPr>
              <w:spacing w:after="0"/>
              <w:rPr>
                <w:sz w:val="9"/>
                <w:szCs w:val="9"/>
                <w:color w:val="auto"/>
              </w:rPr>
            </w:pPr>
          </w:p>
        </w:tc>
        <w:tc>
          <w:tcPr>
            <w:tcW w:w="900" w:type="dxa"/>
            <w:vAlign w:val="bottom"/>
            <w:tcBorders>
              <w:bottom w:val="single" w:sz="8" w:color="867F7C"/>
            </w:tcBorders>
          </w:tcPr>
          <w:p>
            <w:pPr>
              <w:spacing w:after="0"/>
              <w:rPr>
                <w:sz w:val="9"/>
                <w:szCs w:val="9"/>
                <w:color w:val="auto"/>
              </w:rPr>
            </w:pPr>
          </w:p>
        </w:tc>
        <w:tc>
          <w:tcPr>
            <w:tcW w:w="720" w:type="dxa"/>
            <w:vAlign w:val="bottom"/>
            <w:tcBorders>
              <w:bottom w:val="single" w:sz="8" w:color="867F7C"/>
            </w:tcBorders>
          </w:tcPr>
          <w:p>
            <w:pPr>
              <w:spacing w:after="0"/>
              <w:rPr>
                <w:sz w:val="9"/>
                <w:szCs w:val="9"/>
                <w:color w:val="auto"/>
              </w:rPr>
            </w:pPr>
          </w:p>
        </w:tc>
        <w:tc>
          <w:tcPr>
            <w:tcW w:w="60" w:type="dxa"/>
            <w:vAlign w:val="bottom"/>
            <w:tcBorders>
              <w:bottom w:val="single" w:sz="8" w:color="867F7C"/>
            </w:tcBorders>
          </w:tcPr>
          <w:p>
            <w:pPr>
              <w:spacing w:after="0"/>
              <w:rPr>
                <w:sz w:val="9"/>
                <w:szCs w:val="9"/>
                <w:color w:val="auto"/>
              </w:rPr>
            </w:pPr>
          </w:p>
        </w:tc>
        <w:tc>
          <w:tcPr>
            <w:tcW w:w="940" w:type="dxa"/>
            <w:vAlign w:val="bottom"/>
            <w:tcBorders>
              <w:bottom w:val="single" w:sz="8" w:color="867F7C"/>
            </w:tcBorders>
          </w:tcPr>
          <w:p>
            <w:pPr>
              <w:spacing w:after="0"/>
              <w:rPr>
                <w:sz w:val="9"/>
                <w:szCs w:val="9"/>
                <w:color w:val="auto"/>
              </w:rPr>
            </w:pPr>
          </w:p>
        </w:tc>
        <w:tc>
          <w:tcPr>
            <w:tcW w:w="1020" w:type="dxa"/>
            <w:vAlign w:val="bottom"/>
            <w:tcBorders>
              <w:bottom w:val="single" w:sz="8" w:color="867F7C"/>
            </w:tcBorders>
          </w:tcPr>
          <w:p>
            <w:pPr>
              <w:spacing w:after="0"/>
              <w:rPr>
                <w:sz w:val="9"/>
                <w:szCs w:val="9"/>
                <w:color w:val="auto"/>
              </w:rPr>
            </w:pPr>
          </w:p>
        </w:tc>
        <w:tc>
          <w:tcPr>
            <w:tcW w:w="660" w:type="dxa"/>
            <w:vAlign w:val="bottom"/>
            <w:tcBorders>
              <w:bottom w:val="single" w:sz="8" w:color="867F7C"/>
            </w:tcBorders>
          </w:tcPr>
          <w:p>
            <w:pPr>
              <w:jc w:val="right"/>
              <w:spacing w:after="0" w:line="108" w:lineRule="exact"/>
              <w:rPr>
                <w:sz w:val="20"/>
                <w:szCs w:val="20"/>
                <w:color w:val="auto"/>
              </w:rPr>
            </w:pPr>
            <w:r>
              <w:rPr>
                <w:rFonts w:ascii="Arial" w:cs="Arial" w:eastAsia="Arial" w:hAnsi="Arial"/>
                <w:sz w:val="12"/>
                <w:szCs w:val="12"/>
                <w:color w:val="auto"/>
              </w:rPr>
              <w:t>8</w:t>
            </w:r>
          </w:p>
        </w:tc>
        <w:tc>
          <w:tcPr>
            <w:tcW w:w="1200" w:type="dxa"/>
            <w:vAlign w:val="bottom"/>
            <w:tcBorders>
              <w:bottom w:val="single" w:sz="8" w:color="867F7C"/>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 Kevin Willis</w:t>
            </w:r>
          </w:p>
        </w:tc>
        <w:tc>
          <w:tcPr>
            <w:tcW w:w="820" w:type="dxa"/>
            <w:vAlign w:val="bottom"/>
            <w:tcBorders>
              <w:bottom w:val="single" w:sz="8" w:color="867F7C"/>
            </w:tcBorders>
          </w:tcPr>
          <w:p>
            <w:pPr>
              <w:jc w:val="right"/>
              <w:ind w:right="88"/>
              <w:spacing w:after="0" w:line="155" w:lineRule="exact"/>
              <w:rPr>
                <w:sz w:val="20"/>
                <w:szCs w:val="20"/>
                <w:color w:val="auto"/>
              </w:rPr>
            </w:pPr>
            <w:r>
              <w:rPr>
                <w:rFonts w:ascii="Arial" w:cs="Arial" w:eastAsia="Arial" w:hAnsi="Arial"/>
                <w:sz w:val="14"/>
                <w:szCs w:val="14"/>
                <w:color w:val="auto"/>
              </w:rPr>
              <w:t>15,815</w:t>
            </w:r>
          </w:p>
        </w:tc>
        <w:tc>
          <w:tcPr>
            <w:tcW w:w="80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867F7C"/>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867F7C"/>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867F7C"/>
            </w:tcBorders>
          </w:tcPr>
          <w:p>
            <w:pPr>
              <w:jc w:val="right"/>
              <w:ind w:right="28"/>
              <w:spacing w:after="0" w:line="155" w:lineRule="exact"/>
              <w:rPr>
                <w:sz w:val="20"/>
                <w:szCs w:val="20"/>
                <w:color w:val="auto"/>
              </w:rPr>
            </w:pPr>
            <w:r>
              <w:rPr>
                <w:rFonts w:ascii="Arial" w:cs="Arial" w:eastAsia="Arial" w:hAnsi="Arial"/>
                <w:sz w:val="14"/>
                <w:szCs w:val="14"/>
                <w:color w:val="auto"/>
              </w:rPr>
              <w:t>26,180</w:t>
            </w:r>
          </w:p>
        </w:tc>
        <w:tc>
          <w:tcPr>
            <w:tcW w:w="10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62,807</w:t>
            </w:r>
          </w:p>
        </w:tc>
        <w:tc>
          <w:tcPr>
            <w:tcW w:w="6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11,872</w:t>
            </w:r>
          </w:p>
        </w:tc>
        <w:tc>
          <w:tcPr>
            <w:tcW w:w="12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100,859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40" w:hanging="216"/>
        <w:spacing w:after="0" w:line="222" w:lineRule="auto"/>
        <w:tabs>
          <w:tab w:leader="none" w:pos="440" w:val="left"/>
        </w:tabs>
        <w:numPr>
          <w:ilvl w:val="0"/>
          <w:numId w:val="48"/>
        </w:numPr>
        <w:rPr>
          <w:rFonts w:ascii="Times New Roman" w:cs="Times New Roman" w:eastAsia="Times New Roman" w:hAnsi="Times New Roman"/>
          <w:sz w:val="19"/>
          <w:szCs w:val="19"/>
          <w:color w:val="231F20"/>
          <w:vertAlign w:val="superscript"/>
        </w:rPr>
      </w:pPr>
      <w:r>
        <w:rPr>
          <w:rFonts w:ascii="Arial" w:cs="Arial" w:eastAsia="Arial" w:hAnsi="Arial"/>
          <w:sz w:val="14"/>
          <w:szCs w:val="14"/>
          <w:color w:val="auto"/>
        </w:rPr>
        <w:t>The amounts reported in this column represent the aggregate incremental cost to the Company with respect to tax and financial planning services for Mr. Novo, Dr. Musa, and Mr. Willis.</w:t>
      </w:r>
    </w:p>
    <w:p>
      <w:pPr>
        <w:spacing w:after="0" w:line="134" w:lineRule="exact"/>
        <w:rPr>
          <w:rFonts w:ascii="Times New Roman" w:cs="Times New Roman" w:eastAsia="Times New Roman" w:hAnsi="Times New Roman"/>
          <w:sz w:val="19"/>
          <w:szCs w:val="19"/>
          <w:color w:val="231F20"/>
          <w:vertAlign w:val="superscript"/>
        </w:rPr>
      </w:pPr>
    </w:p>
    <w:p>
      <w:pPr>
        <w:ind w:left="440" w:hanging="216"/>
        <w:spacing w:after="0" w:line="222" w:lineRule="auto"/>
        <w:tabs>
          <w:tab w:leader="none" w:pos="440" w:val="left"/>
        </w:tabs>
        <w:numPr>
          <w:ilvl w:val="0"/>
          <w:numId w:val="48"/>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amount reported in this column for Ms. Faccin Assis represents the aggregate incremental cost to the Company in connection with Ms. Faccin Assis’ relocation from Singapore to the United States.</w:t>
      </w:r>
    </w:p>
    <w:p>
      <w:pPr>
        <w:spacing w:after="0" w:line="80" w:lineRule="exact"/>
        <w:rPr>
          <w:rFonts w:ascii="Times New Roman" w:cs="Times New Roman" w:eastAsia="Times New Roman" w:hAnsi="Times New Roman"/>
          <w:sz w:val="19"/>
          <w:szCs w:val="19"/>
          <w:color w:val="auto"/>
          <w:vertAlign w:val="superscript"/>
        </w:rPr>
      </w:pPr>
    </w:p>
    <w:p>
      <w:pPr>
        <w:ind w:left="440" w:right="20" w:hanging="216"/>
        <w:spacing w:after="0" w:line="222" w:lineRule="auto"/>
        <w:tabs>
          <w:tab w:leader="none" w:pos="440" w:val="left"/>
        </w:tabs>
        <w:numPr>
          <w:ilvl w:val="0"/>
          <w:numId w:val="48"/>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amount reported in this column represents an expatriate allowance to Mr. Bostaph, pursuant to the Company’s executive mobility policy.</w:t>
      </w:r>
    </w:p>
    <w:p>
      <w:pPr>
        <w:spacing w:after="0" w:line="80" w:lineRule="exact"/>
        <w:rPr>
          <w:rFonts w:ascii="Times New Roman" w:cs="Times New Roman" w:eastAsia="Times New Roman" w:hAnsi="Times New Roman"/>
          <w:sz w:val="19"/>
          <w:szCs w:val="19"/>
          <w:color w:val="auto"/>
          <w:vertAlign w:val="superscript"/>
        </w:rPr>
      </w:pPr>
    </w:p>
    <w:p>
      <w:pPr>
        <w:jc w:val="both"/>
        <w:ind w:left="440" w:hanging="216"/>
        <w:spacing w:after="0" w:line="231" w:lineRule="auto"/>
        <w:tabs>
          <w:tab w:leader="none" w:pos="440" w:val="left"/>
        </w:tabs>
        <w:numPr>
          <w:ilvl w:val="0"/>
          <w:numId w:val="48"/>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amounts reported in this column reflect: (i) FICA tax gross-up payments made to Mr. Novo and Mr. Willis; (ii) a tax gross-up payment provided to Ms. Faccin Assis related to her relocation from Singapore to the United States; and (iii) a tax gross-up payment made to Mr. Bostaph in connection with host country allowances. These gross-up payments were made to cover the additional tax liabilities incurred by the NEOs as a result of company-provided benefits.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46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52" w:name="page53"/>
    <w:bookmarkEnd w:id="52"/>
    <w:p>
      <w:pPr>
        <w:ind w:left="6160"/>
        <w:spacing w:after="0"/>
        <w:rPr>
          <w:sz w:val="20"/>
          <w:szCs w:val="20"/>
          <w:color w:val="auto"/>
        </w:rPr>
      </w:pPr>
      <w:r>
        <w:rPr>
          <w:rFonts w:ascii="Arial" w:cs="Arial" w:eastAsia="Arial" w:hAnsi="Arial"/>
          <w:sz w:val="18"/>
          <w:szCs w:val="18"/>
          <w:color w:val="867F7C"/>
        </w:rPr>
        <w:t>2025 executive compensation tables</w:t>
      </w:r>
    </w:p>
    <w:p>
      <w:pPr>
        <w:spacing w:after="0" w:line="188"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fiscal 2025 grants of plan-based awards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sets forth details regarding non-equity and equity plan-based awards granted to each of the NEOs in fiscal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shd w:val="clear" w:color="auto" w:fill="EFEBE9"/>
          </w:tcPr>
          <w:p>
            <w:pPr>
              <w:spacing w:after="0"/>
              <w:rPr>
                <w:sz w:val="13"/>
                <w:szCs w:val="13"/>
                <w:color w:val="auto"/>
              </w:rPr>
            </w:pPr>
          </w:p>
        </w:tc>
        <w:tc>
          <w:tcPr>
            <w:tcW w:w="80" w:type="dxa"/>
            <w:vAlign w:val="bottom"/>
            <w:shd w:val="clear" w:color="auto" w:fill="EFEBE9"/>
          </w:tcPr>
          <w:p>
            <w:pPr>
              <w:spacing w:after="0"/>
              <w:rPr>
                <w:sz w:val="13"/>
                <w:szCs w:val="13"/>
                <w:color w:val="auto"/>
              </w:rPr>
            </w:pPr>
          </w:p>
        </w:tc>
        <w:tc>
          <w:tcPr>
            <w:tcW w:w="820" w:type="dxa"/>
            <w:vAlign w:val="bottom"/>
            <w:shd w:val="clear" w:color="auto" w:fill="EFEBE9"/>
          </w:tcPr>
          <w:p>
            <w:pPr>
              <w:spacing w:after="0"/>
              <w:rPr>
                <w:sz w:val="13"/>
                <w:szCs w:val="13"/>
                <w:color w:val="auto"/>
              </w:rPr>
            </w:pPr>
          </w:p>
        </w:tc>
        <w:tc>
          <w:tcPr>
            <w:tcW w:w="780" w:type="dxa"/>
            <w:vAlign w:val="bottom"/>
            <w:shd w:val="clear" w:color="auto" w:fill="EFEBE9"/>
          </w:tcPr>
          <w:p>
            <w:pPr>
              <w:spacing w:after="0"/>
              <w:rPr>
                <w:sz w:val="13"/>
                <w:szCs w:val="13"/>
                <w:color w:val="auto"/>
              </w:rPr>
            </w:pPr>
          </w:p>
        </w:tc>
        <w:tc>
          <w:tcPr>
            <w:tcW w:w="860" w:type="dxa"/>
            <w:vAlign w:val="bottom"/>
            <w:shd w:val="clear" w:color="auto" w:fill="EFEBE9"/>
          </w:tcPr>
          <w:p>
            <w:pPr>
              <w:spacing w:after="0"/>
              <w:rPr>
                <w:sz w:val="13"/>
                <w:szCs w:val="13"/>
                <w:color w:val="auto"/>
              </w:rPr>
            </w:pPr>
          </w:p>
        </w:tc>
        <w:tc>
          <w:tcPr>
            <w:tcW w:w="780" w:type="dxa"/>
            <w:vAlign w:val="bottom"/>
            <w:shd w:val="clear" w:color="auto" w:fill="EFEBE9"/>
          </w:tcPr>
          <w:p>
            <w:pPr>
              <w:spacing w:after="0"/>
              <w:rPr>
                <w:sz w:val="13"/>
                <w:szCs w:val="13"/>
                <w:color w:val="auto"/>
              </w:rPr>
            </w:pPr>
          </w:p>
        </w:tc>
        <w:tc>
          <w:tcPr>
            <w:tcW w:w="240" w:type="dxa"/>
            <w:vAlign w:val="bottom"/>
            <w:shd w:val="clear" w:color="auto" w:fill="EFEBE9"/>
          </w:tcPr>
          <w:p>
            <w:pPr>
              <w:spacing w:after="0"/>
              <w:rPr>
                <w:sz w:val="13"/>
                <w:szCs w:val="13"/>
                <w:color w:val="auto"/>
              </w:rPr>
            </w:pPr>
          </w:p>
        </w:tc>
        <w:tc>
          <w:tcPr>
            <w:tcW w:w="620" w:type="dxa"/>
            <w:vAlign w:val="bottom"/>
            <w:shd w:val="clear" w:color="auto" w:fill="EFEBE9"/>
          </w:tcPr>
          <w:p>
            <w:pPr>
              <w:spacing w:after="0"/>
              <w:rPr>
                <w:sz w:val="13"/>
                <w:szCs w:val="13"/>
                <w:color w:val="auto"/>
              </w:rPr>
            </w:pPr>
          </w:p>
        </w:tc>
        <w:tc>
          <w:tcPr>
            <w:tcW w:w="920" w:type="dxa"/>
            <w:vAlign w:val="bottom"/>
            <w:shd w:val="clear" w:color="auto" w:fill="EFEBE9"/>
          </w:tcPr>
          <w:p>
            <w:pPr>
              <w:spacing w:after="0"/>
              <w:rPr>
                <w:sz w:val="13"/>
                <w:szCs w:val="13"/>
                <w:color w:val="auto"/>
              </w:rPr>
            </w:pPr>
          </w:p>
        </w:tc>
        <w:tc>
          <w:tcPr>
            <w:tcW w:w="680" w:type="dxa"/>
            <w:vAlign w:val="bottom"/>
            <w:shd w:val="clear" w:color="auto" w:fill="EFEBE9"/>
          </w:tcPr>
          <w:p>
            <w:pPr>
              <w:spacing w:after="0"/>
              <w:rPr>
                <w:sz w:val="13"/>
                <w:szCs w:val="13"/>
                <w:color w:val="auto"/>
              </w:rPr>
            </w:pPr>
          </w:p>
        </w:tc>
        <w:tc>
          <w:tcPr>
            <w:tcW w:w="880" w:type="dxa"/>
            <w:vAlign w:val="bottom"/>
            <w:shd w:val="clear" w:color="auto" w:fill="EFEBE9"/>
          </w:tcPr>
          <w:p>
            <w:pPr>
              <w:jc w:val="center"/>
              <w:spacing w:after="0"/>
              <w:rPr>
                <w:sz w:val="20"/>
                <w:szCs w:val="20"/>
                <w:color w:val="auto"/>
              </w:rPr>
            </w:pPr>
            <w:r>
              <w:rPr>
                <w:rFonts w:ascii="Arial" w:cs="Arial" w:eastAsia="Arial" w:hAnsi="Arial"/>
                <w:sz w:val="13"/>
                <w:szCs w:val="13"/>
                <w:b w:val="1"/>
                <w:bCs w:val="1"/>
                <w:color w:val="867F7C"/>
                <w:w w:val="96"/>
              </w:rPr>
              <w:t>All</w:t>
            </w:r>
          </w:p>
        </w:tc>
        <w:tc>
          <w:tcPr>
            <w:tcW w:w="960" w:type="dxa"/>
            <w:vAlign w:val="bottom"/>
            <w:shd w:val="clear" w:color="auto" w:fill="EFEBE9"/>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820" w:type="dxa"/>
            <w:vAlign w:val="bottom"/>
            <w:shd w:val="clear" w:color="auto" w:fill="EFEBE9"/>
          </w:tcPr>
          <w:p>
            <w:pPr>
              <w:spacing w:after="0"/>
              <w:rPr>
                <w:sz w:val="11"/>
                <w:szCs w:val="11"/>
                <w:color w:val="auto"/>
              </w:rPr>
            </w:pPr>
          </w:p>
        </w:tc>
        <w:tc>
          <w:tcPr>
            <w:tcW w:w="780" w:type="dxa"/>
            <w:vAlign w:val="bottom"/>
            <w:shd w:val="clear" w:color="auto" w:fill="EFEBE9"/>
          </w:tcPr>
          <w:p>
            <w:pPr>
              <w:spacing w:after="0"/>
              <w:rPr>
                <w:sz w:val="11"/>
                <w:szCs w:val="11"/>
                <w:color w:val="auto"/>
              </w:rPr>
            </w:pPr>
          </w:p>
        </w:tc>
        <w:tc>
          <w:tcPr>
            <w:tcW w:w="860" w:type="dxa"/>
            <w:vAlign w:val="bottom"/>
            <w:shd w:val="clear" w:color="auto" w:fill="EFEBE9"/>
          </w:tcPr>
          <w:p>
            <w:pPr>
              <w:spacing w:after="0"/>
              <w:rPr>
                <w:sz w:val="11"/>
                <w:szCs w:val="11"/>
                <w:color w:val="auto"/>
              </w:rPr>
            </w:pPr>
          </w:p>
        </w:tc>
        <w:tc>
          <w:tcPr>
            <w:tcW w:w="780" w:type="dxa"/>
            <w:vAlign w:val="bottom"/>
            <w:shd w:val="clear" w:color="auto" w:fill="EFEBE9"/>
          </w:tcPr>
          <w:p>
            <w:pPr>
              <w:spacing w:after="0"/>
              <w:rPr>
                <w:sz w:val="11"/>
                <w:szCs w:val="11"/>
                <w:color w:val="auto"/>
              </w:rPr>
            </w:pPr>
          </w:p>
        </w:tc>
        <w:tc>
          <w:tcPr>
            <w:tcW w:w="240" w:type="dxa"/>
            <w:vAlign w:val="bottom"/>
            <w:shd w:val="clear" w:color="auto" w:fill="EFEBE9"/>
          </w:tcPr>
          <w:p>
            <w:pPr>
              <w:spacing w:after="0"/>
              <w:rPr>
                <w:sz w:val="11"/>
                <w:szCs w:val="11"/>
                <w:color w:val="auto"/>
              </w:rPr>
            </w:pPr>
          </w:p>
        </w:tc>
        <w:tc>
          <w:tcPr>
            <w:tcW w:w="620" w:type="dxa"/>
            <w:vAlign w:val="bottom"/>
            <w:shd w:val="clear" w:color="auto" w:fill="EFEBE9"/>
          </w:tcPr>
          <w:p>
            <w:pPr>
              <w:spacing w:after="0"/>
              <w:rPr>
                <w:sz w:val="11"/>
                <w:szCs w:val="11"/>
                <w:color w:val="auto"/>
              </w:rPr>
            </w:pPr>
          </w:p>
        </w:tc>
        <w:tc>
          <w:tcPr>
            <w:tcW w:w="920" w:type="dxa"/>
            <w:vAlign w:val="bottom"/>
            <w:shd w:val="clear" w:color="auto" w:fill="EFEBE9"/>
          </w:tcPr>
          <w:p>
            <w:pPr>
              <w:spacing w:after="0"/>
              <w:rPr>
                <w:sz w:val="11"/>
                <w:szCs w:val="11"/>
                <w:color w:val="auto"/>
              </w:rPr>
            </w:pPr>
          </w:p>
        </w:tc>
        <w:tc>
          <w:tcPr>
            <w:tcW w:w="680" w:type="dxa"/>
            <w:vAlign w:val="bottom"/>
            <w:shd w:val="clear" w:color="auto" w:fill="EFEBE9"/>
          </w:tcPr>
          <w:p>
            <w:pPr>
              <w:spacing w:after="0"/>
              <w:rPr>
                <w:sz w:val="11"/>
                <w:szCs w:val="11"/>
                <w:color w:val="auto"/>
              </w:rPr>
            </w:pPr>
          </w:p>
        </w:tc>
        <w:tc>
          <w:tcPr>
            <w:tcW w:w="8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7"/>
              </w:rPr>
              <w:t>Other</w:t>
            </w:r>
          </w:p>
        </w:tc>
        <w:tc>
          <w:tcPr>
            <w:tcW w:w="960" w:type="dxa"/>
            <w:vAlign w:val="bottom"/>
            <w:vMerge w:val="restart"/>
            <w:shd w:val="clear" w:color="auto" w:fill="EFEBE9"/>
          </w:tcPr>
          <w:p>
            <w:pPr>
              <w:jc w:val="center"/>
              <w:spacing w:after="0"/>
              <w:rPr>
                <w:sz w:val="20"/>
                <w:szCs w:val="20"/>
                <w:color w:val="auto"/>
              </w:rPr>
            </w:pPr>
            <w:r>
              <w:rPr>
                <w:rFonts w:ascii="Arial" w:cs="Arial" w:eastAsia="Arial" w:hAnsi="Arial"/>
                <w:sz w:val="13"/>
                <w:szCs w:val="13"/>
                <w:b w:val="1"/>
                <w:bCs w:val="1"/>
                <w:color w:val="867F7C"/>
                <w:w w:val="97"/>
              </w:rPr>
              <w:t>Grant</w:t>
            </w:r>
          </w:p>
        </w:tc>
        <w:tc>
          <w:tcPr>
            <w:tcW w:w="0" w:type="dxa"/>
            <w:vAlign w:val="bottom"/>
          </w:tcPr>
          <w:p>
            <w:pPr>
              <w:spacing w:after="0"/>
              <w:rPr>
                <w:sz w:val="1"/>
                <w:szCs w:val="1"/>
                <w:color w:val="auto"/>
              </w:rPr>
            </w:pPr>
          </w:p>
        </w:tc>
      </w:tr>
      <w:tr>
        <w:trPr>
          <w:trHeight w:val="135"/>
        </w:trPr>
        <w:tc>
          <w:tcPr>
            <w:tcW w:w="14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820" w:type="dxa"/>
            <w:vAlign w:val="bottom"/>
            <w:shd w:val="clear" w:color="auto" w:fill="EFEBE9"/>
          </w:tcPr>
          <w:p>
            <w:pPr>
              <w:spacing w:after="0"/>
              <w:rPr>
                <w:sz w:val="11"/>
                <w:szCs w:val="11"/>
                <w:color w:val="auto"/>
              </w:rPr>
            </w:pPr>
          </w:p>
        </w:tc>
        <w:tc>
          <w:tcPr>
            <w:tcW w:w="780" w:type="dxa"/>
            <w:vAlign w:val="bottom"/>
            <w:shd w:val="clear" w:color="auto" w:fill="EFEBE9"/>
          </w:tcPr>
          <w:p>
            <w:pPr>
              <w:spacing w:after="0"/>
              <w:rPr>
                <w:sz w:val="11"/>
                <w:szCs w:val="11"/>
                <w:color w:val="auto"/>
              </w:rPr>
            </w:pPr>
          </w:p>
        </w:tc>
        <w:tc>
          <w:tcPr>
            <w:tcW w:w="860" w:type="dxa"/>
            <w:vAlign w:val="bottom"/>
            <w:shd w:val="clear" w:color="auto" w:fill="EFEBE9"/>
          </w:tcPr>
          <w:p>
            <w:pPr>
              <w:spacing w:after="0"/>
              <w:rPr>
                <w:sz w:val="11"/>
                <w:szCs w:val="11"/>
                <w:color w:val="auto"/>
              </w:rPr>
            </w:pPr>
          </w:p>
        </w:tc>
        <w:tc>
          <w:tcPr>
            <w:tcW w:w="780" w:type="dxa"/>
            <w:vAlign w:val="bottom"/>
            <w:shd w:val="clear" w:color="auto" w:fill="EFEBE9"/>
          </w:tcPr>
          <w:p>
            <w:pPr>
              <w:spacing w:after="0"/>
              <w:rPr>
                <w:sz w:val="11"/>
                <w:szCs w:val="11"/>
                <w:color w:val="auto"/>
              </w:rPr>
            </w:pPr>
          </w:p>
        </w:tc>
        <w:tc>
          <w:tcPr>
            <w:tcW w:w="240" w:type="dxa"/>
            <w:vAlign w:val="bottom"/>
            <w:shd w:val="clear" w:color="auto" w:fill="EFEBE9"/>
          </w:tcPr>
          <w:p>
            <w:pPr>
              <w:spacing w:after="0"/>
              <w:rPr>
                <w:sz w:val="11"/>
                <w:szCs w:val="11"/>
                <w:color w:val="auto"/>
              </w:rPr>
            </w:pPr>
          </w:p>
        </w:tc>
        <w:tc>
          <w:tcPr>
            <w:tcW w:w="620" w:type="dxa"/>
            <w:vAlign w:val="bottom"/>
            <w:shd w:val="clear" w:color="auto" w:fill="EFEBE9"/>
          </w:tcPr>
          <w:p>
            <w:pPr>
              <w:spacing w:after="0"/>
              <w:rPr>
                <w:sz w:val="11"/>
                <w:szCs w:val="11"/>
                <w:color w:val="auto"/>
              </w:rPr>
            </w:pPr>
          </w:p>
        </w:tc>
        <w:tc>
          <w:tcPr>
            <w:tcW w:w="920" w:type="dxa"/>
            <w:vAlign w:val="bottom"/>
            <w:shd w:val="clear" w:color="auto" w:fill="EFEBE9"/>
          </w:tcPr>
          <w:p>
            <w:pPr>
              <w:spacing w:after="0"/>
              <w:rPr>
                <w:sz w:val="11"/>
                <w:szCs w:val="11"/>
                <w:color w:val="auto"/>
              </w:rPr>
            </w:pPr>
          </w:p>
        </w:tc>
        <w:tc>
          <w:tcPr>
            <w:tcW w:w="680" w:type="dxa"/>
            <w:vAlign w:val="bottom"/>
            <w:shd w:val="clear" w:color="auto" w:fill="EFEBE9"/>
          </w:tcPr>
          <w:p>
            <w:pPr>
              <w:spacing w:after="0"/>
              <w:rPr>
                <w:sz w:val="11"/>
                <w:szCs w:val="11"/>
                <w:color w:val="auto"/>
              </w:rPr>
            </w:pPr>
          </w:p>
        </w:tc>
        <w:tc>
          <w:tcPr>
            <w:tcW w:w="8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Stock</w:t>
            </w:r>
          </w:p>
        </w:tc>
        <w:tc>
          <w:tcPr>
            <w:tcW w:w="960" w:type="dxa"/>
            <w:vAlign w:val="bottom"/>
            <w:vMerge w:val="continue"/>
            <w:shd w:val="clear" w:color="auto" w:fill="EFEBE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820" w:type="dxa"/>
            <w:vAlign w:val="bottom"/>
            <w:shd w:val="clear" w:color="auto" w:fill="EFEBE9"/>
          </w:tcPr>
          <w:p>
            <w:pPr>
              <w:spacing w:after="0"/>
              <w:rPr>
                <w:sz w:val="11"/>
                <w:szCs w:val="11"/>
                <w:color w:val="auto"/>
              </w:rPr>
            </w:pPr>
          </w:p>
        </w:tc>
        <w:tc>
          <w:tcPr>
            <w:tcW w:w="2420" w:type="dxa"/>
            <w:vAlign w:val="bottom"/>
            <w:gridSpan w:val="3"/>
            <w:vMerge w:val="restart"/>
            <w:shd w:val="clear" w:color="auto" w:fill="EFEBE9"/>
          </w:tcPr>
          <w:p>
            <w:pPr>
              <w:jc w:val="center"/>
              <w:spacing w:after="0"/>
              <w:rPr>
                <w:sz w:val="20"/>
                <w:szCs w:val="20"/>
                <w:color w:val="auto"/>
              </w:rPr>
            </w:pPr>
            <w:r>
              <w:rPr>
                <w:rFonts w:ascii="Arial" w:cs="Arial" w:eastAsia="Arial" w:hAnsi="Arial"/>
                <w:sz w:val="13"/>
                <w:szCs w:val="13"/>
                <w:b w:val="1"/>
                <w:bCs w:val="1"/>
                <w:color w:val="867F7C"/>
                <w:w w:val="97"/>
              </w:rPr>
              <w:t>Estimated Future Payouts</w:t>
            </w:r>
          </w:p>
        </w:tc>
        <w:tc>
          <w:tcPr>
            <w:tcW w:w="240" w:type="dxa"/>
            <w:vAlign w:val="bottom"/>
            <w:shd w:val="clear" w:color="auto" w:fill="EFEBE9"/>
          </w:tcPr>
          <w:p>
            <w:pPr>
              <w:spacing w:after="0"/>
              <w:rPr>
                <w:sz w:val="11"/>
                <w:szCs w:val="11"/>
                <w:color w:val="auto"/>
              </w:rPr>
            </w:pPr>
          </w:p>
        </w:tc>
        <w:tc>
          <w:tcPr>
            <w:tcW w:w="620" w:type="dxa"/>
            <w:vAlign w:val="bottom"/>
            <w:shd w:val="clear" w:color="auto" w:fill="EFEBE9"/>
          </w:tcPr>
          <w:p>
            <w:pPr>
              <w:spacing w:after="0"/>
              <w:rPr>
                <w:sz w:val="11"/>
                <w:szCs w:val="11"/>
                <w:color w:val="auto"/>
              </w:rPr>
            </w:pPr>
          </w:p>
        </w:tc>
        <w:tc>
          <w:tcPr>
            <w:tcW w:w="920" w:type="dxa"/>
            <w:vAlign w:val="bottom"/>
            <w:shd w:val="clear" w:color="auto" w:fill="EFEBE9"/>
          </w:tcPr>
          <w:p>
            <w:pPr>
              <w:spacing w:after="0"/>
              <w:rPr>
                <w:sz w:val="11"/>
                <w:szCs w:val="11"/>
                <w:color w:val="auto"/>
              </w:rPr>
            </w:pPr>
          </w:p>
        </w:tc>
        <w:tc>
          <w:tcPr>
            <w:tcW w:w="680" w:type="dxa"/>
            <w:vAlign w:val="bottom"/>
            <w:shd w:val="clear" w:color="auto" w:fill="EFEBE9"/>
          </w:tcPr>
          <w:p>
            <w:pPr>
              <w:spacing w:after="0"/>
              <w:rPr>
                <w:sz w:val="11"/>
                <w:szCs w:val="11"/>
                <w:color w:val="auto"/>
              </w:rPr>
            </w:pPr>
          </w:p>
        </w:tc>
        <w:tc>
          <w:tcPr>
            <w:tcW w:w="8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7"/>
              </w:rPr>
              <w:t>Awards:</w:t>
            </w:r>
          </w:p>
        </w:tc>
        <w:tc>
          <w:tcPr>
            <w:tcW w:w="96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6"/>
              </w:rPr>
              <w:t>Date Fair</w:t>
            </w:r>
          </w:p>
        </w:tc>
        <w:tc>
          <w:tcPr>
            <w:tcW w:w="0" w:type="dxa"/>
            <w:vAlign w:val="bottom"/>
          </w:tcPr>
          <w:p>
            <w:pPr>
              <w:spacing w:after="0"/>
              <w:rPr>
                <w:sz w:val="1"/>
                <w:szCs w:val="1"/>
                <w:color w:val="auto"/>
              </w:rPr>
            </w:pPr>
          </w:p>
        </w:tc>
      </w:tr>
      <w:tr>
        <w:trPr>
          <w:trHeight w:val="126"/>
        </w:trPr>
        <w:tc>
          <w:tcPr>
            <w:tcW w:w="1460" w:type="dxa"/>
            <w:vAlign w:val="bottom"/>
            <w:shd w:val="clear" w:color="auto" w:fill="EFEBE9"/>
          </w:tcPr>
          <w:p>
            <w:pPr>
              <w:spacing w:after="0"/>
              <w:rPr>
                <w:sz w:val="10"/>
                <w:szCs w:val="10"/>
                <w:color w:val="auto"/>
              </w:rPr>
            </w:pPr>
          </w:p>
        </w:tc>
        <w:tc>
          <w:tcPr>
            <w:tcW w:w="80" w:type="dxa"/>
            <w:vAlign w:val="bottom"/>
            <w:shd w:val="clear" w:color="auto" w:fill="EFEBE9"/>
          </w:tcPr>
          <w:p>
            <w:pPr>
              <w:spacing w:after="0"/>
              <w:rPr>
                <w:sz w:val="10"/>
                <w:szCs w:val="10"/>
                <w:color w:val="auto"/>
              </w:rPr>
            </w:pPr>
          </w:p>
        </w:tc>
        <w:tc>
          <w:tcPr>
            <w:tcW w:w="820" w:type="dxa"/>
            <w:vAlign w:val="bottom"/>
            <w:shd w:val="clear" w:color="auto" w:fill="EFEBE9"/>
          </w:tcPr>
          <w:p>
            <w:pPr>
              <w:spacing w:after="0"/>
              <w:rPr>
                <w:sz w:val="10"/>
                <w:szCs w:val="10"/>
                <w:color w:val="auto"/>
              </w:rPr>
            </w:pPr>
          </w:p>
        </w:tc>
        <w:tc>
          <w:tcPr>
            <w:tcW w:w="2420" w:type="dxa"/>
            <w:vAlign w:val="bottom"/>
            <w:gridSpan w:val="3"/>
            <w:vMerge w:val="continue"/>
            <w:shd w:val="clear" w:color="auto" w:fill="EFEBE9"/>
          </w:tcPr>
          <w:p>
            <w:pPr>
              <w:spacing w:after="0"/>
              <w:rPr>
                <w:sz w:val="10"/>
                <w:szCs w:val="10"/>
                <w:color w:val="auto"/>
              </w:rPr>
            </w:pPr>
          </w:p>
        </w:tc>
        <w:tc>
          <w:tcPr>
            <w:tcW w:w="240" w:type="dxa"/>
            <w:vAlign w:val="bottom"/>
            <w:shd w:val="clear" w:color="auto" w:fill="EFEBE9"/>
          </w:tcPr>
          <w:p>
            <w:pPr>
              <w:spacing w:after="0"/>
              <w:rPr>
                <w:sz w:val="10"/>
                <w:szCs w:val="10"/>
                <w:color w:val="auto"/>
              </w:rPr>
            </w:pPr>
          </w:p>
        </w:tc>
        <w:tc>
          <w:tcPr>
            <w:tcW w:w="2220" w:type="dxa"/>
            <w:vAlign w:val="bottom"/>
            <w:gridSpan w:val="3"/>
            <w:vMerge w:val="restart"/>
            <w:shd w:val="clear" w:color="auto" w:fill="EFEBE9"/>
          </w:tcPr>
          <w:p>
            <w:pPr>
              <w:jc w:val="center"/>
              <w:spacing w:after="0"/>
              <w:rPr>
                <w:sz w:val="20"/>
                <w:szCs w:val="20"/>
                <w:color w:val="auto"/>
              </w:rPr>
            </w:pPr>
            <w:r>
              <w:rPr>
                <w:rFonts w:ascii="Arial" w:cs="Arial" w:eastAsia="Arial" w:hAnsi="Arial"/>
                <w:sz w:val="13"/>
                <w:szCs w:val="13"/>
                <w:b w:val="1"/>
                <w:bCs w:val="1"/>
                <w:color w:val="867F7C"/>
                <w:w w:val="97"/>
              </w:rPr>
              <w:t>Estimated Future Payouts</w:t>
            </w:r>
          </w:p>
        </w:tc>
        <w:tc>
          <w:tcPr>
            <w:tcW w:w="880" w:type="dxa"/>
            <w:vAlign w:val="bottom"/>
            <w:shd w:val="clear" w:color="auto" w:fill="EFEBE9"/>
          </w:tcPr>
          <w:p>
            <w:pPr>
              <w:jc w:val="center"/>
              <w:spacing w:after="0" w:line="126" w:lineRule="exact"/>
              <w:rPr>
                <w:sz w:val="20"/>
                <w:szCs w:val="20"/>
                <w:color w:val="auto"/>
              </w:rPr>
            </w:pPr>
            <w:r>
              <w:rPr>
                <w:rFonts w:ascii="Arial" w:cs="Arial" w:eastAsia="Arial" w:hAnsi="Arial"/>
                <w:sz w:val="13"/>
                <w:szCs w:val="13"/>
                <w:b w:val="1"/>
                <w:bCs w:val="1"/>
                <w:color w:val="867F7C"/>
                <w:w w:val="97"/>
              </w:rPr>
              <w:t>Number</w:t>
            </w:r>
          </w:p>
        </w:tc>
        <w:tc>
          <w:tcPr>
            <w:tcW w:w="960" w:type="dxa"/>
            <w:vAlign w:val="bottom"/>
            <w:shd w:val="clear" w:color="auto" w:fill="EFEBE9"/>
          </w:tcPr>
          <w:p>
            <w:pPr>
              <w:jc w:val="center"/>
              <w:spacing w:after="0" w:line="126" w:lineRule="exact"/>
              <w:rPr>
                <w:sz w:val="20"/>
                <w:szCs w:val="20"/>
                <w:color w:val="auto"/>
              </w:rPr>
            </w:pPr>
            <w:r>
              <w:rPr>
                <w:rFonts w:ascii="Arial" w:cs="Arial" w:eastAsia="Arial" w:hAnsi="Arial"/>
                <w:sz w:val="13"/>
                <w:szCs w:val="13"/>
                <w:b w:val="1"/>
                <w:bCs w:val="1"/>
                <w:color w:val="867F7C"/>
                <w:w w:val="98"/>
              </w:rPr>
              <w:t>Value of</w:t>
            </w:r>
          </w:p>
        </w:tc>
        <w:tc>
          <w:tcPr>
            <w:tcW w:w="0" w:type="dxa"/>
            <w:vAlign w:val="bottom"/>
          </w:tcPr>
          <w:p>
            <w:pPr>
              <w:spacing w:after="0"/>
              <w:rPr>
                <w:sz w:val="1"/>
                <w:szCs w:val="1"/>
                <w:color w:val="auto"/>
              </w:rPr>
            </w:pPr>
          </w:p>
        </w:tc>
      </w:tr>
      <w:tr>
        <w:trPr>
          <w:trHeight w:val="135"/>
        </w:trPr>
        <w:tc>
          <w:tcPr>
            <w:tcW w:w="14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820" w:type="dxa"/>
            <w:vAlign w:val="bottom"/>
            <w:shd w:val="clear" w:color="auto" w:fill="EFEBE9"/>
          </w:tcPr>
          <w:p>
            <w:pPr>
              <w:spacing w:after="0"/>
              <w:rPr>
                <w:sz w:val="11"/>
                <w:szCs w:val="11"/>
                <w:color w:val="auto"/>
              </w:rPr>
            </w:pPr>
          </w:p>
        </w:tc>
        <w:tc>
          <w:tcPr>
            <w:tcW w:w="780" w:type="dxa"/>
            <w:vAlign w:val="bottom"/>
            <w:shd w:val="clear" w:color="auto" w:fill="EFEBE9"/>
          </w:tcPr>
          <w:p>
            <w:pPr>
              <w:spacing w:after="0"/>
              <w:rPr>
                <w:sz w:val="11"/>
                <w:szCs w:val="11"/>
                <w:color w:val="auto"/>
              </w:rPr>
            </w:pPr>
          </w:p>
        </w:tc>
        <w:tc>
          <w:tcPr>
            <w:tcW w:w="86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Under</w:t>
            </w:r>
          </w:p>
        </w:tc>
        <w:tc>
          <w:tcPr>
            <w:tcW w:w="780" w:type="dxa"/>
            <w:vAlign w:val="bottom"/>
            <w:shd w:val="clear" w:color="auto" w:fill="EFEBE9"/>
          </w:tcPr>
          <w:p>
            <w:pPr>
              <w:spacing w:after="0"/>
              <w:rPr>
                <w:sz w:val="11"/>
                <w:szCs w:val="11"/>
                <w:color w:val="auto"/>
              </w:rPr>
            </w:pPr>
          </w:p>
        </w:tc>
        <w:tc>
          <w:tcPr>
            <w:tcW w:w="240" w:type="dxa"/>
            <w:vAlign w:val="bottom"/>
            <w:shd w:val="clear" w:color="auto" w:fill="EFEBE9"/>
          </w:tcPr>
          <w:p>
            <w:pPr>
              <w:spacing w:after="0"/>
              <w:rPr>
                <w:sz w:val="11"/>
                <w:szCs w:val="11"/>
                <w:color w:val="auto"/>
              </w:rPr>
            </w:pPr>
          </w:p>
        </w:tc>
        <w:tc>
          <w:tcPr>
            <w:tcW w:w="2220" w:type="dxa"/>
            <w:vAlign w:val="bottom"/>
            <w:gridSpan w:val="3"/>
            <w:vMerge w:val="continue"/>
            <w:shd w:val="clear" w:color="auto" w:fill="EFEBE9"/>
          </w:tcPr>
          <w:p>
            <w:pPr>
              <w:spacing w:after="0"/>
              <w:rPr>
                <w:sz w:val="11"/>
                <w:szCs w:val="11"/>
                <w:color w:val="auto"/>
              </w:rPr>
            </w:pPr>
          </w:p>
        </w:tc>
        <w:tc>
          <w:tcPr>
            <w:tcW w:w="8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7"/>
              </w:rPr>
              <w:t>of</w:t>
            </w:r>
          </w:p>
        </w:tc>
        <w:tc>
          <w:tcPr>
            <w:tcW w:w="96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Stock</w:t>
            </w:r>
          </w:p>
        </w:tc>
        <w:tc>
          <w:tcPr>
            <w:tcW w:w="0" w:type="dxa"/>
            <w:vAlign w:val="bottom"/>
          </w:tcPr>
          <w:p>
            <w:pPr>
              <w:spacing w:after="0"/>
              <w:rPr>
                <w:sz w:val="1"/>
                <w:szCs w:val="1"/>
                <w:color w:val="auto"/>
              </w:rPr>
            </w:pPr>
          </w:p>
        </w:tc>
      </w:tr>
      <w:tr>
        <w:trPr>
          <w:trHeight w:val="135"/>
        </w:trPr>
        <w:tc>
          <w:tcPr>
            <w:tcW w:w="14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820" w:type="dxa"/>
            <w:vAlign w:val="bottom"/>
            <w:shd w:val="clear" w:color="auto" w:fill="EFEBE9"/>
          </w:tcPr>
          <w:p>
            <w:pPr>
              <w:spacing w:after="0"/>
              <w:rPr>
                <w:sz w:val="11"/>
                <w:szCs w:val="11"/>
                <w:color w:val="auto"/>
              </w:rPr>
            </w:pPr>
          </w:p>
        </w:tc>
        <w:tc>
          <w:tcPr>
            <w:tcW w:w="2420" w:type="dxa"/>
            <w:vAlign w:val="bottom"/>
            <w:gridSpan w:val="3"/>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7"/>
              </w:rPr>
              <w:t>Non-Equity Incentive Plan</w:t>
            </w:r>
          </w:p>
        </w:tc>
        <w:tc>
          <w:tcPr>
            <w:tcW w:w="240" w:type="dxa"/>
            <w:vAlign w:val="bottom"/>
            <w:shd w:val="clear" w:color="auto" w:fill="EFEBE9"/>
          </w:tcPr>
          <w:p>
            <w:pPr>
              <w:spacing w:after="0"/>
              <w:rPr>
                <w:sz w:val="11"/>
                <w:szCs w:val="11"/>
                <w:color w:val="auto"/>
              </w:rPr>
            </w:pPr>
          </w:p>
        </w:tc>
        <w:tc>
          <w:tcPr>
            <w:tcW w:w="2220" w:type="dxa"/>
            <w:vAlign w:val="bottom"/>
            <w:gridSpan w:val="3"/>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6"/>
              </w:rPr>
              <w:t>Under Equity Incentive</w:t>
            </w:r>
          </w:p>
        </w:tc>
        <w:tc>
          <w:tcPr>
            <w:tcW w:w="8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6"/>
              </w:rPr>
              <w:t>Shares</w:t>
            </w:r>
          </w:p>
        </w:tc>
        <w:tc>
          <w:tcPr>
            <w:tcW w:w="96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4"/>
              </w:rPr>
              <w:t>and</w:t>
            </w:r>
          </w:p>
        </w:tc>
        <w:tc>
          <w:tcPr>
            <w:tcW w:w="0" w:type="dxa"/>
            <w:vAlign w:val="bottom"/>
          </w:tcPr>
          <w:p>
            <w:pPr>
              <w:spacing w:after="0"/>
              <w:rPr>
                <w:sz w:val="1"/>
                <w:szCs w:val="1"/>
                <w:color w:val="auto"/>
              </w:rPr>
            </w:pPr>
          </w:p>
        </w:tc>
      </w:tr>
      <w:tr>
        <w:trPr>
          <w:trHeight w:val="148"/>
        </w:trPr>
        <w:tc>
          <w:tcPr>
            <w:tcW w:w="1460" w:type="dxa"/>
            <w:vAlign w:val="bottom"/>
            <w:tcBorders>
              <w:bottom w:val="single" w:sz="8" w:color="EFEBE9"/>
            </w:tcBorders>
            <w:shd w:val="clear" w:color="auto" w:fill="EFEBE9"/>
          </w:tcPr>
          <w:p>
            <w:pPr>
              <w:spacing w:after="0"/>
              <w:rPr>
                <w:sz w:val="12"/>
                <w:szCs w:val="12"/>
                <w:color w:val="auto"/>
              </w:rPr>
            </w:pPr>
          </w:p>
        </w:tc>
        <w:tc>
          <w:tcPr>
            <w:tcW w:w="80" w:type="dxa"/>
            <w:vAlign w:val="bottom"/>
            <w:tcBorders>
              <w:bottom w:val="single" w:sz="8" w:color="EFEBE9"/>
            </w:tcBorders>
            <w:shd w:val="clear" w:color="auto" w:fill="EFEBE9"/>
          </w:tcPr>
          <w:p>
            <w:pPr>
              <w:spacing w:after="0"/>
              <w:rPr>
                <w:sz w:val="12"/>
                <w:szCs w:val="12"/>
                <w:color w:val="auto"/>
              </w:rPr>
            </w:pPr>
          </w:p>
        </w:tc>
        <w:tc>
          <w:tcPr>
            <w:tcW w:w="820" w:type="dxa"/>
            <w:vAlign w:val="bottom"/>
            <w:tcBorders>
              <w:bottom w:val="single" w:sz="8" w:color="EFEBE9"/>
            </w:tcBorders>
            <w:shd w:val="clear" w:color="auto" w:fill="EFEBE9"/>
          </w:tcPr>
          <w:p>
            <w:pPr>
              <w:spacing w:after="0"/>
              <w:rPr>
                <w:sz w:val="12"/>
                <w:szCs w:val="12"/>
                <w:color w:val="auto"/>
              </w:rPr>
            </w:pPr>
          </w:p>
        </w:tc>
        <w:tc>
          <w:tcPr>
            <w:tcW w:w="780" w:type="dxa"/>
            <w:vAlign w:val="bottom"/>
            <w:tcBorders>
              <w:bottom w:val="single" w:sz="8" w:color="867F7C"/>
            </w:tcBorders>
            <w:shd w:val="clear" w:color="auto" w:fill="EFEBE9"/>
          </w:tcPr>
          <w:p>
            <w:pPr>
              <w:spacing w:after="0"/>
              <w:rPr>
                <w:sz w:val="12"/>
                <w:szCs w:val="12"/>
                <w:color w:val="auto"/>
              </w:rPr>
            </w:pPr>
          </w:p>
        </w:tc>
        <w:tc>
          <w:tcPr>
            <w:tcW w:w="860" w:type="dxa"/>
            <w:vAlign w:val="bottom"/>
            <w:tcBorders>
              <w:bottom w:val="single" w:sz="8" w:color="867F7C"/>
            </w:tcBorders>
            <w:shd w:val="clear" w:color="auto" w:fill="EFEBE9"/>
          </w:tcPr>
          <w:p>
            <w:pPr>
              <w:jc w:val="center"/>
              <w:spacing w:after="0" w:line="148" w:lineRule="exact"/>
              <w:rPr>
                <w:sz w:val="20"/>
                <w:szCs w:val="20"/>
                <w:color w:val="auto"/>
              </w:rPr>
            </w:pPr>
            <w:r>
              <w:rPr>
                <w:rFonts w:ascii="Arial" w:cs="Arial" w:eastAsia="Arial" w:hAnsi="Arial"/>
                <w:sz w:val="13"/>
                <w:szCs w:val="13"/>
                <w:b w:val="1"/>
                <w:bCs w:val="1"/>
                <w:color w:val="867F7C"/>
                <w:w w:val="93"/>
              </w:rPr>
              <w:t>Awards</w:t>
            </w:r>
            <w:r>
              <w:rPr>
                <w:rFonts w:ascii="Arial" w:cs="Arial" w:eastAsia="Arial" w:hAnsi="Arial"/>
                <w:sz w:val="16"/>
                <w:szCs w:val="16"/>
                <w:b w:val="1"/>
                <w:bCs w:val="1"/>
                <w:color w:val="867F7C"/>
                <w:w w:val="93"/>
                <w:vertAlign w:val="superscript"/>
              </w:rPr>
              <w:t>(2)</w:t>
            </w:r>
          </w:p>
        </w:tc>
        <w:tc>
          <w:tcPr>
            <w:tcW w:w="780" w:type="dxa"/>
            <w:vAlign w:val="bottom"/>
            <w:tcBorders>
              <w:bottom w:val="single" w:sz="8" w:color="867F7C"/>
            </w:tcBorders>
            <w:shd w:val="clear" w:color="auto" w:fill="EFEBE9"/>
          </w:tcPr>
          <w:p>
            <w:pPr>
              <w:spacing w:after="0"/>
              <w:rPr>
                <w:sz w:val="12"/>
                <w:szCs w:val="12"/>
                <w:color w:val="auto"/>
              </w:rPr>
            </w:pPr>
          </w:p>
        </w:tc>
        <w:tc>
          <w:tcPr>
            <w:tcW w:w="240" w:type="dxa"/>
            <w:vAlign w:val="bottom"/>
            <w:tcBorders>
              <w:bottom w:val="single" w:sz="8" w:color="EFEBE9"/>
            </w:tcBorders>
            <w:shd w:val="clear" w:color="auto" w:fill="EFEBE9"/>
          </w:tcPr>
          <w:p>
            <w:pPr>
              <w:spacing w:after="0"/>
              <w:rPr>
                <w:sz w:val="12"/>
                <w:szCs w:val="12"/>
                <w:color w:val="auto"/>
              </w:rPr>
            </w:pPr>
          </w:p>
        </w:tc>
        <w:tc>
          <w:tcPr>
            <w:tcW w:w="620" w:type="dxa"/>
            <w:vAlign w:val="bottom"/>
            <w:tcBorders>
              <w:bottom w:val="single" w:sz="8" w:color="867F7C"/>
            </w:tcBorders>
            <w:shd w:val="clear" w:color="auto" w:fill="EFEBE9"/>
          </w:tcPr>
          <w:p>
            <w:pPr>
              <w:spacing w:after="0"/>
              <w:rPr>
                <w:sz w:val="12"/>
                <w:szCs w:val="12"/>
                <w:color w:val="auto"/>
              </w:rPr>
            </w:pPr>
          </w:p>
        </w:tc>
        <w:tc>
          <w:tcPr>
            <w:tcW w:w="920" w:type="dxa"/>
            <w:vAlign w:val="bottom"/>
            <w:tcBorders>
              <w:bottom w:val="single" w:sz="8" w:color="867F7C"/>
            </w:tcBorders>
            <w:shd w:val="clear" w:color="auto" w:fill="EFEBE9"/>
          </w:tcPr>
          <w:p>
            <w:pPr>
              <w:jc w:val="center"/>
              <w:ind w:left="1"/>
              <w:spacing w:after="0" w:line="148" w:lineRule="exact"/>
              <w:rPr>
                <w:sz w:val="20"/>
                <w:szCs w:val="20"/>
                <w:color w:val="auto"/>
              </w:rPr>
            </w:pPr>
            <w:r>
              <w:rPr>
                <w:rFonts w:ascii="Arial" w:cs="Arial" w:eastAsia="Arial" w:hAnsi="Arial"/>
                <w:sz w:val="13"/>
                <w:szCs w:val="13"/>
                <w:b w:val="1"/>
                <w:bCs w:val="1"/>
                <w:color w:val="867F7C"/>
                <w:w w:val="94"/>
              </w:rPr>
              <w:t>Plan Awards</w:t>
            </w:r>
            <w:r>
              <w:rPr>
                <w:rFonts w:ascii="Arial" w:cs="Arial" w:eastAsia="Arial" w:hAnsi="Arial"/>
                <w:sz w:val="16"/>
                <w:szCs w:val="16"/>
                <w:b w:val="1"/>
                <w:bCs w:val="1"/>
                <w:color w:val="867F7C"/>
                <w:w w:val="94"/>
                <w:vertAlign w:val="superscript"/>
              </w:rPr>
              <w:t>(3)</w:t>
            </w:r>
          </w:p>
        </w:tc>
        <w:tc>
          <w:tcPr>
            <w:tcW w:w="680" w:type="dxa"/>
            <w:vAlign w:val="bottom"/>
            <w:tcBorders>
              <w:bottom w:val="single" w:sz="8" w:color="867F7C"/>
            </w:tcBorders>
            <w:shd w:val="clear" w:color="auto" w:fill="EFEBE9"/>
          </w:tcPr>
          <w:p>
            <w:pPr>
              <w:spacing w:after="0"/>
              <w:rPr>
                <w:sz w:val="12"/>
                <w:szCs w:val="12"/>
                <w:color w:val="auto"/>
              </w:rPr>
            </w:pPr>
          </w:p>
        </w:tc>
        <w:tc>
          <w:tcPr>
            <w:tcW w:w="88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3"/>
                <w:szCs w:val="13"/>
                <w:b w:val="1"/>
                <w:bCs w:val="1"/>
                <w:color w:val="867F7C"/>
                <w:w w:val="97"/>
              </w:rPr>
              <w:t>of Stock</w:t>
            </w:r>
          </w:p>
        </w:tc>
        <w:tc>
          <w:tcPr>
            <w:tcW w:w="96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3"/>
                <w:szCs w:val="13"/>
                <w:b w:val="1"/>
                <w:bCs w:val="1"/>
                <w:color w:val="867F7C"/>
              </w:rPr>
              <w:t>Option</w:t>
            </w:r>
          </w:p>
        </w:tc>
        <w:tc>
          <w:tcPr>
            <w:tcW w:w="0" w:type="dxa"/>
            <w:vAlign w:val="bottom"/>
          </w:tcPr>
          <w:p>
            <w:pPr>
              <w:spacing w:after="0"/>
              <w:rPr>
                <w:sz w:val="1"/>
                <w:szCs w:val="1"/>
                <w:color w:val="auto"/>
              </w:rPr>
            </w:pPr>
          </w:p>
        </w:tc>
      </w:tr>
      <w:tr>
        <w:trPr>
          <w:trHeight w:val="102"/>
        </w:trPr>
        <w:tc>
          <w:tcPr>
            <w:tcW w:w="1460" w:type="dxa"/>
            <w:vAlign w:val="bottom"/>
            <w:vMerge w:val="restart"/>
            <w:shd w:val="clear" w:color="auto" w:fill="EFEBE9"/>
          </w:tcPr>
          <w:p>
            <w:pPr>
              <w:ind w:left="100"/>
              <w:spacing w:after="0"/>
              <w:rPr>
                <w:sz w:val="20"/>
                <w:szCs w:val="20"/>
                <w:color w:val="auto"/>
              </w:rPr>
            </w:pPr>
            <w:r>
              <w:rPr>
                <w:rFonts w:ascii="Arial" w:cs="Arial" w:eastAsia="Arial" w:hAnsi="Arial"/>
                <w:sz w:val="13"/>
                <w:szCs w:val="13"/>
                <w:b w:val="1"/>
                <w:bCs w:val="1"/>
                <w:color w:val="867F7C"/>
              </w:rPr>
              <w:t>Name</w:t>
            </w:r>
          </w:p>
        </w:tc>
        <w:tc>
          <w:tcPr>
            <w:tcW w:w="80" w:type="dxa"/>
            <w:vAlign w:val="bottom"/>
            <w:shd w:val="clear" w:color="auto" w:fill="EFEBE9"/>
          </w:tcPr>
          <w:p>
            <w:pPr>
              <w:spacing w:after="0"/>
              <w:rPr>
                <w:sz w:val="8"/>
                <w:szCs w:val="8"/>
                <w:color w:val="auto"/>
              </w:rPr>
            </w:pPr>
          </w:p>
        </w:tc>
        <w:tc>
          <w:tcPr>
            <w:tcW w:w="820" w:type="dxa"/>
            <w:vAlign w:val="bottom"/>
            <w:shd w:val="clear" w:color="auto" w:fill="EFEBE9"/>
          </w:tcPr>
          <w:p>
            <w:pPr>
              <w:jc w:val="center"/>
              <w:ind w:right="42"/>
              <w:spacing w:after="0" w:line="102" w:lineRule="exact"/>
              <w:rPr>
                <w:sz w:val="20"/>
                <w:szCs w:val="20"/>
                <w:color w:val="auto"/>
              </w:rPr>
            </w:pPr>
            <w:r>
              <w:rPr>
                <w:rFonts w:ascii="Arial" w:cs="Arial" w:eastAsia="Arial" w:hAnsi="Arial"/>
                <w:sz w:val="10"/>
                <w:szCs w:val="10"/>
                <w:b w:val="1"/>
                <w:bCs w:val="1"/>
                <w:color w:val="867F7C"/>
              </w:rPr>
              <w:t>Grant</w:t>
            </w:r>
          </w:p>
        </w:tc>
        <w:tc>
          <w:tcPr>
            <w:tcW w:w="780" w:type="dxa"/>
            <w:vAlign w:val="bottom"/>
            <w:shd w:val="clear" w:color="auto" w:fill="EFEBE9"/>
          </w:tcPr>
          <w:p>
            <w:pPr>
              <w:jc w:val="right"/>
              <w:ind w:right="81"/>
              <w:spacing w:after="0" w:line="102" w:lineRule="exact"/>
              <w:rPr>
                <w:sz w:val="20"/>
                <w:szCs w:val="20"/>
                <w:color w:val="auto"/>
              </w:rPr>
            </w:pPr>
            <w:r>
              <w:rPr>
                <w:rFonts w:ascii="Arial" w:cs="Arial" w:eastAsia="Arial" w:hAnsi="Arial"/>
                <w:sz w:val="10"/>
                <w:szCs w:val="10"/>
                <w:b w:val="1"/>
                <w:bCs w:val="1"/>
                <w:color w:val="867F7C"/>
              </w:rPr>
              <w:t>Threshold</w:t>
            </w:r>
          </w:p>
        </w:tc>
        <w:tc>
          <w:tcPr>
            <w:tcW w:w="860" w:type="dxa"/>
            <w:vAlign w:val="bottom"/>
            <w:shd w:val="clear" w:color="auto" w:fill="EFEBE9"/>
          </w:tcPr>
          <w:p>
            <w:pPr>
              <w:jc w:val="right"/>
              <w:ind w:right="201"/>
              <w:spacing w:after="0" w:line="102" w:lineRule="exact"/>
              <w:rPr>
                <w:sz w:val="20"/>
                <w:szCs w:val="20"/>
                <w:color w:val="auto"/>
              </w:rPr>
            </w:pPr>
            <w:r>
              <w:rPr>
                <w:rFonts w:ascii="Arial" w:cs="Arial" w:eastAsia="Arial" w:hAnsi="Arial"/>
                <w:sz w:val="10"/>
                <w:szCs w:val="10"/>
                <w:b w:val="1"/>
                <w:bCs w:val="1"/>
                <w:color w:val="867F7C"/>
              </w:rPr>
              <w:t>Target</w:t>
            </w:r>
          </w:p>
        </w:tc>
        <w:tc>
          <w:tcPr>
            <w:tcW w:w="780" w:type="dxa"/>
            <w:vAlign w:val="bottom"/>
            <w:shd w:val="clear" w:color="auto" w:fill="EFEBE9"/>
          </w:tcPr>
          <w:p>
            <w:pPr>
              <w:jc w:val="right"/>
              <w:ind w:right="2"/>
              <w:spacing w:after="0" w:line="102" w:lineRule="exact"/>
              <w:rPr>
                <w:sz w:val="20"/>
                <w:szCs w:val="20"/>
                <w:color w:val="auto"/>
              </w:rPr>
            </w:pPr>
            <w:r>
              <w:rPr>
                <w:rFonts w:ascii="Arial" w:cs="Arial" w:eastAsia="Arial" w:hAnsi="Arial"/>
                <w:sz w:val="10"/>
                <w:szCs w:val="10"/>
                <w:b w:val="1"/>
                <w:bCs w:val="1"/>
                <w:color w:val="867F7C"/>
              </w:rPr>
              <w:t>Maximum</w:t>
            </w:r>
          </w:p>
        </w:tc>
        <w:tc>
          <w:tcPr>
            <w:tcW w:w="860" w:type="dxa"/>
            <w:vAlign w:val="bottom"/>
            <w:gridSpan w:val="2"/>
            <w:shd w:val="clear" w:color="auto" w:fill="EFEBE9"/>
          </w:tcPr>
          <w:p>
            <w:pPr>
              <w:jc w:val="right"/>
              <w:spacing w:after="0" w:line="102" w:lineRule="exact"/>
              <w:rPr>
                <w:sz w:val="20"/>
                <w:szCs w:val="20"/>
                <w:color w:val="auto"/>
              </w:rPr>
            </w:pPr>
            <w:r>
              <w:rPr>
                <w:rFonts w:ascii="Arial" w:cs="Arial" w:eastAsia="Arial" w:hAnsi="Arial"/>
                <w:sz w:val="10"/>
                <w:szCs w:val="10"/>
                <w:b w:val="1"/>
                <w:bCs w:val="1"/>
                <w:color w:val="867F7C"/>
              </w:rPr>
              <w:t>Threshold</w:t>
            </w:r>
          </w:p>
        </w:tc>
        <w:tc>
          <w:tcPr>
            <w:tcW w:w="920" w:type="dxa"/>
            <w:vAlign w:val="bottom"/>
            <w:shd w:val="clear" w:color="auto" w:fill="EFEBE9"/>
          </w:tcPr>
          <w:p>
            <w:pPr>
              <w:jc w:val="right"/>
              <w:ind w:right="241"/>
              <w:spacing w:after="0" w:line="102" w:lineRule="exact"/>
              <w:rPr>
                <w:sz w:val="20"/>
                <w:szCs w:val="20"/>
                <w:color w:val="auto"/>
              </w:rPr>
            </w:pPr>
            <w:r>
              <w:rPr>
                <w:rFonts w:ascii="Arial" w:cs="Arial" w:eastAsia="Arial" w:hAnsi="Arial"/>
                <w:sz w:val="10"/>
                <w:szCs w:val="10"/>
                <w:b w:val="1"/>
                <w:bCs w:val="1"/>
                <w:color w:val="867F7C"/>
              </w:rPr>
              <w:t>Target</w:t>
            </w:r>
          </w:p>
        </w:tc>
        <w:tc>
          <w:tcPr>
            <w:tcW w:w="680" w:type="dxa"/>
            <w:vAlign w:val="bottom"/>
            <w:shd w:val="clear" w:color="auto" w:fill="EFEBE9"/>
          </w:tcPr>
          <w:p>
            <w:pPr>
              <w:jc w:val="right"/>
              <w:ind w:right="22"/>
              <w:spacing w:after="0" w:line="102" w:lineRule="exact"/>
              <w:rPr>
                <w:sz w:val="20"/>
                <w:szCs w:val="20"/>
                <w:color w:val="auto"/>
              </w:rPr>
            </w:pPr>
            <w:r>
              <w:rPr>
                <w:rFonts w:ascii="Arial" w:cs="Arial" w:eastAsia="Arial" w:hAnsi="Arial"/>
                <w:sz w:val="10"/>
                <w:szCs w:val="10"/>
                <w:b w:val="1"/>
                <w:bCs w:val="1"/>
                <w:color w:val="867F7C"/>
              </w:rPr>
              <w:t>Maximum</w:t>
            </w:r>
          </w:p>
        </w:tc>
        <w:tc>
          <w:tcPr>
            <w:tcW w:w="880" w:type="dxa"/>
            <w:vAlign w:val="bottom"/>
            <w:shd w:val="clear" w:color="auto" w:fill="EFEBE9"/>
          </w:tcPr>
          <w:p>
            <w:pPr>
              <w:jc w:val="center"/>
              <w:spacing w:after="0" w:line="102" w:lineRule="exact"/>
              <w:rPr>
                <w:sz w:val="20"/>
                <w:szCs w:val="20"/>
                <w:color w:val="auto"/>
              </w:rPr>
            </w:pPr>
            <w:r>
              <w:rPr>
                <w:rFonts w:ascii="Arial" w:cs="Arial" w:eastAsia="Arial" w:hAnsi="Arial"/>
                <w:sz w:val="10"/>
                <w:szCs w:val="10"/>
                <w:b w:val="1"/>
                <w:bCs w:val="1"/>
                <w:color w:val="867F7C"/>
              </w:rPr>
              <w:t>or Units</w:t>
            </w:r>
          </w:p>
        </w:tc>
        <w:tc>
          <w:tcPr>
            <w:tcW w:w="960" w:type="dxa"/>
            <w:vAlign w:val="bottom"/>
            <w:shd w:val="clear" w:color="auto" w:fill="EFEBE9"/>
          </w:tcPr>
          <w:p>
            <w:pPr>
              <w:jc w:val="center"/>
              <w:spacing w:after="0" w:line="102" w:lineRule="exact"/>
              <w:rPr>
                <w:sz w:val="20"/>
                <w:szCs w:val="20"/>
                <w:color w:val="auto"/>
              </w:rPr>
            </w:pPr>
            <w:r>
              <w:rPr>
                <w:rFonts w:ascii="Arial" w:cs="Arial" w:eastAsia="Arial" w:hAnsi="Arial"/>
                <w:sz w:val="10"/>
                <w:szCs w:val="10"/>
                <w:b w:val="1"/>
                <w:bCs w:val="1"/>
                <w:color w:val="867F7C"/>
              </w:rPr>
              <w:t>Awards</w:t>
            </w:r>
          </w:p>
        </w:tc>
        <w:tc>
          <w:tcPr>
            <w:tcW w:w="0" w:type="dxa"/>
            <w:vAlign w:val="bottom"/>
          </w:tcPr>
          <w:p>
            <w:pPr>
              <w:spacing w:after="0"/>
              <w:rPr>
                <w:sz w:val="1"/>
                <w:szCs w:val="1"/>
                <w:color w:val="auto"/>
              </w:rPr>
            </w:pPr>
          </w:p>
        </w:tc>
      </w:tr>
      <w:tr>
        <w:trPr>
          <w:trHeight w:val="183"/>
        </w:trPr>
        <w:tc>
          <w:tcPr>
            <w:tcW w:w="1460" w:type="dxa"/>
            <w:vAlign w:val="bottom"/>
            <w:tcBorders>
              <w:bottom w:val="single" w:sz="8" w:color="EFEBE9"/>
            </w:tcBorders>
            <w:vMerge w:val="continue"/>
            <w:shd w:val="clear" w:color="auto" w:fill="EFEBE9"/>
          </w:tcPr>
          <w:p>
            <w:pPr>
              <w:spacing w:after="0"/>
              <w:rPr>
                <w:sz w:val="15"/>
                <w:szCs w:val="15"/>
                <w:color w:val="auto"/>
              </w:rPr>
            </w:pPr>
          </w:p>
        </w:tc>
        <w:tc>
          <w:tcPr>
            <w:tcW w:w="80" w:type="dxa"/>
            <w:vAlign w:val="bottom"/>
            <w:tcBorders>
              <w:bottom w:val="single" w:sz="8" w:color="EFEBE9"/>
            </w:tcBorders>
            <w:shd w:val="clear" w:color="auto" w:fill="EFEBE9"/>
          </w:tcPr>
          <w:p>
            <w:pPr>
              <w:spacing w:after="0"/>
              <w:rPr>
                <w:sz w:val="15"/>
                <w:szCs w:val="15"/>
                <w:color w:val="auto"/>
              </w:rPr>
            </w:pPr>
          </w:p>
        </w:tc>
        <w:tc>
          <w:tcPr>
            <w:tcW w:w="820" w:type="dxa"/>
            <w:vAlign w:val="bottom"/>
            <w:tcBorders>
              <w:bottom w:val="single" w:sz="8" w:color="EFEBE9"/>
            </w:tcBorders>
            <w:shd w:val="clear" w:color="auto" w:fill="EFEBE9"/>
          </w:tcPr>
          <w:p>
            <w:pPr>
              <w:jc w:val="center"/>
              <w:ind w:right="42"/>
              <w:spacing w:after="0" w:line="162" w:lineRule="exact"/>
              <w:rPr>
                <w:sz w:val="20"/>
                <w:szCs w:val="20"/>
                <w:color w:val="auto"/>
              </w:rPr>
            </w:pPr>
            <w:r>
              <w:rPr>
                <w:rFonts w:ascii="Arial" w:cs="Arial" w:eastAsia="Arial" w:hAnsi="Arial"/>
                <w:sz w:val="13"/>
                <w:szCs w:val="13"/>
                <w:b w:val="1"/>
                <w:bCs w:val="1"/>
                <w:color w:val="867F7C"/>
                <w:w w:val="87"/>
              </w:rPr>
              <w:t>Date</w:t>
            </w:r>
            <w:r>
              <w:rPr>
                <w:rFonts w:ascii="Arial" w:cs="Arial" w:eastAsia="Arial" w:hAnsi="Arial"/>
                <w:sz w:val="16"/>
                <w:szCs w:val="16"/>
                <w:b w:val="1"/>
                <w:bCs w:val="1"/>
                <w:color w:val="867F7C"/>
                <w:w w:val="87"/>
                <w:vertAlign w:val="superscript"/>
              </w:rPr>
              <w:t>(1)</w:t>
            </w:r>
          </w:p>
        </w:tc>
        <w:tc>
          <w:tcPr>
            <w:tcW w:w="780" w:type="dxa"/>
            <w:vAlign w:val="bottom"/>
            <w:tcBorders>
              <w:bottom w:val="single" w:sz="8" w:color="EFEBE9"/>
            </w:tcBorders>
            <w:shd w:val="clear" w:color="auto" w:fill="EFEBE9"/>
          </w:tcPr>
          <w:p>
            <w:pPr>
              <w:jc w:val="right"/>
              <w:ind w:right="301"/>
              <w:spacing w:after="0"/>
              <w:rPr>
                <w:sz w:val="20"/>
                <w:szCs w:val="20"/>
                <w:color w:val="auto"/>
              </w:rPr>
            </w:pPr>
            <w:r>
              <w:rPr>
                <w:rFonts w:ascii="Arial" w:cs="Arial" w:eastAsia="Arial" w:hAnsi="Arial"/>
                <w:sz w:val="13"/>
                <w:szCs w:val="13"/>
                <w:b w:val="1"/>
                <w:bCs w:val="1"/>
                <w:color w:val="867F7C"/>
              </w:rPr>
              <w:t>($)</w:t>
            </w:r>
          </w:p>
        </w:tc>
        <w:tc>
          <w:tcPr>
            <w:tcW w:w="860" w:type="dxa"/>
            <w:vAlign w:val="bottom"/>
            <w:tcBorders>
              <w:bottom w:val="single" w:sz="8" w:color="EFEBE9"/>
            </w:tcBorders>
            <w:shd w:val="clear" w:color="auto" w:fill="EFEBE9"/>
          </w:tcPr>
          <w:p>
            <w:pPr>
              <w:jc w:val="right"/>
              <w:ind w:right="321"/>
              <w:spacing w:after="0"/>
              <w:rPr>
                <w:sz w:val="20"/>
                <w:szCs w:val="20"/>
                <w:color w:val="auto"/>
              </w:rPr>
            </w:pPr>
            <w:r>
              <w:rPr>
                <w:rFonts w:ascii="Arial" w:cs="Arial" w:eastAsia="Arial" w:hAnsi="Arial"/>
                <w:sz w:val="13"/>
                <w:szCs w:val="13"/>
                <w:b w:val="1"/>
                <w:bCs w:val="1"/>
                <w:color w:val="867F7C"/>
              </w:rPr>
              <w:t>($)</w:t>
            </w:r>
          </w:p>
        </w:tc>
        <w:tc>
          <w:tcPr>
            <w:tcW w:w="780" w:type="dxa"/>
            <w:vAlign w:val="bottom"/>
            <w:tcBorders>
              <w:bottom w:val="single" w:sz="8" w:color="EFEBE9"/>
            </w:tcBorders>
            <w:shd w:val="clear" w:color="auto" w:fill="EFEBE9"/>
          </w:tcPr>
          <w:p>
            <w:pPr>
              <w:jc w:val="right"/>
              <w:ind w:right="202"/>
              <w:spacing w:after="0"/>
              <w:rPr>
                <w:sz w:val="20"/>
                <w:szCs w:val="20"/>
                <w:color w:val="auto"/>
              </w:rPr>
            </w:pPr>
            <w:r>
              <w:rPr>
                <w:rFonts w:ascii="Arial" w:cs="Arial" w:eastAsia="Arial" w:hAnsi="Arial"/>
                <w:sz w:val="13"/>
                <w:szCs w:val="13"/>
                <w:b w:val="1"/>
                <w:bCs w:val="1"/>
                <w:color w:val="867F7C"/>
              </w:rPr>
              <w:t>($)</w:t>
            </w:r>
          </w:p>
        </w:tc>
        <w:tc>
          <w:tcPr>
            <w:tcW w:w="860" w:type="dxa"/>
            <w:vAlign w:val="bottom"/>
            <w:tcBorders>
              <w:bottom w:val="single" w:sz="8" w:color="EFEBE9"/>
            </w:tcBorders>
            <w:gridSpan w:val="2"/>
            <w:shd w:val="clear" w:color="auto" w:fill="EFEBE9"/>
          </w:tcPr>
          <w:p>
            <w:pPr>
              <w:jc w:val="right"/>
              <w:ind w:right="217"/>
              <w:spacing w:after="0"/>
              <w:rPr>
                <w:sz w:val="20"/>
                <w:szCs w:val="20"/>
                <w:color w:val="auto"/>
              </w:rPr>
            </w:pPr>
            <w:r>
              <w:rPr>
                <w:rFonts w:ascii="Arial" w:cs="Arial" w:eastAsia="Arial" w:hAnsi="Arial"/>
                <w:sz w:val="13"/>
                <w:szCs w:val="13"/>
                <w:b w:val="1"/>
                <w:bCs w:val="1"/>
                <w:color w:val="867F7C"/>
              </w:rPr>
              <w:t>(#)</w:t>
            </w:r>
          </w:p>
        </w:tc>
        <w:tc>
          <w:tcPr>
            <w:tcW w:w="920" w:type="dxa"/>
            <w:vAlign w:val="bottom"/>
            <w:tcBorders>
              <w:bottom w:val="single" w:sz="8" w:color="EFEBE9"/>
            </w:tcBorders>
            <w:shd w:val="clear" w:color="auto" w:fill="EFEBE9"/>
          </w:tcPr>
          <w:p>
            <w:pPr>
              <w:jc w:val="right"/>
              <w:ind w:right="361"/>
              <w:spacing w:after="0"/>
              <w:rPr>
                <w:sz w:val="20"/>
                <w:szCs w:val="20"/>
                <w:color w:val="auto"/>
              </w:rPr>
            </w:pPr>
            <w:r>
              <w:rPr>
                <w:rFonts w:ascii="Arial" w:cs="Arial" w:eastAsia="Arial" w:hAnsi="Arial"/>
                <w:sz w:val="13"/>
                <w:szCs w:val="13"/>
                <w:b w:val="1"/>
                <w:bCs w:val="1"/>
                <w:color w:val="867F7C"/>
              </w:rPr>
              <w:t>(#)</w:t>
            </w:r>
          </w:p>
        </w:tc>
        <w:tc>
          <w:tcPr>
            <w:tcW w:w="680" w:type="dxa"/>
            <w:vAlign w:val="bottom"/>
            <w:tcBorders>
              <w:bottom w:val="single" w:sz="8" w:color="EFEBE9"/>
            </w:tcBorders>
            <w:shd w:val="clear" w:color="auto" w:fill="EFEBE9"/>
          </w:tcPr>
          <w:p>
            <w:pPr>
              <w:jc w:val="right"/>
              <w:ind w:right="242"/>
              <w:spacing w:after="0"/>
              <w:rPr>
                <w:sz w:val="20"/>
                <w:szCs w:val="20"/>
                <w:color w:val="auto"/>
              </w:rPr>
            </w:pPr>
            <w:r>
              <w:rPr>
                <w:rFonts w:ascii="Arial" w:cs="Arial" w:eastAsia="Arial" w:hAnsi="Arial"/>
                <w:sz w:val="13"/>
                <w:szCs w:val="13"/>
                <w:b w:val="1"/>
                <w:bCs w:val="1"/>
                <w:color w:val="867F7C"/>
              </w:rPr>
              <w:t>(#)</w:t>
            </w:r>
          </w:p>
        </w:tc>
        <w:tc>
          <w:tcPr>
            <w:tcW w:w="880" w:type="dxa"/>
            <w:vAlign w:val="bottom"/>
            <w:tcBorders>
              <w:bottom w:val="single" w:sz="8" w:color="EFEBE9"/>
            </w:tcBorders>
            <w:shd w:val="clear" w:color="auto" w:fill="EFEBE9"/>
          </w:tcPr>
          <w:p>
            <w:pPr>
              <w:jc w:val="center"/>
              <w:spacing w:after="0" w:line="162" w:lineRule="exact"/>
              <w:rPr>
                <w:sz w:val="20"/>
                <w:szCs w:val="20"/>
                <w:color w:val="auto"/>
              </w:rPr>
            </w:pPr>
            <w:r>
              <w:rPr>
                <w:rFonts w:ascii="Arial" w:cs="Arial" w:eastAsia="Arial" w:hAnsi="Arial"/>
                <w:sz w:val="13"/>
                <w:szCs w:val="13"/>
                <w:b w:val="1"/>
                <w:bCs w:val="1"/>
                <w:color w:val="867F7C"/>
                <w:w w:val="89"/>
              </w:rPr>
              <w:t>(#)</w:t>
            </w:r>
            <w:r>
              <w:rPr>
                <w:rFonts w:ascii="Arial" w:cs="Arial" w:eastAsia="Arial" w:hAnsi="Arial"/>
                <w:sz w:val="16"/>
                <w:szCs w:val="16"/>
                <w:b w:val="1"/>
                <w:bCs w:val="1"/>
                <w:color w:val="867F7C"/>
                <w:w w:val="89"/>
                <w:vertAlign w:val="superscript"/>
              </w:rPr>
              <w:t>(4)</w:t>
            </w:r>
          </w:p>
        </w:tc>
        <w:tc>
          <w:tcPr>
            <w:tcW w:w="960" w:type="dxa"/>
            <w:vAlign w:val="bottom"/>
            <w:tcBorders>
              <w:bottom w:val="single" w:sz="8" w:color="EFEBE9"/>
            </w:tcBorders>
            <w:shd w:val="clear" w:color="auto" w:fill="EFEBE9"/>
          </w:tcPr>
          <w:p>
            <w:pPr>
              <w:jc w:val="center"/>
              <w:spacing w:after="0" w:line="162" w:lineRule="exact"/>
              <w:rPr>
                <w:sz w:val="20"/>
                <w:szCs w:val="20"/>
                <w:color w:val="auto"/>
              </w:rPr>
            </w:pPr>
            <w:r>
              <w:rPr>
                <w:rFonts w:ascii="Arial" w:cs="Arial" w:eastAsia="Arial" w:hAnsi="Arial"/>
                <w:sz w:val="13"/>
                <w:szCs w:val="13"/>
                <w:b w:val="1"/>
                <w:bCs w:val="1"/>
                <w:color w:val="867F7C"/>
                <w:w w:val="89"/>
              </w:rPr>
              <w:t>($)</w:t>
            </w:r>
            <w:r>
              <w:rPr>
                <w:rFonts w:ascii="Arial" w:cs="Arial" w:eastAsia="Arial" w:hAnsi="Arial"/>
                <w:sz w:val="16"/>
                <w:szCs w:val="16"/>
                <w:b w:val="1"/>
                <w:bCs w:val="1"/>
                <w:color w:val="867F7C"/>
                <w:w w:val="89"/>
                <w:vertAlign w:val="superscript"/>
              </w:rPr>
              <w:t>(5)</w:t>
            </w:r>
          </w:p>
        </w:tc>
        <w:tc>
          <w:tcPr>
            <w:tcW w:w="0" w:type="dxa"/>
            <w:vAlign w:val="bottom"/>
          </w:tcPr>
          <w:p>
            <w:pPr>
              <w:spacing w:after="0"/>
              <w:rPr>
                <w:sz w:val="1"/>
                <w:szCs w:val="1"/>
                <w:color w:val="auto"/>
              </w:rPr>
            </w:pPr>
          </w:p>
        </w:tc>
      </w:tr>
      <w:tr>
        <w:trPr>
          <w:trHeight w:val="183"/>
        </w:trPr>
        <w:tc>
          <w:tcPr>
            <w:tcW w:w="1460" w:type="dxa"/>
            <w:vAlign w:val="bottom"/>
            <w:tcBorders>
              <w:bottom w:val="single" w:sz="8" w:color="867F7C"/>
            </w:tcBorders>
          </w:tcPr>
          <w:p>
            <w:pPr>
              <w:ind w:left="100"/>
              <w:spacing w:after="0"/>
              <w:rPr>
                <w:sz w:val="20"/>
                <w:szCs w:val="20"/>
                <w:color w:val="auto"/>
              </w:rPr>
            </w:pPr>
            <w:r>
              <w:rPr>
                <w:rFonts w:ascii="Arial" w:cs="Arial" w:eastAsia="Arial" w:hAnsi="Arial"/>
                <w:sz w:val="12"/>
                <w:szCs w:val="12"/>
                <w:b w:val="1"/>
                <w:bCs w:val="1"/>
                <w:color w:val="4CCEDE"/>
              </w:rPr>
              <w:t>Guillermo Novo</w:t>
            </w:r>
          </w:p>
        </w:tc>
        <w:tc>
          <w:tcPr>
            <w:tcW w:w="900" w:type="dxa"/>
            <w:vAlign w:val="bottom"/>
            <w:tcBorders>
              <w:bottom w:val="single" w:sz="8" w:color="867F7C"/>
            </w:tcBorders>
            <w:gridSpan w:val="2"/>
          </w:tcPr>
          <w:p>
            <w:pPr>
              <w:jc w:val="center"/>
              <w:spacing w:after="0"/>
              <w:rPr>
                <w:sz w:val="20"/>
                <w:szCs w:val="20"/>
                <w:color w:val="auto"/>
              </w:rPr>
            </w:pPr>
            <w:r>
              <w:rPr>
                <w:rFonts w:ascii="Arial" w:cs="Arial" w:eastAsia="Arial" w:hAnsi="Arial"/>
                <w:sz w:val="12"/>
                <w:szCs w:val="12"/>
                <w:color w:val="auto"/>
                <w:w w:val="99"/>
              </w:rPr>
              <w:t>11/13/2024</w:t>
            </w:r>
          </w:p>
        </w:tc>
        <w:tc>
          <w:tcPr>
            <w:tcW w:w="780" w:type="dxa"/>
            <w:vAlign w:val="bottom"/>
            <w:tcBorders>
              <w:bottom w:val="single" w:sz="8" w:color="867F7C"/>
            </w:tcBorders>
          </w:tcPr>
          <w:p>
            <w:pPr>
              <w:jc w:val="right"/>
              <w:ind w:right="121"/>
              <w:spacing w:after="0"/>
              <w:rPr>
                <w:sz w:val="20"/>
                <w:szCs w:val="20"/>
                <w:color w:val="auto"/>
              </w:rPr>
            </w:pPr>
            <w:r>
              <w:rPr>
                <w:rFonts w:ascii="Arial" w:cs="Arial" w:eastAsia="Arial" w:hAnsi="Arial"/>
                <w:sz w:val="12"/>
                <w:szCs w:val="12"/>
                <w:color w:val="auto"/>
              </w:rPr>
              <w:t>581,180</w:t>
            </w:r>
          </w:p>
        </w:tc>
        <w:tc>
          <w:tcPr>
            <w:tcW w:w="860" w:type="dxa"/>
            <w:vAlign w:val="bottom"/>
            <w:tcBorders>
              <w:bottom w:val="single" w:sz="8" w:color="867F7C"/>
            </w:tcBorders>
          </w:tcPr>
          <w:p>
            <w:pPr>
              <w:jc w:val="right"/>
              <w:ind w:right="81"/>
              <w:spacing w:after="0"/>
              <w:rPr>
                <w:sz w:val="20"/>
                <w:szCs w:val="20"/>
                <w:color w:val="auto"/>
              </w:rPr>
            </w:pPr>
            <w:r>
              <w:rPr>
                <w:rFonts w:ascii="Arial" w:cs="Arial" w:eastAsia="Arial" w:hAnsi="Arial"/>
                <w:sz w:val="12"/>
                <w:szCs w:val="12"/>
                <w:color w:val="auto"/>
              </w:rPr>
              <w:t>1,452,950</w:t>
            </w:r>
          </w:p>
        </w:tc>
        <w:tc>
          <w:tcPr>
            <w:tcW w:w="780" w:type="dxa"/>
            <w:vAlign w:val="bottom"/>
            <w:tcBorders>
              <w:bottom w:val="single" w:sz="8" w:color="867F7C"/>
            </w:tcBorders>
          </w:tcPr>
          <w:p>
            <w:pPr>
              <w:jc w:val="right"/>
              <w:spacing w:after="0"/>
              <w:rPr>
                <w:sz w:val="20"/>
                <w:szCs w:val="20"/>
                <w:color w:val="auto"/>
              </w:rPr>
            </w:pPr>
            <w:r>
              <w:rPr>
                <w:rFonts w:ascii="Arial" w:cs="Arial" w:eastAsia="Arial" w:hAnsi="Arial"/>
                <w:sz w:val="12"/>
                <w:szCs w:val="12"/>
                <w:color w:val="auto"/>
              </w:rPr>
              <w:t>2,905,900</w:t>
            </w:r>
          </w:p>
        </w:tc>
        <w:tc>
          <w:tcPr>
            <w:tcW w:w="860" w:type="dxa"/>
            <w:vAlign w:val="bottom"/>
            <w:tcBorders>
              <w:bottom w:val="single" w:sz="8" w:color="867F7C"/>
            </w:tcBorders>
            <w:gridSpan w:val="2"/>
          </w:tcPr>
          <w:p>
            <w:pPr>
              <w:jc w:val="right"/>
              <w:ind w:right="37"/>
              <w:spacing w:after="0"/>
              <w:rPr>
                <w:sz w:val="20"/>
                <w:szCs w:val="20"/>
                <w:color w:val="auto"/>
              </w:rPr>
            </w:pPr>
            <w:r>
              <w:rPr>
                <w:rFonts w:ascii="Arial" w:cs="Arial" w:eastAsia="Arial" w:hAnsi="Arial"/>
                <w:sz w:val="12"/>
                <w:szCs w:val="12"/>
                <w:color w:val="auto"/>
              </w:rPr>
              <w:t>19,755</w:t>
            </w:r>
          </w:p>
        </w:tc>
        <w:tc>
          <w:tcPr>
            <w:tcW w:w="920" w:type="dxa"/>
            <w:vAlign w:val="bottom"/>
            <w:tcBorders>
              <w:bottom w:val="single" w:sz="8" w:color="867F7C"/>
            </w:tcBorders>
          </w:tcPr>
          <w:p>
            <w:pPr>
              <w:jc w:val="right"/>
              <w:ind w:right="161"/>
              <w:spacing w:after="0"/>
              <w:rPr>
                <w:sz w:val="20"/>
                <w:szCs w:val="20"/>
                <w:color w:val="auto"/>
              </w:rPr>
            </w:pPr>
            <w:r>
              <w:rPr>
                <w:rFonts w:ascii="Arial" w:cs="Arial" w:eastAsia="Arial" w:hAnsi="Arial"/>
                <w:sz w:val="12"/>
                <w:szCs w:val="12"/>
                <w:color w:val="auto"/>
              </w:rPr>
              <w:t>39,509</w:t>
            </w:r>
          </w:p>
        </w:tc>
        <w:tc>
          <w:tcPr>
            <w:tcW w:w="680" w:type="dxa"/>
            <w:vAlign w:val="bottom"/>
            <w:tcBorders>
              <w:bottom w:val="single" w:sz="8" w:color="867F7C"/>
            </w:tcBorders>
          </w:tcPr>
          <w:p>
            <w:pPr>
              <w:jc w:val="right"/>
              <w:ind w:right="42"/>
              <w:spacing w:after="0"/>
              <w:rPr>
                <w:sz w:val="20"/>
                <w:szCs w:val="20"/>
                <w:color w:val="auto"/>
              </w:rPr>
            </w:pPr>
            <w:r>
              <w:rPr>
                <w:rFonts w:ascii="Arial" w:cs="Arial" w:eastAsia="Arial" w:hAnsi="Arial"/>
                <w:sz w:val="12"/>
                <w:szCs w:val="12"/>
                <w:color w:val="auto"/>
              </w:rPr>
              <w:t>79,018</w:t>
            </w: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26,339</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5,233,863</w:t>
            </w:r>
          </w:p>
        </w:tc>
        <w:tc>
          <w:tcPr>
            <w:tcW w:w="0" w:type="dxa"/>
            <w:vAlign w:val="bottom"/>
          </w:tcPr>
          <w:p>
            <w:pPr>
              <w:spacing w:after="0"/>
              <w:rPr>
                <w:sz w:val="1"/>
                <w:szCs w:val="1"/>
                <w:color w:val="auto"/>
              </w:rPr>
            </w:pPr>
          </w:p>
        </w:tc>
      </w:tr>
      <w:tr>
        <w:trPr>
          <w:trHeight w:val="175"/>
        </w:trPr>
        <w:tc>
          <w:tcPr>
            <w:tcW w:w="1460" w:type="dxa"/>
            <w:vAlign w:val="bottom"/>
          </w:tcPr>
          <w:p>
            <w:pPr>
              <w:ind w:left="100"/>
              <w:spacing w:after="0"/>
              <w:rPr>
                <w:sz w:val="20"/>
                <w:szCs w:val="20"/>
                <w:color w:val="auto"/>
              </w:rPr>
            </w:pPr>
            <w:r>
              <w:rPr>
                <w:rFonts w:ascii="Arial" w:cs="Arial" w:eastAsia="Arial" w:hAnsi="Arial"/>
                <w:sz w:val="12"/>
                <w:szCs w:val="12"/>
                <w:b w:val="1"/>
                <w:bCs w:val="1"/>
                <w:color w:val="4CCEDE"/>
              </w:rPr>
              <w:t>William Whitaker</w:t>
            </w:r>
          </w:p>
        </w:tc>
        <w:tc>
          <w:tcPr>
            <w:tcW w:w="80" w:type="dxa"/>
            <w:vAlign w:val="bottom"/>
          </w:tcPr>
          <w:p>
            <w:pPr>
              <w:spacing w:after="0"/>
              <w:rPr>
                <w:sz w:val="15"/>
                <w:szCs w:val="15"/>
                <w:color w:val="auto"/>
              </w:rPr>
            </w:pPr>
          </w:p>
        </w:tc>
        <w:tc>
          <w:tcPr>
            <w:tcW w:w="820" w:type="dxa"/>
            <w:vAlign w:val="bottom"/>
            <w:tcBorders>
              <w:bottom w:val="single" w:sz="8" w:color="867F7C"/>
            </w:tcBorders>
          </w:tcPr>
          <w:p>
            <w:pPr>
              <w:jc w:val="center"/>
              <w:ind w:right="42"/>
              <w:spacing w:after="0"/>
              <w:rPr>
                <w:sz w:val="20"/>
                <w:szCs w:val="20"/>
                <w:color w:val="auto"/>
              </w:rPr>
            </w:pPr>
            <w:r>
              <w:rPr>
                <w:rFonts w:ascii="Arial" w:cs="Arial" w:eastAsia="Arial" w:hAnsi="Arial"/>
                <w:sz w:val="12"/>
                <w:szCs w:val="12"/>
                <w:color w:val="auto"/>
                <w:w w:val="99"/>
              </w:rPr>
              <w:t>11/13/2024</w:t>
            </w:r>
          </w:p>
        </w:tc>
        <w:tc>
          <w:tcPr>
            <w:tcW w:w="780" w:type="dxa"/>
            <w:vAlign w:val="bottom"/>
            <w:tcBorders>
              <w:bottom w:val="single" w:sz="8" w:color="867F7C"/>
            </w:tcBorders>
          </w:tcPr>
          <w:p>
            <w:pPr>
              <w:jc w:val="right"/>
              <w:ind w:right="121"/>
              <w:spacing w:after="0"/>
              <w:rPr>
                <w:sz w:val="20"/>
                <w:szCs w:val="20"/>
                <w:color w:val="auto"/>
              </w:rPr>
            </w:pPr>
            <w:r>
              <w:rPr>
                <w:rFonts w:ascii="Arial" w:cs="Arial" w:eastAsia="Arial" w:hAnsi="Arial"/>
                <w:sz w:val="12"/>
                <w:szCs w:val="12"/>
                <w:color w:val="auto"/>
              </w:rPr>
              <w:t>107,796</w:t>
            </w:r>
          </w:p>
        </w:tc>
        <w:tc>
          <w:tcPr>
            <w:tcW w:w="860" w:type="dxa"/>
            <w:vAlign w:val="bottom"/>
            <w:tcBorders>
              <w:bottom w:val="single" w:sz="8" w:color="867F7C"/>
            </w:tcBorders>
          </w:tcPr>
          <w:p>
            <w:pPr>
              <w:jc w:val="right"/>
              <w:ind w:right="81"/>
              <w:spacing w:after="0"/>
              <w:rPr>
                <w:sz w:val="20"/>
                <w:szCs w:val="20"/>
                <w:color w:val="auto"/>
              </w:rPr>
            </w:pPr>
            <w:r>
              <w:rPr>
                <w:rFonts w:ascii="Arial" w:cs="Arial" w:eastAsia="Arial" w:hAnsi="Arial"/>
                <w:sz w:val="12"/>
                <w:szCs w:val="12"/>
                <w:color w:val="auto"/>
              </w:rPr>
              <w:t>269,490</w:t>
            </w:r>
          </w:p>
        </w:tc>
        <w:tc>
          <w:tcPr>
            <w:tcW w:w="780" w:type="dxa"/>
            <w:vAlign w:val="bottom"/>
            <w:tcBorders>
              <w:bottom w:val="single" w:sz="8" w:color="867F7C"/>
            </w:tcBorders>
          </w:tcPr>
          <w:p>
            <w:pPr>
              <w:jc w:val="right"/>
              <w:spacing w:after="0"/>
              <w:rPr>
                <w:sz w:val="20"/>
                <w:szCs w:val="20"/>
                <w:color w:val="auto"/>
              </w:rPr>
            </w:pPr>
            <w:r>
              <w:rPr>
                <w:rFonts w:ascii="Arial" w:cs="Arial" w:eastAsia="Arial" w:hAnsi="Arial"/>
                <w:sz w:val="12"/>
                <w:szCs w:val="12"/>
                <w:color w:val="auto"/>
              </w:rPr>
              <w:t>538,980</w:t>
            </w:r>
          </w:p>
        </w:tc>
        <w:tc>
          <w:tcPr>
            <w:tcW w:w="860" w:type="dxa"/>
            <w:vAlign w:val="bottom"/>
            <w:tcBorders>
              <w:bottom w:val="single" w:sz="8" w:color="867F7C"/>
            </w:tcBorders>
            <w:gridSpan w:val="2"/>
          </w:tcPr>
          <w:p>
            <w:pPr>
              <w:jc w:val="right"/>
              <w:ind w:right="37"/>
              <w:spacing w:after="0"/>
              <w:rPr>
                <w:sz w:val="20"/>
                <w:szCs w:val="20"/>
                <w:color w:val="auto"/>
              </w:rPr>
            </w:pPr>
            <w:r>
              <w:rPr>
                <w:rFonts w:ascii="Arial" w:cs="Arial" w:eastAsia="Arial" w:hAnsi="Arial"/>
                <w:sz w:val="12"/>
                <w:szCs w:val="12"/>
                <w:color w:val="auto"/>
              </w:rPr>
              <w:t>504</w:t>
            </w:r>
          </w:p>
        </w:tc>
        <w:tc>
          <w:tcPr>
            <w:tcW w:w="920" w:type="dxa"/>
            <w:vAlign w:val="bottom"/>
            <w:tcBorders>
              <w:bottom w:val="single" w:sz="8" w:color="867F7C"/>
            </w:tcBorders>
          </w:tcPr>
          <w:p>
            <w:pPr>
              <w:jc w:val="right"/>
              <w:ind w:right="161"/>
              <w:spacing w:after="0"/>
              <w:rPr>
                <w:sz w:val="20"/>
                <w:szCs w:val="20"/>
                <w:color w:val="auto"/>
              </w:rPr>
            </w:pPr>
            <w:r>
              <w:rPr>
                <w:rFonts w:ascii="Arial" w:cs="Arial" w:eastAsia="Arial" w:hAnsi="Arial"/>
                <w:sz w:val="12"/>
                <w:szCs w:val="12"/>
                <w:color w:val="auto"/>
              </w:rPr>
              <w:t>1,007</w:t>
            </w:r>
          </w:p>
        </w:tc>
        <w:tc>
          <w:tcPr>
            <w:tcW w:w="680" w:type="dxa"/>
            <w:vAlign w:val="bottom"/>
            <w:tcBorders>
              <w:bottom w:val="single" w:sz="8" w:color="867F7C"/>
            </w:tcBorders>
          </w:tcPr>
          <w:p>
            <w:pPr>
              <w:jc w:val="right"/>
              <w:ind w:right="42"/>
              <w:spacing w:after="0"/>
              <w:rPr>
                <w:sz w:val="20"/>
                <w:szCs w:val="20"/>
                <w:color w:val="auto"/>
              </w:rPr>
            </w:pPr>
            <w:r>
              <w:rPr>
                <w:rFonts w:ascii="Arial" w:cs="Arial" w:eastAsia="Arial" w:hAnsi="Arial"/>
                <w:sz w:val="12"/>
                <w:szCs w:val="12"/>
                <w:color w:val="auto"/>
              </w:rPr>
              <w:t>2,014</w:t>
            </w: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671</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133,375</w:t>
            </w:r>
          </w:p>
        </w:tc>
        <w:tc>
          <w:tcPr>
            <w:tcW w:w="0" w:type="dxa"/>
            <w:vAlign w:val="bottom"/>
          </w:tcPr>
          <w:p>
            <w:pPr>
              <w:spacing w:after="0"/>
              <w:rPr>
                <w:sz w:val="1"/>
                <w:szCs w:val="1"/>
                <w:color w:val="auto"/>
              </w:rPr>
            </w:pPr>
          </w:p>
        </w:tc>
      </w:tr>
      <w:tr>
        <w:trPr>
          <w:trHeight w:val="163"/>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867F7C"/>
            </w:tcBorders>
          </w:tcPr>
          <w:p>
            <w:pPr>
              <w:jc w:val="center"/>
              <w:ind w:right="42"/>
              <w:spacing w:after="0"/>
              <w:rPr>
                <w:sz w:val="20"/>
                <w:szCs w:val="20"/>
                <w:color w:val="auto"/>
              </w:rPr>
            </w:pPr>
            <w:r>
              <w:rPr>
                <w:rFonts w:ascii="Arial" w:cs="Arial" w:eastAsia="Arial" w:hAnsi="Arial"/>
                <w:sz w:val="12"/>
                <w:szCs w:val="12"/>
                <w:color w:val="auto"/>
                <w:w w:val="97"/>
              </w:rPr>
              <w:t>5/15/2025</w:t>
            </w:r>
          </w:p>
        </w:tc>
        <w:tc>
          <w:tcPr>
            <w:tcW w:w="780" w:type="dxa"/>
            <w:vAlign w:val="bottom"/>
            <w:tcBorders>
              <w:bottom w:val="single" w:sz="8" w:color="867F7C"/>
            </w:tcBorders>
          </w:tcPr>
          <w:p>
            <w:pPr>
              <w:spacing w:after="0"/>
              <w:rPr>
                <w:sz w:val="14"/>
                <w:szCs w:val="14"/>
                <w:color w:val="auto"/>
              </w:rPr>
            </w:pPr>
          </w:p>
        </w:tc>
        <w:tc>
          <w:tcPr>
            <w:tcW w:w="860" w:type="dxa"/>
            <w:vAlign w:val="bottom"/>
            <w:tcBorders>
              <w:bottom w:val="single" w:sz="8" w:color="867F7C"/>
            </w:tcBorders>
          </w:tcPr>
          <w:p>
            <w:pPr>
              <w:spacing w:after="0"/>
              <w:rPr>
                <w:sz w:val="14"/>
                <w:szCs w:val="14"/>
                <w:color w:val="auto"/>
              </w:rPr>
            </w:pPr>
          </w:p>
        </w:tc>
        <w:tc>
          <w:tcPr>
            <w:tcW w:w="780" w:type="dxa"/>
            <w:vAlign w:val="bottom"/>
            <w:tcBorders>
              <w:bottom w:val="single" w:sz="8" w:color="867F7C"/>
            </w:tcBorders>
          </w:tcPr>
          <w:p>
            <w:pPr>
              <w:spacing w:after="0"/>
              <w:rPr>
                <w:sz w:val="14"/>
                <w:szCs w:val="14"/>
                <w:color w:val="auto"/>
              </w:rPr>
            </w:pPr>
          </w:p>
        </w:tc>
        <w:tc>
          <w:tcPr>
            <w:tcW w:w="240" w:type="dxa"/>
            <w:vAlign w:val="bottom"/>
            <w:tcBorders>
              <w:bottom w:val="single" w:sz="8" w:color="867F7C"/>
            </w:tcBorders>
          </w:tcPr>
          <w:p>
            <w:pPr>
              <w:spacing w:after="0"/>
              <w:rPr>
                <w:sz w:val="14"/>
                <w:szCs w:val="14"/>
                <w:color w:val="auto"/>
              </w:rPr>
            </w:pPr>
          </w:p>
        </w:tc>
        <w:tc>
          <w:tcPr>
            <w:tcW w:w="620" w:type="dxa"/>
            <w:vAlign w:val="bottom"/>
            <w:tcBorders>
              <w:bottom w:val="single" w:sz="8" w:color="867F7C"/>
            </w:tcBorders>
          </w:tcPr>
          <w:p>
            <w:pPr>
              <w:spacing w:after="0"/>
              <w:rPr>
                <w:sz w:val="14"/>
                <w:szCs w:val="14"/>
                <w:color w:val="auto"/>
              </w:rPr>
            </w:pPr>
          </w:p>
        </w:tc>
        <w:tc>
          <w:tcPr>
            <w:tcW w:w="920" w:type="dxa"/>
            <w:vAlign w:val="bottom"/>
            <w:tcBorders>
              <w:bottom w:val="single" w:sz="8" w:color="867F7C"/>
            </w:tcBorders>
          </w:tcPr>
          <w:p>
            <w:pPr>
              <w:spacing w:after="0"/>
              <w:rPr>
                <w:sz w:val="14"/>
                <w:szCs w:val="14"/>
                <w:color w:val="auto"/>
              </w:rPr>
            </w:pPr>
          </w:p>
        </w:tc>
        <w:tc>
          <w:tcPr>
            <w:tcW w:w="680" w:type="dxa"/>
            <w:vAlign w:val="bottom"/>
            <w:tcBorders>
              <w:bottom w:val="single" w:sz="8" w:color="867F7C"/>
            </w:tcBorders>
          </w:tcPr>
          <w:p>
            <w:pPr>
              <w:spacing w:after="0"/>
              <w:rPr>
                <w:sz w:val="14"/>
                <w:szCs w:val="14"/>
                <w:color w:val="auto"/>
              </w:rPr>
            </w:pP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2,516</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129,977</w:t>
            </w:r>
          </w:p>
        </w:tc>
        <w:tc>
          <w:tcPr>
            <w:tcW w:w="0" w:type="dxa"/>
            <w:vAlign w:val="bottom"/>
          </w:tcPr>
          <w:p>
            <w:pPr>
              <w:spacing w:after="0"/>
              <w:rPr>
                <w:sz w:val="1"/>
                <w:szCs w:val="1"/>
                <w:color w:val="auto"/>
              </w:rPr>
            </w:pPr>
          </w:p>
        </w:tc>
      </w:tr>
      <w:tr>
        <w:trPr>
          <w:trHeight w:val="183"/>
        </w:trPr>
        <w:tc>
          <w:tcPr>
            <w:tcW w:w="1460" w:type="dxa"/>
            <w:vAlign w:val="bottom"/>
            <w:tcBorders>
              <w:bottom w:val="single" w:sz="8" w:color="867F7C"/>
            </w:tcBorders>
          </w:tcPr>
          <w:p>
            <w:pPr>
              <w:spacing w:after="0"/>
              <w:rPr>
                <w:sz w:val="15"/>
                <w:szCs w:val="15"/>
                <w:color w:val="auto"/>
              </w:rPr>
            </w:pPr>
          </w:p>
        </w:tc>
        <w:tc>
          <w:tcPr>
            <w:tcW w:w="900" w:type="dxa"/>
            <w:vAlign w:val="bottom"/>
            <w:tcBorders>
              <w:bottom w:val="single" w:sz="8" w:color="867F7C"/>
            </w:tcBorders>
            <w:gridSpan w:val="2"/>
          </w:tcPr>
          <w:p>
            <w:pPr>
              <w:jc w:val="center"/>
              <w:spacing w:after="0"/>
              <w:rPr>
                <w:sz w:val="20"/>
                <w:szCs w:val="20"/>
                <w:color w:val="auto"/>
              </w:rPr>
            </w:pPr>
            <w:r>
              <w:rPr>
                <w:rFonts w:ascii="Arial" w:cs="Arial" w:eastAsia="Arial" w:hAnsi="Arial"/>
                <w:sz w:val="12"/>
                <w:szCs w:val="12"/>
                <w:color w:val="auto"/>
                <w:w w:val="97"/>
              </w:rPr>
              <w:t>7/18/2025</w:t>
            </w:r>
          </w:p>
        </w:tc>
        <w:tc>
          <w:tcPr>
            <w:tcW w:w="780" w:type="dxa"/>
            <w:vAlign w:val="bottom"/>
            <w:tcBorders>
              <w:bottom w:val="single" w:sz="8" w:color="867F7C"/>
            </w:tcBorders>
          </w:tcPr>
          <w:p>
            <w:pPr>
              <w:spacing w:after="0"/>
              <w:rPr>
                <w:sz w:val="15"/>
                <w:szCs w:val="15"/>
                <w:color w:val="auto"/>
              </w:rPr>
            </w:pPr>
          </w:p>
        </w:tc>
        <w:tc>
          <w:tcPr>
            <w:tcW w:w="860" w:type="dxa"/>
            <w:vAlign w:val="bottom"/>
            <w:tcBorders>
              <w:bottom w:val="single" w:sz="8" w:color="867F7C"/>
            </w:tcBorders>
          </w:tcPr>
          <w:p>
            <w:pPr>
              <w:spacing w:after="0"/>
              <w:rPr>
                <w:sz w:val="15"/>
                <w:szCs w:val="15"/>
                <w:color w:val="auto"/>
              </w:rPr>
            </w:pPr>
          </w:p>
        </w:tc>
        <w:tc>
          <w:tcPr>
            <w:tcW w:w="780" w:type="dxa"/>
            <w:vAlign w:val="bottom"/>
            <w:tcBorders>
              <w:bottom w:val="single" w:sz="8" w:color="867F7C"/>
            </w:tcBorders>
          </w:tcPr>
          <w:p>
            <w:pPr>
              <w:spacing w:after="0"/>
              <w:rPr>
                <w:sz w:val="15"/>
                <w:szCs w:val="15"/>
                <w:color w:val="auto"/>
              </w:rPr>
            </w:pPr>
          </w:p>
        </w:tc>
        <w:tc>
          <w:tcPr>
            <w:tcW w:w="860" w:type="dxa"/>
            <w:vAlign w:val="bottom"/>
            <w:tcBorders>
              <w:bottom w:val="single" w:sz="8" w:color="867F7C"/>
            </w:tcBorders>
            <w:gridSpan w:val="2"/>
          </w:tcPr>
          <w:p>
            <w:pPr>
              <w:jc w:val="right"/>
              <w:ind w:right="37"/>
              <w:spacing w:after="0"/>
              <w:rPr>
                <w:sz w:val="20"/>
                <w:szCs w:val="20"/>
                <w:color w:val="auto"/>
              </w:rPr>
            </w:pPr>
            <w:r>
              <w:rPr>
                <w:rFonts w:ascii="Arial" w:cs="Arial" w:eastAsia="Arial" w:hAnsi="Arial"/>
                <w:sz w:val="12"/>
                <w:szCs w:val="12"/>
                <w:color w:val="auto"/>
              </w:rPr>
              <w:t>6,466</w:t>
            </w:r>
          </w:p>
        </w:tc>
        <w:tc>
          <w:tcPr>
            <w:tcW w:w="920" w:type="dxa"/>
            <w:vAlign w:val="bottom"/>
            <w:tcBorders>
              <w:bottom w:val="single" w:sz="8" w:color="867F7C"/>
            </w:tcBorders>
          </w:tcPr>
          <w:p>
            <w:pPr>
              <w:jc w:val="right"/>
              <w:ind w:right="161"/>
              <w:spacing w:after="0"/>
              <w:rPr>
                <w:sz w:val="20"/>
                <w:szCs w:val="20"/>
                <w:color w:val="auto"/>
              </w:rPr>
            </w:pPr>
            <w:r>
              <w:rPr>
                <w:rFonts w:ascii="Arial" w:cs="Arial" w:eastAsia="Arial" w:hAnsi="Arial"/>
                <w:sz w:val="12"/>
                <w:szCs w:val="12"/>
                <w:color w:val="auto"/>
              </w:rPr>
              <w:t>12,931</w:t>
            </w:r>
          </w:p>
        </w:tc>
        <w:tc>
          <w:tcPr>
            <w:tcW w:w="680" w:type="dxa"/>
            <w:vAlign w:val="bottom"/>
            <w:tcBorders>
              <w:bottom w:val="single" w:sz="8" w:color="867F7C"/>
            </w:tcBorders>
          </w:tcPr>
          <w:p>
            <w:pPr>
              <w:jc w:val="right"/>
              <w:ind w:right="42"/>
              <w:spacing w:after="0"/>
              <w:rPr>
                <w:sz w:val="20"/>
                <w:szCs w:val="20"/>
                <w:color w:val="auto"/>
              </w:rPr>
            </w:pPr>
            <w:r>
              <w:rPr>
                <w:rFonts w:ascii="Arial" w:cs="Arial" w:eastAsia="Arial" w:hAnsi="Arial"/>
                <w:sz w:val="12"/>
                <w:szCs w:val="12"/>
                <w:color w:val="auto"/>
              </w:rPr>
              <w:t>25,862</w:t>
            </w: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8,620</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1,485,307</w:t>
            </w:r>
          </w:p>
        </w:tc>
        <w:tc>
          <w:tcPr>
            <w:tcW w:w="0" w:type="dxa"/>
            <w:vAlign w:val="bottom"/>
          </w:tcPr>
          <w:p>
            <w:pPr>
              <w:spacing w:after="0"/>
              <w:rPr>
                <w:sz w:val="1"/>
                <w:szCs w:val="1"/>
                <w:color w:val="auto"/>
              </w:rPr>
            </w:pPr>
          </w:p>
        </w:tc>
      </w:tr>
      <w:tr>
        <w:trPr>
          <w:trHeight w:val="125"/>
        </w:trPr>
        <w:tc>
          <w:tcPr>
            <w:tcW w:w="1460" w:type="dxa"/>
            <w:vAlign w:val="bottom"/>
          </w:tcPr>
          <w:p>
            <w:pPr>
              <w:ind w:left="100"/>
              <w:spacing w:after="0" w:line="125" w:lineRule="exact"/>
              <w:rPr>
                <w:sz w:val="20"/>
                <w:szCs w:val="20"/>
                <w:color w:val="auto"/>
              </w:rPr>
            </w:pPr>
            <w:r>
              <w:rPr>
                <w:rFonts w:ascii="Arial" w:cs="Arial" w:eastAsia="Arial" w:hAnsi="Arial"/>
                <w:sz w:val="12"/>
                <w:szCs w:val="12"/>
                <w:b w:val="1"/>
                <w:bCs w:val="1"/>
                <w:color w:val="4CCEDE"/>
              </w:rPr>
              <w:t>Alessandra Faccin</w:t>
            </w:r>
          </w:p>
        </w:tc>
        <w:tc>
          <w:tcPr>
            <w:tcW w:w="9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11/13/2024</w:t>
            </w:r>
          </w:p>
        </w:tc>
        <w:tc>
          <w:tcPr>
            <w:tcW w:w="780" w:type="dxa"/>
            <w:vAlign w:val="bottom"/>
            <w:vMerge w:val="restart"/>
          </w:tcPr>
          <w:p>
            <w:pPr>
              <w:jc w:val="right"/>
              <w:ind w:right="121"/>
              <w:spacing w:after="0"/>
              <w:rPr>
                <w:sz w:val="20"/>
                <w:szCs w:val="20"/>
                <w:color w:val="auto"/>
              </w:rPr>
            </w:pPr>
            <w:r>
              <w:rPr>
                <w:rFonts w:ascii="Arial" w:cs="Arial" w:eastAsia="Arial" w:hAnsi="Arial"/>
                <w:sz w:val="12"/>
                <w:szCs w:val="12"/>
                <w:color w:val="auto"/>
              </w:rPr>
              <w:t>131,222</w:t>
            </w:r>
          </w:p>
        </w:tc>
        <w:tc>
          <w:tcPr>
            <w:tcW w:w="860" w:type="dxa"/>
            <w:vAlign w:val="bottom"/>
            <w:vMerge w:val="restart"/>
          </w:tcPr>
          <w:p>
            <w:pPr>
              <w:jc w:val="right"/>
              <w:ind w:right="81"/>
              <w:spacing w:after="0"/>
              <w:rPr>
                <w:sz w:val="20"/>
                <w:szCs w:val="20"/>
                <w:color w:val="auto"/>
              </w:rPr>
            </w:pPr>
            <w:r>
              <w:rPr>
                <w:rFonts w:ascii="Arial" w:cs="Arial" w:eastAsia="Arial" w:hAnsi="Arial"/>
                <w:sz w:val="12"/>
                <w:szCs w:val="12"/>
                <w:color w:val="auto"/>
              </w:rPr>
              <w:t>328,055</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656,110</w:t>
            </w:r>
          </w:p>
        </w:tc>
        <w:tc>
          <w:tcPr>
            <w:tcW w:w="860" w:type="dxa"/>
            <w:vAlign w:val="bottom"/>
            <w:gridSpan w:val="2"/>
            <w:vMerge w:val="restart"/>
          </w:tcPr>
          <w:p>
            <w:pPr>
              <w:jc w:val="right"/>
              <w:ind w:right="37"/>
              <w:spacing w:after="0"/>
              <w:rPr>
                <w:sz w:val="20"/>
                <w:szCs w:val="20"/>
                <w:color w:val="auto"/>
              </w:rPr>
            </w:pPr>
            <w:r>
              <w:rPr>
                <w:rFonts w:ascii="Arial" w:cs="Arial" w:eastAsia="Arial" w:hAnsi="Arial"/>
                <w:sz w:val="12"/>
                <w:szCs w:val="12"/>
                <w:color w:val="auto"/>
              </w:rPr>
              <w:t>2,932</w:t>
            </w:r>
          </w:p>
        </w:tc>
        <w:tc>
          <w:tcPr>
            <w:tcW w:w="920" w:type="dxa"/>
            <w:vAlign w:val="bottom"/>
            <w:vMerge w:val="restart"/>
          </w:tcPr>
          <w:p>
            <w:pPr>
              <w:jc w:val="right"/>
              <w:ind w:right="161"/>
              <w:spacing w:after="0"/>
              <w:rPr>
                <w:sz w:val="20"/>
                <w:szCs w:val="20"/>
                <w:color w:val="auto"/>
              </w:rPr>
            </w:pPr>
            <w:r>
              <w:rPr>
                <w:rFonts w:ascii="Arial" w:cs="Arial" w:eastAsia="Arial" w:hAnsi="Arial"/>
                <w:sz w:val="12"/>
                <w:szCs w:val="12"/>
                <w:color w:val="auto"/>
              </w:rPr>
              <w:t>5,864</w:t>
            </w: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11,728</w:t>
            </w:r>
          </w:p>
        </w:tc>
        <w:tc>
          <w:tcPr>
            <w:tcW w:w="880" w:type="dxa"/>
            <w:vAlign w:val="bottom"/>
            <w:vMerge w:val="restart"/>
          </w:tcPr>
          <w:p>
            <w:pPr>
              <w:jc w:val="right"/>
              <w:ind w:right="120"/>
              <w:spacing w:after="0"/>
              <w:rPr>
                <w:sz w:val="20"/>
                <w:szCs w:val="20"/>
                <w:color w:val="auto"/>
              </w:rPr>
            </w:pPr>
            <w:r>
              <w:rPr>
                <w:rFonts w:ascii="Arial" w:cs="Arial" w:eastAsia="Arial" w:hAnsi="Arial"/>
                <w:sz w:val="12"/>
                <w:szCs w:val="12"/>
                <w:color w:val="auto"/>
              </w:rPr>
              <w:t>3,909</w:t>
            </w:r>
          </w:p>
        </w:tc>
        <w:tc>
          <w:tcPr>
            <w:tcW w:w="960" w:type="dxa"/>
            <w:vAlign w:val="bottom"/>
            <w:vMerge w:val="restart"/>
          </w:tcPr>
          <w:p>
            <w:pPr>
              <w:jc w:val="right"/>
              <w:ind w:right="40"/>
              <w:spacing w:after="0"/>
              <w:rPr>
                <w:sz w:val="20"/>
                <w:szCs w:val="20"/>
                <w:color w:val="auto"/>
              </w:rPr>
            </w:pPr>
            <w:r>
              <w:rPr>
                <w:rFonts w:ascii="Arial" w:cs="Arial" w:eastAsia="Arial" w:hAnsi="Arial"/>
                <w:sz w:val="12"/>
                <w:szCs w:val="12"/>
                <w:color w:val="auto"/>
              </w:rPr>
              <w:t>776,798</w:t>
            </w:r>
          </w:p>
        </w:tc>
        <w:tc>
          <w:tcPr>
            <w:tcW w:w="0" w:type="dxa"/>
            <w:vAlign w:val="bottom"/>
          </w:tcPr>
          <w:p>
            <w:pPr>
              <w:spacing w:after="0"/>
              <w:rPr>
                <w:sz w:val="1"/>
                <w:szCs w:val="1"/>
                <w:color w:val="auto"/>
              </w:rPr>
            </w:pPr>
          </w:p>
        </w:tc>
      </w:tr>
      <w:tr>
        <w:trPr>
          <w:trHeight w:val="86"/>
        </w:trPr>
        <w:tc>
          <w:tcPr>
            <w:tcW w:w="1460" w:type="dxa"/>
            <w:vAlign w:val="bottom"/>
            <w:vMerge w:val="restart"/>
          </w:tcPr>
          <w:p>
            <w:pPr>
              <w:ind w:left="100"/>
              <w:spacing w:after="0"/>
              <w:rPr>
                <w:sz w:val="20"/>
                <w:szCs w:val="20"/>
                <w:color w:val="auto"/>
              </w:rPr>
            </w:pPr>
            <w:r>
              <w:rPr>
                <w:rFonts w:ascii="Arial" w:cs="Arial" w:eastAsia="Arial" w:hAnsi="Arial"/>
                <w:sz w:val="12"/>
                <w:szCs w:val="12"/>
                <w:b w:val="1"/>
                <w:bCs w:val="1"/>
                <w:color w:val="4CCEDE"/>
              </w:rPr>
              <w:t>Assis</w:t>
            </w:r>
          </w:p>
        </w:tc>
        <w:tc>
          <w:tcPr>
            <w:tcW w:w="9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460" w:type="dxa"/>
            <w:vAlign w:val="bottom"/>
            <w:tcBorders>
              <w:bottom w:val="single" w:sz="8" w:color="867F7C"/>
            </w:tcBorders>
            <w:vMerge w:val="continue"/>
          </w:tcPr>
          <w:p>
            <w:pPr>
              <w:spacing w:after="0"/>
              <w:rPr>
                <w:sz w:val="5"/>
                <w:szCs w:val="5"/>
                <w:color w:val="auto"/>
              </w:rPr>
            </w:pPr>
          </w:p>
        </w:tc>
        <w:tc>
          <w:tcPr>
            <w:tcW w:w="80" w:type="dxa"/>
            <w:vAlign w:val="bottom"/>
            <w:tcBorders>
              <w:bottom w:val="single" w:sz="8" w:color="867F7C"/>
            </w:tcBorders>
          </w:tcPr>
          <w:p>
            <w:pPr>
              <w:spacing w:after="0"/>
              <w:rPr>
                <w:sz w:val="5"/>
                <w:szCs w:val="5"/>
                <w:color w:val="auto"/>
              </w:rPr>
            </w:pPr>
          </w:p>
        </w:tc>
        <w:tc>
          <w:tcPr>
            <w:tcW w:w="820" w:type="dxa"/>
            <w:vAlign w:val="bottom"/>
            <w:tcBorders>
              <w:bottom w:val="single" w:sz="8" w:color="867F7C"/>
            </w:tcBorders>
          </w:tcPr>
          <w:p>
            <w:pPr>
              <w:spacing w:after="0"/>
              <w:rPr>
                <w:sz w:val="5"/>
                <w:szCs w:val="5"/>
                <w:color w:val="auto"/>
              </w:rPr>
            </w:pPr>
          </w:p>
        </w:tc>
        <w:tc>
          <w:tcPr>
            <w:tcW w:w="780" w:type="dxa"/>
            <w:vAlign w:val="bottom"/>
            <w:tcBorders>
              <w:bottom w:val="single" w:sz="8" w:color="867F7C"/>
            </w:tcBorders>
          </w:tcPr>
          <w:p>
            <w:pPr>
              <w:spacing w:after="0"/>
              <w:rPr>
                <w:sz w:val="5"/>
                <w:szCs w:val="5"/>
                <w:color w:val="auto"/>
              </w:rPr>
            </w:pPr>
          </w:p>
        </w:tc>
        <w:tc>
          <w:tcPr>
            <w:tcW w:w="860" w:type="dxa"/>
            <w:vAlign w:val="bottom"/>
            <w:tcBorders>
              <w:bottom w:val="single" w:sz="8" w:color="867F7C"/>
            </w:tcBorders>
          </w:tcPr>
          <w:p>
            <w:pPr>
              <w:spacing w:after="0"/>
              <w:rPr>
                <w:sz w:val="5"/>
                <w:szCs w:val="5"/>
                <w:color w:val="auto"/>
              </w:rPr>
            </w:pPr>
          </w:p>
        </w:tc>
        <w:tc>
          <w:tcPr>
            <w:tcW w:w="780" w:type="dxa"/>
            <w:vAlign w:val="bottom"/>
            <w:tcBorders>
              <w:bottom w:val="single" w:sz="8" w:color="867F7C"/>
            </w:tcBorders>
          </w:tcPr>
          <w:p>
            <w:pPr>
              <w:spacing w:after="0"/>
              <w:rPr>
                <w:sz w:val="5"/>
                <w:szCs w:val="5"/>
                <w:color w:val="auto"/>
              </w:rPr>
            </w:pPr>
          </w:p>
        </w:tc>
        <w:tc>
          <w:tcPr>
            <w:tcW w:w="240" w:type="dxa"/>
            <w:vAlign w:val="bottom"/>
            <w:tcBorders>
              <w:bottom w:val="single" w:sz="8" w:color="867F7C"/>
            </w:tcBorders>
          </w:tcPr>
          <w:p>
            <w:pPr>
              <w:spacing w:after="0"/>
              <w:rPr>
                <w:sz w:val="5"/>
                <w:szCs w:val="5"/>
                <w:color w:val="auto"/>
              </w:rPr>
            </w:pPr>
          </w:p>
        </w:tc>
        <w:tc>
          <w:tcPr>
            <w:tcW w:w="620" w:type="dxa"/>
            <w:vAlign w:val="bottom"/>
            <w:tcBorders>
              <w:bottom w:val="single" w:sz="8" w:color="867F7C"/>
            </w:tcBorders>
          </w:tcPr>
          <w:p>
            <w:pPr>
              <w:spacing w:after="0"/>
              <w:rPr>
                <w:sz w:val="5"/>
                <w:szCs w:val="5"/>
                <w:color w:val="auto"/>
              </w:rPr>
            </w:pPr>
          </w:p>
        </w:tc>
        <w:tc>
          <w:tcPr>
            <w:tcW w:w="920" w:type="dxa"/>
            <w:vAlign w:val="bottom"/>
            <w:tcBorders>
              <w:bottom w:val="single" w:sz="8" w:color="867F7C"/>
            </w:tcBorders>
          </w:tcPr>
          <w:p>
            <w:pPr>
              <w:spacing w:after="0"/>
              <w:rPr>
                <w:sz w:val="5"/>
                <w:szCs w:val="5"/>
                <w:color w:val="auto"/>
              </w:rPr>
            </w:pPr>
          </w:p>
        </w:tc>
        <w:tc>
          <w:tcPr>
            <w:tcW w:w="680" w:type="dxa"/>
            <w:vAlign w:val="bottom"/>
            <w:tcBorders>
              <w:bottom w:val="single" w:sz="8" w:color="867F7C"/>
            </w:tcBorders>
          </w:tcPr>
          <w:p>
            <w:pPr>
              <w:spacing w:after="0"/>
              <w:rPr>
                <w:sz w:val="5"/>
                <w:szCs w:val="5"/>
                <w:color w:val="auto"/>
              </w:rPr>
            </w:pPr>
          </w:p>
        </w:tc>
        <w:tc>
          <w:tcPr>
            <w:tcW w:w="880" w:type="dxa"/>
            <w:vAlign w:val="bottom"/>
            <w:tcBorders>
              <w:bottom w:val="single" w:sz="8" w:color="867F7C"/>
            </w:tcBorders>
          </w:tcPr>
          <w:p>
            <w:pPr>
              <w:spacing w:after="0"/>
              <w:rPr>
                <w:sz w:val="5"/>
                <w:szCs w:val="5"/>
                <w:color w:val="auto"/>
              </w:rPr>
            </w:pPr>
          </w:p>
        </w:tc>
        <w:tc>
          <w:tcPr>
            <w:tcW w:w="960" w:type="dxa"/>
            <w:vAlign w:val="bottom"/>
            <w:tcBorders>
              <w:bottom w:val="single" w:sz="8" w:color="867F7C"/>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460" w:type="dxa"/>
            <w:vAlign w:val="bottom"/>
            <w:tcBorders>
              <w:bottom w:val="single" w:sz="8" w:color="867F7C"/>
            </w:tcBorders>
          </w:tcPr>
          <w:p>
            <w:pPr>
              <w:ind w:left="100"/>
              <w:spacing w:after="0"/>
              <w:rPr>
                <w:sz w:val="20"/>
                <w:szCs w:val="20"/>
                <w:color w:val="auto"/>
              </w:rPr>
            </w:pPr>
            <w:r>
              <w:rPr>
                <w:rFonts w:ascii="Arial" w:cs="Arial" w:eastAsia="Arial" w:hAnsi="Arial"/>
                <w:sz w:val="12"/>
                <w:szCs w:val="12"/>
                <w:b w:val="1"/>
                <w:bCs w:val="1"/>
                <w:color w:val="4CCEDE"/>
              </w:rPr>
              <w:t>Osama M. Musa</w:t>
            </w:r>
          </w:p>
        </w:tc>
        <w:tc>
          <w:tcPr>
            <w:tcW w:w="900" w:type="dxa"/>
            <w:vAlign w:val="bottom"/>
            <w:tcBorders>
              <w:bottom w:val="single" w:sz="8" w:color="867F7C"/>
            </w:tcBorders>
            <w:gridSpan w:val="2"/>
          </w:tcPr>
          <w:p>
            <w:pPr>
              <w:jc w:val="center"/>
              <w:spacing w:after="0"/>
              <w:rPr>
                <w:sz w:val="20"/>
                <w:szCs w:val="20"/>
                <w:color w:val="auto"/>
              </w:rPr>
            </w:pPr>
            <w:r>
              <w:rPr>
                <w:rFonts w:ascii="Arial" w:cs="Arial" w:eastAsia="Arial" w:hAnsi="Arial"/>
                <w:sz w:val="12"/>
                <w:szCs w:val="12"/>
                <w:color w:val="auto"/>
                <w:w w:val="99"/>
              </w:rPr>
              <w:t>11/13/2024</w:t>
            </w:r>
          </w:p>
        </w:tc>
        <w:tc>
          <w:tcPr>
            <w:tcW w:w="780" w:type="dxa"/>
            <w:vAlign w:val="bottom"/>
            <w:tcBorders>
              <w:bottom w:val="single" w:sz="8" w:color="867F7C"/>
            </w:tcBorders>
          </w:tcPr>
          <w:p>
            <w:pPr>
              <w:jc w:val="right"/>
              <w:ind w:right="121"/>
              <w:spacing w:after="0"/>
              <w:rPr>
                <w:sz w:val="20"/>
                <w:szCs w:val="20"/>
                <w:color w:val="auto"/>
              </w:rPr>
            </w:pPr>
            <w:r>
              <w:rPr>
                <w:rFonts w:ascii="Arial" w:cs="Arial" w:eastAsia="Arial" w:hAnsi="Arial"/>
                <w:sz w:val="12"/>
                <w:szCs w:val="12"/>
                <w:color w:val="auto"/>
              </w:rPr>
              <w:t>157,413</w:t>
            </w:r>
          </w:p>
        </w:tc>
        <w:tc>
          <w:tcPr>
            <w:tcW w:w="860" w:type="dxa"/>
            <w:vAlign w:val="bottom"/>
            <w:tcBorders>
              <w:bottom w:val="single" w:sz="8" w:color="867F7C"/>
            </w:tcBorders>
          </w:tcPr>
          <w:p>
            <w:pPr>
              <w:jc w:val="right"/>
              <w:ind w:right="81"/>
              <w:spacing w:after="0"/>
              <w:rPr>
                <w:sz w:val="20"/>
                <w:szCs w:val="20"/>
                <w:color w:val="auto"/>
              </w:rPr>
            </w:pPr>
            <w:r>
              <w:rPr>
                <w:rFonts w:ascii="Arial" w:cs="Arial" w:eastAsia="Arial" w:hAnsi="Arial"/>
                <w:sz w:val="12"/>
                <w:szCs w:val="12"/>
                <w:color w:val="auto"/>
              </w:rPr>
              <w:t>393,533</w:t>
            </w:r>
          </w:p>
        </w:tc>
        <w:tc>
          <w:tcPr>
            <w:tcW w:w="780" w:type="dxa"/>
            <w:vAlign w:val="bottom"/>
            <w:tcBorders>
              <w:bottom w:val="single" w:sz="8" w:color="867F7C"/>
            </w:tcBorders>
          </w:tcPr>
          <w:p>
            <w:pPr>
              <w:jc w:val="right"/>
              <w:spacing w:after="0"/>
              <w:rPr>
                <w:sz w:val="20"/>
                <w:szCs w:val="20"/>
                <w:color w:val="auto"/>
              </w:rPr>
            </w:pPr>
            <w:r>
              <w:rPr>
                <w:rFonts w:ascii="Arial" w:cs="Arial" w:eastAsia="Arial" w:hAnsi="Arial"/>
                <w:sz w:val="12"/>
                <w:szCs w:val="12"/>
                <w:color w:val="auto"/>
              </w:rPr>
              <w:t>787,065</w:t>
            </w:r>
          </w:p>
        </w:tc>
        <w:tc>
          <w:tcPr>
            <w:tcW w:w="860" w:type="dxa"/>
            <w:vAlign w:val="bottom"/>
            <w:tcBorders>
              <w:bottom w:val="single" w:sz="8" w:color="867F7C"/>
            </w:tcBorders>
            <w:gridSpan w:val="2"/>
          </w:tcPr>
          <w:p>
            <w:pPr>
              <w:jc w:val="right"/>
              <w:ind w:right="37"/>
              <w:spacing w:after="0"/>
              <w:rPr>
                <w:sz w:val="20"/>
                <w:szCs w:val="20"/>
                <w:color w:val="auto"/>
              </w:rPr>
            </w:pPr>
            <w:r>
              <w:rPr>
                <w:rFonts w:ascii="Arial" w:cs="Arial" w:eastAsia="Arial" w:hAnsi="Arial"/>
                <w:sz w:val="12"/>
                <w:szCs w:val="12"/>
                <w:color w:val="auto"/>
              </w:rPr>
              <w:t>3,049</w:t>
            </w:r>
          </w:p>
        </w:tc>
        <w:tc>
          <w:tcPr>
            <w:tcW w:w="920" w:type="dxa"/>
            <w:vAlign w:val="bottom"/>
            <w:tcBorders>
              <w:bottom w:val="single" w:sz="8" w:color="867F7C"/>
            </w:tcBorders>
          </w:tcPr>
          <w:p>
            <w:pPr>
              <w:jc w:val="right"/>
              <w:ind w:right="161"/>
              <w:spacing w:after="0"/>
              <w:rPr>
                <w:sz w:val="20"/>
                <w:szCs w:val="20"/>
                <w:color w:val="auto"/>
              </w:rPr>
            </w:pPr>
            <w:r>
              <w:rPr>
                <w:rFonts w:ascii="Arial" w:cs="Arial" w:eastAsia="Arial" w:hAnsi="Arial"/>
                <w:sz w:val="12"/>
                <w:szCs w:val="12"/>
                <w:color w:val="auto"/>
              </w:rPr>
              <w:t>6,097</w:t>
            </w:r>
          </w:p>
        </w:tc>
        <w:tc>
          <w:tcPr>
            <w:tcW w:w="680" w:type="dxa"/>
            <w:vAlign w:val="bottom"/>
            <w:tcBorders>
              <w:bottom w:val="single" w:sz="8" w:color="867F7C"/>
            </w:tcBorders>
          </w:tcPr>
          <w:p>
            <w:pPr>
              <w:jc w:val="right"/>
              <w:ind w:right="42"/>
              <w:spacing w:after="0"/>
              <w:rPr>
                <w:sz w:val="20"/>
                <w:szCs w:val="20"/>
                <w:color w:val="auto"/>
              </w:rPr>
            </w:pPr>
            <w:r>
              <w:rPr>
                <w:rFonts w:ascii="Arial" w:cs="Arial" w:eastAsia="Arial" w:hAnsi="Arial"/>
                <w:sz w:val="12"/>
                <w:szCs w:val="12"/>
                <w:color w:val="auto"/>
              </w:rPr>
              <w:t>12,194</w:t>
            </w: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4,064</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807,638</w:t>
            </w:r>
          </w:p>
        </w:tc>
        <w:tc>
          <w:tcPr>
            <w:tcW w:w="0" w:type="dxa"/>
            <w:vAlign w:val="bottom"/>
          </w:tcPr>
          <w:p>
            <w:pPr>
              <w:spacing w:after="0"/>
              <w:rPr>
                <w:sz w:val="1"/>
                <w:szCs w:val="1"/>
                <w:color w:val="auto"/>
              </w:rPr>
            </w:pPr>
          </w:p>
        </w:tc>
      </w:tr>
      <w:tr>
        <w:trPr>
          <w:trHeight w:val="183"/>
        </w:trPr>
        <w:tc>
          <w:tcPr>
            <w:tcW w:w="1460" w:type="dxa"/>
            <w:vAlign w:val="bottom"/>
            <w:tcBorders>
              <w:bottom w:val="single" w:sz="8" w:color="867F7C"/>
            </w:tcBorders>
          </w:tcPr>
          <w:p>
            <w:pPr>
              <w:ind w:left="100"/>
              <w:spacing w:after="0"/>
              <w:rPr>
                <w:sz w:val="20"/>
                <w:szCs w:val="20"/>
                <w:color w:val="auto"/>
              </w:rPr>
            </w:pPr>
            <w:r>
              <w:rPr>
                <w:rFonts w:ascii="Arial" w:cs="Arial" w:eastAsia="Arial" w:hAnsi="Arial"/>
                <w:sz w:val="12"/>
                <w:szCs w:val="12"/>
                <w:b w:val="1"/>
                <w:bCs w:val="1"/>
                <w:color w:val="4CCEDE"/>
              </w:rPr>
              <w:t>James Minicucci</w:t>
            </w:r>
          </w:p>
        </w:tc>
        <w:tc>
          <w:tcPr>
            <w:tcW w:w="900" w:type="dxa"/>
            <w:vAlign w:val="bottom"/>
            <w:tcBorders>
              <w:bottom w:val="single" w:sz="8" w:color="867F7C"/>
            </w:tcBorders>
            <w:gridSpan w:val="2"/>
          </w:tcPr>
          <w:p>
            <w:pPr>
              <w:jc w:val="center"/>
              <w:spacing w:after="0"/>
              <w:rPr>
                <w:sz w:val="20"/>
                <w:szCs w:val="20"/>
                <w:color w:val="auto"/>
              </w:rPr>
            </w:pPr>
            <w:r>
              <w:rPr>
                <w:rFonts w:ascii="Arial" w:cs="Arial" w:eastAsia="Arial" w:hAnsi="Arial"/>
                <w:sz w:val="12"/>
                <w:szCs w:val="12"/>
                <w:color w:val="auto"/>
                <w:w w:val="99"/>
              </w:rPr>
              <w:t>11/13/2024</w:t>
            </w:r>
          </w:p>
        </w:tc>
        <w:tc>
          <w:tcPr>
            <w:tcW w:w="780" w:type="dxa"/>
            <w:vAlign w:val="bottom"/>
            <w:tcBorders>
              <w:bottom w:val="single" w:sz="8" w:color="867F7C"/>
            </w:tcBorders>
          </w:tcPr>
          <w:p>
            <w:pPr>
              <w:jc w:val="right"/>
              <w:ind w:right="121"/>
              <w:spacing w:after="0"/>
              <w:rPr>
                <w:sz w:val="20"/>
                <w:szCs w:val="20"/>
                <w:color w:val="auto"/>
              </w:rPr>
            </w:pPr>
            <w:r>
              <w:rPr>
                <w:rFonts w:ascii="Arial" w:cs="Arial" w:eastAsia="Arial" w:hAnsi="Arial"/>
                <w:sz w:val="12"/>
                <w:szCs w:val="12"/>
                <w:color w:val="auto"/>
              </w:rPr>
              <w:t>119,974</w:t>
            </w:r>
          </w:p>
        </w:tc>
        <w:tc>
          <w:tcPr>
            <w:tcW w:w="860" w:type="dxa"/>
            <w:vAlign w:val="bottom"/>
            <w:tcBorders>
              <w:bottom w:val="single" w:sz="8" w:color="867F7C"/>
            </w:tcBorders>
          </w:tcPr>
          <w:p>
            <w:pPr>
              <w:jc w:val="right"/>
              <w:ind w:right="81"/>
              <w:spacing w:after="0"/>
              <w:rPr>
                <w:sz w:val="20"/>
                <w:szCs w:val="20"/>
                <w:color w:val="auto"/>
              </w:rPr>
            </w:pPr>
            <w:r>
              <w:rPr>
                <w:rFonts w:ascii="Arial" w:cs="Arial" w:eastAsia="Arial" w:hAnsi="Arial"/>
                <w:sz w:val="12"/>
                <w:szCs w:val="12"/>
                <w:color w:val="auto"/>
              </w:rPr>
              <w:t>299,936</w:t>
            </w:r>
          </w:p>
        </w:tc>
        <w:tc>
          <w:tcPr>
            <w:tcW w:w="780" w:type="dxa"/>
            <w:vAlign w:val="bottom"/>
            <w:tcBorders>
              <w:bottom w:val="single" w:sz="8" w:color="867F7C"/>
            </w:tcBorders>
          </w:tcPr>
          <w:p>
            <w:pPr>
              <w:jc w:val="right"/>
              <w:spacing w:after="0"/>
              <w:rPr>
                <w:sz w:val="20"/>
                <w:szCs w:val="20"/>
                <w:color w:val="auto"/>
              </w:rPr>
            </w:pPr>
            <w:r>
              <w:rPr>
                <w:rFonts w:ascii="Arial" w:cs="Arial" w:eastAsia="Arial" w:hAnsi="Arial"/>
                <w:sz w:val="12"/>
                <w:szCs w:val="12"/>
                <w:color w:val="auto"/>
              </w:rPr>
              <w:t>599,872</w:t>
            </w:r>
          </w:p>
        </w:tc>
        <w:tc>
          <w:tcPr>
            <w:tcW w:w="860" w:type="dxa"/>
            <w:vAlign w:val="bottom"/>
            <w:tcBorders>
              <w:bottom w:val="single" w:sz="8" w:color="867F7C"/>
            </w:tcBorders>
            <w:gridSpan w:val="2"/>
          </w:tcPr>
          <w:p>
            <w:pPr>
              <w:jc w:val="right"/>
              <w:ind w:right="37"/>
              <w:spacing w:after="0"/>
              <w:rPr>
                <w:sz w:val="20"/>
                <w:szCs w:val="20"/>
                <w:color w:val="auto"/>
              </w:rPr>
            </w:pPr>
            <w:r>
              <w:rPr>
                <w:rFonts w:ascii="Arial" w:cs="Arial" w:eastAsia="Arial" w:hAnsi="Arial"/>
                <w:sz w:val="12"/>
                <w:szCs w:val="12"/>
                <w:color w:val="auto"/>
              </w:rPr>
              <w:t>2,234</w:t>
            </w:r>
          </w:p>
        </w:tc>
        <w:tc>
          <w:tcPr>
            <w:tcW w:w="920" w:type="dxa"/>
            <w:vAlign w:val="bottom"/>
            <w:tcBorders>
              <w:bottom w:val="single" w:sz="8" w:color="867F7C"/>
            </w:tcBorders>
          </w:tcPr>
          <w:p>
            <w:pPr>
              <w:jc w:val="right"/>
              <w:ind w:right="161"/>
              <w:spacing w:after="0"/>
              <w:rPr>
                <w:sz w:val="20"/>
                <w:szCs w:val="20"/>
                <w:color w:val="auto"/>
              </w:rPr>
            </w:pPr>
            <w:r>
              <w:rPr>
                <w:rFonts w:ascii="Arial" w:cs="Arial" w:eastAsia="Arial" w:hAnsi="Arial"/>
                <w:sz w:val="12"/>
                <w:szCs w:val="12"/>
                <w:color w:val="auto"/>
              </w:rPr>
              <w:t>4,468</w:t>
            </w:r>
          </w:p>
        </w:tc>
        <w:tc>
          <w:tcPr>
            <w:tcW w:w="680" w:type="dxa"/>
            <w:vAlign w:val="bottom"/>
            <w:tcBorders>
              <w:bottom w:val="single" w:sz="8" w:color="867F7C"/>
            </w:tcBorders>
          </w:tcPr>
          <w:p>
            <w:pPr>
              <w:jc w:val="right"/>
              <w:ind w:right="42"/>
              <w:spacing w:after="0"/>
              <w:rPr>
                <w:sz w:val="20"/>
                <w:szCs w:val="20"/>
                <w:color w:val="auto"/>
              </w:rPr>
            </w:pPr>
            <w:r>
              <w:rPr>
                <w:rFonts w:ascii="Arial" w:cs="Arial" w:eastAsia="Arial" w:hAnsi="Arial"/>
                <w:sz w:val="12"/>
                <w:szCs w:val="12"/>
                <w:color w:val="auto"/>
              </w:rPr>
              <w:t>8,936</w:t>
            </w: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2,978</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591,839</w:t>
            </w:r>
          </w:p>
        </w:tc>
        <w:tc>
          <w:tcPr>
            <w:tcW w:w="0" w:type="dxa"/>
            <w:vAlign w:val="bottom"/>
          </w:tcPr>
          <w:p>
            <w:pPr>
              <w:spacing w:after="0"/>
              <w:rPr>
                <w:sz w:val="1"/>
                <w:szCs w:val="1"/>
                <w:color w:val="auto"/>
              </w:rPr>
            </w:pPr>
          </w:p>
        </w:tc>
      </w:tr>
      <w:tr>
        <w:trPr>
          <w:trHeight w:val="182"/>
        </w:trPr>
        <w:tc>
          <w:tcPr>
            <w:tcW w:w="1460" w:type="dxa"/>
            <w:vAlign w:val="bottom"/>
            <w:tcBorders>
              <w:bottom w:val="single" w:sz="8" w:color="867F7C"/>
            </w:tcBorders>
          </w:tcPr>
          <w:p>
            <w:pPr>
              <w:ind w:left="100"/>
              <w:spacing w:after="0"/>
              <w:rPr>
                <w:sz w:val="20"/>
                <w:szCs w:val="20"/>
                <w:color w:val="auto"/>
              </w:rPr>
            </w:pPr>
            <w:r>
              <w:rPr>
                <w:rFonts w:ascii="Arial" w:cs="Arial" w:eastAsia="Arial" w:hAnsi="Arial"/>
                <w:sz w:val="12"/>
                <w:szCs w:val="12"/>
                <w:b w:val="1"/>
                <w:bCs w:val="1"/>
                <w:color w:val="4CCEDE"/>
              </w:rPr>
              <w:t>Karl Bostaph</w:t>
            </w:r>
          </w:p>
        </w:tc>
        <w:tc>
          <w:tcPr>
            <w:tcW w:w="900" w:type="dxa"/>
            <w:vAlign w:val="bottom"/>
            <w:tcBorders>
              <w:bottom w:val="single" w:sz="8" w:color="867F7C"/>
            </w:tcBorders>
            <w:gridSpan w:val="2"/>
          </w:tcPr>
          <w:p>
            <w:pPr>
              <w:jc w:val="center"/>
              <w:spacing w:after="0"/>
              <w:rPr>
                <w:sz w:val="20"/>
                <w:szCs w:val="20"/>
                <w:color w:val="auto"/>
              </w:rPr>
            </w:pPr>
            <w:r>
              <w:rPr>
                <w:rFonts w:ascii="Arial" w:cs="Arial" w:eastAsia="Arial" w:hAnsi="Arial"/>
                <w:sz w:val="12"/>
                <w:szCs w:val="12"/>
                <w:color w:val="auto"/>
                <w:w w:val="99"/>
              </w:rPr>
              <w:t>11/13/2024</w:t>
            </w:r>
          </w:p>
        </w:tc>
        <w:tc>
          <w:tcPr>
            <w:tcW w:w="780" w:type="dxa"/>
            <w:vAlign w:val="bottom"/>
            <w:tcBorders>
              <w:bottom w:val="single" w:sz="8" w:color="867F7C"/>
            </w:tcBorders>
          </w:tcPr>
          <w:p>
            <w:pPr>
              <w:jc w:val="right"/>
              <w:ind w:right="121"/>
              <w:spacing w:after="0"/>
              <w:rPr>
                <w:sz w:val="20"/>
                <w:szCs w:val="20"/>
                <w:color w:val="auto"/>
              </w:rPr>
            </w:pPr>
            <w:r>
              <w:rPr>
                <w:rFonts w:ascii="Arial" w:cs="Arial" w:eastAsia="Arial" w:hAnsi="Arial"/>
                <w:sz w:val="12"/>
                <w:szCs w:val="12"/>
                <w:color w:val="auto"/>
              </w:rPr>
              <w:t>104,619</w:t>
            </w:r>
          </w:p>
        </w:tc>
        <w:tc>
          <w:tcPr>
            <w:tcW w:w="860" w:type="dxa"/>
            <w:vAlign w:val="bottom"/>
            <w:tcBorders>
              <w:bottom w:val="single" w:sz="8" w:color="867F7C"/>
            </w:tcBorders>
          </w:tcPr>
          <w:p>
            <w:pPr>
              <w:jc w:val="right"/>
              <w:ind w:right="81"/>
              <w:spacing w:after="0"/>
              <w:rPr>
                <w:sz w:val="20"/>
                <w:szCs w:val="20"/>
                <w:color w:val="auto"/>
              </w:rPr>
            </w:pPr>
            <w:r>
              <w:rPr>
                <w:rFonts w:ascii="Arial" w:cs="Arial" w:eastAsia="Arial" w:hAnsi="Arial"/>
                <w:sz w:val="12"/>
                <w:szCs w:val="12"/>
                <w:color w:val="auto"/>
              </w:rPr>
              <w:t>261,547</w:t>
            </w:r>
          </w:p>
        </w:tc>
        <w:tc>
          <w:tcPr>
            <w:tcW w:w="780" w:type="dxa"/>
            <w:vAlign w:val="bottom"/>
            <w:tcBorders>
              <w:bottom w:val="single" w:sz="8" w:color="867F7C"/>
            </w:tcBorders>
          </w:tcPr>
          <w:p>
            <w:pPr>
              <w:jc w:val="right"/>
              <w:spacing w:after="0"/>
              <w:rPr>
                <w:sz w:val="20"/>
                <w:szCs w:val="20"/>
                <w:color w:val="auto"/>
              </w:rPr>
            </w:pPr>
            <w:r>
              <w:rPr>
                <w:rFonts w:ascii="Arial" w:cs="Arial" w:eastAsia="Arial" w:hAnsi="Arial"/>
                <w:sz w:val="12"/>
                <w:szCs w:val="12"/>
                <w:color w:val="auto"/>
              </w:rPr>
              <w:t>523,094</w:t>
            </w:r>
          </w:p>
        </w:tc>
        <w:tc>
          <w:tcPr>
            <w:tcW w:w="860" w:type="dxa"/>
            <w:vAlign w:val="bottom"/>
            <w:tcBorders>
              <w:bottom w:val="single" w:sz="8" w:color="867F7C"/>
            </w:tcBorders>
            <w:gridSpan w:val="2"/>
          </w:tcPr>
          <w:p>
            <w:pPr>
              <w:jc w:val="right"/>
              <w:ind w:right="37"/>
              <w:spacing w:after="0"/>
              <w:rPr>
                <w:sz w:val="20"/>
                <w:szCs w:val="20"/>
                <w:color w:val="auto"/>
              </w:rPr>
            </w:pPr>
            <w:r>
              <w:rPr>
                <w:rFonts w:ascii="Arial" w:cs="Arial" w:eastAsia="Arial" w:hAnsi="Arial"/>
                <w:sz w:val="12"/>
                <w:szCs w:val="12"/>
                <w:color w:val="auto"/>
              </w:rPr>
              <w:t>1,559</w:t>
            </w:r>
          </w:p>
        </w:tc>
        <w:tc>
          <w:tcPr>
            <w:tcW w:w="920" w:type="dxa"/>
            <w:vAlign w:val="bottom"/>
            <w:tcBorders>
              <w:bottom w:val="single" w:sz="8" w:color="867F7C"/>
            </w:tcBorders>
          </w:tcPr>
          <w:p>
            <w:pPr>
              <w:jc w:val="right"/>
              <w:ind w:right="161"/>
              <w:spacing w:after="0"/>
              <w:rPr>
                <w:sz w:val="20"/>
                <w:szCs w:val="20"/>
                <w:color w:val="auto"/>
              </w:rPr>
            </w:pPr>
            <w:r>
              <w:rPr>
                <w:rFonts w:ascii="Arial" w:cs="Arial" w:eastAsia="Arial" w:hAnsi="Arial"/>
                <w:sz w:val="12"/>
                <w:szCs w:val="12"/>
                <w:color w:val="auto"/>
              </w:rPr>
              <w:t>3,117</w:t>
            </w:r>
          </w:p>
        </w:tc>
        <w:tc>
          <w:tcPr>
            <w:tcW w:w="680" w:type="dxa"/>
            <w:vAlign w:val="bottom"/>
            <w:tcBorders>
              <w:bottom w:val="single" w:sz="8" w:color="867F7C"/>
            </w:tcBorders>
          </w:tcPr>
          <w:p>
            <w:pPr>
              <w:jc w:val="right"/>
              <w:ind w:right="42"/>
              <w:spacing w:after="0"/>
              <w:rPr>
                <w:sz w:val="20"/>
                <w:szCs w:val="20"/>
                <w:color w:val="auto"/>
              </w:rPr>
            </w:pPr>
            <w:r>
              <w:rPr>
                <w:rFonts w:ascii="Arial" w:cs="Arial" w:eastAsia="Arial" w:hAnsi="Arial"/>
                <w:sz w:val="12"/>
                <w:szCs w:val="12"/>
                <w:color w:val="auto"/>
              </w:rPr>
              <w:t>6,234</w:t>
            </w: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2,078</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412,919</w:t>
            </w:r>
          </w:p>
        </w:tc>
        <w:tc>
          <w:tcPr>
            <w:tcW w:w="0" w:type="dxa"/>
            <w:vAlign w:val="bottom"/>
          </w:tcPr>
          <w:p>
            <w:pPr>
              <w:spacing w:after="0"/>
              <w:rPr>
                <w:sz w:val="1"/>
                <w:szCs w:val="1"/>
                <w:color w:val="auto"/>
              </w:rPr>
            </w:pPr>
          </w:p>
        </w:tc>
      </w:tr>
      <w:tr>
        <w:trPr>
          <w:trHeight w:val="183"/>
        </w:trPr>
        <w:tc>
          <w:tcPr>
            <w:tcW w:w="1460" w:type="dxa"/>
            <w:vAlign w:val="bottom"/>
            <w:tcBorders>
              <w:bottom w:val="single" w:sz="8" w:color="867F7C"/>
            </w:tcBorders>
          </w:tcPr>
          <w:p>
            <w:pPr>
              <w:ind w:left="100"/>
              <w:spacing w:after="0"/>
              <w:rPr>
                <w:sz w:val="20"/>
                <w:szCs w:val="20"/>
                <w:color w:val="auto"/>
              </w:rPr>
            </w:pPr>
            <w:r>
              <w:rPr>
                <w:rFonts w:ascii="Arial" w:cs="Arial" w:eastAsia="Arial" w:hAnsi="Arial"/>
                <w:sz w:val="12"/>
                <w:szCs w:val="12"/>
                <w:b w:val="1"/>
                <w:bCs w:val="1"/>
                <w:color w:val="4CCEDE"/>
              </w:rPr>
              <w:t>J. Kevin Willis</w:t>
            </w:r>
          </w:p>
        </w:tc>
        <w:tc>
          <w:tcPr>
            <w:tcW w:w="900" w:type="dxa"/>
            <w:vAlign w:val="bottom"/>
            <w:tcBorders>
              <w:bottom w:val="single" w:sz="8" w:color="867F7C"/>
            </w:tcBorders>
            <w:gridSpan w:val="2"/>
          </w:tcPr>
          <w:p>
            <w:pPr>
              <w:jc w:val="center"/>
              <w:spacing w:after="0"/>
              <w:rPr>
                <w:sz w:val="20"/>
                <w:szCs w:val="20"/>
                <w:color w:val="auto"/>
              </w:rPr>
            </w:pPr>
            <w:r>
              <w:rPr>
                <w:rFonts w:ascii="Arial" w:cs="Arial" w:eastAsia="Arial" w:hAnsi="Arial"/>
                <w:sz w:val="12"/>
                <w:szCs w:val="12"/>
                <w:color w:val="auto"/>
                <w:w w:val="99"/>
              </w:rPr>
              <w:t>11/13/2024</w:t>
            </w:r>
          </w:p>
        </w:tc>
        <w:tc>
          <w:tcPr>
            <w:tcW w:w="780" w:type="dxa"/>
            <w:vAlign w:val="bottom"/>
            <w:tcBorders>
              <w:bottom w:val="single" w:sz="8" w:color="867F7C"/>
            </w:tcBorders>
          </w:tcPr>
          <w:p>
            <w:pPr>
              <w:jc w:val="right"/>
              <w:ind w:right="121"/>
              <w:spacing w:after="0"/>
              <w:rPr>
                <w:sz w:val="20"/>
                <w:szCs w:val="20"/>
                <w:color w:val="auto"/>
              </w:rPr>
            </w:pPr>
            <w:r>
              <w:rPr>
                <w:rFonts w:ascii="Arial" w:cs="Arial" w:eastAsia="Arial" w:hAnsi="Arial"/>
                <w:sz w:val="12"/>
                <w:szCs w:val="12"/>
                <w:color w:val="auto"/>
              </w:rPr>
              <w:t>226,897</w:t>
            </w:r>
          </w:p>
        </w:tc>
        <w:tc>
          <w:tcPr>
            <w:tcW w:w="860" w:type="dxa"/>
            <w:vAlign w:val="bottom"/>
            <w:tcBorders>
              <w:bottom w:val="single" w:sz="8" w:color="867F7C"/>
            </w:tcBorders>
          </w:tcPr>
          <w:p>
            <w:pPr>
              <w:jc w:val="right"/>
              <w:ind w:right="81"/>
              <w:spacing w:after="0"/>
              <w:rPr>
                <w:sz w:val="20"/>
                <w:szCs w:val="20"/>
                <w:color w:val="auto"/>
              </w:rPr>
            </w:pPr>
            <w:r>
              <w:rPr>
                <w:rFonts w:ascii="Arial" w:cs="Arial" w:eastAsia="Arial" w:hAnsi="Arial"/>
                <w:sz w:val="12"/>
                <w:szCs w:val="12"/>
                <w:color w:val="auto"/>
              </w:rPr>
              <w:t>567,243</w:t>
            </w:r>
          </w:p>
        </w:tc>
        <w:tc>
          <w:tcPr>
            <w:tcW w:w="780" w:type="dxa"/>
            <w:vAlign w:val="bottom"/>
            <w:tcBorders>
              <w:bottom w:val="single" w:sz="8" w:color="867F7C"/>
            </w:tcBorders>
          </w:tcPr>
          <w:p>
            <w:pPr>
              <w:jc w:val="right"/>
              <w:spacing w:after="0"/>
              <w:rPr>
                <w:sz w:val="20"/>
                <w:szCs w:val="20"/>
                <w:color w:val="auto"/>
              </w:rPr>
            </w:pPr>
            <w:r>
              <w:rPr>
                <w:rFonts w:ascii="Arial" w:cs="Arial" w:eastAsia="Arial" w:hAnsi="Arial"/>
                <w:sz w:val="12"/>
                <w:szCs w:val="12"/>
                <w:color w:val="auto"/>
              </w:rPr>
              <w:t>1,134,486</w:t>
            </w:r>
          </w:p>
        </w:tc>
        <w:tc>
          <w:tcPr>
            <w:tcW w:w="860" w:type="dxa"/>
            <w:vAlign w:val="bottom"/>
            <w:tcBorders>
              <w:bottom w:val="single" w:sz="8" w:color="867F7C"/>
            </w:tcBorders>
            <w:gridSpan w:val="2"/>
          </w:tcPr>
          <w:p>
            <w:pPr>
              <w:jc w:val="right"/>
              <w:ind w:right="37"/>
              <w:spacing w:after="0"/>
              <w:rPr>
                <w:sz w:val="20"/>
                <w:szCs w:val="20"/>
                <w:color w:val="auto"/>
              </w:rPr>
            </w:pPr>
            <w:r>
              <w:rPr>
                <w:rFonts w:ascii="Arial" w:cs="Arial" w:eastAsia="Arial" w:hAnsi="Arial"/>
                <w:sz w:val="12"/>
                <w:szCs w:val="12"/>
                <w:color w:val="auto"/>
              </w:rPr>
              <w:t>5,493</w:t>
            </w:r>
          </w:p>
        </w:tc>
        <w:tc>
          <w:tcPr>
            <w:tcW w:w="920" w:type="dxa"/>
            <w:vAlign w:val="bottom"/>
            <w:tcBorders>
              <w:bottom w:val="single" w:sz="8" w:color="867F7C"/>
            </w:tcBorders>
          </w:tcPr>
          <w:p>
            <w:pPr>
              <w:jc w:val="right"/>
              <w:ind w:right="161"/>
              <w:spacing w:after="0"/>
              <w:rPr>
                <w:sz w:val="20"/>
                <w:szCs w:val="20"/>
                <w:color w:val="auto"/>
              </w:rPr>
            </w:pPr>
            <w:r>
              <w:rPr>
                <w:rFonts w:ascii="Arial" w:cs="Arial" w:eastAsia="Arial" w:hAnsi="Arial"/>
                <w:sz w:val="12"/>
                <w:szCs w:val="12"/>
                <w:color w:val="auto"/>
              </w:rPr>
              <w:t>10,985</w:t>
            </w:r>
          </w:p>
        </w:tc>
        <w:tc>
          <w:tcPr>
            <w:tcW w:w="680" w:type="dxa"/>
            <w:vAlign w:val="bottom"/>
            <w:tcBorders>
              <w:bottom w:val="single" w:sz="8" w:color="867F7C"/>
            </w:tcBorders>
          </w:tcPr>
          <w:p>
            <w:pPr>
              <w:jc w:val="right"/>
              <w:ind w:right="42"/>
              <w:spacing w:after="0"/>
              <w:rPr>
                <w:sz w:val="20"/>
                <w:szCs w:val="20"/>
                <w:color w:val="auto"/>
              </w:rPr>
            </w:pPr>
            <w:r>
              <w:rPr>
                <w:rFonts w:ascii="Arial" w:cs="Arial" w:eastAsia="Arial" w:hAnsi="Arial"/>
                <w:sz w:val="12"/>
                <w:szCs w:val="12"/>
                <w:color w:val="auto"/>
              </w:rPr>
              <w:t>21,970</w:t>
            </w:r>
          </w:p>
        </w:tc>
        <w:tc>
          <w:tcPr>
            <w:tcW w:w="880" w:type="dxa"/>
            <w:vAlign w:val="bottom"/>
            <w:tcBorders>
              <w:bottom w:val="single" w:sz="8" w:color="867F7C"/>
            </w:tcBorders>
          </w:tcPr>
          <w:p>
            <w:pPr>
              <w:jc w:val="right"/>
              <w:ind w:right="120"/>
              <w:spacing w:after="0"/>
              <w:rPr>
                <w:sz w:val="20"/>
                <w:szCs w:val="20"/>
                <w:color w:val="auto"/>
              </w:rPr>
            </w:pPr>
            <w:r>
              <w:rPr>
                <w:rFonts w:ascii="Arial" w:cs="Arial" w:eastAsia="Arial" w:hAnsi="Arial"/>
                <w:sz w:val="12"/>
                <w:szCs w:val="12"/>
                <w:color w:val="auto"/>
              </w:rPr>
              <w:t>7,323</w:t>
            </w:r>
          </w:p>
        </w:tc>
        <w:tc>
          <w:tcPr>
            <w:tcW w:w="960" w:type="dxa"/>
            <w:vAlign w:val="bottom"/>
            <w:tcBorders>
              <w:bottom w:val="single" w:sz="8" w:color="867F7C"/>
            </w:tcBorders>
          </w:tcPr>
          <w:p>
            <w:pPr>
              <w:jc w:val="right"/>
              <w:ind w:right="40"/>
              <w:spacing w:after="0"/>
              <w:rPr>
                <w:sz w:val="20"/>
                <w:szCs w:val="20"/>
                <w:color w:val="auto"/>
              </w:rPr>
            </w:pPr>
            <w:r>
              <w:rPr>
                <w:rFonts w:ascii="Arial" w:cs="Arial" w:eastAsia="Arial" w:hAnsi="Arial"/>
                <w:sz w:val="12"/>
                <w:szCs w:val="12"/>
                <w:color w:val="auto"/>
              </w:rPr>
              <w:t>1,455,194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-1397000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-1397000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ind w:left="220" w:hanging="212"/>
        <w:spacing w:after="0" w:line="285" w:lineRule="auto"/>
        <w:tabs>
          <w:tab w:leader="none" w:pos="220" w:val="left"/>
        </w:tabs>
        <w:numPr>
          <w:ilvl w:val="0"/>
          <w:numId w:val="49"/>
        </w:numPr>
        <w:rPr>
          <w:rFonts w:ascii="Times New Roman" w:cs="Times New Roman" w:eastAsia="Times New Roman" w:hAnsi="Times New Roman"/>
          <w:sz w:val="8"/>
          <w:szCs w:val="8"/>
          <w:color w:val="auto"/>
        </w:rPr>
      </w:pPr>
      <w:r>
        <w:rPr>
          <w:rFonts w:ascii="Arial" w:cs="Arial" w:eastAsia="Arial" w:hAnsi="Arial"/>
          <w:sz w:val="14"/>
          <w:szCs w:val="14"/>
          <w:color w:val="auto"/>
        </w:rPr>
        <w:t>The dates reported in this column represent the grant dates for the equity-based awards disclosed in the “All Other Stock Awards: Number of Shares of Stock or Units” column.</w:t>
      </w:r>
    </w:p>
    <w:p>
      <w:pPr>
        <w:spacing w:after="0" w:line="49" w:lineRule="exact"/>
        <w:rPr>
          <w:rFonts w:ascii="Times New Roman" w:cs="Times New Roman" w:eastAsia="Times New Roman" w:hAnsi="Times New Roman"/>
          <w:sz w:val="8"/>
          <w:szCs w:val="8"/>
          <w:color w:val="auto"/>
        </w:rPr>
      </w:pPr>
    </w:p>
    <w:p>
      <w:pPr>
        <w:jc w:val="both"/>
        <w:ind w:left="220" w:hanging="212"/>
        <w:spacing w:after="0" w:line="263" w:lineRule="auto"/>
        <w:tabs>
          <w:tab w:leader="none" w:pos="220" w:val="left"/>
        </w:tabs>
        <w:numPr>
          <w:ilvl w:val="0"/>
          <w:numId w:val="49"/>
        </w:numPr>
        <w:rPr>
          <w:rFonts w:ascii="Times New Roman" w:cs="Times New Roman" w:eastAsia="Times New Roman" w:hAnsi="Times New Roman"/>
          <w:sz w:val="8"/>
          <w:szCs w:val="8"/>
          <w:color w:val="auto"/>
        </w:rPr>
      </w:pPr>
      <w:r>
        <w:rPr>
          <w:rFonts w:ascii="Arial" w:cs="Arial" w:eastAsia="Arial" w:hAnsi="Arial"/>
          <w:sz w:val="14"/>
          <w:szCs w:val="14"/>
          <w:color w:val="auto"/>
        </w:rPr>
        <w:t>The amounts reported in these columns represent the potential annual incentive payouts under the fiscal year 2025 Annual Incentive Plan. For fiscal 2025, the actual dollar amounts earned will be paid in December 2025 and are reflected in the “Non-Equity Incentive Plan Compensation” column of the “Summary Compensation Table” in this Proxy Statement.</w:t>
      </w:r>
    </w:p>
    <w:p>
      <w:pPr>
        <w:spacing w:after="0" w:line="64" w:lineRule="exact"/>
        <w:rPr>
          <w:rFonts w:ascii="Times New Roman" w:cs="Times New Roman" w:eastAsia="Times New Roman" w:hAnsi="Times New Roman"/>
          <w:sz w:val="8"/>
          <w:szCs w:val="8"/>
          <w:color w:val="auto"/>
        </w:rPr>
      </w:pPr>
    </w:p>
    <w:p>
      <w:pPr>
        <w:jc w:val="both"/>
        <w:ind w:left="220" w:hanging="212"/>
        <w:spacing w:after="0" w:line="263" w:lineRule="auto"/>
        <w:tabs>
          <w:tab w:leader="none" w:pos="220" w:val="left"/>
        </w:tabs>
        <w:numPr>
          <w:ilvl w:val="0"/>
          <w:numId w:val="49"/>
        </w:numPr>
        <w:rPr>
          <w:rFonts w:ascii="Times New Roman" w:cs="Times New Roman" w:eastAsia="Times New Roman" w:hAnsi="Times New Roman"/>
          <w:sz w:val="8"/>
          <w:szCs w:val="8"/>
          <w:color w:val="auto"/>
        </w:rPr>
      </w:pPr>
      <w:r>
        <w:rPr>
          <w:rFonts w:ascii="Arial" w:cs="Arial" w:eastAsia="Arial" w:hAnsi="Arial"/>
          <w:sz w:val="14"/>
          <w:szCs w:val="14"/>
          <w:color w:val="auto"/>
        </w:rPr>
        <w:t>The amounts reported in these columns represent the range of payouts possible in connection with the PSU awards granted under the LTIPP for the fiscal 2025-2027 performance period, granted in November 2024 (and July 2025 for Mr. Whitaker) pursuant to the Ashland Inc. 2021 Omnibus Incentive Compensation Plan (the “2021 Omnibus Plan”).</w:t>
      </w:r>
    </w:p>
    <w:p>
      <w:pPr>
        <w:spacing w:after="0" w:line="64" w:lineRule="exact"/>
        <w:rPr>
          <w:rFonts w:ascii="Times New Roman" w:cs="Times New Roman" w:eastAsia="Times New Roman" w:hAnsi="Times New Roman"/>
          <w:sz w:val="8"/>
          <w:szCs w:val="8"/>
          <w:color w:val="auto"/>
        </w:rPr>
      </w:pPr>
    </w:p>
    <w:p>
      <w:pPr>
        <w:jc w:val="both"/>
        <w:ind w:left="220" w:hanging="212"/>
        <w:spacing w:after="0" w:line="263" w:lineRule="auto"/>
        <w:tabs>
          <w:tab w:leader="none" w:pos="220" w:val="left"/>
        </w:tabs>
        <w:numPr>
          <w:ilvl w:val="0"/>
          <w:numId w:val="49"/>
        </w:numPr>
        <w:rPr>
          <w:rFonts w:ascii="Times New Roman" w:cs="Times New Roman" w:eastAsia="Times New Roman" w:hAnsi="Times New Roman"/>
          <w:sz w:val="8"/>
          <w:szCs w:val="8"/>
          <w:color w:val="auto"/>
        </w:rPr>
      </w:pPr>
      <w:r>
        <w:rPr>
          <w:rFonts w:ascii="Arial" w:cs="Arial" w:eastAsia="Arial" w:hAnsi="Arial"/>
          <w:sz w:val="14"/>
          <w:szCs w:val="14"/>
          <w:color w:val="auto"/>
        </w:rPr>
        <w:t>The amounts reported in this column represent the number of RSUs granted in fiscal 2025 pursuant to the 2021 Omnibus Plan. All RSU awards --other than the retention grant to Mr. Whitaker -- vest in equal annual installments on each anniversary of the grant date over a three-year period.</w:t>
      </w:r>
    </w:p>
    <w:p>
      <w:pPr>
        <w:spacing w:after="0" w:line="64" w:lineRule="exact"/>
        <w:rPr>
          <w:rFonts w:ascii="Times New Roman" w:cs="Times New Roman" w:eastAsia="Times New Roman" w:hAnsi="Times New Roman"/>
          <w:sz w:val="8"/>
          <w:szCs w:val="8"/>
          <w:color w:val="auto"/>
        </w:rPr>
      </w:pPr>
    </w:p>
    <w:p>
      <w:pPr>
        <w:ind w:left="1340" w:hanging="451"/>
        <w:spacing w:after="0" w:line="284" w:lineRule="auto"/>
        <w:tabs>
          <w:tab w:leader="none" w:pos="1340" w:val="left"/>
        </w:tabs>
        <w:numPr>
          <w:ilvl w:val="1"/>
          <w:numId w:val="49"/>
        </w:numPr>
        <w:rPr>
          <w:rFonts w:ascii="Times New Roman" w:cs="Times New Roman" w:eastAsia="Times New Roman" w:hAnsi="Times New Roman"/>
          <w:sz w:val="14"/>
          <w:szCs w:val="14"/>
          <w:color w:val="auto"/>
        </w:rPr>
      </w:pPr>
      <w:r>
        <w:rPr>
          <w:rFonts w:ascii="Arial" w:cs="Arial" w:eastAsia="Arial" w:hAnsi="Arial"/>
          <w:sz w:val="14"/>
          <w:szCs w:val="14"/>
          <w:color w:val="231F20"/>
        </w:rPr>
        <w:t>Mr. Whitaker received an award on May 15, 2025 in recognition of his interim CFO responsibilities; this award will cliff-vest on May 15, 2028.</w:t>
      </w:r>
    </w:p>
    <w:p>
      <w:pPr>
        <w:spacing w:after="0" w:line="50" w:lineRule="exact"/>
        <w:rPr>
          <w:rFonts w:ascii="Times New Roman" w:cs="Times New Roman" w:eastAsia="Times New Roman" w:hAnsi="Times New Roman"/>
          <w:sz w:val="14"/>
          <w:szCs w:val="14"/>
          <w:color w:val="auto"/>
        </w:rPr>
      </w:pPr>
    </w:p>
    <w:p>
      <w:pPr>
        <w:ind w:left="1340" w:hanging="451"/>
        <w:spacing w:after="0" w:line="284" w:lineRule="auto"/>
        <w:tabs>
          <w:tab w:leader="none" w:pos="1340" w:val="left"/>
        </w:tabs>
        <w:numPr>
          <w:ilvl w:val="1"/>
          <w:numId w:val="49"/>
        </w:numPr>
        <w:rPr>
          <w:rFonts w:ascii="Times New Roman" w:cs="Times New Roman" w:eastAsia="Times New Roman" w:hAnsi="Times New Roman"/>
          <w:sz w:val="14"/>
          <w:szCs w:val="14"/>
          <w:color w:val="auto"/>
        </w:rPr>
      </w:pPr>
      <w:r>
        <w:rPr>
          <w:rFonts w:ascii="Arial" w:cs="Arial" w:eastAsia="Arial" w:hAnsi="Arial"/>
          <w:sz w:val="14"/>
          <w:szCs w:val="14"/>
          <w:color w:val="231F20"/>
        </w:rPr>
        <w:t>An additional award was granted on July 18, 2025 to recognize Mr. Whitaker’s appointment as CFO; the July 2025 award will vest in three equal annual installments beginning November 20, 2026.</w:t>
      </w:r>
    </w:p>
    <w:p>
      <w:pPr>
        <w:spacing w:after="0" w:line="50" w:lineRule="exact"/>
        <w:rPr>
          <w:rFonts w:ascii="Times New Roman" w:cs="Times New Roman" w:eastAsia="Times New Roman" w:hAnsi="Times New Roman"/>
          <w:sz w:val="14"/>
          <w:szCs w:val="14"/>
          <w:color w:val="auto"/>
        </w:rPr>
      </w:pPr>
    </w:p>
    <w:p>
      <w:pPr>
        <w:ind w:left="1340" w:hanging="451"/>
        <w:spacing w:after="0"/>
        <w:tabs>
          <w:tab w:leader="none" w:pos="1340" w:val="left"/>
        </w:tabs>
        <w:numPr>
          <w:ilvl w:val="1"/>
          <w:numId w:val="49"/>
        </w:numPr>
        <w:rPr>
          <w:rFonts w:ascii="Times New Roman" w:cs="Times New Roman" w:eastAsia="Times New Roman" w:hAnsi="Times New Roman"/>
          <w:sz w:val="14"/>
          <w:szCs w:val="14"/>
          <w:color w:val="auto"/>
        </w:rPr>
      </w:pPr>
      <w:r>
        <w:rPr>
          <w:rFonts w:ascii="Arial" w:cs="Arial" w:eastAsia="Arial" w:hAnsi="Arial"/>
          <w:sz w:val="14"/>
          <w:szCs w:val="14"/>
          <w:color w:val="231F20"/>
        </w:rPr>
        <w:t>The PSU award will cliff-vest on November 20, 2028.</w:t>
      </w:r>
    </w:p>
    <w:p>
      <w:pPr>
        <w:spacing w:after="0" w:line="108" w:lineRule="exact"/>
        <w:rPr>
          <w:rFonts w:ascii="Times New Roman" w:cs="Times New Roman" w:eastAsia="Times New Roman" w:hAnsi="Times New Roman"/>
          <w:sz w:val="14"/>
          <w:szCs w:val="14"/>
          <w:color w:val="auto"/>
        </w:rPr>
      </w:pPr>
    </w:p>
    <w:p>
      <w:pPr>
        <w:ind w:left="220" w:hanging="212"/>
        <w:spacing w:after="0" w:line="285" w:lineRule="auto"/>
        <w:tabs>
          <w:tab w:leader="none" w:pos="220" w:val="left"/>
        </w:tabs>
        <w:numPr>
          <w:ilvl w:val="0"/>
          <w:numId w:val="49"/>
        </w:numPr>
        <w:rPr>
          <w:rFonts w:ascii="Times New Roman" w:cs="Times New Roman" w:eastAsia="Times New Roman" w:hAnsi="Times New Roman"/>
          <w:sz w:val="8"/>
          <w:szCs w:val="8"/>
          <w:color w:val="231F20"/>
        </w:rPr>
      </w:pPr>
      <w:r>
        <w:rPr>
          <w:rFonts w:ascii="Arial" w:cs="Arial" w:eastAsia="Arial" w:hAnsi="Arial"/>
          <w:sz w:val="14"/>
          <w:szCs w:val="14"/>
          <w:color w:val="231F20"/>
        </w:rPr>
        <w:t>The dollar amounts reported in this column represent the aggregate grant-date fair value of the equity awards (PSUs and RSUs) granted to each NEO and were calculated in accordance with FASB ASC Topic 718. These values:</w:t>
      </w:r>
    </w:p>
    <w:p>
      <w:pPr>
        <w:spacing w:after="0" w:line="49" w:lineRule="exact"/>
        <w:rPr>
          <w:rFonts w:ascii="Times New Roman" w:cs="Times New Roman" w:eastAsia="Times New Roman" w:hAnsi="Times New Roman"/>
          <w:sz w:val="8"/>
          <w:szCs w:val="8"/>
          <w:color w:val="231F20"/>
        </w:rPr>
      </w:pPr>
    </w:p>
    <w:p>
      <w:pPr>
        <w:ind w:left="1340" w:right="20" w:hanging="451"/>
        <w:spacing w:after="0" w:line="284" w:lineRule="auto"/>
        <w:tabs>
          <w:tab w:leader="none" w:pos="1340" w:val="left"/>
        </w:tabs>
        <w:numPr>
          <w:ilvl w:val="1"/>
          <w:numId w:val="49"/>
        </w:numPr>
        <w:rPr>
          <w:rFonts w:ascii="Times New Roman" w:cs="Times New Roman" w:eastAsia="Times New Roman" w:hAnsi="Times New Roman"/>
          <w:sz w:val="14"/>
          <w:szCs w:val="14"/>
          <w:color w:val="auto"/>
        </w:rPr>
      </w:pPr>
      <w:r>
        <w:rPr>
          <w:rFonts w:ascii="Arial" w:cs="Arial" w:eastAsia="Arial" w:hAnsi="Arial"/>
          <w:sz w:val="14"/>
          <w:szCs w:val="14"/>
          <w:color w:val="231F20"/>
        </w:rPr>
        <w:t>assume (i) payment of PSUs at target using a Monte-Carlo simulation incorporating the relative rTSR at $87.57 and RONA as valued at the end of the fourth fiscal quarter;</w:t>
      </w:r>
    </w:p>
    <w:p>
      <w:pPr>
        <w:spacing w:after="0" w:line="50" w:lineRule="exact"/>
        <w:rPr>
          <w:rFonts w:ascii="Times New Roman" w:cs="Times New Roman" w:eastAsia="Times New Roman" w:hAnsi="Times New Roman"/>
          <w:sz w:val="14"/>
          <w:szCs w:val="14"/>
          <w:color w:val="auto"/>
        </w:rPr>
      </w:pPr>
    </w:p>
    <w:p>
      <w:pPr>
        <w:ind w:left="1340" w:hanging="451"/>
        <w:spacing w:after="0" w:line="284" w:lineRule="auto"/>
        <w:tabs>
          <w:tab w:leader="none" w:pos="1340" w:val="left"/>
        </w:tabs>
        <w:numPr>
          <w:ilvl w:val="1"/>
          <w:numId w:val="49"/>
        </w:numPr>
        <w:rPr>
          <w:rFonts w:ascii="Times New Roman" w:cs="Times New Roman" w:eastAsia="Times New Roman" w:hAnsi="Times New Roman"/>
          <w:sz w:val="14"/>
          <w:szCs w:val="14"/>
          <w:color w:val="auto"/>
        </w:rPr>
      </w:pPr>
      <w:r>
        <w:rPr>
          <w:rFonts w:ascii="Arial" w:cs="Arial" w:eastAsia="Arial" w:hAnsi="Arial"/>
          <w:sz w:val="14"/>
          <w:szCs w:val="14"/>
          <w:color w:val="231F20"/>
        </w:rPr>
        <w:t>(ii) for Mr. Whitaker, reflect grant-date fair values of $51.04 per RSU and $85.91 per PSU for awards granted on July 18, 2025, and</w:t>
      </w:r>
    </w:p>
    <w:p>
      <w:pPr>
        <w:spacing w:after="0" w:line="50" w:lineRule="exact"/>
        <w:rPr>
          <w:rFonts w:ascii="Times New Roman" w:cs="Times New Roman" w:eastAsia="Times New Roman" w:hAnsi="Times New Roman"/>
          <w:sz w:val="14"/>
          <w:szCs w:val="14"/>
          <w:color w:val="auto"/>
        </w:rPr>
      </w:pPr>
    </w:p>
    <w:p>
      <w:pPr>
        <w:ind w:left="1340" w:hanging="451"/>
        <w:spacing w:after="0"/>
        <w:tabs>
          <w:tab w:leader="none" w:pos="1340" w:val="left"/>
        </w:tabs>
        <w:numPr>
          <w:ilvl w:val="1"/>
          <w:numId w:val="49"/>
        </w:numPr>
        <w:rPr>
          <w:rFonts w:ascii="Times New Roman" w:cs="Times New Roman" w:eastAsia="Times New Roman" w:hAnsi="Times New Roman"/>
          <w:sz w:val="14"/>
          <w:szCs w:val="14"/>
          <w:color w:val="auto"/>
        </w:rPr>
      </w:pPr>
      <w:r>
        <w:rPr>
          <w:rFonts w:ascii="Arial" w:cs="Arial" w:eastAsia="Arial" w:hAnsi="Arial"/>
          <w:sz w:val="14"/>
          <w:szCs w:val="14"/>
          <w:color w:val="231F20"/>
        </w:rPr>
        <w:t>(iii) for all other NEOs, reflect a grant-date fair value of $77.45 per RSU for awards granted on November 13, 2024.</w:t>
      </w:r>
    </w:p>
    <w:p>
      <w:pPr>
        <w:spacing w:after="0" w:line="400"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867F7C"/>
        </w:rPr>
        <w:t>2025 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fiscal 2025 outstanding equity awards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shows outstanding equity awards held by each of our NEOs as of September 30, 2025, including Stock Appreciation Rights (“SARs“), PSUs, and RSUs, in accordance with the measurement date required for fiscal year-end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109220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500" w:type="dxa"/>
            <w:vAlign w:val="bottom"/>
            <w:tcBorders>
              <w:top w:val="single" w:sz="8" w:color="EFEBE9"/>
            </w:tcBorders>
            <w:shd w:val="clear" w:color="auto" w:fill="EFEBE9"/>
          </w:tcPr>
          <w:p>
            <w:pPr>
              <w:spacing w:after="0"/>
              <w:rPr>
                <w:sz w:val="12"/>
                <w:szCs w:val="12"/>
                <w:color w:val="auto"/>
              </w:rPr>
            </w:pPr>
          </w:p>
        </w:tc>
        <w:tc>
          <w:tcPr>
            <w:tcW w:w="1040" w:type="dxa"/>
            <w:vAlign w:val="bottom"/>
            <w:tcBorders>
              <w:top w:val="single" w:sz="8" w:color="867F7C"/>
            </w:tcBorders>
            <w:shd w:val="clear" w:color="auto" w:fill="EFEBE9"/>
          </w:tcPr>
          <w:p>
            <w:pPr>
              <w:spacing w:after="0"/>
              <w:rPr>
                <w:sz w:val="12"/>
                <w:szCs w:val="12"/>
                <w:color w:val="auto"/>
              </w:rPr>
            </w:pPr>
          </w:p>
        </w:tc>
        <w:tc>
          <w:tcPr>
            <w:tcW w:w="960" w:type="dxa"/>
            <w:vAlign w:val="bottom"/>
            <w:tcBorders>
              <w:top w:val="single" w:sz="8" w:color="867F7C"/>
            </w:tcBorders>
            <w:shd w:val="clear" w:color="auto" w:fill="EFEBE9"/>
          </w:tcPr>
          <w:p>
            <w:pPr>
              <w:spacing w:after="0"/>
              <w:rPr>
                <w:sz w:val="12"/>
                <w:szCs w:val="12"/>
                <w:color w:val="auto"/>
              </w:rPr>
            </w:pPr>
          </w:p>
        </w:tc>
        <w:tc>
          <w:tcPr>
            <w:tcW w:w="1060" w:type="dxa"/>
            <w:vAlign w:val="bottom"/>
            <w:tcBorders>
              <w:top w:val="single" w:sz="8" w:color="867F7C"/>
            </w:tcBorders>
            <w:shd w:val="clear" w:color="auto" w:fill="EFEBE9"/>
          </w:tcPr>
          <w:p>
            <w:pPr>
              <w:spacing w:after="0"/>
              <w:rPr>
                <w:sz w:val="12"/>
                <w:szCs w:val="12"/>
                <w:color w:val="auto"/>
              </w:rPr>
            </w:pPr>
          </w:p>
        </w:tc>
        <w:tc>
          <w:tcPr>
            <w:tcW w:w="80" w:type="dxa"/>
            <w:vAlign w:val="bottom"/>
            <w:tcBorders>
              <w:top w:val="single" w:sz="8" w:color="EFEBE9"/>
            </w:tcBorders>
            <w:shd w:val="clear" w:color="auto" w:fill="EFEBE9"/>
          </w:tcPr>
          <w:p>
            <w:pPr>
              <w:spacing w:after="0"/>
              <w:rPr>
                <w:sz w:val="12"/>
                <w:szCs w:val="12"/>
                <w:color w:val="auto"/>
              </w:rPr>
            </w:pPr>
          </w:p>
        </w:tc>
        <w:tc>
          <w:tcPr>
            <w:tcW w:w="1040" w:type="dxa"/>
            <w:vAlign w:val="bottom"/>
            <w:tcBorders>
              <w:top w:val="single" w:sz="8" w:color="867F7C"/>
            </w:tcBorders>
            <w:shd w:val="clear" w:color="auto" w:fill="EFEBE9"/>
          </w:tcPr>
          <w:p>
            <w:pPr>
              <w:spacing w:after="0"/>
              <w:rPr>
                <w:sz w:val="12"/>
                <w:szCs w:val="12"/>
                <w:color w:val="auto"/>
              </w:rPr>
            </w:pPr>
          </w:p>
        </w:tc>
        <w:tc>
          <w:tcPr>
            <w:tcW w:w="1060" w:type="dxa"/>
            <w:vAlign w:val="bottom"/>
            <w:tcBorders>
              <w:top w:val="single" w:sz="8" w:color="867F7C"/>
            </w:tcBorders>
            <w:shd w:val="clear" w:color="auto" w:fill="EFEBE9"/>
          </w:tcPr>
          <w:p>
            <w:pPr>
              <w:spacing w:after="0"/>
              <w:rPr>
                <w:sz w:val="12"/>
                <w:szCs w:val="12"/>
                <w:color w:val="auto"/>
              </w:rPr>
            </w:pPr>
          </w:p>
        </w:tc>
        <w:tc>
          <w:tcPr>
            <w:tcW w:w="1100" w:type="dxa"/>
            <w:vAlign w:val="bottom"/>
            <w:tcBorders>
              <w:top w:val="single" w:sz="8" w:color="867F7C"/>
            </w:tcBorders>
            <w:shd w:val="clear" w:color="auto" w:fill="EFEBE9"/>
          </w:tcPr>
          <w:p>
            <w:pPr>
              <w:jc w:val="center"/>
              <w:spacing w:after="0"/>
              <w:rPr>
                <w:sz w:val="20"/>
                <w:szCs w:val="20"/>
                <w:color w:val="auto"/>
              </w:rPr>
            </w:pPr>
            <w:r>
              <w:rPr>
                <w:rFonts w:ascii="Arial" w:cs="Arial" w:eastAsia="Arial" w:hAnsi="Arial"/>
                <w:sz w:val="12"/>
                <w:szCs w:val="12"/>
                <w:b w:val="1"/>
                <w:bCs w:val="1"/>
                <w:color w:val="867F7C"/>
                <w:w w:val="98"/>
              </w:rPr>
              <w:t>Equity</w:t>
            </w:r>
          </w:p>
        </w:tc>
        <w:tc>
          <w:tcPr>
            <w:tcW w:w="1240" w:type="dxa"/>
            <w:vAlign w:val="bottom"/>
            <w:tcBorders>
              <w:top w:val="single" w:sz="8" w:color="867F7C"/>
            </w:tcBorders>
            <w:shd w:val="clear" w:color="auto" w:fill="EFEBE9"/>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9"/>
              </w:rPr>
              <w:t>Incentive</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8"/>
              </w:rPr>
              <w:t>Equity</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4"/>
              </w:rPr>
              <w:t>Plan</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Incentive Plan</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Awards:</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Awards:</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10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8"/>
              </w:rPr>
              <w:t>Market</w:t>
            </w: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9"/>
              </w:rPr>
              <w:t>Number of</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Market or</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spacing w:after="0"/>
              <w:rPr>
                <w:sz w:val="11"/>
                <w:szCs w:val="11"/>
                <w:color w:val="auto"/>
              </w:rPr>
            </w:pPr>
          </w:p>
        </w:tc>
        <w:tc>
          <w:tcPr>
            <w:tcW w:w="10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4"/>
              </w:rPr>
              <w:t>Value of</w:t>
            </w: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Unearned</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8"/>
              </w:rPr>
              <w:t>Payout Value</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Number of</w:t>
            </w: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jc w:val="center"/>
              <w:ind w:right="19"/>
              <w:spacing w:after="0" w:line="135" w:lineRule="exact"/>
              <w:rPr>
                <w:sz w:val="20"/>
                <w:szCs w:val="20"/>
                <w:color w:val="auto"/>
              </w:rPr>
            </w:pPr>
            <w:r>
              <w:rPr>
                <w:rFonts w:ascii="Arial" w:cs="Arial" w:eastAsia="Arial" w:hAnsi="Arial"/>
                <w:sz w:val="12"/>
                <w:szCs w:val="12"/>
                <w:b w:val="1"/>
                <w:bCs w:val="1"/>
                <w:color w:val="867F7C"/>
                <w:w w:val="96"/>
              </w:rPr>
              <w:t>Number</w:t>
            </w:r>
          </w:p>
        </w:tc>
        <w:tc>
          <w:tcPr>
            <w:tcW w:w="10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Shares or</w:t>
            </w: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Shares,</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of Unearned</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jc w:val="center"/>
              <w:ind w:right="20"/>
              <w:spacing w:after="0" w:line="135" w:lineRule="exact"/>
              <w:rPr>
                <w:sz w:val="20"/>
                <w:szCs w:val="20"/>
                <w:color w:val="auto"/>
              </w:rPr>
            </w:pPr>
            <w:r>
              <w:rPr>
                <w:rFonts w:ascii="Arial" w:cs="Arial" w:eastAsia="Arial" w:hAnsi="Arial"/>
                <w:sz w:val="12"/>
                <w:szCs w:val="12"/>
                <w:b w:val="1"/>
                <w:bCs w:val="1"/>
                <w:color w:val="867F7C"/>
                <w:w w:val="97"/>
              </w:rPr>
              <w:t>Securities</w:t>
            </w: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8"/>
              </w:rPr>
              <w:t>of Shares</w:t>
            </w:r>
          </w:p>
        </w:tc>
        <w:tc>
          <w:tcPr>
            <w:tcW w:w="10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8"/>
              </w:rPr>
              <w:t>Units of</w:t>
            </w: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Units or</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Shares, Units</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8"/>
              </w:rPr>
              <w:t>Underlying</w:t>
            </w:r>
          </w:p>
        </w:tc>
        <w:tc>
          <w:tcPr>
            <w:tcW w:w="960" w:type="dxa"/>
            <w:vAlign w:val="bottom"/>
            <w:shd w:val="clear" w:color="auto" w:fill="EFEBE9"/>
          </w:tcPr>
          <w:p>
            <w:pPr>
              <w:spacing w:after="0"/>
              <w:rPr>
                <w:sz w:val="11"/>
                <w:szCs w:val="11"/>
                <w:color w:val="auto"/>
              </w:rPr>
            </w:pP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jc w:val="center"/>
              <w:ind w:right="19"/>
              <w:spacing w:after="0" w:line="135" w:lineRule="exact"/>
              <w:rPr>
                <w:sz w:val="20"/>
                <w:szCs w:val="20"/>
                <w:color w:val="auto"/>
              </w:rPr>
            </w:pPr>
            <w:r>
              <w:rPr>
                <w:rFonts w:ascii="Arial" w:cs="Arial" w:eastAsia="Arial" w:hAnsi="Arial"/>
                <w:sz w:val="12"/>
                <w:szCs w:val="12"/>
                <w:b w:val="1"/>
                <w:bCs w:val="1"/>
                <w:color w:val="867F7C"/>
                <w:w w:val="96"/>
              </w:rPr>
              <w:t>or Units</w:t>
            </w:r>
          </w:p>
        </w:tc>
        <w:tc>
          <w:tcPr>
            <w:tcW w:w="10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Stock</w:t>
            </w: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9"/>
              </w:rPr>
              <w:t>Other</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or Other</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8"/>
              </w:rPr>
              <w:t>Unexercised</w:t>
            </w:r>
          </w:p>
        </w:tc>
        <w:tc>
          <w:tcPr>
            <w:tcW w:w="9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2"/>
              </w:rPr>
              <w:t>Option</w:t>
            </w:r>
          </w:p>
        </w:tc>
        <w:tc>
          <w:tcPr>
            <w:tcW w:w="1060" w:type="dxa"/>
            <w:vAlign w:val="bottom"/>
            <w:shd w:val="clear" w:color="auto" w:fill="EFEBE9"/>
          </w:tcPr>
          <w:p>
            <w:pPr>
              <w:spacing w:after="0"/>
              <w:rPr>
                <w:sz w:val="11"/>
                <w:szCs w:val="11"/>
                <w:color w:val="auto"/>
              </w:rPr>
            </w:pP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of Stock</w:t>
            </w:r>
          </w:p>
        </w:tc>
        <w:tc>
          <w:tcPr>
            <w:tcW w:w="10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4"/>
              </w:rPr>
              <w:t>That</w:t>
            </w: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Rights That</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Rights That</w:t>
            </w:r>
          </w:p>
        </w:tc>
        <w:tc>
          <w:tcPr>
            <w:tcW w:w="0" w:type="dxa"/>
            <w:vAlign w:val="bottom"/>
          </w:tcPr>
          <w:p>
            <w:pPr>
              <w:spacing w:after="0"/>
              <w:rPr>
                <w:sz w:val="1"/>
                <w:szCs w:val="1"/>
                <w:color w:val="auto"/>
              </w:rPr>
            </w:pPr>
          </w:p>
        </w:tc>
      </w:tr>
      <w:tr>
        <w:trPr>
          <w:trHeight w:val="135"/>
        </w:trPr>
        <w:tc>
          <w:tcPr>
            <w:tcW w:w="1500" w:type="dxa"/>
            <w:vAlign w:val="bottom"/>
            <w:shd w:val="clear" w:color="auto" w:fill="EFEBE9"/>
          </w:tcPr>
          <w:p>
            <w:pPr>
              <w:spacing w:after="0"/>
              <w:rPr>
                <w:sz w:val="11"/>
                <w:szCs w:val="11"/>
                <w:color w:val="auto"/>
              </w:rPr>
            </w:pPr>
          </w:p>
        </w:tc>
        <w:tc>
          <w:tcPr>
            <w:tcW w:w="1040" w:type="dxa"/>
            <w:vAlign w:val="bottom"/>
            <w:shd w:val="clear" w:color="auto" w:fill="EFEBE9"/>
          </w:tcPr>
          <w:p>
            <w:pPr>
              <w:jc w:val="center"/>
              <w:ind w:right="20"/>
              <w:spacing w:after="0" w:line="135" w:lineRule="exact"/>
              <w:rPr>
                <w:sz w:val="20"/>
                <w:szCs w:val="20"/>
                <w:color w:val="auto"/>
              </w:rPr>
            </w:pPr>
            <w:r>
              <w:rPr>
                <w:rFonts w:ascii="Arial" w:cs="Arial" w:eastAsia="Arial" w:hAnsi="Arial"/>
                <w:sz w:val="12"/>
                <w:szCs w:val="12"/>
                <w:b w:val="1"/>
                <w:bCs w:val="1"/>
                <w:color w:val="867F7C"/>
                <w:w w:val="96"/>
              </w:rPr>
              <w:t>Options</w:t>
            </w:r>
          </w:p>
        </w:tc>
        <w:tc>
          <w:tcPr>
            <w:tcW w:w="9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7"/>
              </w:rPr>
              <w:t>Exercise</w:t>
            </w:r>
          </w:p>
        </w:tc>
        <w:tc>
          <w:tcPr>
            <w:tcW w:w="1060" w:type="dxa"/>
            <w:vAlign w:val="bottom"/>
            <w:shd w:val="clear" w:color="auto" w:fill="EFEBE9"/>
          </w:tcPr>
          <w:p>
            <w:pPr>
              <w:jc w:val="center"/>
              <w:ind w:right="18"/>
              <w:spacing w:after="0" w:line="135" w:lineRule="exact"/>
              <w:rPr>
                <w:sz w:val="20"/>
                <w:szCs w:val="20"/>
                <w:color w:val="auto"/>
              </w:rPr>
            </w:pPr>
            <w:r>
              <w:rPr>
                <w:rFonts w:ascii="Arial" w:cs="Arial" w:eastAsia="Arial" w:hAnsi="Arial"/>
                <w:sz w:val="12"/>
                <w:szCs w:val="12"/>
                <w:b w:val="1"/>
                <w:bCs w:val="1"/>
                <w:color w:val="867F7C"/>
                <w:w w:val="98"/>
              </w:rPr>
              <w:t>Option</w:t>
            </w:r>
          </w:p>
        </w:tc>
        <w:tc>
          <w:tcPr>
            <w:tcW w:w="80" w:type="dxa"/>
            <w:vAlign w:val="bottom"/>
            <w:shd w:val="clear" w:color="auto" w:fill="EFEBE9"/>
          </w:tcPr>
          <w:p>
            <w:pPr>
              <w:spacing w:after="0"/>
              <w:rPr>
                <w:sz w:val="11"/>
                <w:szCs w:val="11"/>
                <w:color w:val="auto"/>
              </w:rPr>
            </w:pPr>
          </w:p>
        </w:tc>
        <w:tc>
          <w:tcPr>
            <w:tcW w:w="1040" w:type="dxa"/>
            <w:vAlign w:val="bottom"/>
            <w:shd w:val="clear" w:color="auto" w:fill="EFEBE9"/>
          </w:tcPr>
          <w:p>
            <w:pPr>
              <w:jc w:val="center"/>
              <w:ind w:right="19"/>
              <w:spacing w:after="0" w:line="135" w:lineRule="exact"/>
              <w:rPr>
                <w:sz w:val="20"/>
                <w:szCs w:val="20"/>
                <w:color w:val="auto"/>
              </w:rPr>
            </w:pPr>
            <w:r>
              <w:rPr>
                <w:rFonts w:ascii="Arial" w:cs="Arial" w:eastAsia="Arial" w:hAnsi="Arial"/>
                <w:sz w:val="12"/>
                <w:szCs w:val="12"/>
                <w:b w:val="1"/>
                <w:bCs w:val="1"/>
                <w:color w:val="867F7C"/>
                <w:w w:val="94"/>
              </w:rPr>
              <w:t>That</w:t>
            </w:r>
          </w:p>
        </w:tc>
        <w:tc>
          <w:tcPr>
            <w:tcW w:w="106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9"/>
              </w:rPr>
              <w:t>Have Not</w:t>
            </w:r>
          </w:p>
        </w:tc>
        <w:tc>
          <w:tcPr>
            <w:tcW w:w="110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9"/>
              </w:rPr>
              <w:t>Have Not</w:t>
            </w:r>
          </w:p>
        </w:tc>
        <w:tc>
          <w:tcPr>
            <w:tcW w:w="1240" w:type="dxa"/>
            <w:vAlign w:val="bottom"/>
            <w:shd w:val="clear" w:color="auto" w:fill="EFEBE9"/>
          </w:tcPr>
          <w:p>
            <w:pPr>
              <w:jc w:val="center"/>
              <w:spacing w:after="0" w:line="135" w:lineRule="exact"/>
              <w:rPr>
                <w:sz w:val="20"/>
                <w:szCs w:val="20"/>
                <w:color w:val="auto"/>
              </w:rPr>
            </w:pPr>
            <w:r>
              <w:rPr>
                <w:rFonts w:ascii="Arial" w:cs="Arial" w:eastAsia="Arial" w:hAnsi="Arial"/>
                <w:sz w:val="12"/>
                <w:szCs w:val="12"/>
                <w:b w:val="1"/>
                <w:bCs w:val="1"/>
                <w:color w:val="867F7C"/>
                <w:w w:val="96"/>
              </w:rPr>
              <w:t>Have Not</w:t>
            </w:r>
          </w:p>
        </w:tc>
        <w:tc>
          <w:tcPr>
            <w:tcW w:w="0" w:type="dxa"/>
            <w:vAlign w:val="bottom"/>
          </w:tcPr>
          <w:p>
            <w:pPr>
              <w:spacing w:after="0"/>
              <w:rPr>
                <w:sz w:val="1"/>
                <w:szCs w:val="1"/>
                <w:color w:val="auto"/>
              </w:rPr>
            </w:pPr>
          </w:p>
        </w:tc>
      </w:tr>
      <w:tr>
        <w:trPr>
          <w:trHeight w:val="120"/>
        </w:trPr>
        <w:tc>
          <w:tcPr>
            <w:tcW w:w="1500" w:type="dxa"/>
            <w:vAlign w:val="bottom"/>
            <w:shd w:val="clear" w:color="auto" w:fill="EFEBE9"/>
          </w:tcPr>
          <w:p>
            <w:pPr>
              <w:spacing w:after="0"/>
              <w:rPr>
                <w:sz w:val="10"/>
                <w:szCs w:val="10"/>
                <w:color w:val="auto"/>
              </w:rPr>
            </w:pPr>
          </w:p>
        </w:tc>
        <w:tc>
          <w:tcPr>
            <w:tcW w:w="1040" w:type="dxa"/>
            <w:vAlign w:val="bottom"/>
            <w:shd w:val="clear" w:color="auto" w:fill="EFEBE9"/>
          </w:tcPr>
          <w:p>
            <w:pPr>
              <w:jc w:val="center"/>
              <w:spacing w:after="0" w:line="120" w:lineRule="exact"/>
              <w:rPr>
                <w:sz w:val="20"/>
                <w:szCs w:val="20"/>
                <w:color w:val="auto"/>
              </w:rPr>
            </w:pPr>
            <w:r>
              <w:rPr>
                <w:rFonts w:ascii="Arial" w:cs="Arial" w:eastAsia="Arial" w:hAnsi="Arial"/>
                <w:sz w:val="12"/>
                <w:szCs w:val="12"/>
                <w:b w:val="1"/>
                <w:bCs w:val="1"/>
                <w:color w:val="867F7C"/>
                <w:w w:val="98"/>
              </w:rPr>
              <w:t>Exercisable</w:t>
            </w:r>
          </w:p>
        </w:tc>
        <w:tc>
          <w:tcPr>
            <w:tcW w:w="960" w:type="dxa"/>
            <w:vAlign w:val="bottom"/>
            <w:shd w:val="clear" w:color="auto" w:fill="EFEBE9"/>
          </w:tcPr>
          <w:p>
            <w:pPr>
              <w:jc w:val="center"/>
              <w:spacing w:after="0" w:line="120" w:lineRule="exact"/>
              <w:rPr>
                <w:sz w:val="20"/>
                <w:szCs w:val="20"/>
                <w:color w:val="auto"/>
              </w:rPr>
            </w:pPr>
            <w:r>
              <w:rPr>
                <w:rFonts w:ascii="Arial" w:cs="Arial" w:eastAsia="Arial" w:hAnsi="Arial"/>
                <w:sz w:val="12"/>
                <w:szCs w:val="12"/>
                <w:b w:val="1"/>
                <w:bCs w:val="1"/>
                <w:color w:val="867F7C"/>
                <w:w w:val="95"/>
              </w:rPr>
              <w:t>Price</w:t>
            </w:r>
          </w:p>
        </w:tc>
        <w:tc>
          <w:tcPr>
            <w:tcW w:w="1060" w:type="dxa"/>
            <w:vAlign w:val="bottom"/>
            <w:shd w:val="clear" w:color="auto" w:fill="EFEBE9"/>
          </w:tcPr>
          <w:p>
            <w:pPr>
              <w:jc w:val="center"/>
              <w:spacing w:after="0" w:line="120" w:lineRule="exact"/>
              <w:rPr>
                <w:sz w:val="20"/>
                <w:szCs w:val="20"/>
                <w:color w:val="auto"/>
              </w:rPr>
            </w:pPr>
            <w:r>
              <w:rPr>
                <w:rFonts w:ascii="Arial" w:cs="Arial" w:eastAsia="Arial" w:hAnsi="Arial"/>
                <w:sz w:val="12"/>
                <w:szCs w:val="12"/>
                <w:b w:val="1"/>
                <w:bCs w:val="1"/>
                <w:color w:val="867F7C"/>
                <w:w w:val="95"/>
              </w:rPr>
              <w:t>Expiration</w:t>
            </w:r>
          </w:p>
        </w:tc>
        <w:tc>
          <w:tcPr>
            <w:tcW w:w="80" w:type="dxa"/>
            <w:vAlign w:val="bottom"/>
            <w:shd w:val="clear" w:color="auto" w:fill="EFEBE9"/>
          </w:tcPr>
          <w:p>
            <w:pPr>
              <w:spacing w:after="0"/>
              <w:rPr>
                <w:sz w:val="10"/>
                <w:szCs w:val="10"/>
                <w:color w:val="auto"/>
              </w:rPr>
            </w:pPr>
          </w:p>
        </w:tc>
        <w:tc>
          <w:tcPr>
            <w:tcW w:w="1040" w:type="dxa"/>
            <w:vAlign w:val="bottom"/>
            <w:shd w:val="clear" w:color="auto" w:fill="EFEBE9"/>
          </w:tcPr>
          <w:p>
            <w:pPr>
              <w:jc w:val="center"/>
              <w:spacing w:after="0" w:line="120" w:lineRule="exact"/>
              <w:rPr>
                <w:sz w:val="20"/>
                <w:szCs w:val="20"/>
                <w:color w:val="auto"/>
              </w:rPr>
            </w:pPr>
            <w:r>
              <w:rPr>
                <w:rFonts w:ascii="Arial" w:cs="Arial" w:eastAsia="Arial" w:hAnsi="Arial"/>
                <w:sz w:val="12"/>
                <w:szCs w:val="12"/>
                <w:b w:val="1"/>
                <w:bCs w:val="1"/>
                <w:color w:val="867F7C"/>
                <w:w w:val="96"/>
              </w:rPr>
              <w:t>Have Not</w:t>
            </w:r>
          </w:p>
        </w:tc>
        <w:tc>
          <w:tcPr>
            <w:tcW w:w="1060" w:type="dxa"/>
            <w:vAlign w:val="bottom"/>
            <w:shd w:val="clear" w:color="auto" w:fill="EFEBE9"/>
          </w:tcPr>
          <w:p>
            <w:pPr>
              <w:jc w:val="center"/>
              <w:spacing w:after="0" w:line="120" w:lineRule="exact"/>
              <w:rPr>
                <w:sz w:val="20"/>
                <w:szCs w:val="20"/>
                <w:color w:val="auto"/>
              </w:rPr>
            </w:pPr>
            <w:r>
              <w:rPr>
                <w:rFonts w:ascii="Arial" w:cs="Arial" w:eastAsia="Arial" w:hAnsi="Arial"/>
                <w:sz w:val="12"/>
                <w:szCs w:val="12"/>
                <w:b w:val="1"/>
                <w:bCs w:val="1"/>
                <w:color w:val="867F7C"/>
                <w:w w:val="96"/>
              </w:rPr>
              <w:t>Vested</w:t>
            </w:r>
          </w:p>
        </w:tc>
        <w:tc>
          <w:tcPr>
            <w:tcW w:w="1100" w:type="dxa"/>
            <w:vAlign w:val="bottom"/>
            <w:shd w:val="clear" w:color="auto" w:fill="EFEBE9"/>
          </w:tcPr>
          <w:p>
            <w:pPr>
              <w:jc w:val="center"/>
              <w:spacing w:after="0" w:line="120" w:lineRule="exact"/>
              <w:rPr>
                <w:sz w:val="20"/>
                <w:szCs w:val="20"/>
                <w:color w:val="auto"/>
              </w:rPr>
            </w:pPr>
            <w:r>
              <w:rPr>
                <w:rFonts w:ascii="Arial" w:cs="Arial" w:eastAsia="Arial" w:hAnsi="Arial"/>
                <w:sz w:val="12"/>
                <w:szCs w:val="12"/>
                <w:b w:val="1"/>
                <w:bCs w:val="1"/>
                <w:color w:val="867F7C"/>
                <w:w w:val="96"/>
              </w:rPr>
              <w:t>Vested</w:t>
            </w:r>
          </w:p>
        </w:tc>
        <w:tc>
          <w:tcPr>
            <w:tcW w:w="1240" w:type="dxa"/>
            <w:vAlign w:val="bottom"/>
            <w:shd w:val="clear" w:color="auto" w:fill="EFEBE9"/>
          </w:tcPr>
          <w:p>
            <w:pPr>
              <w:jc w:val="center"/>
              <w:spacing w:after="0" w:line="120" w:lineRule="exact"/>
              <w:rPr>
                <w:sz w:val="20"/>
                <w:szCs w:val="20"/>
                <w:color w:val="auto"/>
              </w:rPr>
            </w:pPr>
            <w:r>
              <w:rPr>
                <w:rFonts w:ascii="Arial" w:cs="Arial" w:eastAsia="Arial" w:hAnsi="Arial"/>
                <w:sz w:val="12"/>
                <w:szCs w:val="12"/>
                <w:b w:val="1"/>
                <w:bCs w:val="1"/>
                <w:color w:val="867F7C"/>
                <w:w w:val="96"/>
              </w:rPr>
              <w:t>Vested</w:t>
            </w:r>
          </w:p>
        </w:tc>
        <w:tc>
          <w:tcPr>
            <w:tcW w:w="0" w:type="dxa"/>
            <w:vAlign w:val="bottom"/>
          </w:tcPr>
          <w:p>
            <w:pPr>
              <w:spacing w:after="0"/>
              <w:rPr>
                <w:sz w:val="1"/>
                <w:szCs w:val="1"/>
                <w:color w:val="auto"/>
              </w:rPr>
            </w:pPr>
          </w:p>
        </w:tc>
      </w:tr>
      <w:tr>
        <w:trPr>
          <w:trHeight w:val="160"/>
        </w:trPr>
        <w:tc>
          <w:tcPr>
            <w:tcW w:w="1500" w:type="dxa"/>
            <w:vAlign w:val="bottom"/>
            <w:shd w:val="clear" w:color="auto" w:fill="EFEBE9"/>
          </w:tcPr>
          <w:p>
            <w:pPr>
              <w:ind w:left="100"/>
              <w:spacing w:after="0"/>
              <w:rPr>
                <w:sz w:val="20"/>
                <w:szCs w:val="20"/>
                <w:color w:val="auto"/>
              </w:rPr>
            </w:pPr>
            <w:r>
              <w:rPr>
                <w:rFonts w:ascii="Arial" w:cs="Arial" w:eastAsia="Arial" w:hAnsi="Arial"/>
                <w:sz w:val="12"/>
                <w:szCs w:val="12"/>
                <w:b w:val="1"/>
                <w:bCs w:val="1"/>
                <w:color w:val="867F7C"/>
              </w:rPr>
              <w:t>Name</w:t>
            </w:r>
          </w:p>
        </w:tc>
        <w:tc>
          <w:tcPr>
            <w:tcW w:w="1040" w:type="dxa"/>
            <w:vAlign w:val="bottom"/>
            <w:shd w:val="clear" w:color="auto" w:fill="EFEBE9"/>
          </w:tcPr>
          <w:p>
            <w:pPr>
              <w:jc w:val="center"/>
              <w:ind w:right="20"/>
              <w:spacing w:after="0" w:line="160" w:lineRule="exact"/>
              <w:rPr>
                <w:sz w:val="20"/>
                <w:szCs w:val="20"/>
                <w:color w:val="auto"/>
              </w:rPr>
            </w:pPr>
            <w:r>
              <w:rPr>
                <w:rFonts w:ascii="Arial" w:cs="Arial" w:eastAsia="Arial" w:hAnsi="Arial"/>
                <w:sz w:val="18"/>
                <w:szCs w:val="18"/>
                <w:b w:val="1"/>
                <w:bCs w:val="1"/>
                <w:color w:val="867F7C"/>
                <w:vertAlign w:val="subscript"/>
              </w:rPr>
              <w:t>(#)</w:t>
            </w:r>
            <w:r>
              <w:rPr>
                <w:rFonts w:ascii="Arial" w:cs="Arial" w:eastAsia="Arial" w:hAnsi="Arial"/>
                <w:sz w:val="7"/>
                <w:szCs w:val="7"/>
                <w:b w:val="1"/>
                <w:bCs w:val="1"/>
                <w:color w:val="867F7C"/>
              </w:rPr>
              <w:t>(1)</w:t>
            </w:r>
          </w:p>
        </w:tc>
        <w:tc>
          <w:tcPr>
            <w:tcW w:w="960" w:type="dxa"/>
            <w:vAlign w:val="bottom"/>
            <w:shd w:val="clear" w:color="auto" w:fill="EFEBE9"/>
          </w:tcPr>
          <w:p>
            <w:pPr>
              <w:jc w:val="center"/>
              <w:spacing w:after="0"/>
              <w:rPr>
                <w:sz w:val="20"/>
                <w:szCs w:val="20"/>
                <w:color w:val="auto"/>
              </w:rPr>
            </w:pPr>
            <w:r>
              <w:rPr>
                <w:rFonts w:ascii="Arial" w:cs="Arial" w:eastAsia="Arial" w:hAnsi="Arial"/>
                <w:sz w:val="12"/>
                <w:szCs w:val="12"/>
                <w:b w:val="1"/>
                <w:bCs w:val="1"/>
                <w:color w:val="867F7C"/>
              </w:rPr>
              <w:t>($)</w:t>
            </w:r>
          </w:p>
        </w:tc>
        <w:tc>
          <w:tcPr>
            <w:tcW w:w="1060" w:type="dxa"/>
            <w:vAlign w:val="bottom"/>
            <w:shd w:val="clear" w:color="auto" w:fill="EFEBE9"/>
          </w:tcPr>
          <w:p>
            <w:pPr>
              <w:jc w:val="center"/>
              <w:spacing w:after="0"/>
              <w:rPr>
                <w:sz w:val="20"/>
                <w:szCs w:val="20"/>
                <w:color w:val="auto"/>
              </w:rPr>
            </w:pPr>
            <w:r>
              <w:rPr>
                <w:rFonts w:ascii="Arial" w:cs="Arial" w:eastAsia="Arial" w:hAnsi="Arial"/>
                <w:sz w:val="12"/>
                <w:szCs w:val="12"/>
                <w:b w:val="1"/>
                <w:bCs w:val="1"/>
                <w:color w:val="867F7C"/>
                <w:w w:val="92"/>
              </w:rPr>
              <w:t>Date</w:t>
            </w:r>
          </w:p>
        </w:tc>
        <w:tc>
          <w:tcPr>
            <w:tcW w:w="80" w:type="dxa"/>
            <w:vAlign w:val="bottom"/>
            <w:shd w:val="clear" w:color="auto" w:fill="EFEBE9"/>
          </w:tcPr>
          <w:p>
            <w:pPr>
              <w:spacing w:after="0"/>
              <w:rPr>
                <w:sz w:val="13"/>
                <w:szCs w:val="13"/>
                <w:color w:val="auto"/>
              </w:rPr>
            </w:pPr>
          </w:p>
        </w:tc>
        <w:tc>
          <w:tcPr>
            <w:tcW w:w="1040" w:type="dxa"/>
            <w:vAlign w:val="bottom"/>
            <w:shd w:val="clear" w:color="auto" w:fill="EFEBE9"/>
          </w:tcPr>
          <w:p>
            <w:pPr>
              <w:jc w:val="center"/>
              <w:ind w:right="19"/>
              <w:spacing w:after="0"/>
              <w:rPr>
                <w:sz w:val="20"/>
                <w:szCs w:val="20"/>
                <w:color w:val="auto"/>
              </w:rPr>
            </w:pPr>
            <w:r>
              <w:rPr>
                <w:rFonts w:ascii="Arial" w:cs="Arial" w:eastAsia="Arial" w:hAnsi="Arial"/>
                <w:sz w:val="12"/>
                <w:szCs w:val="12"/>
                <w:b w:val="1"/>
                <w:bCs w:val="1"/>
                <w:color w:val="867F7C"/>
                <w:w w:val="96"/>
              </w:rPr>
              <w:t>Vested(#)</w:t>
            </w:r>
          </w:p>
        </w:tc>
        <w:tc>
          <w:tcPr>
            <w:tcW w:w="1060" w:type="dxa"/>
            <w:vAlign w:val="bottom"/>
            <w:shd w:val="clear" w:color="auto" w:fill="EFEBE9"/>
          </w:tcPr>
          <w:p>
            <w:pPr>
              <w:jc w:val="center"/>
              <w:spacing w:after="0"/>
              <w:rPr>
                <w:sz w:val="20"/>
                <w:szCs w:val="20"/>
                <w:color w:val="auto"/>
              </w:rPr>
            </w:pPr>
            <w:r>
              <w:rPr>
                <w:rFonts w:ascii="Arial" w:cs="Arial" w:eastAsia="Arial" w:hAnsi="Arial"/>
                <w:sz w:val="12"/>
                <w:szCs w:val="12"/>
                <w:b w:val="1"/>
                <w:bCs w:val="1"/>
                <w:color w:val="867F7C"/>
                <w:w w:val="95"/>
              </w:rPr>
              <w:t>($)</w:t>
            </w:r>
          </w:p>
        </w:tc>
        <w:tc>
          <w:tcPr>
            <w:tcW w:w="1100" w:type="dxa"/>
            <w:vAlign w:val="bottom"/>
            <w:shd w:val="clear" w:color="auto" w:fill="EFEBE9"/>
          </w:tcPr>
          <w:p>
            <w:pPr>
              <w:jc w:val="center"/>
              <w:spacing w:after="0" w:line="160" w:lineRule="exact"/>
              <w:rPr>
                <w:sz w:val="20"/>
                <w:szCs w:val="20"/>
                <w:color w:val="auto"/>
              </w:rPr>
            </w:pPr>
            <w:r>
              <w:rPr>
                <w:rFonts w:ascii="Arial" w:cs="Arial" w:eastAsia="Arial" w:hAnsi="Arial"/>
                <w:sz w:val="18"/>
                <w:szCs w:val="18"/>
                <w:b w:val="1"/>
                <w:bCs w:val="1"/>
                <w:color w:val="867F7C"/>
                <w:vertAlign w:val="subscript"/>
              </w:rPr>
              <w:t>(#)</w:t>
            </w:r>
            <w:r>
              <w:rPr>
                <w:rFonts w:ascii="Arial" w:cs="Arial" w:eastAsia="Arial" w:hAnsi="Arial"/>
                <w:sz w:val="7"/>
                <w:szCs w:val="7"/>
                <w:b w:val="1"/>
                <w:bCs w:val="1"/>
                <w:color w:val="867F7C"/>
              </w:rPr>
              <w:t>(2)</w:t>
            </w:r>
          </w:p>
        </w:tc>
        <w:tc>
          <w:tcPr>
            <w:tcW w:w="1240" w:type="dxa"/>
            <w:vAlign w:val="bottom"/>
            <w:shd w:val="clear" w:color="auto" w:fill="EFEBE9"/>
          </w:tcPr>
          <w:p>
            <w:pPr>
              <w:jc w:val="center"/>
              <w:spacing w:after="0" w:line="160" w:lineRule="exact"/>
              <w:rPr>
                <w:sz w:val="20"/>
                <w:szCs w:val="20"/>
                <w:color w:val="auto"/>
              </w:rPr>
            </w:pPr>
            <w:r>
              <w:rPr>
                <w:rFonts w:ascii="Arial" w:cs="Arial" w:eastAsia="Arial" w:hAnsi="Arial"/>
                <w:sz w:val="18"/>
                <w:szCs w:val="18"/>
                <w:b w:val="1"/>
                <w:bCs w:val="1"/>
                <w:color w:val="867F7C"/>
                <w:vertAlign w:val="subscript"/>
              </w:rPr>
              <w:t>($)</w:t>
            </w:r>
            <w:r>
              <w:rPr>
                <w:rFonts w:ascii="Arial" w:cs="Arial" w:eastAsia="Arial" w:hAnsi="Arial"/>
                <w:sz w:val="7"/>
                <w:szCs w:val="7"/>
                <w:b w:val="1"/>
                <w:bCs w:val="1"/>
                <w:color w:val="867F7C"/>
              </w:rPr>
              <w:t>(2)</w:t>
            </w:r>
          </w:p>
        </w:tc>
        <w:tc>
          <w:tcPr>
            <w:tcW w:w="0" w:type="dxa"/>
            <w:vAlign w:val="bottom"/>
          </w:tcPr>
          <w:p>
            <w:pPr>
              <w:spacing w:after="0"/>
              <w:rPr>
                <w:sz w:val="1"/>
                <w:szCs w:val="1"/>
                <w:color w:val="auto"/>
              </w:rPr>
            </w:pPr>
          </w:p>
        </w:tc>
      </w:tr>
      <w:tr>
        <w:trPr>
          <w:trHeight w:val="148"/>
        </w:trPr>
        <w:tc>
          <w:tcPr>
            <w:tcW w:w="1500" w:type="dxa"/>
            <w:vAlign w:val="bottom"/>
            <w:tcBorders>
              <w:bottom w:val="single" w:sz="8" w:color="867F7C"/>
            </w:tcBorders>
          </w:tcPr>
          <w:p>
            <w:pPr>
              <w:ind w:left="100"/>
              <w:spacing w:after="0"/>
              <w:rPr>
                <w:sz w:val="20"/>
                <w:szCs w:val="20"/>
                <w:color w:val="auto"/>
              </w:rPr>
            </w:pPr>
            <w:r>
              <w:rPr>
                <w:rFonts w:ascii="Arial" w:cs="Arial" w:eastAsia="Arial" w:hAnsi="Arial"/>
                <w:sz w:val="13"/>
                <w:szCs w:val="13"/>
                <w:b w:val="1"/>
                <w:bCs w:val="1"/>
                <w:color w:val="4CCEDE"/>
              </w:rPr>
              <w:t>Guillermo Novo</w:t>
            </w:r>
          </w:p>
        </w:tc>
        <w:tc>
          <w:tcPr>
            <w:tcW w:w="104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70,047</w:t>
            </w:r>
          </w:p>
        </w:tc>
        <w:tc>
          <w:tcPr>
            <w:tcW w:w="960" w:type="dxa"/>
            <w:vAlign w:val="bottom"/>
            <w:tcBorders>
              <w:bottom w:val="single" w:sz="8" w:color="867F7C"/>
            </w:tcBorders>
          </w:tcPr>
          <w:p>
            <w:pPr>
              <w:jc w:val="right"/>
              <w:ind w:right="158"/>
              <w:spacing w:after="0"/>
              <w:rPr>
                <w:sz w:val="20"/>
                <w:szCs w:val="20"/>
                <w:color w:val="auto"/>
              </w:rPr>
            </w:pPr>
            <w:r>
              <w:rPr>
                <w:rFonts w:ascii="Arial" w:cs="Arial" w:eastAsia="Arial" w:hAnsi="Arial"/>
                <w:sz w:val="13"/>
                <w:szCs w:val="13"/>
                <w:color w:val="auto"/>
              </w:rPr>
              <w:t>76.76</w:t>
            </w:r>
          </w:p>
        </w:tc>
        <w:tc>
          <w:tcPr>
            <w:tcW w:w="1060" w:type="dxa"/>
            <w:vAlign w:val="bottom"/>
            <w:tcBorders>
              <w:bottom w:val="single" w:sz="8" w:color="867F7C"/>
            </w:tcBorders>
          </w:tcPr>
          <w:p>
            <w:pPr>
              <w:jc w:val="right"/>
              <w:ind w:right="38"/>
              <w:spacing w:after="0"/>
              <w:rPr>
                <w:sz w:val="20"/>
                <w:szCs w:val="20"/>
                <w:color w:val="auto"/>
              </w:rPr>
            </w:pPr>
            <w:r>
              <w:rPr>
                <w:rFonts w:ascii="Arial" w:cs="Arial" w:eastAsia="Arial" w:hAnsi="Arial"/>
                <w:sz w:val="13"/>
                <w:szCs w:val="13"/>
                <w:color w:val="auto"/>
              </w:rPr>
              <w:t>1/2/2030</w:t>
            </w:r>
          </w:p>
        </w:tc>
        <w:tc>
          <w:tcPr>
            <w:tcW w:w="1120" w:type="dxa"/>
            <w:vAlign w:val="bottom"/>
            <w:tcBorders>
              <w:bottom w:val="single" w:sz="8" w:color="867F7C"/>
            </w:tcBorders>
            <w:gridSpan w:val="2"/>
          </w:tcPr>
          <w:p>
            <w:pPr>
              <w:jc w:val="right"/>
              <w:ind w:right="179"/>
              <w:spacing w:after="0"/>
              <w:rPr>
                <w:sz w:val="20"/>
                <w:szCs w:val="20"/>
                <w:color w:val="auto"/>
              </w:rPr>
            </w:pPr>
            <w:r>
              <w:rPr>
                <w:rFonts w:ascii="Arial" w:cs="Arial" w:eastAsia="Arial" w:hAnsi="Arial"/>
                <w:sz w:val="13"/>
                <w:szCs w:val="13"/>
                <w:color w:val="auto"/>
              </w:rPr>
              <w:t>56,917</w:t>
            </w:r>
          </w:p>
        </w:tc>
        <w:tc>
          <w:tcPr>
            <w:tcW w:w="1060" w:type="dxa"/>
            <w:vAlign w:val="bottom"/>
            <w:tcBorders>
              <w:bottom w:val="single" w:sz="8" w:color="867F7C"/>
            </w:tcBorders>
          </w:tcPr>
          <w:p>
            <w:pPr>
              <w:jc w:val="right"/>
              <w:ind w:right="159"/>
              <w:spacing w:after="0"/>
              <w:rPr>
                <w:sz w:val="20"/>
                <w:szCs w:val="20"/>
                <w:color w:val="auto"/>
              </w:rPr>
            </w:pPr>
            <w:r>
              <w:rPr>
                <w:rFonts w:ascii="Arial" w:cs="Arial" w:eastAsia="Arial" w:hAnsi="Arial"/>
                <w:sz w:val="13"/>
                <w:szCs w:val="13"/>
                <w:color w:val="auto"/>
              </w:rPr>
              <w:t>2,726,898</w:t>
            </w:r>
          </w:p>
        </w:tc>
        <w:tc>
          <w:tcPr>
            <w:tcW w:w="110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113,912</w:t>
            </w:r>
          </w:p>
        </w:tc>
        <w:tc>
          <w:tcPr>
            <w:tcW w:w="124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5,457,525</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867F7C"/>
            </w:tcBorders>
          </w:tcPr>
          <w:p>
            <w:pPr>
              <w:ind w:left="100"/>
              <w:spacing w:after="0" w:line="142" w:lineRule="exact"/>
              <w:rPr>
                <w:sz w:val="20"/>
                <w:szCs w:val="20"/>
                <w:color w:val="auto"/>
              </w:rPr>
            </w:pPr>
            <w:r>
              <w:rPr>
                <w:rFonts w:ascii="Arial" w:cs="Arial" w:eastAsia="Arial" w:hAnsi="Arial"/>
                <w:sz w:val="13"/>
                <w:szCs w:val="13"/>
                <w:b w:val="1"/>
                <w:bCs w:val="1"/>
                <w:color w:val="4CCEDE"/>
              </w:rPr>
              <w:t>William Whitaker</w:t>
            </w:r>
          </w:p>
        </w:tc>
        <w:tc>
          <w:tcPr>
            <w:tcW w:w="1040" w:type="dxa"/>
            <w:vAlign w:val="bottom"/>
            <w:tcBorders>
              <w:bottom w:val="single" w:sz="8" w:color="867F7C"/>
            </w:tcBorders>
          </w:tcPr>
          <w:p>
            <w:pPr>
              <w:jc w:val="right"/>
              <w:ind w:right="180"/>
              <w:spacing w:after="0" w:line="142" w:lineRule="exact"/>
              <w:rPr>
                <w:sz w:val="20"/>
                <w:szCs w:val="20"/>
                <w:color w:val="auto"/>
              </w:rPr>
            </w:pPr>
            <w:r>
              <w:rPr>
                <w:rFonts w:ascii="Arial" w:cs="Arial" w:eastAsia="Arial" w:hAnsi="Arial"/>
                <w:sz w:val="13"/>
                <w:szCs w:val="13"/>
                <w:color w:val="auto"/>
              </w:rPr>
              <w:t>1,500</w:t>
            </w:r>
          </w:p>
        </w:tc>
        <w:tc>
          <w:tcPr>
            <w:tcW w:w="960" w:type="dxa"/>
            <w:vAlign w:val="bottom"/>
            <w:tcBorders>
              <w:bottom w:val="single" w:sz="8" w:color="867F7C"/>
            </w:tcBorders>
          </w:tcPr>
          <w:p>
            <w:pPr>
              <w:jc w:val="right"/>
              <w:ind w:right="158"/>
              <w:spacing w:after="0" w:line="142" w:lineRule="exact"/>
              <w:rPr>
                <w:sz w:val="20"/>
                <w:szCs w:val="20"/>
                <w:color w:val="auto"/>
              </w:rPr>
            </w:pPr>
            <w:r>
              <w:rPr>
                <w:rFonts w:ascii="Arial" w:cs="Arial" w:eastAsia="Arial" w:hAnsi="Arial"/>
                <w:sz w:val="13"/>
                <w:szCs w:val="13"/>
                <w:color w:val="auto"/>
              </w:rPr>
              <w:t>77.90</w:t>
            </w:r>
          </w:p>
        </w:tc>
        <w:tc>
          <w:tcPr>
            <w:tcW w:w="1060" w:type="dxa"/>
            <w:vAlign w:val="bottom"/>
            <w:tcBorders>
              <w:bottom w:val="single" w:sz="8" w:color="867F7C"/>
            </w:tcBorders>
          </w:tcPr>
          <w:p>
            <w:pPr>
              <w:jc w:val="right"/>
              <w:ind w:right="38"/>
              <w:spacing w:after="0" w:line="142" w:lineRule="exact"/>
              <w:rPr>
                <w:sz w:val="20"/>
                <w:szCs w:val="20"/>
                <w:color w:val="auto"/>
              </w:rPr>
            </w:pPr>
            <w:r>
              <w:rPr>
                <w:rFonts w:ascii="Arial" w:cs="Arial" w:eastAsia="Arial" w:hAnsi="Arial"/>
                <w:sz w:val="13"/>
                <w:szCs w:val="13"/>
                <w:color w:val="auto"/>
              </w:rPr>
              <w:t>11/13/2029</w:t>
            </w:r>
          </w:p>
        </w:tc>
        <w:tc>
          <w:tcPr>
            <w:tcW w:w="1120" w:type="dxa"/>
            <w:vAlign w:val="bottom"/>
            <w:tcBorders>
              <w:bottom w:val="single" w:sz="8" w:color="867F7C"/>
            </w:tcBorders>
            <w:gridSpan w:val="2"/>
          </w:tcPr>
          <w:p>
            <w:pPr>
              <w:jc w:val="right"/>
              <w:ind w:right="179"/>
              <w:spacing w:after="0" w:line="142" w:lineRule="exact"/>
              <w:rPr>
                <w:sz w:val="20"/>
                <w:szCs w:val="20"/>
                <w:color w:val="auto"/>
              </w:rPr>
            </w:pPr>
            <w:r>
              <w:rPr>
                <w:rFonts w:ascii="Arial" w:cs="Arial" w:eastAsia="Arial" w:hAnsi="Arial"/>
                <w:sz w:val="13"/>
                <w:szCs w:val="13"/>
                <w:color w:val="auto"/>
              </w:rPr>
              <w:t>12,750</w:t>
            </w:r>
          </w:p>
        </w:tc>
        <w:tc>
          <w:tcPr>
            <w:tcW w:w="1060" w:type="dxa"/>
            <w:vAlign w:val="bottom"/>
            <w:tcBorders>
              <w:bottom w:val="single" w:sz="8" w:color="867F7C"/>
            </w:tcBorders>
          </w:tcPr>
          <w:p>
            <w:pPr>
              <w:jc w:val="right"/>
              <w:ind w:right="159"/>
              <w:spacing w:after="0" w:line="142" w:lineRule="exact"/>
              <w:rPr>
                <w:sz w:val="20"/>
                <w:szCs w:val="20"/>
                <w:color w:val="auto"/>
              </w:rPr>
            </w:pPr>
            <w:r>
              <w:rPr>
                <w:rFonts w:ascii="Arial" w:cs="Arial" w:eastAsia="Arial" w:hAnsi="Arial"/>
                <w:sz w:val="13"/>
                <w:szCs w:val="13"/>
                <w:color w:val="auto"/>
              </w:rPr>
              <w:t>610,850</w:t>
            </w:r>
          </w:p>
        </w:tc>
        <w:tc>
          <w:tcPr>
            <w:tcW w:w="1100" w:type="dxa"/>
            <w:vAlign w:val="bottom"/>
            <w:tcBorders>
              <w:bottom w:val="single" w:sz="8" w:color="867F7C"/>
            </w:tcBorders>
          </w:tcPr>
          <w:p>
            <w:pPr>
              <w:jc w:val="right"/>
              <w:ind w:right="180"/>
              <w:spacing w:after="0" w:line="142" w:lineRule="exact"/>
              <w:rPr>
                <w:sz w:val="20"/>
                <w:szCs w:val="20"/>
                <w:color w:val="auto"/>
              </w:rPr>
            </w:pPr>
            <w:r>
              <w:rPr>
                <w:rFonts w:ascii="Arial" w:cs="Arial" w:eastAsia="Arial" w:hAnsi="Arial"/>
                <w:sz w:val="13"/>
                <w:szCs w:val="13"/>
                <w:color w:val="auto"/>
              </w:rPr>
              <w:t>15,537</w:t>
            </w:r>
          </w:p>
        </w:tc>
        <w:tc>
          <w:tcPr>
            <w:tcW w:w="1240" w:type="dxa"/>
            <w:vAlign w:val="bottom"/>
            <w:tcBorders>
              <w:bottom w:val="single" w:sz="8" w:color="867F7C"/>
            </w:tcBorders>
          </w:tcPr>
          <w:p>
            <w:pPr>
              <w:jc w:val="right"/>
              <w:ind w:right="180"/>
              <w:spacing w:after="0" w:line="142" w:lineRule="exact"/>
              <w:rPr>
                <w:sz w:val="20"/>
                <w:szCs w:val="20"/>
                <w:color w:val="auto"/>
              </w:rPr>
            </w:pPr>
            <w:r>
              <w:rPr>
                <w:rFonts w:ascii="Arial" w:cs="Arial" w:eastAsia="Arial" w:hAnsi="Arial"/>
                <w:sz w:val="13"/>
                <w:szCs w:val="13"/>
                <w:color w:val="auto"/>
              </w:rPr>
              <w:t>744,398</w:t>
            </w:r>
          </w:p>
        </w:tc>
        <w:tc>
          <w:tcPr>
            <w:tcW w:w="0" w:type="dxa"/>
            <w:vAlign w:val="bottom"/>
          </w:tcPr>
          <w:p>
            <w:pPr>
              <w:spacing w:after="0"/>
              <w:rPr>
                <w:sz w:val="1"/>
                <w:szCs w:val="1"/>
                <w:color w:val="auto"/>
              </w:rPr>
            </w:pPr>
          </w:p>
        </w:tc>
      </w:tr>
      <w:tr>
        <w:trPr>
          <w:trHeight w:val="111"/>
        </w:trPr>
        <w:tc>
          <w:tcPr>
            <w:tcW w:w="1500" w:type="dxa"/>
            <w:vAlign w:val="bottom"/>
          </w:tcPr>
          <w:p>
            <w:pPr>
              <w:ind w:left="100"/>
              <w:spacing w:after="0" w:line="111" w:lineRule="exact"/>
              <w:rPr>
                <w:sz w:val="20"/>
                <w:szCs w:val="20"/>
                <w:color w:val="auto"/>
              </w:rPr>
            </w:pPr>
            <w:r>
              <w:rPr>
                <w:rFonts w:ascii="Arial" w:cs="Arial" w:eastAsia="Arial" w:hAnsi="Arial"/>
                <w:sz w:val="12"/>
                <w:szCs w:val="12"/>
                <w:b w:val="1"/>
                <w:bCs w:val="1"/>
                <w:color w:val="4CCEDE"/>
              </w:rPr>
              <w:t>Alessandra Faccin</w:t>
            </w:r>
          </w:p>
        </w:tc>
        <w:tc>
          <w:tcPr>
            <w:tcW w:w="1040" w:type="dxa"/>
            <w:vAlign w:val="bottom"/>
            <w:vMerge w:val="restart"/>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58"/>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1120" w:type="dxa"/>
            <w:vAlign w:val="bottom"/>
            <w:gridSpan w:val="2"/>
            <w:vMerge w:val="restart"/>
          </w:tcPr>
          <w:p>
            <w:pPr>
              <w:jc w:val="right"/>
              <w:ind w:right="179"/>
              <w:spacing w:after="0"/>
              <w:rPr>
                <w:sz w:val="20"/>
                <w:szCs w:val="20"/>
                <w:color w:val="auto"/>
              </w:rPr>
            </w:pPr>
            <w:r>
              <w:rPr>
                <w:rFonts w:ascii="Arial" w:cs="Arial" w:eastAsia="Arial" w:hAnsi="Arial"/>
                <w:sz w:val="13"/>
                <w:szCs w:val="13"/>
                <w:color w:val="auto"/>
              </w:rPr>
              <w:t>16,612</w:t>
            </w:r>
          </w:p>
        </w:tc>
        <w:tc>
          <w:tcPr>
            <w:tcW w:w="1060" w:type="dxa"/>
            <w:vAlign w:val="bottom"/>
            <w:vMerge w:val="restart"/>
          </w:tcPr>
          <w:p>
            <w:pPr>
              <w:jc w:val="right"/>
              <w:ind w:right="159"/>
              <w:spacing w:after="0"/>
              <w:rPr>
                <w:sz w:val="20"/>
                <w:szCs w:val="20"/>
                <w:color w:val="auto"/>
              </w:rPr>
            </w:pPr>
            <w:r>
              <w:rPr>
                <w:rFonts w:ascii="Arial" w:cs="Arial" w:eastAsia="Arial" w:hAnsi="Arial"/>
                <w:sz w:val="13"/>
                <w:szCs w:val="13"/>
                <w:color w:val="auto"/>
              </w:rPr>
              <w:t>795,898</w:t>
            </w:r>
          </w:p>
        </w:tc>
        <w:tc>
          <w:tcPr>
            <w:tcW w:w="1100" w:type="dxa"/>
            <w:vAlign w:val="bottom"/>
            <w:vMerge w:val="restart"/>
          </w:tcPr>
          <w:p>
            <w:pPr>
              <w:jc w:val="right"/>
              <w:ind w:right="180"/>
              <w:spacing w:after="0"/>
              <w:rPr>
                <w:sz w:val="20"/>
                <w:szCs w:val="20"/>
                <w:color w:val="auto"/>
              </w:rPr>
            </w:pPr>
            <w:r>
              <w:rPr>
                <w:rFonts w:ascii="Arial" w:cs="Arial" w:eastAsia="Arial" w:hAnsi="Arial"/>
                <w:sz w:val="13"/>
                <w:szCs w:val="13"/>
                <w:color w:val="auto"/>
              </w:rPr>
              <w:t>6,031</w:t>
            </w:r>
          </w:p>
        </w:tc>
        <w:tc>
          <w:tcPr>
            <w:tcW w:w="1240" w:type="dxa"/>
            <w:vAlign w:val="bottom"/>
            <w:vMerge w:val="restart"/>
          </w:tcPr>
          <w:p>
            <w:pPr>
              <w:jc w:val="right"/>
              <w:ind w:right="180"/>
              <w:spacing w:after="0"/>
              <w:rPr>
                <w:sz w:val="20"/>
                <w:szCs w:val="20"/>
                <w:color w:val="auto"/>
              </w:rPr>
            </w:pPr>
            <w:r>
              <w:rPr>
                <w:rFonts w:ascii="Arial" w:cs="Arial" w:eastAsia="Arial" w:hAnsi="Arial"/>
                <w:sz w:val="13"/>
                <w:szCs w:val="13"/>
                <w:color w:val="auto"/>
              </w:rPr>
              <w:t>288,930</w:t>
            </w:r>
          </w:p>
        </w:tc>
        <w:tc>
          <w:tcPr>
            <w:tcW w:w="0" w:type="dxa"/>
            <w:vAlign w:val="bottom"/>
          </w:tcPr>
          <w:p>
            <w:pPr>
              <w:spacing w:after="0"/>
              <w:rPr>
                <w:sz w:val="1"/>
                <w:szCs w:val="1"/>
                <w:color w:val="auto"/>
              </w:rPr>
            </w:pPr>
          </w:p>
        </w:tc>
      </w:tr>
      <w:tr>
        <w:trPr>
          <w:trHeight w:val="98"/>
        </w:trPr>
        <w:tc>
          <w:tcPr>
            <w:tcW w:w="1500" w:type="dxa"/>
            <w:vAlign w:val="bottom"/>
            <w:vMerge w:val="restart"/>
          </w:tcPr>
          <w:p>
            <w:pPr>
              <w:ind w:left="100"/>
              <w:spacing w:after="0"/>
              <w:rPr>
                <w:sz w:val="20"/>
                <w:szCs w:val="20"/>
                <w:color w:val="auto"/>
              </w:rPr>
            </w:pPr>
            <w:r>
              <w:rPr>
                <w:rFonts w:ascii="Arial" w:cs="Arial" w:eastAsia="Arial" w:hAnsi="Arial"/>
                <w:sz w:val="13"/>
                <w:szCs w:val="13"/>
                <w:b w:val="1"/>
                <w:bCs w:val="1"/>
                <w:color w:val="4CCEDE"/>
              </w:rPr>
              <w:t>Assis</w:t>
            </w:r>
          </w:p>
        </w:tc>
        <w:tc>
          <w:tcPr>
            <w:tcW w:w="10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867F7C"/>
            </w:tcBorders>
            <w:vMerge w:val="continue"/>
          </w:tcPr>
          <w:p>
            <w:pPr>
              <w:spacing w:after="0"/>
              <w:rPr>
                <w:sz w:val="4"/>
                <w:szCs w:val="4"/>
                <w:color w:val="auto"/>
              </w:rPr>
            </w:pPr>
          </w:p>
        </w:tc>
        <w:tc>
          <w:tcPr>
            <w:tcW w:w="1040" w:type="dxa"/>
            <w:vAlign w:val="bottom"/>
            <w:tcBorders>
              <w:bottom w:val="single" w:sz="8" w:color="867F7C"/>
            </w:tcBorders>
          </w:tcPr>
          <w:p>
            <w:pPr>
              <w:spacing w:after="0"/>
              <w:rPr>
                <w:sz w:val="4"/>
                <w:szCs w:val="4"/>
                <w:color w:val="auto"/>
              </w:rPr>
            </w:pPr>
          </w:p>
        </w:tc>
        <w:tc>
          <w:tcPr>
            <w:tcW w:w="960" w:type="dxa"/>
            <w:vAlign w:val="bottom"/>
            <w:tcBorders>
              <w:bottom w:val="single" w:sz="8" w:color="867F7C"/>
            </w:tcBorders>
          </w:tcPr>
          <w:p>
            <w:pPr>
              <w:spacing w:after="0"/>
              <w:rPr>
                <w:sz w:val="4"/>
                <w:szCs w:val="4"/>
                <w:color w:val="auto"/>
              </w:rPr>
            </w:pPr>
          </w:p>
        </w:tc>
        <w:tc>
          <w:tcPr>
            <w:tcW w:w="1060" w:type="dxa"/>
            <w:vAlign w:val="bottom"/>
            <w:tcBorders>
              <w:bottom w:val="single" w:sz="8" w:color="867F7C"/>
            </w:tcBorders>
          </w:tcPr>
          <w:p>
            <w:pPr>
              <w:spacing w:after="0"/>
              <w:rPr>
                <w:sz w:val="4"/>
                <w:szCs w:val="4"/>
                <w:color w:val="auto"/>
              </w:rPr>
            </w:pPr>
          </w:p>
        </w:tc>
        <w:tc>
          <w:tcPr>
            <w:tcW w:w="80" w:type="dxa"/>
            <w:vAlign w:val="bottom"/>
            <w:tcBorders>
              <w:bottom w:val="single" w:sz="8" w:color="867F7C"/>
            </w:tcBorders>
          </w:tcPr>
          <w:p>
            <w:pPr>
              <w:spacing w:after="0"/>
              <w:rPr>
                <w:sz w:val="4"/>
                <w:szCs w:val="4"/>
                <w:color w:val="auto"/>
              </w:rPr>
            </w:pPr>
          </w:p>
        </w:tc>
        <w:tc>
          <w:tcPr>
            <w:tcW w:w="1040" w:type="dxa"/>
            <w:vAlign w:val="bottom"/>
            <w:tcBorders>
              <w:bottom w:val="single" w:sz="8" w:color="867F7C"/>
            </w:tcBorders>
          </w:tcPr>
          <w:p>
            <w:pPr>
              <w:spacing w:after="0"/>
              <w:rPr>
                <w:sz w:val="4"/>
                <w:szCs w:val="4"/>
                <w:color w:val="auto"/>
              </w:rPr>
            </w:pPr>
          </w:p>
        </w:tc>
        <w:tc>
          <w:tcPr>
            <w:tcW w:w="1060" w:type="dxa"/>
            <w:vAlign w:val="bottom"/>
            <w:tcBorders>
              <w:bottom w:val="single" w:sz="8" w:color="867F7C"/>
            </w:tcBorders>
          </w:tcPr>
          <w:p>
            <w:pPr>
              <w:spacing w:after="0"/>
              <w:rPr>
                <w:sz w:val="4"/>
                <w:szCs w:val="4"/>
                <w:color w:val="auto"/>
              </w:rPr>
            </w:pPr>
          </w:p>
        </w:tc>
        <w:tc>
          <w:tcPr>
            <w:tcW w:w="1100" w:type="dxa"/>
            <w:vAlign w:val="bottom"/>
            <w:tcBorders>
              <w:bottom w:val="single" w:sz="8" w:color="867F7C"/>
            </w:tcBorders>
          </w:tcPr>
          <w:p>
            <w:pPr>
              <w:spacing w:after="0"/>
              <w:rPr>
                <w:sz w:val="4"/>
                <w:szCs w:val="4"/>
                <w:color w:val="auto"/>
              </w:rPr>
            </w:pPr>
          </w:p>
        </w:tc>
        <w:tc>
          <w:tcPr>
            <w:tcW w:w="1240" w:type="dxa"/>
            <w:vAlign w:val="bottom"/>
            <w:tcBorders>
              <w:bottom w:val="single" w:sz="8" w:color="867F7C"/>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500" w:type="dxa"/>
            <w:vAlign w:val="bottom"/>
          </w:tcPr>
          <w:p>
            <w:pPr>
              <w:ind w:left="100"/>
              <w:spacing w:after="0" w:line="124" w:lineRule="exact"/>
              <w:rPr>
                <w:sz w:val="20"/>
                <w:szCs w:val="20"/>
                <w:color w:val="auto"/>
              </w:rPr>
            </w:pPr>
            <w:r>
              <w:rPr>
                <w:rFonts w:ascii="Arial" w:cs="Arial" w:eastAsia="Arial" w:hAnsi="Arial"/>
                <w:sz w:val="13"/>
                <w:szCs w:val="13"/>
                <w:b w:val="1"/>
                <w:bCs w:val="1"/>
                <w:color w:val="4CCEDE"/>
              </w:rPr>
              <w:t>Osama M. Musa</w:t>
            </w:r>
          </w:p>
        </w:tc>
        <w:tc>
          <w:tcPr>
            <w:tcW w:w="1040" w:type="dxa"/>
            <w:vAlign w:val="bottom"/>
          </w:tcPr>
          <w:p>
            <w:pPr>
              <w:jc w:val="right"/>
              <w:ind w:right="180"/>
              <w:spacing w:after="0" w:line="124" w:lineRule="exact"/>
              <w:rPr>
                <w:sz w:val="20"/>
                <w:szCs w:val="20"/>
                <w:color w:val="auto"/>
              </w:rPr>
            </w:pPr>
            <w:r>
              <w:rPr>
                <w:rFonts w:ascii="Arial" w:cs="Arial" w:eastAsia="Arial" w:hAnsi="Arial"/>
                <w:sz w:val="13"/>
                <w:szCs w:val="13"/>
                <w:color w:val="auto"/>
              </w:rPr>
              <w:t>12,200</w:t>
            </w:r>
          </w:p>
        </w:tc>
        <w:tc>
          <w:tcPr>
            <w:tcW w:w="960" w:type="dxa"/>
            <w:vAlign w:val="bottom"/>
          </w:tcPr>
          <w:p>
            <w:pPr>
              <w:jc w:val="right"/>
              <w:ind w:right="158"/>
              <w:spacing w:after="0" w:line="124" w:lineRule="exact"/>
              <w:rPr>
                <w:sz w:val="20"/>
                <w:szCs w:val="20"/>
                <w:color w:val="auto"/>
              </w:rPr>
            </w:pPr>
            <w:r>
              <w:rPr>
                <w:rFonts w:ascii="Arial" w:cs="Arial" w:eastAsia="Arial" w:hAnsi="Arial"/>
                <w:sz w:val="13"/>
                <w:szCs w:val="13"/>
                <w:color w:val="auto"/>
              </w:rPr>
              <w:t>77.90</w:t>
            </w:r>
          </w:p>
        </w:tc>
        <w:tc>
          <w:tcPr>
            <w:tcW w:w="1060" w:type="dxa"/>
            <w:vAlign w:val="bottom"/>
          </w:tcPr>
          <w:p>
            <w:pPr>
              <w:jc w:val="right"/>
              <w:ind w:right="38"/>
              <w:spacing w:after="0" w:line="124" w:lineRule="exact"/>
              <w:rPr>
                <w:sz w:val="20"/>
                <w:szCs w:val="20"/>
                <w:color w:val="auto"/>
              </w:rPr>
            </w:pPr>
            <w:r>
              <w:rPr>
                <w:rFonts w:ascii="Arial" w:cs="Arial" w:eastAsia="Arial" w:hAnsi="Arial"/>
                <w:sz w:val="13"/>
                <w:szCs w:val="13"/>
                <w:color w:val="auto"/>
              </w:rPr>
              <w:t>11/13/2029</w:t>
            </w:r>
          </w:p>
        </w:tc>
        <w:tc>
          <w:tcPr>
            <w:tcW w:w="1120" w:type="dxa"/>
            <w:vAlign w:val="bottom"/>
            <w:gridSpan w:val="2"/>
          </w:tcPr>
          <w:p>
            <w:pPr>
              <w:jc w:val="right"/>
              <w:ind w:right="179"/>
              <w:spacing w:after="0" w:line="124" w:lineRule="exact"/>
              <w:rPr>
                <w:sz w:val="20"/>
                <w:szCs w:val="20"/>
                <w:color w:val="auto"/>
              </w:rPr>
            </w:pPr>
            <w:r>
              <w:rPr>
                <w:rFonts w:ascii="Arial" w:cs="Arial" w:eastAsia="Arial" w:hAnsi="Arial"/>
                <w:sz w:val="13"/>
                <w:szCs w:val="13"/>
                <w:color w:val="auto"/>
              </w:rPr>
              <w:t>19,481</w:t>
            </w:r>
          </w:p>
        </w:tc>
        <w:tc>
          <w:tcPr>
            <w:tcW w:w="1060" w:type="dxa"/>
            <w:vAlign w:val="bottom"/>
          </w:tcPr>
          <w:p>
            <w:pPr>
              <w:jc w:val="right"/>
              <w:ind w:right="159"/>
              <w:spacing w:after="0" w:line="124" w:lineRule="exact"/>
              <w:rPr>
                <w:sz w:val="20"/>
                <w:szCs w:val="20"/>
                <w:color w:val="auto"/>
              </w:rPr>
            </w:pPr>
            <w:r>
              <w:rPr>
                <w:rFonts w:ascii="Arial" w:cs="Arial" w:eastAsia="Arial" w:hAnsi="Arial"/>
                <w:sz w:val="13"/>
                <w:szCs w:val="13"/>
                <w:color w:val="auto"/>
              </w:rPr>
              <w:t>933,313</w:t>
            </w:r>
          </w:p>
        </w:tc>
        <w:tc>
          <w:tcPr>
            <w:tcW w:w="1100" w:type="dxa"/>
            <w:vAlign w:val="bottom"/>
          </w:tcPr>
          <w:p>
            <w:pPr>
              <w:jc w:val="right"/>
              <w:ind w:right="180"/>
              <w:spacing w:after="0" w:line="124" w:lineRule="exact"/>
              <w:rPr>
                <w:sz w:val="20"/>
                <w:szCs w:val="20"/>
                <w:color w:val="auto"/>
              </w:rPr>
            </w:pPr>
            <w:r>
              <w:rPr>
                <w:rFonts w:ascii="Arial" w:cs="Arial" w:eastAsia="Arial" w:hAnsi="Arial"/>
                <w:sz w:val="13"/>
                <w:szCs w:val="13"/>
                <w:color w:val="auto"/>
              </w:rPr>
              <w:t>16,430</w:t>
            </w:r>
          </w:p>
        </w:tc>
        <w:tc>
          <w:tcPr>
            <w:tcW w:w="1240" w:type="dxa"/>
            <w:vAlign w:val="bottom"/>
          </w:tcPr>
          <w:p>
            <w:pPr>
              <w:jc w:val="right"/>
              <w:ind w:right="180"/>
              <w:spacing w:after="0" w:line="124" w:lineRule="exact"/>
              <w:rPr>
                <w:sz w:val="20"/>
                <w:szCs w:val="20"/>
                <w:color w:val="auto"/>
              </w:rPr>
            </w:pPr>
            <w:r>
              <w:rPr>
                <w:rFonts w:ascii="Arial" w:cs="Arial" w:eastAsia="Arial" w:hAnsi="Arial"/>
                <w:sz w:val="13"/>
                <w:szCs w:val="13"/>
                <w:color w:val="auto"/>
              </w:rPr>
              <w:t>787,176</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40" w:type="dxa"/>
            <w:vAlign w:val="bottom"/>
          </w:tcPr>
          <w:p>
            <w:pPr>
              <w:jc w:val="right"/>
              <w:ind w:right="180"/>
              <w:spacing w:after="0"/>
              <w:rPr>
                <w:sz w:val="20"/>
                <w:szCs w:val="20"/>
                <w:color w:val="auto"/>
              </w:rPr>
            </w:pPr>
            <w:r>
              <w:rPr>
                <w:rFonts w:ascii="Arial" w:cs="Arial" w:eastAsia="Arial" w:hAnsi="Arial"/>
                <w:sz w:val="13"/>
                <w:szCs w:val="13"/>
                <w:color w:val="auto"/>
              </w:rPr>
              <w:t>5,550</w:t>
            </w:r>
          </w:p>
        </w:tc>
        <w:tc>
          <w:tcPr>
            <w:tcW w:w="960" w:type="dxa"/>
            <w:vAlign w:val="bottom"/>
          </w:tcPr>
          <w:p>
            <w:pPr>
              <w:jc w:val="right"/>
              <w:ind w:right="158"/>
              <w:spacing w:after="0"/>
              <w:rPr>
                <w:sz w:val="20"/>
                <w:szCs w:val="20"/>
                <w:color w:val="auto"/>
              </w:rPr>
            </w:pPr>
            <w:r>
              <w:rPr>
                <w:rFonts w:ascii="Arial" w:cs="Arial" w:eastAsia="Arial" w:hAnsi="Arial"/>
                <w:sz w:val="13"/>
                <w:szCs w:val="13"/>
                <w:color w:val="auto"/>
              </w:rPr>
              <w:t>82.34</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11/15/2028</w:t>
            </w:r>
          </w:p>
        </w:tc>
        <w:tc>
          <w:tcPr>
            <w:tcW w:w="80" w:type="dxa"/>
            <w:vAlign w:val="bottom"/>
          </w:tcPr>
          <w:p>
            <w:pPr>
              <w:spacing w:after="0"/>
              <w:rPr>
                <w:sz w:val="12"/>
                <w:szCs w:val="12"/>
                <w:color w:val="auto"/>
              </w:rPr>
            </w:pPr>
          </w:p>
        </w:tc>
        <w:tc>
          <w:tcPr>
            <w:tcW w:w="10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040" w:type="dxa"/>
            <w:vAlign w:val="bottom"/>
          </w:tcPr>
          <w:p>
            <w:pPr>
              <w:jc w:val="right"/>
              <w:ind w:right="180"/>
              <w:spacing w:after="0"/>
              <w:rPr>
                <w:sz w:val="20"/>
                <w:szCs w:val="20"/>
                <w:color w:val="auto"/>
              </w:rPr>
            </w:pPr>
            <w:r>
              <w:rPr>
                <w:rFonts w:ascii="Arial" w:cs="Arial" w:eastAsia="Arial" w:hAnsi="Arial"/>
                <w:sz w:val="13"/>
                <w:szCs w:val="13"/>
                <w:color w:val="auto"/>
              </w:rPr>
              <w:t>8,650</w:t>
            </w:r>
          </w:p>
        </w:tc>
        <w:tc>
          <w:tcPr>
            <w:tcW w:w="960" w:type="dxa"/>
            <w:vAlign w:val="bottom"/>
          </w:tcPr>
          <w:p>
            <w:pPr>
              <w:jc w:val="right"/>
              <w:ind w:right="158"/>
              <w:spacing w:after="0"/>
              <w:rPr>
                <w:sz w:val="20"/>
                <w:szCs w:val="20"/>
                <w:color w:val="auto"/>
              </w:rPr>
            </w:pPr>
            <w:r>
              <w:rPr>
                <w:rFonts w:ascii="Arial" w:cs="Arial" w:eastAsia="Arial" w:hAnsi="Arial"/>
                <w:sz w:val="13"/>
                <w:szCs w:val="13"/>
                <w:color w:val="auto"/>
              </w:rPr>
              <w:t>67.16</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12/15/2027</w:t>
            </w:r>
          </w:p>
        </w:tc>
        <w:tc>
          <w:tcPr>
            <w:tcW w:w="80" w:type="dxa"/>
            <w:vAlign w:val="bottom"/>
          </w:tcPr>
          <w:p>
            <w:pPr>
              <w:spacing w:after="0"/>
              <w:rPr>
                <w:sz w:val="12"/>
                <w:szCs w:val="12"/>
                <w:color w:val="auto"/>
              </w:rPr>
            </w:pPr>
          </w:p>
        </w:tc>
        <w:tc>
          <w:tcPr>
            <w:tcW w:w="10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500" w:type="dxa"/>
            <w:vAlign w:val="bottom"/>
            <w:tcBorders>
              <w:bottom w:val="single" w:sz="8" w:color="867F7C"/>
            </w:tcBorders>
          </w:tcPr>
          <w:p>
            <w:pPr>
              <w:spacing w:after="0"/>
              <w:rPr>
                <w:sz w:val="14"/>
                <w:szCs w:val="14"/>
                <w:color w:val="auto"/>
              </w:rPr>
            </w:pPr>
          </w:p>
        </w:tc>
        <w:tc>
          <w:tcPr>
            <w:tcW w:w="104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9,793</w:t>
            </w:r>
          </w:p>
        </w:tc>
        <w:tc>
          <w:tcPr>
            <w:tcW w:w="960" w:type="dxa"/>
            <w:vAlign w:val="bottom"/>
            <w:tcBorders>
              <w:bottom w:val="single" w:sz="8" w:color="867F7C"/>
            </w:tcBorders>
          </w:tcPr>
          <w:p>
            <w:pPr>
              <w:jc w:val="right"/>
              <w:ind w:right="158"/>
              <w:spacing w:after="0"/>
              <w:rPr>
                <w:sz w:val="20"/>
                <w:szCs w:val="20"/>
                <w:color w:val="auto"/>
              </w:rPr>
            </w:pPr>
            <w:r>
              <w:rPr>
                <w:rFonts w:ascii="Arial" w:cs="Arial" w:eastAsia="Arial" w:hAnsi="Arial"/>
                <w:sz w:val="13"/>
                <w:szCs w:val="13"/>
                <w:color w:val="auto"/>
              </w:rPr>
              <w:t>57.96</w:t>
            </w:r>
          </w:p>
        </w:tc>
        <w:tc>
          <w:tcPr>
            <w:tcW w:w="1060" w:type="dxa"/>
            <w:vAlign w:val="bottom"/>
            <w:tcBorders>
              <w:bottom w:val="single" w:sz="8" w:color="867F7C"/>
            </w:tcBorders>
          </w:tcPr>
          <w:p>
            <w:pPr>
              <w:jc w:val="right"/>
              <w:ind w:right="38"/>
              <w:spacing w:after="0"/>
              <w:rPr>
                <w:sz w:val="20"/>
                <w:szCs w:val="20"/>
                <w:color w:val="auto"/>
              </w:rPr>
            </w:pPr>
            <w:r>
              <w:rPr>
                <w:rFonts w:ascii="Arial" w:cs="Arial" w:eastAsia="Arial" w:hAnsi="Arial"/>
                <w:sz w:val="13"/>
                <w:szCs w:val="13"/>
                <w:color w:val="auto"/>
              </w:rPr>
              <w:t>12/16/2026</w:t>
            </w:r>
          </w:p>
        </w:tc>
        <w:tc>
          <w:tcPr>
            <w:tcW w:w="80" w:type="dxa"/>
            <w:vAlign w:val="bottom"/>
            <w:tcBorders>
              <w:bottom w:val="single" w:sz="8" w:color="867F7C"/>
            </w:tcBorders>
          </w:tcPr>
          <w:p>
            <w:pPr>
              <w:spacing w:after="0"/>
              <w:rPr>
                <w:sz w:val="14"/>
                <w:szCs w:val="14"/>
                <w:color w:val="auto"/>
              </w:rPr>
            </w:pPr>
          </w:p>
        </w:tc>
        <w:tc>
          <w:tcPr>
            <w:tcW w:w="1040" w:type="dxa"/>
            <w:vAlign w:val="bottom"/>
            <w:tcBorders>
              <w:bottom w:val="single" w:sz="8" w:color="867F7C"/>
            </w:tcBorders>
          </w:tcPr>
          <w:p>
            <w:pPr>
              <w:jc w:val="right"/>
              <w:ind w:right="17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67F7C"/>
            </w:tcBorders>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867F7C"/>
            </w:tcBorders>
          </w:tcPr>
          <w:p>
            <w:pPr>
              <w:ind w:left="100"/>
              <w:spacing w:after="0" w:line="143" w:lineRule="exact"/>
              <w:rPr>
                <w:sz w:val="20"/>
                <w:szCs w:val="20"/>
                <w:color w:val="auto"/>
              </w:rPr>
            </w:pPr>
            <w:r>
              <w:rPr>
                <w:rFonts w:ascii="Arial" w:cs="Arial" w:eastAsia="Arial" w:hAnsi="Arial"/>
                <w:sz w:val="13"/>
                <w:szCs w:val="13"/>
                <w:b w:val="1"/>
                <w:bCs w:val="1"/>
                <w:color w:val="4CCEDE"/>
              </w:rPr>
              <w:t>James Minicucci</w:t>
            </w:r>
          </w:p>
        </w:tc>
        <w:tc>
          <w:tcPr>
            <w:tcW w:w="1040" w:type="dxa"/>
            <w:vAlign w:val="bottom"/>
            <w:tcBorders>
              <w:bottom w:val="single" w:sz="8" w:color="867F7C"/>
            </w:tcBorders>
          </w:tcPr>
          <w:p>
            <w:pPr>
              <w:spacing w:after="0"/>
              <w:rPr>
                <w:sz w:val="12"/>
                <w:szCs w:val="12"/>
                <w:color w:val="auto"/>
              </w:rPr>
            </w:pPr>
          </w:p>
        </w:tc>
        <w:tc>
          <w:tcPr>
            <w:tcW w:w="960" w:type="dxa"/>
            <w:vAlign w:val="bottom"/>
            <w:tcBorders>
              <w:bottom w:val="single" w:sz="8" w:color="867F7C"/>
            </w:tcBorders>
          </w:tcPr>
          <w:p>
            <w:pPr>
              <w:spacing w:after="0"/>
              <w:rPr>
                <w:sz w:val="12"/>
                <w:szCs w:val="12"/>
                <w:color w:val="auto"/>
              </w:rPr>
            </w:pPr>
          </w:p>
        </w:tc>
        <w:tc>
          <w:tcPr>
            <w:tcW w:w="1060" w:type="dxa"/>
            <w:vAlign w:val="bottom"/>
            <w:tcBorders>
              <w:bottom w:val="single" w:sz="8" w:color="867F7C"/>
            </w:tcBorders>
          </w:tcPr>
          <w:p>
            <w:pPr>
              <w:spacing w:after="0"/>
              <w:rPr>
                <w:sz w:val="12"/>
                <w:szCs w:val="12"/>
                <w:color w:val="auto"/>
              </w:rPr>
            </w:pPr>
          </w:p>
        </w:tc>
        <w:tc>
          <w:tcPr>
            <w:tcW w:w="1120" w:type="dxa"/>
            <w:vAlign w:val="bottom"/>
            <w:tcBorders>
              <w:bottom w:val="single" w:sz="8" w:color="867F7C"/>
            </w:tcBorders>
            <w:gridSpan w:val="2"/>
          </w:tcPr>
          <w:p>
            <w:pPr>
              <w:jc w:val="right"/>
              <w:ind w:right="179"/>
              <w:spacing w:after="0" w:line="143" w:lineRule="exact"/>
              <w:rPr>
                <w:sz w:val="20"/>
                <w:szCs w:val="20"/>
                <w:color w:val="auto"/>
              </w:rPr>
            </w:pPr>
            <w:r>
              <w:rPr>
                <w:rFonts w:ascii="Arial" w:cs="Arial" w:eastAsia="Arial" w:hAnsi="Arial"/>
                <w:sz w:val="13"/>
                <w:szCs w:val="13"/>
                <w:color w:val="auto"/>
              </w:rPr>
              <w:t>9,762</w:t>
            </w:r>
          </w:p>
        </w:tc>
        <w:tc>
          <w:tcPr>
            <w:tcW w:w="1060" w:type="dxa"/>
            <w:vAlign w:val="bottom"/>
            <w:tcBorders>
              <w:bottom w:val="single" w:sz="8" w:color="867F7C"/>
            </w:tcBorders>
          </w:tcPr>
          <w:p>
            <w:pPr>
              <w:jc w:val="right"/>
              <w:ind w:right="159"/>
              <w:spacing w:after="0" w:line="143" w:lineRule="exact"/>
              <w:rPr>
                <w:sz w:val="20"/>
                <w:szCs w:val="20"/>
                <w:color w:val="auto"/>
              </w:rPr>
            </w:pPr>
            <w:r>
              <w:rPr>
                <w:rFonts w:ascii="Arial" w:cs="Arial" w:eastAsia="Arial" w:hAnsi="Arial"/>
                <w:sz w:val="13"/>
                <w:szCs w:val="13"/>
                <w:color w:val="auto"/>
              </w:rPr>
              <w:t>467,706</w:t>
            </w:r>
          </w:p>
        </w:tc>
        <w:tc>
          <w:tcPr>
            <w:tcW w:w="1100" w:type="dxa"/>
            <w:vAlign w:val="bottom"/>
            <w:tcBorders>
              <w:bottom w:val="single" w:sz="8" w:color="867F7C"/>
            </w:tcBorders>
          </w:tcPr>
          <w:p>
            <w:pPr>
              <w:jc w:val="right"/>
              <w:ind w:right="180"/>
              <w:spacing w:after="0" w:line="143" w:lineRule="exact"/>
              <w:rPr>
                <w:sz w:val="20"/>
                <w:szCs w:val="20"/>
                <w:color w:val="auto"/>
              </w:rPr>
            </w:pPr>
            <w:r>
              <w:rPr>
                <w:rFonts w:ascii="Arial" w:cs="Arial" w:eastAsia="Arial" w:hAnsi="Arial"/>
                <w:sz w:val="13"/>
                <w:szCs w:val="13"/>
                <w:color w:val="auto"/>
              </w:rPr>
              <w:t>8,122</w:t>
            </w:r>
          </w:p>
        </w:tc>
        <w:tc>
          <w:tcPr>
            <w:tcW w:w="1240" w:type="dxa"/>
            <w:vAlign w:val="bottom"/>
            <w:tcBorders>
              <w:bottom w:val="single" w:sz="8" w:color="867F7C"/>
            </w:tcBorders>
          </w:tcPr>
          <w:p>
            <w:pPr>
              <w:jc w:val="right"/>
              <w:ind w:right="180"/>
              <w:spacing w:after="0" w:line="143" w:lineRule="exact"/>
              <w:rPr>
                <w:sz w:val="20"/>
                <w:szCs w:val="20"/>
                <w:color w:val="auto"/>
              </w:rPr>
            </w:pPr>
            <w:r>
              <w:rPr>
                <w:rFonts w:ascii="Arial" w:cs="Arial" w:eastAsia="Arial" w:hAnsi="Arial"/>
                <w:sz w:val="13"/>
                <w:szCs w:val="13"/>
                <w:color w:val="auto"/>
              </w:rPr>
              <w:t>389,125</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867F7C"/>
            </w:tcBorders>
          </w:tcPr>
          <w:p>
            <w:pPr>
              <w:ind w:left="100"/>
              <w:spacing w:after="0" w:line="142" w:lineRule="exact"/>
              <w:rPr>
                <w:sz w:val="20"/>
                <w:szCs w:val="20"/>
                <w:color w:val="auto"/>
              </w:rPr>
            </w:pPr>
            <w:r>
              <w:rPr>
                <w:rFonts w:ascii="Arial" w:cs="Arial" w:eastAsia="Arial" w:hAnsi="Arial"/>
                <w:sz w:val="13"/>
                <w:szCs w:val="13"/>
                <w:b w:val="1"/>
                <w:bCs w:val="1"/>
                <w:color w:val="4CCEDE"/>
              </w:rPr>
              <w:t>Karl Bostaph</w:t>
            </w:r>
          </w:p>
        </w:tc>
        <w:tc>
          <w:tcPr>
            <w:tcW w:w="1040" w:type="dxa"/>
            <w:vAlign w:val="bottom"/>
            <w:tcBorders>
              <w:bottom w:val="single" w:sz="8" w:color="867F7C"/>
            </w:tcBorders>
          </w:tcPr>
          <w:p>
            <w:pPr>
              <w:jc w:val="right"/>
              <w:ind w:right="180"/>
              <w:spacing w:after="0" w:line="142" w:lineRule="exact"/>
              <w:rPr>
                <w:sz w:val="20"/>
                <w:szCs w:val="20"/>
                <w:color w:val="auto"/>
              </w:rPr>
            </w:pPr>
            <w:r>
              <w:rPr>
                <w:rFonts w:ascii="Arial" w:cs="Arial" w:eastAsia="Arial" w:hAnsi="Arial"/>
                <w:sz w:val="13"/>
                <w:szCs w:val="13"/>
                <w:color w:val="auto"/>
              </w:rPr>
              <w:t>2,350</w:t>
            </w:r>
          </w:p>
        </w:tc>
        <w:tc>
          <w:tcPr>
            <w:tcW w:w="960" w:type="dxa"/>
            <w:vAlign w:val="bottom"/>
            <w:tcBorders>
              <w:bottom w:val="single" w:sz="8" w:color="867F7C"/>
            </w:tcBorders>
          </w:tcPr>
          <w:p>
            <w:pPr>
              <w:jc w:val="right"/>
              <w:ind w:right="158"/>
              <w:spacing w:after="0" w:line="142" w:lineRule="exact"/>
              <w:rPr>
                <w:sz w:val="20"/>
                <w:szCs w:val="20"/>
                <w:color w:val="auto"/>
              </w:rPr>
            </w:pPr>
            <w:r>
              <w:rPr>
                <w:rFonts w:ascii="Arial" w:cs="Arial" w:eastAsia="Arial" w:hAnsi="Arial"/>
                <w:sz w:val="13"/>
                <w:szCs w:val="13"/>
                <w:color w:val="auto"/>
              </w:rPr>
              <w:t>76.76</w:t>
            </w:r>
          </w:p>
        </w:tc>
        <w:tc>
          <w:tcPr>
            <w:tcW w:w="1060" w:type="dxa"/>
            <w:vAlign w:val="bottom"/>
            <w:tcBorders>
              <w:bottom w:val="single" w:sz="8" w:color="867F7C"/>
            </w:tcBorders>
          </w:tcPr>
          <w:p>
            <w:pPr>
              <w:jc w:val="right"/>
              <w:ind w:right="38"/>
              <w:spacing w:after="0" w:line="142" w:lineRule="exact"/>
              <w:rPr>
                <w:sz w:val="20"/>
                <w:szCs w:val="20"/>
                <w:color w:val="auto"/>
              </w:rPr>
            </w:pPr>
            <w:r>
              <w:rPr>
                <w:rFonts w:ascii="Arial" w:cs="Arial" w:eastAsia="Arial" w:hAnsi="Arial"/>
                <w:sz w:val="13"/>
                <w:szCs w:val="13"/>
                <w:color w:val="auto"/>
              </w:rPr>
              <w:t>1/2/2030</w:t>
            </w:r>
          </w:p>
        </w:tc>
        <w:tc>
          <w:tcPr>
            <w:tcW w:w="1120" w:type="dxa"/>
            <w:vAlign w:val="bottom"/>
            <w:tcBorders>
              <w:bottom w:val="single" w:sz="8" w:color="867F7C"/>
            </w:tcBorders>
            <w:gridSpan w:val="2"/>
          </w:tcPr>
          <w:p>
            <w:pPr>
              <w:jc w:val="right"/>
              <w:ind w:right="179"/>
              <w:spacing w:after="0" w:line="142" w:lineRule="exact"/>
              <w:rPr>
                <w:sz w:val="20"/>
                <w:szCs w:val="20"/>
                <w:color w:val="auto"/>
              </w:rPr>
            </w:pPr>
            <w:r>
              <w:rPr>
                <w:rFonts w:ascii="Arial" w:cs="Arial" w:eastAsia="Arial" w:hAnsi="Arial"/>
                <w:sz w:val="13"/>
                <w:szCs w:val="13"/>
                <w:color w:val="auto"/>
              </w:rPr>
              <w:t>4,702</w:t>
            </w:r>
          </w:p>
        </w:tc>
        <w:tc>
          <w:tcPr>
            <w:tcW w:w="1060" w:type="dxa"/>
            <w:vAlign w:val="bottom"/>
            <w:tcBorders>
              <w:bottom w:val="single" w:sz="8" w:color="867F7C"/>
            </w:tcBorders>
          </w:tcPr>
          <w:p>
            <w:pPr>
              <w:jc w:val="right"/>
              <w:ind w:right="159"/>
              <w:spacing w:after="0" w:line="142" w:lineRule="exact"/>
              <w:rPr>
                <w:sz w:val="20"/>
                <w:szCs w:val="20"/>
                <w:color w:val="auto"/>
              </w:rPr>
            </w:pPr>
            <w:r>
              <w:rPr>
                <w:rFonts w:ascii="Arial" w:cs="Arial" w:eastAsia="Arial" w:hAnsi="Arial"/>
                <w:sz w:val="13"/>
                <w:szCs w:val="13"/>
                <w:color w:val="auto"/>
              </w:rPr>
              <w:t>225,263</w:t>
            </w:r>
          </w:p>
        </w:tc>
        <w:tc>
          <w:tcPr>
            <w:tcW w:w="1100" w:type="dxa"/>
            <w:vAlign w:val="bottom"/>
            <w:tcBorders>
              <w:bottom w:val="single" w:sz="8" w:color="867F7C"/>
            </w:tcBorders>
          </w:tcPr>
          <w:p>
            <w:pPr>
              <w:jc w:val="right"/>
              <w:ind w:right="180"/>
              <w:spacing w:after="0" w:line="142" w:lineRule="exact"/>
              <w:rPr>
                <w:sz w:val="20"/>
                <w:szCs w:val="20"/>
                <w:color w:val="auto"/>
              </w:rPr>
            </w:pPr>
            <w:r>
              <w:rPr>
                <w:rFonts w:ascii="Arial" w:cs="Arial" w:eastAsia="Arial" w:hAnsi="Arial"/>
                <w:sz w:val="13"/>
                <w:szCs w:val="13"/>
                <w:color w:val="auto"/>
              </w:rPr>
              <w:t>8,007</w:t>
            </w:r>
          </w:p>
        </w:tc>
        <w:tc>
          <w:tcPr>
            <w:tcW w:w="1240" w:type="dxa"/>
            <w:vAlign w:val="bottom"/>
            <w:tcBorders>
              <w:bottom w:val="single" w:sz="8" w:color="867F7C"/>
            </w:tcBorders>
          </w:tcPr>
          <w:p>
            <w:pPr>
              <w:jc w:val="right"/>
              <w:ind w:right="180"/>
              <w:spacing w:after="0" w:line="142" w:lineRule="exact"/>
              <w:rPr>
                <w:sz w:val="20"/>
                <w:szCs w:val="20"/>
                <w:color w:val="auto"/>
              </w:rPr>
            </w:pPr>
            <w:r>
              <w:rPr>
                <w:rFonts w:ascii="Arial" w:cs="Arial" w:eastAsia="Arial" w:hAnsi="Arial"/>
                <w:sz w:val="13"/>
                <w:szCs w:val="13"/>
                <w:color w:val="auto"/>
              </w:rPr>
              <w:t>383,596</w:t>
            </w:r>
          </w:p>
        </w:tc>
        <w:tc>
          <w:tcPr>
            <w:tcW w:w="0" w:type="dxa"/>
            <w:vAlign w:val="bottom"/>
          </w:tcPr>
          <w:p>
            <w:pPr>
              <w:spacing w:after="0"/>
              <w:rPr>
                <w:sz w:val="1"/>
                <w:szCs w:val="1"/>
                <w:color w:val="auto"/>
              </w:rPr>
            </w:pPr>
          </w:p>
        </w:tc>
      </w:tr>
      <w:tr>
        <w:trPr>
          <w:trHeight w:val="124"/>
        </w:trPr>
        <w:tc>
          <w:tcPr>
            <w:tcW w:w="1500" w:type="dxa"/>
            <w:vAlign w:val="bottom"/>
          </w:tcPr>
          <w:p>
            <w:pPr>
              <w:ind w:left="100"/>
              <w:spacing w:after="0" w:line="124" w:lineRule="exact"/>
              <w:rPr>
                <w:sz w:val="20"/>
                <w:szCs w:val="20"/>
                <w:color w:val="auto"/>
              </w:rPr>
            </w:pPr>
            <w:r>
              <w:rPr>
                <w:rFonts w:ascii="Arial" w:cs="Arial" w:eastAsia="Arial" w:hAnsi="Arial"/>
                <w:sz w:val="13"/>
                <w:szCs w:val="13"/>
                <w:b w:val="1"/>
                <w:bCs w:val="1"/>
                <w:color w:val="4CCEDE"/>
              </w:rPr>
              <w:t>J. Kevin Willis</w:t>
            </w:r>
          </w:p>
        </w:tc>
        <w:tc>
          <w:tcPr>
            <w:tcW w:w="1040" w:type="dxa"/>
            <w:vAlign w:val="bottom"/>
          </w:tcPr>
          <w:p>
            <w:pPr>
              <w:jc w:val="right"/>
              <w:ind w:right="180"/>
              <w:spacing w:after="0" w:line="124" w:lineRule="exact"/>
              <w:rPr>
                <w:sz w:val="20"/>
                <w:szCs w:val="20"/>
                <w:color w:val="auto"/>
              </w:rPr>
            </w:pPr>
            <w:r>
              <w:rPr>
                <w:rFonts w:ascii="Arial" w:cs="Arial" w:eastAsia="Arial" w:hAnsi="Arial"/>
                <w:sz w:val="13"/>
                <w:szCs w:val="13"/>
                <w:color w:val="auto"/>
              </w:rPr>
              <w:t>28,450</w:t>
            </w:r>
          </w:p>
        </w:tc>
        <w:tc>
          <w:tcPr>
            <w:tcW w:w="960" w:type="dxa"/>
            <w:vAlign w:val="bottom"/>
          </w:tcPr>
          <w:p>
            <w:pPr>
              <w:jc w:val="right"/>
              <w:ind w:right="158"/>
              <w:spacing w:after="0" w:line="124" w:lineRule="exact"/>
              <w:rPr>
                <w:sz w:val="20"/>
                <w:szCs w:val="20"/>
                <w:color w:val="auto"/>
              </w:rPr>
            </w:pPr>
            <w:r>
              <w:rPr>
                <w:rFonts w:ascii="Arial" w:cs="Arial" w:eastAsia="Arial" w:hAnsi="Arial"/>
                <w:sz w:val="13"/>
                <w:szCs w:val="13"/>
                <w:color w:val="auto"/>
              </w:rPr>
              <w:t>67.16</w:t>
            </w:r>
          </w:p>
        </w:tc>
        <w:tc>
          <w:tcPr>
            <w:tcW w:w="1060" w:type="dxa"/>
            <w:vAlign w:val="bottom"/>
          </w:tcPr>
          <w:p>
            <w:pPr>
              <w:jc w:val="right"/>
              <w:ind w:right="38"/>
              <w:spacing w:after="0" w:line="124" w:lineRule="exact"/>
              <w:rPr>
                <w:sz w:val="20"/>
                <w:szCs w:val="20"/>
                <w:color w:val="auto"/>
              </w:rPr>
            </w:pPr>
            <w:r>
              <w:rPr>
                <w:rFonts w:ascii="Arial" w:cs="Arial" w:eastAsia="Arial" w:hAnsi="Arial"/>
                <w:sz w:val="13"/>
                <w:szCs w:val="13"/>
                <w:color w:val="auto"/>
              </w:rPr>
              <w:t>12/15/2027</w:t>
            </w:r>
          </w:p>
        </w:tc>
        <w:tc>
          <w:tcPr>
            <w:tcW w:w="80" w:type="dxa"/>
            <w:vAlign w:val="bottom"/>
          </w:tcPr>
          <w:p>
            <w:pPr>
              <w:spacing w:after="0"/>
              <w:rPr>
                <w:sz w:val="10"/>
                <w:szCs w:val="10"/>
                <w:color w:val="auto"/>
              </w:rPr>
            </w:pPr>
          </w:p>
        </w:tc>
        <w:tc>
          <w:tcPr>
            <w:tcW w:w="1040" w:type="dxa"/>
            <w:vAlign w:val="bottom"/>
          </w:tcPr>
          <w:p>
            <w:pPr>
              <w:jc w:val="right"/>
              <w:ind w:right="179"/>
              <w:spacing w:after="0" w:line="12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59"/>
              <w:spacing w:after="0" w:line="12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180"/>
              <w:spacing w:after="0" w:line="124"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180"/>
              <w:spacing w:after="0" w:line="12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40" w:type="dxa"/>
            <w:vAlign w:val="bottom"/>
          </w:tcPr>
          <w:p>
            <w:pPr>
              <w:jc w:val="right"/>
              <w:ind w:right="180"/>
              <w:spacing w:after="0"/>
              <w:rPr>
                <w:sz w:val="20"/>
                <w:szCs w:val="20"/>
                <w:color w:val="auto"/>
              </w:rPr>
            </w:pPr>
            <w:r>
              <w:rPr>
                <w:rFonts w:ascii="Arial" w:cs="Arial" w:eastAsia="Arial" w:hAnsi="Arial"/>
                <w:sz w:val="13"/>
                <w:szCs w:val="13"/>
                <w:color w:val="auto"/>
              </w:rPr>
              <w:t>32,583</w:t>
            </w:r>
          </w:p>
        </w:tc>
        <w:tc>
          <w:tcPr>
            <w:tcW w:w="960" w:type="dxa"/>
            <w:vAlign w:val="bottom"/>
          </w:tcPr>
          <w:p>
            <w:pPr>
              <w:jc w:val="right"/>
              <w:ind w:right="158"/>
              <w:spacing w:after="0"/>
              <w:rPr>
                <w:sz w:val="20"/>
                <w:szCs w:val="20"/>
                <w:color w:val="auto"/>
              </w:rPr>
            </w:pPr>
            <w:r>
              <w:rPr>
                <w:rFonts w:ascii="Arial" w:cs="Arial" w:eastAsia="Arial" w:hAnsi="Arial"/>
                <w:sz w:val="13"/>
                <w:szCs w:val="13"/>
                <w:color w:val="auto"/>
              </w:rPr>
              <w:t>57.96</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12/16/2026</w:t>
            </w:r>
          </w:p>
        </w:tc>
        <w:tc>
          <w:tcPr>
            <w:tcW w:w="80" w:type="dxa"/>
            <w:vAlign w:val="bottom"/>
          </w:tcPr>
          <w:p>
            <w:pPr>
              <w:spacing w:after="0"/>
              <w:rPr>
                <w:sz w:val="12"/>
                <w:szCs w:val="12"/>
                <w:color w:val="auto"/>
              </w:rPr>
            </w:pPr>
          </w:p>
        </w:tc>
        <w:tc>
          <w:tcPr>
            <w:tcW w:w="10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500" w:type="dxa"/>
            <w:vAlign w:val="bottom"/>
            <w:tcBorders>
              <w:bottom w:val="single" w:sz="8" w:color="867F7C"/>
            </w:tcBorders>
          </w:tcPr>
          <w:p>
            <w:pPr>
              <w:spacing w:after="0"/>
              <w:rPr>
                <w:sz w:val="14"/>
                <w:szCs w:val="14"/>
                <w:color w:val="auto"/>
              </w:rPr>
            </w:pPr>
          </w:p>
        </w:tc>
        <w:tc>
          <w:tcPr>
            <w:tcW w:w="104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30,229</w:t>
            </w:r>
          </w:p>
        </w:tc>
        <w:tc>
          <w:tcPr>
            <w:tcW w:w="960" w:type="dxa"/>
            <w:vAlign w:val="bottom"/>
            <w:tcBorders>
              <w:bottom w:val="single" w:sz="8" w:color="867F7C"/>
            </w:tcBorders>
          </w:tcPr>
          <w:p>
            <w:pPr>
              <w:jc w:val="right"/>
              <w:ind w:right="158"/>
              <w:spacing w:after="0"/>
              <w:rPr>
                <w:sz w:val="20"/>
                <w:szCs w:val="20"/>
                <w:color w:val="auto"/>
              </w:rPr>
            </w:pPr>
            <w:r>
              <w:rPr>
                <w:rFonts w:ascii="Arial" w:cs="Arial" w:eastAsia="Arial" w:hAnsi="Arial"/>
                <w:sz w:val="13"/>
                <w:szCs w:val="13"/>
                <w:color w:val="auto"/>
              </w:rPr>
              <w:t>59.41</w:t>
            </w:r>
          </w:p>
        </w:tc>
        <w:tc>
          <w:tcPr>
            <w:tcW w:w="1060" w:type="dxa"/>
            <w:vAlign w:val="bottom"/>
            <w:tcBorders>
              <w:bottom w:val="single" w:sz="8" w:color="867F7C"/>
            </w:tcBorders>
          </w:tcPr>
          <w:p>
            <w:pPr>
              <w:jc w:val="right"/>
              <w:ind w:right="38"/>
              <w:spacing w:after="0"/>
              <w:rPr>
                <w:sz w:val="20"/>
                <w:szCs w:val="20"/>
                <w:color w:val="auto"/>
              </w:rPr>
            </w:pPr>
            <w:r>
              <w:rPr>
                <w:rFonts w:ascii="Arial" w:cs="Arial" w:eastAsia="Arial" w:hAnsi="Arial"/>
                <w:sz w:val="13"/>
                <w:szCs w:val="13"/>
                <w:color w:val="auto"/>
              </w:rPr>
              <w:t>12/18/2025</w:t>
            </w:r>
          </w:p>
        </w:tc>
        <w:tc>
          <w:tcPr>
            <w:tcW w:w="80" w:type="dxa"/>
            <w:vAlign w:val="bottom"/>
            <w:tcBorders>
              <w:bottom w:val="single" w:sz="8" w:color="867F7C"/>
            </w:tcBorders>
          </w:tcPr>
          <w:p>
            <w:pPr>
              <w:spacing w:after="0"/>
              <w:rPr>
                <w:sz w:val="14"/>
                <w:szCs w:val="14"/>
                <w:color w:val="auto"/>
              </w:rPr>
            </w:pPr>
          </w:p>
        </w:tc>
        <w:tc>
          <w:tcPr>
            <w:tcW w:w="1040" w:type="dxa"/>
            <w:vAlign w:val="bottom"/>
            <w:tcBorders>
              <w:bottom w:val="single" w:sz="8" w:color="867F7C"/>
            </w:tcBorders>
          </w:tcPr>
          <w:p>
            <w:pPr>
              <w:jc w:val="right"/>
              <w:ind w:right="17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67F7C"/>
            </w:tcBorders>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18,856</w:t>
            </w:r>
          </w:p>
        </w:tc>
        <w:tc>
          <w:tcPr>
            <w:tcW w:w="1240" w:type="dxa"/>
            <w:vAlign w:val="bottom"/>
            <w:tcBorders>
              <w:bottom w:val="single" w:sz="8" w:color="867F7C"/>
            </w:tcBorders>
          </w:tcPr>
          <w:p>
            <w:pPr>
              <w:jc w:val="right"/>
              <w:ind w:right="180"/>
              <w:spacing w:after="0"/>
              <w:rPr>
                <w:sz w:val="20"/>
                <w:szCs w:val="20"/>
                <w:color w:val="auto"/>
              </w:rPr>
            </w:pPr>
            <w:r>
              <w:rPr>
                <w:rFonts w:ascii="Arial" w:cs="Arial" w:eastAsia="Arial" w:hAnsi="Arial"/>
                <w:sz w:val="13"/>
                <w:szCs w:val="13"/>
                <w:color w:val="auto"/>
              </w:rPr>
              <w:t>903,391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50"/>
        </w:numPr>
        <w:rPr>
          <w:rFonts w:ascii="Times New Roman" w:cs="Times New Roman" w:eastAsia="Times New Roman" w:hAnsi="Times New Roman"/>
          <w:sz w:val="8"/>
          <w:szCs w:val="8"/>
          <w:color w:val="auto"/>
        </w:rPr>
      </w:pPr>
      <w:r>
        <w:rPr>
          <w:rFonts w:ascii="Arial" w:cs="Arial" w:eastAsia="Arial" w:hAnsi="Arial"/>
          <w:sz w:val="14"/>
          <w:szCs w:val="14"/>
          <w:color w:val="auto"/>
        </w:rPr>
        <w:t>The amounts reported in this column reflect outstanding SARs.</w:t>
      </w:r>
    </w:p>
    <w:p>
      <w:pPr>
        <w:spacing w:after="0" w:line="109" w:lineRule="exact"/>
        <w:rPr>
          <w:rFonts w:ascii="Times New Roman" w:cs="Times New Roman" w:eastAsia="Times New Roman" w:hAnsi="Times New Roman"/>
          <w:sz w:val="8"/>
          <w:szCs w:val="8"/>
          <w:color w:val="auto"/>
        </w:rPr>
      </w:pPr>
    </w:p>
    <w:p>
      <w:pPr>
        <w:ind w:left="220" w:hanging="212"/>
        <w:spacing w:after="0" w:line="285" w:lineRule="auto"/>
        <w:tabs>
          <w:tab w:leader="none" w:pos="220" w:val="left"/>
        </w:tabs>
        <w:numPr>
          <w:ilvl w:val="0"/>
          <w:numId w:val="50"/>
        </w:numPr>
        <w:rPr>
          <w:rFonts w:ascii="Times New Roman" w:cs="Times New Roman" w:eastAsia="Times New Roman" w:hAnsi="Times New Roman"/>
          <w:sz w:val="8"/>
          <w:szCs w:val="8"/>
          <w:color w:val="auto"/>
        </w:rPr>
      </w:pPr>
      <w:r>
        <w:rPr>
          <w:rFonts w:ascii="Arial" w:cs="Arial" w:eastAsia="Arial" w:hAnsi="Arial"/>
          <w:sz w:val="14"/>
          <w:szCs w:val="14"/>
          <w:color w:val="auto"/>
        </w:rPr>
        <w:t>The amounts reported in this column and the corresponding dollar values represent the number of PSUs earned with respect to the fiscal 2023-2025 LTIPP performance period that will be paid in November 2025 and other unvested RSUs.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22"/>
          <w:szCs w:val="22"/>
          <w:color w:val="4CCEDE"/>
        </w:rPr>
        <w:t>performance stock units earned</w:t>
      </w:r>
    </w:p>
    <w:p>
      <w:pPr>
        <w:spacing w:after="0" w:line="115" w:lineRule="exact"/>
        <w:rPr>
          <w:sz w:val="20"/>
          <w:szCs w:val="20"/>
          <w:color w:val="auto"/>
        </w:rPr>
      </w:pPr>
    </w:p>
    <w:p>
      <w:pPr>
        <w:jc w:val="both"/>
        <w:ind w:left="220"/>
        <w:spacing w:after="0" w:line="263" w:lineRule="auto"/>
        <w:rPr>
          <w:sz w:val="20"/>
          <w:szCs w:val="20"/>
          <w:color w:val="auto"/>
        </w:rPr>
      </w:pPr>
      <w:r>
        <w:rPr>
          <w:rFonts w:ascii="Arial" w:cs="Arial" w:eastAsia="Arial" w:hAnsi="Arial"/>
          <w:sz w:val="14"/>
          <w:szCs w:val="14"/>
          <w:color w:val="auto"/>
        </w:rPr>
        <w:t>The number of PSUs earned for the fiscal 2023 – 2025 performance period was determined by the Compensation Committee in November 2025. The amounts reflect the Company’s achievement relative to the goals established under the long-term incentive program (“LTIP”). PSUs do not earn dividends or dividend equivalents until vested.</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22"/>
        </w:trPr>
        <w:tc>
          <w:tcPr>
            <w:tcW w:w="5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9"/>
        </w:trPr>
        <w:tc>
          <w:tcPr>
            <w:tcW w:w="5360" w:type="dxa"/>
            <w:vAlign w:val="bottom"/>
            <w:shd w:val="clear" w:color="auto" w:fill="EFEBE9"/>
          </w:tcPr>
          <w:p>
            <w:pPr>
              <w:ind w:left="100"/>
              <w:spacing w:after="0" w:line="135" w:lineRule="exact"/>
              <w:rPr>
                <w:sz w:val="20"/>
                <w:szCs w:val="20"/>
                <w:color w:val="auto"/>
              </w:rPr>
            </w:pPr>
            <w:r>
              <w:rPr>
                <w:rFonts w:ascii="Arial" w:cs="Arial" w:eastAsia="Arial" w:hAnsi="Arial"/>
                <w:sz w:val="13"/>
                <w:szCs w:val="13"/>
                <w:b w:val="1"/>
                <w:bCs w:val="1"/>
                <w:color w:val="867F7C"/>
              </w:rPr>
              <w:t>Name</w:t>
            </w:r>
          </w:p>
        </w:tc>
        <w:tc>
          <w:tcPr>
            <w:tcW w:w="1800" w:type="dxa"/>
            <w:vAlign w:val="bottom"/>
            <w:shd w:val="clear" w:color="auto" w:fill="EFEBE9"/>
          </w:tcPr>
          <w:p>
            <w:pPr>
              <w:jc w:val="right"/>
              <w:ind w:right="157"/>
              <w:spacing w:after="0" w:line="135" w:lineRule="exact"/>
              <w:rPr>
                <w:sz w:val="20"/>
                <w:szCs w:val="20"/>
                <w:color w:val="auto"/>
              </w:rPr>
            </w:pPr>
            <w:r>
              <w:rPr>
                <w:rFonts w:ascii="Arial" w:cs="Arial" w:eastAsia="Arial" w:hAnsi="Arial"/>
                <w:sz w:val="12"/>
                <w:szCs w:val="12"/>
                <w:b w:val="1"/>
                <w:bCs w:val="1"/>
                <w:color w:val="867F7C"/>
              </w:rPr>
              <w:t>2023 – 2025 LTIPP</w:t>
            </w:r>
            <w:r>
              <w:rPr>
                <w:rFonts w:ascii="Arial" w:cs="Arial" w:eastAsia="Arial" w:hAnsi="Arial"/>
                <w:sz w:val="15"/>
                <w:szCs w:val="15"/>
                <w:b w:val="1"/>
                <w:bCs w:val="1"/>
                <w:color w:val="867F7C"/>
                <w:vertAlign w:val="superscript"/>
              </w:rPr>
              <w:t>(1)</w:t>
            </w:r>
          </w:p>
        </w:tc>
      </w:tr>
      <w:tr>
        <w:trPr>
          <w:trHeight w:val="189"/>
        </w:trPr>
        <w:tc>
          <w:tcPr>
            <w:tcW w:w="53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1800" w:type="dxa"/>
            <w:vAlign w:val="bottom"/>
            <w:tcBorders>
              <w:bottom w:val="single" w:sz="8" w:color="867F7C"/>
            </w:tcBorders>
          </w:tcPr>
          <w:p>
            <w:pPr>
              <w:jc w:val="right"/>
              <w:ind w:right="317"/>
              <w:spacing w:after="0"/>
              <w:rPr>
                <w:sz w:val="20"/>
                <w:szCs w:val="20"/>
                <w:color w:val="auto"/>
              </w:rPr>
            </w:pPr>
            <w:r>
              <w:rPr>
                <w:rFonts w:ascii="Arial" w:cs="Arial" w:eastAsia="Arial" w:hAnsi="Arial"/>
                <w:sz w:val="13"/>
                <w:szCs w:val="13"/>
                <w:color w:val="auto"/>
              </w:rPr>
              <w:t>—</w:t>
            </w:r>
          </w:p>
        </w:tc>
      </w:tr>
      <w:tr>
        <w:trPr>
          <w:trHeight w:val="183"/>
        </w:trPr>
        <w:tc>
          <w:tcPr>
            <w:tcW w:w="53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William Whitaker</w:t>
            </w:r>
          </w:p>
        </w:tc>
        <w:tc>
          <w:tcPr>
            <w:tcW w:w="1800" w:type="dxa"/>
            <w:vAlign w:val="bottom"/>
            <w:tcBorders>
              <w:bottom w:val="single" w:sz="8" w:color="867F7C"/>
            </w:tcBorders>
          </w:tcPr>
          <w:p>
            <w:pPr>
              <w:jc w:val="right"/>
              <w:ind w:right="317"/>
              <w:spacing w:after="0"/>
              <w:rPr>
                <w:sz w:val="20"/>
                <w:szCs w:val="20"/>
                <w:color w:val="auto"/>
              </w:rPr>
            </w:pPr>
            <w:r>
              <w:rPr>
                <w:rFonts w:ascii="Arial" w:cs="Arial" w:eastAsia="Arial" w:hAnsi="Arial"/>
                <w:sz w:val="13"/>
                <w:szCs w:val="13"/>
                <w:color w:val="auto"/>
              </w:rPr>
              <w:t>—</w:t>
            </w:r>
          </w:p>
        </w:tc>
      </w:tr>
      <w:tr>
        <w:trPr>
          <w:trHeight w:val="183"/>
        </w:trPr>
        <w:tc>
          <w:tcPr>
            <w:tcW w:w="5360" w:type="dxa"/>
            <w:vAlign w:val="bottom"/>
            <w:tcBorders>
              <w:bottom w:val="single" w:sz="8" w:color="867F7C"/>
            </w:tcBorders>
          </w:tcPr>
          <w:p>
            <w:pPr>
              <w:ind w:left="100"/>
              <w:spacing w:after="0" w:line="183" w:lineRule="exact"/>
              <w:rPr>
                <w:sz w:val="20"/>
                <w:szCs w:val="20"/>
                <w:color w:val="auto"/>
              </w:rPr>
            </w:pPr>
            <w:r>
              <w:rPr>
                <w:rFonts w:ascii="Arial" w:cs="Arial" w:eastAsia="Arial" w:hAnsi="Arial"/>
                <w:sz w:val="14"/>
                <w:szCs w:val="14"/>
                <w:b w:val="1"/>
                <w:bCs w:val="1"/>
                <w:color w:val="4CCEDE"/>
              </w:rPr>
              <w:t>Alessandra Faccin Assis</w:t>
            </w:r>
            <w:r>
              <w:rPr>
                <w:rFonts w:ascii="Arial" w:cs="Arial" w:eastAsia="Arial" w:hAnsi="Arial"/>
                <w:sz w:val="19"/>
                <w:szCs w:val="19"/>
                <w:b w:val="1"/>
                <w:bCs w:val="1"/>
                <w:color w:val="4CCEDE"/>
                <w:vertAlign w:val="superscript"/>
              </w:rPr>
              <w:t>(2)</w:t>
            </w:r>
          </w:p>
        </w:tc>
        <w:tc>
          <w:tcPr>
            <w:tcW w:w="1800" w:type="dxa"/>
            <w:vAlign w:val="bottom"/>
            <w:tcBorders>
              <w:bottom w:val="single" w:sz="8" w:color="867F7C"/>
            </w:tcBorders>
          </w:tcPr>
          <w:p>
            <w:pPr>
              <w:jc w:val="right"/>
              <w:ind w:right="317"/>
              <w:spacing w:after="0"/>
              <w:rPr>
                <w:sz w:val="20"/>
                <w:szCs w:val="20"/>
                <w:color w:val="auto"/>
              </w:rPr>
            </w:pPr>
            <w:r>
              <w:rPr>
                <w:rFonts w:ascii="Arial" w:cs="Arial" w:eastAsia="Arial" w:hAnsi="Arial"/>
                <w:sz w:val="13"/>
                <w:szCs w:val="13"/>
                <w:color w:val="auto"/>
              </w:rPr>
              <w:t>N/A</w:t>
            </w:r>
          </w:p>
        </w:tc>
      </w:tr>
      <w:tr>
        <w:trPr>
          <w:trHeight w:val="183"/>
        </w:trPr>
        <w:tc>
          <w:tcPr>
            <w:tcW w:w="53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Osama M. Musa</w:t>
            </w:r>
          </w:p>
        </w:tc>
        <w:tc>
          <w:tcPr>
            <w:tcW w:w="1800" w:type="dxa"/>
            <w:vAlign w:val="bottom"/>
            <w:tcBorders>
              <w:bottom w:val="single" w:sz="8" w:color="867F7C"/>
            </w:tcBorders>
          </w:tcPr>
          <w:p>
            <w:pPr>
              <w:jc w:val="right"/>
              <w:ind w:right="317"/>
              <w:spacing w:after="0"/>
              <w:rPr>
                <w:sz w:val="20"/>
                <w:szCs w:val="20"/>
                <w:color w:val="auto"/>
              </w:rPr>
            </w:pPr>
            <w:r>
              <w:rPr>
                <w:rFonts w:ascii="Arial" w:cs="Arial" w:eastAsia="Arial" w:hAnsi="Arial"/>
                <w:sz w:val="13"/>
                <w:szCs w:val="13"/>
                <w:color w:val="auto"/>
              </w:rPr>
              <w:t>—</w:t>
            </w:r>
          </w:p>
        </w:tc>
      </w:tr>
      <w:tr>
        <w:trPr>
          <w:trHeight w:val="183"/>
        </w:trPr>
        <w:tc>
          <w:tcPr>
            <w:tcW w:w="5360" w:type="dxa"/>
            <w:vAlign w:val="bottom"/>
            <w:tcBorders>
              <w:bottom w:val="single" w:sz="8" w:color="867F7C"/>
            </w:tcBorders>
          </w:tcPr>
          <w:p>
            <w:pPr>
              <w:ind w:left="100"/>
              <w:spacing w:after="0" w:line="183" w:lineRule="exact"/>
              <w:rPr>
                <w:sz w:val="20"/>
                <w:szCs w:val="20"/>
                <w:color w:val="auto"/>
              </w:rPr>
            </w:pPr>
            <w:r>
              <w:rPr>
                <w:rFonts w:ascii="Arial" w:cs="Arial" w:eastAsia="Arial" w:hAnsi="Arial"/>
                <w:sz w:val="14"/>
                <w:szCs w:val="14"/>
                <w:b w:val="1"/>
                <w:bCs w:val="1"/>
                <w:color w:val="4CCEDE"/>
              </w:rPr>
              <w:t>James Minicucci</w:t>
            </w:r>
            <w:r>
              <w:rPr>
                <w:rFonts w:ascii="Arial" w:cs="Arial" w:eastAsia="Arial" w:hAnsi="Arial"/>
                <w:sz w:val="19"/>
                <w:szCs w:val="19"/>
                <w:b w:val="1"/>
                <w:bCs w:val="1"/>
                <w:color w:val="4CCEDE"/>
                <w:vertAlign w:val="superscript"/>
              </w:rPr>
              <w:t>(2)</w:t>
            </w:r>
          </w:p>
        </w:tc>
        <w:tc>
          <w:tcPr>
            <w:tcW w:w="1800" w:type="dxa"/>
            <w:vAlign w:val="bottom"/>
            <w:tcBorders>
              <w:bottom w:val="single" w:sz="8" w:color="867F7C"/>
            </w:tcBorders>
          </w:tcPr>
          <w:p>
            <w:pPr>
              <w:jc w:val="right"/>
              <w:ind w:right="317"/>
              <w:spacing w:after="0"/>
              <w:rPr>
                <w:sz w:val="20"/>
                <w:szCs w:val="20"/>
                <w:color w:val="auto"/>
              </w:rPr>
            </w:pPr>
            <w:r>
              <w:rPr>
                <w:rFonts w:ascii="Arial" w:cs="Arial" w:eastAsia="Arial" w:hAnsi="Arial"/>
                <w:sz w:val="13"/>
                <w:szCs w:val="13"/>
                <w:color w:val="auto"/>
              </w:rPr>
              <w:t>N/A</w:t>
            </w:r>
          </w:p>
        </w:tc>
      </w:tr>
      <w:tr>
        <w:trPr>
          <w:trHeight w:val="183"/>
        </w:trPr>
        <w:tc>
          <w:tcPr>
            <w:tcW w:w="53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Karl Bostaph</w:t>
            </w:r>
          </w:p>
        </w:tc>
        <w:tc>
          <w:tcPr>
            <w:tcW w:w="1800" w:type="dxa"/>
            <w:vAlign w:val="bottom"/>
            <w:tcBorders>
              <w:bottom w:val="single" w:sz="8" w:color="867F7C"/>
            </w:tcBorders>
          </w:tcPr>
          <w:p>
            <w:pPr>
              <w:jc w:val="right"/>
              <w:ind w:right="317"/>
              <w:spacing w:after="0"/>
              <w:rPr>
                <w:sz w:val="20"/>
                <w:szCs w:val="20"/>
                <w:color w:val="auto"/>
              </w:rPr>
            </w:pPr>
            <w:r>
              <w:rPr>
                <w:rFonts w:ascii="Arial" w:cs="Arial" w:eastAsia="Arial" w:hAnsi="Arial"/>
                <w:sz w:val="13"/>
                <w:szCs w:val="13"/>
                <w:color w:val="auto"/>
              </w:rPr>
              <w:t>—</w:t>
            </w:r>
          </w:p>
        </w:tc>
      </w:tr>
      <w:tr>
        <w:trPr>
          <w:trHeight w:val="183"/>
        </w:trPr>
        <w:tc>
          <w:tcPr>
            <w:tcW w:w="536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 Kevin Willis</w:t>
            </w:r>
          </w:p>
        </w:tc>
        <w:tc>
          <w:tcPr>
            <w:tcW w:w="1800" w:type="dxa"/>
            <w:vAlign w:val="bottom"/>
            <w:tcBorders>
              <w:bottom w:val="single" w:sz="8" w:color="867F7C"/>
            </w:tcBorders>
          </w:tcPr>
          <w:p>
            <w:pPr>
              <w:jc w:val="right"/>
              <w:ind w:right="317"/>
              <w:spacing w:after="0"/>
              <w:rPr>
                <w:sz w:val="20"/>
                <w:szCs w:val="20"/>
                <w:color w:val="auto"/>
              </w:rPr>
            </w:pPr>
            <w:r>
              <w:rPr>
                <w:rFonts w:ascii="Arial" w:cs="Arial" w:eastAsia="Arial" w:hAnsi="Arial"/>
                <w:sz w:val="13"/>
                <w:szCs w:val="13"/>
                <w:color w:val="auto"/>
              </w:rPr>
              <w:t>—</w:t>
            </w:r>
          </w:p>
        </w:tc>
      </w:tr>
    </w:tbl>
    <w:p>
      <w:pPr>
        <w:spacing w:after="0" w:line="166" w:lineRule="exact"/>
        <w:rPr>
          <w:sz w:val="20"/>
          <w:szCs w:val="20"/>
          <w:color w:val="auto"/>
        </w:rPr>
      </w:pPr>
    </w:p>
    <w:p>
      <w:pPr>
        <w:ind w:left="1460" w:right="1060" w:hanging="156"/>
        <w:spacing w:after="0" w:line="233" w:lineRule="auto"/>
        <w:tabs>
          <w:tab w:leader="none" w:pos="1458"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Based on the level of achievement against the performance metrics certified by the Compensation Committee in November 2025, the NEOs achieved 0% of target performance due to underachievement against the RONA and rTSR metrics.</w:t>
      </w:r>
    </w:p>
    <w:p>
      <w:pPr>
        <w:spacing w:after="0" w:line="147" w:lineRule="exact"/>
        <w:rPr>
          <w:rFonts w:ascii="Arial" w:cs="Arial" w:eastAsia="Arial" w:hAnsi="Arial"/>
          <w:sz w:val="18"/>
          <w:szCs w:val="18"/>
          <w:color w:val="auto"/>
          <w:vertAlign w:val="superscript"/>
        </w:rPr>
      </w:pPr>
    </w:p>
    <w:p>
      <w:pPr>
        <w:ind w:left="1460" w:right="920" w:hanging="156"/>
        <w:spacing w:after="0" w:line="229" w:lineRule="auto"/>
        <w:tabs>
          <w:tab w:leader="none" w:pos="1457"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Mr. Minicucci and Ms. Faccin Assis did not participate in the 2023 - 2025 LTIP program as they joined the Company after the commencement of the performance cycle.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48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867F7C"/>
        </w:rPr>
        <w:t>2025 executive compensation tables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22"/>
          <w:szCs w:val="22"/>
          <w:color w:val="4CCEDE"/>
        </w:rPr>
        <w:t>unvested restricted stock units</w:t>
      </w:r>
    </w:p>
    <w:p>
      <w:pPr>
        <w:spacing w:after="0" w:line="115" w:lineRule="exact"/>
        <w:rPr>
          <w:sz w:val="20"/>
          <w:szCs w:val="20"/>
          <w:color w:val="auto"/>
        </w:rPr>
      </w:pPr>
    </w:p>
    <w:p>
      <w:pPr>
        <w:jc w:val="both"/>
        <w:ind w:left="180"/>
        <w:spacing w:after="0" w:line="256" w:lineRule="auto"/>
        <w:rPr>
          <w:sz w:val="20"/>
          <w:szCs w:val="20"/>
          <w:color w:val="auto"/>
        </w:rPr>
      </w:pPr>
      <w:r>
        <w:rPr>
          <w:rFonts w:ascii="Arial" w:cs="Arial" w:eastAsia="Arial" w:hAnsi="Arial"/>
          <w:sz w:val="14"/>
          <w:szCs w:val="14"/>
          <w:color w:val="auto"/>
        </w:rPr>
        <w:t>The following presents the unvested RSUs held by each NEO as of September 30, 2025. Unless otherwise noted, RSUs vest in equal installments on each annual anniversary of the date of grant over a three-year period. Dividend equivalents accrue on outstanding RSUs and vest upon vesting of the underlying RSU. Upon vesting, RSUs and any related dividend equivalents are converted to shares of Ashland common stock.</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 Mr. Novo:</w:t>
      </w:r>
    </w:p>
    <w:p>
      <w:pPr>
        <w:spacing w:after="0" w:line="163" w:lineRule="exact"/>
        <w:rPr>
          <w:sz w:val="20"/>
          <w:szCs w:val="20"/>
          <w:color w:val="auto"/>
        </w:rPr>
      </w:pPr>
    </w:p>
    <w:p>
      <w:pPr>
        <w:ind w:left="500" w:hanging="19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27,088 RSUs remaining from a grant of 26,339 RSUs on November 13, 2024; and 749 RSUs earned from dividend equivalents.</w:t>
      </w:r>
    </w:p>
    <w:p>
      <w:pPr>
        <w:spacing w:after="0" w:line="163" w:lineRule="exact"/>
        <w:rPr>
          <w:rFonts w:ascii="Arial" w:cs="Arial" w:eastAsia="Arial" w:hAnsi="Arial"/>
          <w:sz w:val="14"/>
          <w:szCs w:val="14"/>
          <w:color w:val="auto"/>
        </w:rPr>
      </w:pPr>
    </w:p>
    <w:p>
      <w:pPr>
        <w:ind w:left="500" w:hanging="23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5,470 RSUs remaining from a grant of 5,252 RSUs on November 14, 2023; and 218 RSUs earned from dividend equivalents.</w:t>
      </w:r>
    </w:p>
    <w:p>
      <w:pPr>
        <w:spacing w:after="0" w:line="163" w:lineRule="exact"/>
        <w:rPr>
          <w:rFonts w:ascii="Arial" w:cs="Arial" w:eastAsia="Arial" w:hAnsi="Arial"/>
          <w:sz w:val="14"/>
          <w:szCs w:val="14"/>
          <w:color w:val="auto"/>
        </w:rPr>
      </w:pPr>
    </w:p>
    <w:p>
      <w:pPr>
        <w:ind w:left="500" w:hanging="232"/>
        <w:spacing w:after="0"/>
        <w:tabs>
          <w:tab w:leader="none" w:pos="500" w:val="left"/>
        </w:tabs>
        <w:numPr>
          <w:ilvl w:val="2"/>
          <w:numId w:val="52"/>
        </w:numPr>
        <w:rPr>
          <w:rFonts w:ascii="Arial" w:cs="Arial" w:eastAsia="Arial" w:hAnsi="Arial"/>
          <w:sz w:val="14"/>
          <w:szCs w:val="14"/>
          <w:color w:val="auto"/>
        </w:rPr>
      </w:pPr>
      <w:r>
        <w:rPr>
          <w:rFonts w:ascii="Arial" w:cs="Arial" w:eastAsia="Arial" w:hAnsi="Arial"/>
          <w:sz w:val="14"/>
          <w:szCs w:val="14"/>
          <w:color w:val="auto"/>
        </w:rPr>
        <w:t>18,238 RSUs remaining from a grant of 26,263 RSUs on November 14, 2023; and 840 RSUs earned from dividend equivalents.</w:t>
      </w:r>
    </w:p>
    <w:p>
      <w:pPr>
        <w:spacing w:after="0" w:line="163" w:lineRule="exact"/>
        <w:rPr>
          <w:rFonts w:ascii="Arial" w:cs="Arial" w:eastAsia="Arial" w:hAnsi="Arial"/>
          <w:sz w:val="14"/>
          <w:szCs w:val="14"/>
          <w:color w:val="auto"/>
        </w:rPr>
      </w:pPr>
    </w:p>
    <w:p>
      <w:pPr>
        <w:ind w:left="180" w:right="500" w:firstLine="48"/>
        <w:spacing w:after="0" w:line="483" w:lineRule="auto"/>
        <w:tabs>
          <w:tab w:leader="none" w:pos="500" w:val="left"/>
        </w:tabs>
        <w:numPr>
          <w:ilvl w:val="1"/>
          <w:numId w:val="52"/>
        </w:numPr>
        <w:rPr>
          <w:rFonts w:ascii="Arial" w:cs="Arial" w:eastAsia="Arial" w:hAnsi="Arial"/>
          <w:sz w:val="14"/>
          <w:szCs w:val="14"/>
          <w:color w:val="auto"/>
        </w:rPr>
      </w:pPr>
      <w:r>
        <w:rPr>
          <w:rFonts w:ascii="Arial" w:cs="Arial" w:eastAsia="Arial" w:hAnsi="Arial"/>
          <w:sz w:val="14"/>
          <w:szCs w:val="14"/>
          <w:color w:val="auto"/>
        </w:rPr>
        <w:t>6,122 RSUs remaining from a grant of 17,337 RSUs on November 17, 2022; and 587 RSUs earned from dividend equivalents. For Mr. Whitaker:</w:t>
      </w:r>
    </w:p>
    <w:p>
      <w:pPr>
        <w:ind w:left="500" w:hanging="192"/>
        <w:spacing w:after="0"/>
        <w:tabs>
          <w:tab w:leader="none" w:pos="500" w:val="left"/>
        </w:tabs>
        <w:numPr>
          <w:ilvl w:val="1"/>
          <w:numId w:val="53"/>
        </w:numPr>
        <w:rPr>
          <w:rFonts w:ascii="Arial" w:cs="Arial" w:eastAsia="Arial" w:hAnsi="Arial"/>
          <w:sz w:val="14"/>
          <w:szCs w:val="14"/>
          <w:color w:val="auto"/>
        </w:rPr>
      </w:pPr>
      <w:r>
        <w:rPr>
          <w:rFonts w:ascii="Arial" w:cs="Arial" w:eastAsia="Arial" w:hAnsi="Arial"/>
          <w:sz w:val="14"/>
          <w:szCs w:val="14"/>
          <w:color w:val="auto"/>
        </w:rPr>
        <w:t>8,685 RSUs remaining from a grant of 8,620 RSUs on November 13, 2024; and 65 RSUs earned from dividend equivalents.</w:t>
      </w:r>
    </w:p>
    <w:p>
      <w:pPr>
        <w:spacing w:after="0" w:line="163" w:lineRule="exact"/>
        <w:rPr>
          <w:rFonts w:ascii="Arial" w:cs="Arial" w:eastAsia="Arial" w:hAnsi="Arial"/>
          <w:sz w:val="14"/>
          <w:szCs w:val="14"/>
          <w:color w:val="auto"/>
        </w:rPr>
      </w:pPr>
    </w:p>
    <w:p>
      <w:pPr>
        <w:ind w:left="500" w:hanging="192"/>
        <w:spacing w:after="0"/>
        <w:tabs>
          <w:tab w:leader="none" w:pos="500" w:val="left"/>
        </w:tabs>
        <w:numPr>
          <w:ilvl w:val="2"/>
          <w:numId w:val="53"/>
        </w:numPr>
        <w:rPr>
          <w:rFonts w:ascii="Arial" w:cs="Arial" w:eastAsia="Arial" w:hAnsi="Arial"/>
          <w:sz w:val="14"/>
          <w:szCs w:val="14"/>
          <w:color w:val="auto"/>
        </w:rPr>
      </w:pPr>
      <w:r>
        <w:rPr>
          <w:rFonts w:ascii="Arial" w:cs="Arial" w:eastAsia="Arial" w:hAnsi="Arial"/>
          <w:sz w:val="14"/>
          <w:szCs w:val="14"/>
          <w:color w:val="auto"/>
        </w:rPr>
        <w:t>2,557 RSUs remaining from a grant of 2,516 RSUs on May 15, 2025; and 41 RSUs earned from dividend equivalents.</w:t>
      </w:r>
    </w:p>
    <w:p>
      <w:pPr>
        <w:spacing w:after="0" w:line="163" w:lineRule="exact"/>
        <w:rPr>
          <w:rFonts w:ascii="Arial" w:cs="Arial" w:eastAsia="Arial" w:hAnsi="Arial"/>
          <w:sz w:val="14"/>
          <w:szCs w:val="14"/>
          <w:color w:val="auto"/>
        </w:rPr>
      </w:pPr>
    </w:p>
    <w:p>
      <w:pPr>
        <w:ind w:left="500" w:hanging="232"/>
        <w:spacing w:after="0"/>
        <w:tabs>
          <w:tab w:leader="none" w:pos="500" w:val="left"/>
        </w:tabs>
        <w:numPr>
          <w:ilvl w:val="2"/>
          <w:numId w:val="53"/>
        </w:numPr>
        <w:rPr>
          <w:rFonts w:ascii="Arial" w:cs="Arial" w:eastAsia="Arial" w:hAnsi="Arial"/>
          <w:sz w:val="14"/>
          <w:szCs w:val="14"/>
          <w:color w:val="auto"/>
        </w:rPr>
      </w:pPr>
      <w:r>
        <w:rPr>
          <w:rFonts w:ascii="Arial" w:cs="Arial" w:eastAsia="Arial" w:hAnsi="Arial"/>
          <w:sz w:val="14"/>
          <w:szCs w:val="14"/>
          <w:color w:val="auto"/>
        </w:rPr>
        <w:t>690 RSUs remaining from a grant of 671 RSUs on November 13, 2024; and 19 RSUs earned from dividend equivalents.</w:t>
      </w:r>
    </w:p>
    <w:p>
      <w:pPr>
        <w:spacing w:after="0" w:line="163" w:lineRule="exact"/>
        <w:rPr>
          <w:rFonts w:ascii="Arial" w:cs="Arial" w:eastAsia="Arial" w:hAnsi="Arial"/>
          <w:sz w:val="14"/>
          <w:szCs w:val="14"/>
          <w:color w:val="auto"/>
        </w:rPr>
      </w:pPr>
    </w:p>
    <w:p>
      <w:pPr>
        <w:ind w:left="500" w:hanging="232"/>
        <w:spacing w:after="0"/>
        <w:tabs>
          <w:tab w:leader="none" w:pos="500" w:val="left"/>
        </w:tabs>
        <w:numPr>
          <w:ilvl w:val="2"/>
          <w:numId w:val="53"/>
        </w:numPr>
        <w:rPr>
          <w:rFonts w:ascii="Arial" w:cs="Arial" w:eastAsia="Arial" w:hAnsi="Arial"/>
          <w:sz w:val="14"/>
          <w:szCs w:val="14"/>
          <w:color w:val="auto"/>
        </w:rPr>
      </w:pPr>
      <w:r>
        <w:rPr>
          <w:rFonts w:ascii="Arial" w:cs="Arial" w:eastAsia="Arial" w:hAnsi="Arial"/>
          <w:sz w:val="14"/>
          <w:szCs w:val="14"/>
          <w:color w:val="auto"/>
        </w:rPr>
        <w:t>712 RSUs remaining from a grant of 1,024 RSUs on November 14, 2023; and 33 RSUs earned from dividend equivalents.</w:t>
      </w:r>
    </w:p>
    <w:p>
      <w:pPr>
        <w:spacing w:after="0" w:line="163" w:lineRule="exact"/>
        <w:rPr>
          <w:rFonts w:ascii="Arial" w:cs="Arial" w:eastAsia="Arial" w:hAnsi="Arial"/>
          <w:sz w:val="14"/>
          <w:szCs w:val="14"/>
          <w:color w:val="auto"/>
        </w:rPr>
      </w:pPr>
    </w:p>
    <w:p>
      <w:pPr>
        <w:ind w:left="500" w:hanging="232"/>
        <w:spacing w:after="0"/>
        <w:tabs>
          <w:tab w:leader="none" w:pos="500" w:val="left"/>
        </w:tabs>
        <w:numPr>
          <w:ilvl w:val="1"/>
          <w:numId w:val="54"/>
        </w:numPr>
        <w:rPr>
          <w:rFonts w:ascii="Arial" w:cs="Arial" w:eastAsia="Arial" w:hAnsi="Arial"/>
          <w:sz w:val="14"/>
          <w:szCs w:val="14"/>
          <w:color w:val="auto"/>
        </w:rPr>
      </w:pPr>
      <w:r>
        <w:rPr>
          <w:rFonts w:ascii="Arial" w:cs="Arial" w:eastAsia="Arial" w:hAnsi="Arial"/>
          <w:sz w:val="14"/>
          <w:szCs w:val="14"/>
          <w:color w:val="auto"/>
        </w:rPr>
        <w:t>106 RSUs remaining from a grant of 299 RSUs on November 17, 2022; and 10 RSUs earned from dividend equivalents.</w:t>
      </w:r>
    </w:p>
    <w:p>
      <w:pPr>
        <w:spacing w:after="0" w:line="200" w:lineRule="exact"/>
        <w:rPr>
          <w:sz w:val="20"/>
          <w:szCs w:val="20"/>
          <w:color w:val="auto"/>
        </w:rPr>
      </w:pPr>
    </w:p>
    <w:p>
      <w:pPr>
        <w:spacing w:after="0" w:line="287" w:lineRule="exact"/>
        <w:rPr>
          <w:sz w:val="20"/>
          <w:szCs w:val="20"/>
          <w:color w:val="auto"/>
        </w:rPr>
      </w:pPr>
    </w:p>
    <w:p>
      <w:pPr>
        <w:ind w:left="500" w:hanging="192"/>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4,020 RSUs remaining from a grant of 3,909 RSUs on November 13, 2024; and 111 RSUs earned from dividend equivalents.</w:t>
      </w:r>
    </w:p>
    <w:p>
      <w:pPr>
        <w:spacing w:after="0" w:line="163" w:lineRule="exact"/>
        <w:rPr>
          <w:rFonts w:ascii="Arial" w:cs="Arial" w:eastAsia="Arial" w:hAnsi="Arial"/>
          <w:sz w:val="14"/>
          <w:szCs w:val="14"/>
          <w:color w:val="auto"/>
        </w:rPr>
      </w:pPr>
    </w:p>
    <w:p>
      <w:pPr>
        <w:ind w:left="180" w:right="820" w:firstLine="128"/>
        <w:spacing w:after="0" w:line="483"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12,592 RSUs remaining from a grant of 15,234 RSUs on July 25, 2024; and 481 RSUs earned from dividend equivalents. For Dr. Musa:</w:t>
      </w:r>
    </w:p>
    <w:p>
      <w:pPr>
        <w:ind w:left="500" w:hanging="192"/>
        <w:spacing w:after="0"/>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4,180 RSUs remaining from a grant of 4,064 RSUs on November 13, 2024; and 116 RSUs earned from dividend equivalents.</w:t>
      </w:r>
    </w:p>
    <w:p>
      <w:pPr>
        <w:spacing w:after="0" w:line="163" w:lineRule="exact"/>
        <w:rPr>
          <w:rFonts w:ascii="Arial" w:cs="Arial" w:eastAsia="Arial" w:hAnsi="Arial"/>
          <w:sz w:val="14"/>
          <w:szCs w:val="14"/>
          <w:color w:val="auto"/>
        </w:rPr>
      </w:pPr>
    </w:p>
    <w:p>
      <w:pPr>
        <w:ind w:left="500" w:hanging="192"/>
        <w:spacing w:after="0"/>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4,181 RSUs remaining from a grant of 6,020 RSUs on November 14, 2023; and 192 RSUs earned from dividend equivalents.</w:t>
      </w:r>
    </w:p>
    <w:p>
      <w:pPr>
        <w:spacing w:after="0" w:line="163" w:lineRule="exact"/>
        <w:rPr>
          <w:rFonts w:ascii="Arial" w:cs="Arial" w:eastAsia="Arial" w:hAnsi="Arial"/>
          <w:sz w:val="14"/>
          <w:szCs w:val="14"/>
          <w:color w:val="auto"/>
        </w:rPr>
      </w:pPr>
    </w:p>
    <w:p>
      <w:pPr>
        <w:ind w:left="820" w:hanging="512"/>
        <w:spacing w:after="0"/>
        <w:tabs>
          <w:tab w:leader="none" w:pos="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10,144 RSUs remaining from a grant of 9,694 RSUs on September 19, 2023; and 450 RSUs earned from dividend equivalents.</w:t>
      </w:r>
    </w:p>
    <w:p>
      <w:pPr>
        <w:spacing w:after="0" w:line="163" w:lineRule="exact"/>
        <w:rPr>
          <w:sz w:val="20"/>
          <w:szCs w:val="20"/>
          <w:color w:val="auto"/>
        </w:rPr>
      </w:pPr>
    </w:p>
    <w:p>
      <w:pPr>
        <w:ind w:left="180" w:right="780" w:firstLine="88"/>
        <w:spacing w:after="0" w:line="483" w:lineRule="auto"/>
        <w:tabs>
          <w:tab w:leader="none" w:pos="500" w:val="left"/>
        </w:tabs>
        <w:numPr>
          <w:ilvl w:val="1"/>
          <w:numId w:val="57"/>
        </w:numPr>
        <w:rPr>
          <w:rFonts w:ascii="Arial" w:cs="Arial" w:eastAsia="Arial" w:hAnsi="Arial"/>
          <w:sz w:val="14"/>
          <w:szCs w:val="14"/>
          <w:color w:val="auto"/>
        </w:rPr>
      </w:pPr>
      <w:r>
        <w:rPr>
          <w:rFonts w:ascii="Arial" w:cs="Arial" w:eastAsia="Arial" w:hAnsi="Arial"/>
          <w:sz w:val="14"/>
          <w:szCs w:val="14"/>
          <w:color w:val="auto"/>
        </w:rPr>
        <w:t>975 RSUs remaining from a grant of 2,760 RSUs on November 17, 2022; and 93 RSUs earned from dividend equivalents. For Mr. Minicucci:</w:t>
      </w:r>
    </w:p>
    <w:p>
      <w:pPr>
        <w:ind w:left="500" w:hanging="312"/>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3,063 RSUs remaining from a grant of 2,978 RSUs on November 13, 2024; and 85 RSUs earned from dividend equivalents.</w:t>
      </w:r>
    </w:p>
    <w:p>
      <w:pPr>
        <w:spacing w:after="0" w:line="163" w:lineRule="exact"/>
        <w:rPr>
          <w:rFonts w:ascii="Arial" w:cs="Arial" w:eastAsia="Arial" w:hAnsi="Arial"/>
          <w:sz w:val="14"/>
          <w:szCs w:val="14"/>
          <w:color w:val="auto"/>
        </w:rPr>
      </w:pPr>
    </w:p>
    <w:p>
      <w:pPr>
        <w:ind w:left="500" w:hanging="312"/>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2,450 RSUs remaining from a grant of 3,527 RSUs on November 14, 2023; and 113 RSUs earned from dividend equivalents.</w:t>
      </w:r>
    </w:p>
    <w:p>
      <w:pPr>
        <w:spacing w:after="0" w:line="163" w:lineRule="exact"/>
        <w:rPr>
          <w:rFonts w:ascii="Arial" w:cs="Arial" w:eastAsia="Arial" w:hAnsi="Arial"/>
          <w:sz w:val="14"/>
          <w:szCs w:val="14"/>
          <w:color w:val="auto"/>
        </w:rPr>
      </w:pPr>
    </w:p>
    <w:p>
      <w:pPr>
        <w:ind w:left="500" w:hanging="312"/>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4,250 RSUs remaining from a grant of 6,708 RSUs on May 18, 2023; and 301 RSUs earned from dividend equivalents.</w:t>
      </w:r>
    </w:p>
    <w:p>
      <w:pPr>
        <w:spacing w:after="0" w:line="3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 Mr. Bostaph, the amounts reported in these columns also represent:</w:t>
      </w:r>
    </w:p>
    <w:p>
      <w:pPr>
        <w:spacing w:after="0" w:line="163" w:lineRule="exact"/>
        <w:rPr>
          <w:sz w:val="20"/>
          <w:szCs w:val="20"/>
          <w:color w:val="auto"/>
        </w:rPr>
      </w:pPr>
    </w:p>
    <w:p>
      <w:pPr>
        <w:ind w:left="500" w:hanging="192"/>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2,137 RSUs remaining from a grant of 2,078 RSUs on November 13, 2024; and 59 RSUs earned from dividend equivalents.</w:t>
      </w:r>
    </w:p>
    <w:p>
      <w:pPr>
        <w:spacing w:after="0" w:line="163" w:lineRule="exact"/>
        <w:rPr>
          <w:rFonts w:ascii="Arial" w:cs="Arial" w:eastAsia="Arial" w:hAnsi="Arial"/>
          <w:sz w:val="14"/>
          <w:szCs w:val="14"/>
          <w:color w:val="auto"/>
        </w:rPr>
      </w:pPr>
    </w:p>
    <w:p>
      <w:pPr>
        <w:ind w:left="500" w:hanging="232"/>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2,169 RSUs remaining from a grant of 3,123 RSUs on November 14, 2023; and 100 RSUs earned from dividend equivalents.</w:t>
      </w:r>
    </w:p>
    <w:p>
      <w:pPr>
        <w:spacing w:after="0" w:line="163" w:lineRule="exact"/>
        <w:rPr>
          <w:rFonts w:ascii="Arial" w:cs="Arial" w:eastAsia="Arial" w:hAnsi="Arial"/>
          <w:sz w:val="14"/>
          <w:szCs w:val="14"/>
          <w:color w:val="auto"/>
        </w:rPr>
      </w:pPr>
    </w:p>
    <w:p>
      <w:pPr>
        <w:ind w:left="500" w:hanging="232"/>
        <w:spacing w:after="0"/>
        <w:tabs>
          <w:tab w:leader="none" w:pos="5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396 RSUs remaining from a grant of 1,119 RSUs on November 17, 2022; and 38 RSUs earned from dividend equivalents.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14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494665</wp:posOffset>
            </wp:positionV>
            <wp:extent cx="703770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-143510</wp:posOffset>
            </wp:positionV>
            <wp:extent cx="57607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40"/>
          </w:cols>
          <w:pgMar w:left="1440" w:top="769" w:right="14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867F7C"/>
        </w:rPr>
        <w:t>2025 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fiscal 2025 option exercises and stock vested</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information regarding the value realized by each NEO during fiscal 2025 in connection with the exercise of stock appreciation rights (“SARs”) and the vesting of PSUs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100965</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20" w:type="dxa"/>
            <w:vAlign w:val="bottom"/>
            <w:tcBorders>
              <w:top w:val="single" w:sz="8" w:color="EFEBE9"/>
            </w:tcBorders>
            <w:shd w:val="clear" w:color="auto" w:fill="EFEBE9"/>
          </w:tcPr>
          <w:p>
            <w:pPr>
              <w:spacing w:after="0"/>
              <w:rPr>
                <w:sz w:val="14"/>
                <w:szCs w:val="14"/>
                <w:color w:val="auto"/>
              </w:rPr>
            </w:pPr>
          </w:p>
        </w:tc>
        <w:tc>
          <w:tcPr>
            <w:tcW w:w="1420" w:type="dxa"/>
            <w:vAlign w:val="bottom"/>
            <w:tcBorders>
              <w:top w:val="single" w:sz="8" w:color="867F7C"/>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Number of Shares</w:t>
            </w:r>
          </w:p>
        </w:tc>
        <w:tc>
          <w:tcPr>
            <w:tcW w:w="1400" w:type="dxa"/>
            <w:vAlign w:val="bottom"/>
            <w:tcBorders>
              <w:top w:val="single" w:sz="8" w:color="867F7C"/>
            </w:tcBorders>
            <w:shd w:val="clear" w:color="auto" w:fill="EFEBE9"/>
          </w:tcPr>
          <w:p>
            <w:pPr>
              <w:spacing w:after="0"/>
              <w:rPr>
                <w:sz w:val="14"/>
                <w:szCs w:val="14"/>
                <w:color w:val="auto"/>
              </w:rPr>
            </w:pPr>
          </w:p>
        </w:tc>
        <w:tc>
          <w:tcPr>
            <w:tcW w:w="100" w:type="dxa"/>
            <w:vAlign w:val="bottom"/>
            <w:tcBorders>
              <w:top w:val="single" w:sz="8" w:color="EFEBE9"/>
            </w:tcBorders>
            <w:shd w:val="clear" w:color="auto" w:fill="EFEBE9"/>
          </w:tcPr>
          <w:p>
            <w:pPr>
              <w:spacing w:after="0"/>
              <w:rPr>
                <w:sz w:val="14"/>
                <w:szCs w:val="14"/>
                <w:color w:val="auto"/>
              </w:rPr>
            </w:pPr>
          </w:p>
        </w:tc>
        <w:tc>
          <w:tcPr>
            <w:tcW w:w="1380" w:type="dxa"/>
            <w:vAlign w:val="bottom"/>
            <w:tcBorders>
              <w:top w:val="single" w:sz="8" w:color="867F7C"/>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Number of Shares</w:t>
            </w:r>
          </w:p>
        </w:tc>
        <w:tc>
          <w:tcPr>
            <w:tcW w:w="1360" w:type="dxa"/>
            <w:vAlign w:val="bottom"/>
            <w:tcBorders>
              <w:top w:val="single" w:sz="8" w:color="867F7C"/>
            </w:tcBorders>
            <w:shd w:val="clear" w:color="auto" w:fill="EFEBE9"/>
          </w:tcPr>
          <w:p>
            <w:pPr>
              <w:spacing w:after="0"/>
              <w:rPr>
                <w:sz w:val="14"/>
                <w:szCs w:val="14"/>
                <w:color w:val="auto"/>
              </w:rPr>
            </w:pPr>
          </w:p>
        </w:tc>
      </w:tr>
      <w:tr>
        <w:trPr>
          <w:trHeight w:val="144"/>
        </w:trPr>
        <w:tc>
          <w:tcPr>
            <w:tcW w:w="3420" w:type="dxa"/>
            <w:vAlign w:val="bottom"/>
            <w:shd w:val="clear" w:color="auto" w:fill="EFEBE9"/>
          </w:tcPr>
          <w:p>
            <w:pPr>
              <w:spacing w:after="0"/>
              <w:rPr>
                <w:sz w:val="12"/>
                <w:szCs w:val="12"/>
                <w:color w:val="auto"/>
              </w:rPr>
            </w:pPr>
          </w:p>
        </w:tc>
        <w:tc>
          <w:tcPr>
            <w:tcW w:w="1420" w:type="dxa"/>
            <w:vAlign w:val="bottom"/>
            <w:shd w:val="clear" w:color="auto" w:fill="EFEBE9"/>
          </w:tcPr>
          <w:p>
            <w:pPr>
              <w:jc w:val="center"/>
              <w:ind w:right="28"/>
              <w:spacing w:after="0" w:line="145" w:lineRule="exact"/>
              <w:rPr>
                <w:sz w:val="20"/>
                <w:szCs w:val="20"/>
                <w:color w:val="auto"/>
              </w:rPr>
            </w:pPr>
            <w:r>
              <w:rPr>
                <w:rFonts w:ascii="Arial" w:cs="Arial" w:eastAsia="Arial" w:hAnsi="Arial"/>
                <w:sz w:val="14"/>
                <w:szCs w:val="14"/>
                <w:b w:val="1"/>
                <w:bCs w:val="1"/>
                <w:color w:val="867F7C"/>
              </w:rPr>
              <w:t>Acquired on</w:t>
            </w:r>
          </w:p>
        </w:tc>
        <w:tc>
          <w:tcPr>
            <w:tcW w:w="140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Value Realized on</w:t>
            </w:r>
          </w:p>
        </w:tc>
        <w:tc>
          <w:tcPr>
            <w:tcW w:w="100" w:type="dxa"/>
            <w:vAlign w:val="bottom"/>
            <w:shd w:val="clear" w:color="auto" w:fill="EFEBE9"/>
          </w:tcPr>
          <w:p>
            <w:pPr>
              <w:spacing w:after="0"/>
              <w:rPr>
                <w:sz w:val="12"/>
                <w:szCs w:val="12"/>
                <w:color w:val="auto"/>
              </w:rPr>
            </w:pPr>
          </w:p>
        </w:tc>
        <w:tc>
          <w:tcPr>
            <w:tcW w:w="1380" w:type="dxa"/>
            <w:vAlign w:val="bottom"/>
            <w:shd w:val="clear" w:color="auto" w:fill="EFEBE9"/>
          </w:tcPr>
          <w:p>
            <w:pPr>
              <w:jc w:val="center"/>
              <w:ind w:right="28"/>
              <w:spacing w:after="0" w:line="145" w:lineRule="exact"/>
              <w:rPr>
                <w:sz w:val="20"/>
                <w:szCs w:val="20"/>
                <w:color w:val="auto"/>
              </w:rPr>
            </w:pPr>
            <w:r>
              <w:rPr>
                <w:rFonts w:ascii="Arial" w:cs="Arial" w:eastAsia="Arial" w:hAnsi="Arial"/>
                <w:sz w:val="14"/>
                <w:szCs w:val="14"/>
                <w:b w:val="1"/>
                <w:bCs w:val="1"/>
                <w:color w:val="867F7C"/>
              </w:rPr>
              <w:t>Acquired on</w:t>
            </w:r>
          </w:p>
        </w:tc>
        <w:tc>
          <w:tcPr>
            <w:tcW w:w="136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Value Realized on</w:t>
            </w:r>
          </w:p>
        </w:tc>
      </w:tr>
      <w:tr>
        <w:trPr>
          <w:trHeight w:val="189"/>
        </w:trPr>
        <w:tc>
          <w:tcPr>
            <w:tcW w:w="3420" w:type="dxa"/>
            <w:vAlign w:val="bottom"/>
            <w:shd w:val="clear" w:color="auto" w:fill="EFEBE9"/>
          </w:tcPr>
          <w:p>
            <w:pPr>
              <w:spacing w:after="0"/>
              <w:rPr>
                <w:sz w:val="16"/>
                <w:szCs w:val="16"/>
                <w:color w:val="auto"/>
              </w:rPr>
            </w:pPr>
          </w:p>
        </w:tc>
        <w:tc>
          <w:tcPr>
            <w:tcW w:w="142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Exercise</w:t>
            </w:r>
          </w:p>
        </w:tc>
        <w:tc>
          <w:tcPr>
            <w:tcW w:w="14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Exercise</w:t>
            </w:r>
          </w:p>
        </w:tc>
        <w:tc>
          <w:tcPr>
            <w:tcW w:w="100" w:type="dxa"/>
            <w:vAlign w:val="bottom"/>
            <w:shd w:val="clear" w:color="auto" w:fill="EFEBE9"/>
          </w:tcPr>
          <w:p>
            <w:pPr>
              <w:spacing w:after="0"/>
              <w:rPr>
                <w:sz w:val="16"/>
                <w:szCs w:val="16"/>
                <w:color w:val="auto"/>
              </w:rPr>
            </w:pPr>
          </w:p>
        </w:tc>
        <w:tc>
          <w:tcPr>
            <w:tcW w:w="1380" w:type="dxa"/>
            <w:vAlign w:val="bottom"/>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6"/>
              </w:rPr>
              <w:t>Vesting</w:t>
            </w:r>
            <w:r>
              <w:rPr>
                <w:rFonts w:ascii="Arial" w:cs="Arial" w:eastAsia="Arial" w:hAnsi="Arial"/>
                <w:sz w:val="19"/>
                <w:szCs w:val="19"/>
                <w:b w:val="1"/>
                <w:bCs w:val="1"/>
                <w:color w:val="867F7C"/>
                <w:w w:val="96"/>
                <w:vertAlign w:val="superscript"/>
              </w:rPr>
              <w:t>(1)</w:t>
            </w:r>
          </w:p>
        </w:tc>
        <w:tc>
          <w:tcPr>
            <w:tcW w:w="1360" w:type="dxa"/>
            <w:vAlign w:val="bottom"/>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6"/>
              </w:rPr>
              <w:t>Vesting</w:t>
            </w:r>
            <w:r>
              <w:rPr>
                <w:rFonts w:ascii="Arial" w:cs="Arial" w:eastAsia="Arial" w:hAnsi="Arial"/>
                <w:sz w:val="19"/>
                <w:szCs w:val="19"/>
                <w:b w:val="1"/>
                <w:bCs w:val="1"/>
                <w:color w:val="867F7C"/>
                <w:w w:val="96"/>
                <w:vertAlign w:val="superscript"/>
              </w:rPr>
              <w:t>(2)</w:t>
            </w:r>
          </w:p>
        </w:tc>
      </w:tr>
      <w:tr>
        <w:trPr>
          <w:trHeight w:val="183"/>
        </w:trPr>
        <w:tc>
          <w:tcPr>
            <w:tcW w:w="342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Name</w:t>
            </w:r>
          </w:p>
        </w:tc>
        <w:tc>
          <w:tcPr>
            <w:tcW w:w="142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w w:val="93"/>
              </w:rPr>
              <w:t>(#)</w:t>
            </w:r>
          </w:p>
        </w:tc>
        <w:tc>
          <w:tcPr>
            <w:tcW w:w="140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w:t>
            </w:r>
          </w:p>
        </w:tc>
        <w:tc>
          <w:tcPr>
            <w:tcW w:w="1480" w:type="dxa"/>
            <w:vAlign w:val="bottom"/>
            <w:tcBorders>
              <w:bottom w:val="single" w:sz="8" w:color="EFEBE9"/>
            </w:tcBorders>
            <w:gridSpan w:val="2"/>
            <w:shd w:val="clear" w:color="auto" w:fill="EFEBE9"/>
          </w:tcPr>
          <w:p>
            <w:pPr>
              <w:jc w:val="center"/>
              <w:spacing w:after="0"/>
              <w:rPr>
                <w:sz w:val="20"/>
                <w:szCs w:val="20"/>
                <w:color w:val="auto"/>
              </w:rPr>
            </w:pPr>
            <w:r>
              <w:rPr>
                <w:rFonts w:ascii="Arial" w:cs="Arial" w:eastAsia="Arial" w:hAnsi="Arial"/>
                <w:sz w:val="14"/>
                <w:szCs w:val="14"/>
                <w:b w:val="1"/>
                <w:bCs w:val="1"/>
                <w:color w:val="867F7C"/>
              </w:rPr>
              <w:t>(#)</w:t>
            </w:r>
          </w:p>
        </w:tc>
        <w:tc>
          <w:tcPr>
            <w:tcW w:w="136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w w:val="93"/>
              </w:rPr>
              <w:t>($)</w:t>
            </w:r>
          </w:p>
        </w:tc>
      </w:tr>
      <w:tr>
        <w:trPr>
          <w:trHeight w:val="203"/>
        </w:trPr>
        <w:tc>
          <w:tcPr>
            <w:tcW w:w="3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1420" w:type="dxa"/>
            <w:vAlign w:val="bottom"/>
            <w:tcBorders>
              <w:bottom w:val="single" w:sz="8" w:color="867F7C"/>
            </w:tcBorders>
          </w:tcPr>
          <w:p>
            <w:pPr>
              <w:ind w:lef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867F7C"/>
            </w:tcBorders>
          </w:tcPr>
          <w:p>
            <w:pPr>
              <w:ind w:left="7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67F7C"/>
            </w:tcBorders>
            <w:gridSpan w:val="2"/>
          </w:tcPr>
          <w:p>
            <w:pPr>
              <w:jc w:val="right"/>
              <w:ind w:right="428"/>
              <w:spacing w:after="0"/>
              <w:rPr>
                <w:sz w:val="20"/>
                <w:szCs w:val="20"/>
                <w:color w:val="auto"/>
              </w:rPr>
            </w:pPr>
            <w:r>
              <w:rPr>
                <w:rFonts w:ascii="Arial" w:cs="Arial" w:eastAsia="Arial" w:hAnsi="Arial"/>
                <w:sz w:val="14"/>
                <w:szCs w:val="14"/>
                <w:color w:val="auto"/>
              </w:rPr>
              <w:t>32,600</w:t>
            </w:r>
          </w:p>
        </w:tc>
        <w:tc>
          <w:tcPr>
            <w:tcW w:w="136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2,513,119</w:t>
            </w:r>
          </w:p>
        </w:tc>
      </w:tr>
      <w:tr>
        <w:trPr>
          <w:trHeight w:val="196"/>
        </w:trPr>
        <w:tc>
          <w:tcPr>
            <w:tcW w:w="3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William Whitaker</w:t>
            </w:r>
          </w:p>
        </w:tc>
        <w:tc>
          <w:tcPr>
            <w:tcW w:w="1420" w:type="dxa"/>
            <w:vAlign w:val="bottom"/>
            <w:tcBorders>
              <w:bottom w:val="single" w:sz="8" w:color="867F7C"/>
            </w:tcBorders>
          </w:tcPr>
          <w:p>
            <w:pPr>
              <w:ind w:lef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867F7C"/>
            </w:tcBorders>
          </w:tcPr>
          <w:p>
            <w:pPr>
              <w:ind w:left="7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67F7C"/>
            </w:tcBorders>
            <w:gridSpan w:val="2"/>
          </w:tcPr>
          <w:p>
            <w:pPr>
              <w:jc w:val="right"/>
              <w:ind w:right="428"/>
              <w:spacing w:after="0"/>
              <w:rPr>
                <w:sz w:val="20"/>
                <w:szCs w:val="20"/>
                <w:color w:val="auto"/>
              </w:rPr>
            </w:pPr>
            <w:r>
              <w:rPr>
                <w:rFonts w:ascii="Arial" w:cs="Arial" w:eastAsia="Arial" w:hAnsi="Arial"/>
                <w:sz w:val="14"/>
                <w:szCs w:val="14"/>
                <w:color w:val="auto"/>
              </w:rPr>
              <w:t>732</w:t>
            </w:r>
          </w:p>
        </w:tc>
        <w:tc>
          <w:tcPr>
            <w:tcW w:w="136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56,625</w:t>
            </w:r>
          </w:p>
        </w:tc>
      </w:tr>
      <w:tr>
        <w:trPr>
          <w:trHeight w:val="196"/>
        </w:trPr>
        <w:tc>
          <w:tcPr>
            <w:tcW w:w="3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Alessandra Faccin Assis</w:t>
            </w:r>
          </w:p>
        </w:tc>
        <w:tc>
          <w:tcPr>
            <w:tcW w:w="1420" w:type="dxa"/>
            <w:vAlign w:val="bottom"/>
            <w:tcBorders>
              <w:bottom w:val="single" w:sz="8" w:color="867F7C"/>
            </w:tcBorders>
          </w:tcPr>
          <w:p>
            <w:pPr>
              <w:ind w:lef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867F7C"/>
            </w:tcBorders>
          </w:tcPr>
          <w:p>
            <w:pPr>
              <w:ind w:left="7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67F7C"/>
            </w:tcBorders>
            <w:gridSpan w:val="2"/>
          </w:tcPr>
          <w:p>
            <w:pPr>
              <w:jc w:val="right"/>
              <w:ind w:right="428"/>
              <w:spacing w:after="0"/>
              <w:rPr>
                <w:sz w:val="20"/>
                <w:szCs w:val="20"/>
                <w:color w:val="auto"/>
              </w:rPr>
            </w:pPr>
            <w:r>
              <w:rPr>
                <w:rFonts w:ascii="Arial" w:cs="Arial" w:eastAsia="Arial" w:hAnsi="Arial"/>
                <w:sz w:val="14"/>
                <w:szCs w:val="14"/>
                <w:color w:val="auto"/>
              </w:rPr>
              <w:t>3,123</w:t>
            </w:r>
          </w:p>
        </w:tc>
        <w:tc>
          <w:tcPr>
            <w:tcW w:w="136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160,085</w:t>
            </w:r>
          </w:p>
        </w:tc>
      </w:tr>
      <w:tr>
        <w:trPr>
          <w:trHeight w:val="196"/>
        </w:trPr>
        <w:tc>
          <w:tcPr>
            <w:tcW w:w="3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Osama M. Musa</w:t>
            </w:r>
          </w:p>
        </w:tc>
        <w:tc>
          <w:tcPr>
            <w:tcW w:w="1420" w:type="dxa"/>
            <w:vAlign w:val="bottom"/>
            <w:tcBorders>
              <w:bottom w:val="single" w:sz="8" w:color="867F7C"/>
            </w:tcBorders>
          </w:tcPr>
          <w:p>
            <w:pPr>
              <w:ind w:lef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867F7C"/>
            </w:tcBorders>
          </w:tcPr>
          <w:p>
            <w:pPr>
              <w:ind w:left="7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67F7C"/>
            </w:tcBorders>
            <w:gridSpan w:val="2"/>
          </w:tcPr>
          <w:p>
            <w:pPr>
              <w:jc w:val="right"/>
              <w:ind w:right="428"/>
              <w:spacing w:after="0"/>
              <w:rPr>
                <w:sz w:val="20"/>
                <w:szCs w:val="20"/>
                <w:color w:val="auto"/>
              </w:rPr>
            </w:pPr>
            <w:r>
              <w:rPr>
                <w:rFonts w:ascii="Arial" w:cs="Arial" w:eastAsia="Arial" w:hAnsi="Arial"/>
                <w:sz w:val="14"/>
                <w:szCs w:val="14"/>
                <w:color w:val="auto"/>
              </w:rPr>
              <w:t>5,990</w:t>
            </w:r>
          </w:p>
        </w:tc>
        <w:tc>
          <w:tcPr>
            <w:tcW w:w="136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462,279</w:t>
            </w:r>
          </w:p>
        </w:tc>
      </w:tr>
      <w:tr>
        <w:trPr>
          <w:trHeight w:val="196"/>
        </w:trPr>
        <w:tc>
          <w:tcPr>
            <w:tcW w:w="3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James Minicucci</w:t>
            </w:r>
          </w:p>
        </w:tc>
        <w:tc>
          <w:tcPr>
            <w:tcW w:w="1420" w:type="dxa"/>
            <w:vAlign w:val="bottom"/>
            <w:tcBorders>
              <w:bottom w:val="single" w:sz="8" w:color="867F7C"/>
            </w:tcBorders>
          </w:tcPr>
          <w:p>
            <w:pPr>
              <w:ind w:lef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867F7C"/>
            </w:tcBorders>
          </w:tcPr>
          <w:p>
            <w:pPr>
              <w:ind w:left="7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67F7C"/>
            </w:tcBorders>
            <w:gridSpan w:val="2"/>
          </w:tcPr>
          <w:p>
            <w:pPr>
              <w:jc w:val="right"/>
              <w:ind w:right="428"/>
              <w:spacing w:after="0"/>
              <w:rPr>
                <w:sz w:val="20"/>
                <w:szCs w:val="20"/>
                <w:color w:val="auto"/>
              </w:rPr>
            </w:pPr>
            <w:r>
              <w:rPr>
                <w:rFonts w:ascii="Arial" w:cs="Arial" w:eastAsia="Arial" w:hAnsi="Arial"/>
                <w:sz w:val="14"/>
                <w:szCs w:val="14"/>
                <w:color w:val="auto"/>
              </w:rPr>
              <w:t>2,585</w:t>
            </w:r>
          </w:p>
        </w:tc>
        <w:tc>
          <w:tcPr>
            <w:tcW w:w="136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162,616</w:t>
            </w:r>
          </w:p>
        </w:tc>
      </w:tr>
      <w:tr>
        <w:trPr>
          <w:trHeight w:val="196"/>
        </w:trPr>
        <w:tc>
          <w:tcPr>
            <w:tcW w:w="3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Karl Bostaph</w:t>
            </w:r>
          </w:p>
        </w:tc>
        <w:tc>
          <w:tcPr>
            <w:tcW w:w="1420" w:type="dxa"/>
            <w:vAlign w:val="bottom"/>
            <w:tcBorders>
              <w:bottom w:val="single" w:sz="8" w:color="867F7C"/>
            </w:tcBorders>
          </w:tcPr>
          <w:p>
            <w:pPr>
              <w:ind w:lef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867F7C"/>
            </w:tcBorders>
          </w:tcPr>
          <w:p>
            <w:pPr>
              <w:ind w:left="7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67F7C"/>
            </w:tcBorders>
            <w:gridSpan w:val="2"/>
          </w:tcPr>
          <w:p>
            <w:pPr>
              <w:jc w:val="right"/>
              <w:ind w:right="428"/>
              <w:spacing w:after="0"/>
              <w:rPr>
                <w:sz w:val="20"/>
                <w:szCs w:val="20"/>
                <w:color w:val="auto"/>
              </w:rPr>
            </w:pPr>
            <w:r>
              <w:rPr>
                <w:rFonts w:ascii="Arial" w:cs="Arial" w:eastAsia="Arial" w:hAnsi="Arial"/>
                <w:sz w:val="14"/>
                <w:szCs w:val="14"/>
                <w:color w:val="auto"/>
              </w:rPr>
              <w:t>2,110</w:t>
            </w:r>
          </w:p>
        </w:tc>
        <w:tc>
          <w:tcPr>
            <w:tcW w:w="136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163,341</w:t>
            </w:r>
          </w:p>
        </w:tc>
      </w:tr>
      <w:tr>
        <w:trPr>
          <w:trHeight w:val="196"/>
        </w:trPr>
        <w:tc>
          <w:tcPr>
            <w:tcW w:w="3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 Kevin Willis</w:t>
            </w:r>
          </w:p>
        </w:tc>
        <w:tc>
          <w:tcPr>
            <w:tcW w:w="1420" w:type="dxa"/>
            <w:vAlign w:val="bottom"/>
            <w:tcBorders>
              <w:bottom w:val="single" w:sz="8" w:color="867F7C"/>
            </w:tcBorders>
          </w:tcPr>
          <w:p>
            <w:pPr>
              <w:ind w:lef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867F7C"/>
            </w:tcBorders>
          </w:tcPr>
          <w:p>
            <w:pPr>
              <w:ind w:left="7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867F7C"/>
            </w:tcBorders>
            <w:gridSpan w:val="2"/>
          </w:tcPr>
          <w:p>
            <w:pPr>
              <w:jc w:val="right"/>
              <w:ind w:right="428"/>
              <w:spacing w:after="0"/>
              <w:rPr>
                <w:sz w:val="20"/>
                <w:szCs w:val="20"/>
                <w:color w:val="auto"/>
              </w:rPr>
            </w:pPr>
            <w:r>
              <w:rPr>
                <w:rFonts w:ascii="Arial" w:cs="Arial" w:eastAsia="Arial" w:hAnsi="Arial"/>
                <w:sz w:val="14"/>
                <w:szCs w:val="14"/>
                <w:color w:val="auto"/>
              </w:rPr>
              <w:t>20,534</w:t>
            </w:r>
          </w:p>
        </w:tc>
        <w:tc>
          <w:tcPr>
            <w:tcW w:w="1360" w:type="dxa"/>
            <w:vAlign w:val="bottom"/>
            <w:tcBorders>
              <w:bottom w:val="single" w:sz="8" w:color="867F7C"/>
            </w:tcBorders>
          </w:tcPr>
          <w:p>
            <w:pPr>
              <w:jc w:val="right"/>
              <w:ind w:right="388"/>
              <w:spacing w:after="0"/>
              <w:rPr>
                <w:sz w:val="20"/>
                <w:szCs w:val="20"/>
                <w:color w:val="auto"/>
              </w:rPr>
            </w:pPr>
            <w:r>
              <w:rPr>
                <w:rFonts w:ascii="Arial" w:cs="Arial" w:eastAsia="Arial" w:hAnsi="Arial"/>
                <w:sz w:val="14"/>
                <w:szCs w:val="14"/>
                <w:color w:val="auto"/>
              </w:rPr>
              <w:t>1,354,799</w:t>
            </w:r>
          </w:p>
        </w:tc>
      </w:tr>
    </w:tbl>
    <w:p>
      <w:pPr>
        <w:spacing w:after="0" w:line="301" w:lineRule="exact"/>
        <w:rPr>
          <w:sz w:val="20"/>
          <w:szCs w:val="20"/>
          <w:color w:val="auto"/>
        </w:rPr>
      </w:pPr>
    </w:p>
    <w:p>
      <w:pPr>
        <w:ind w:left="240" w:hanging="232"/>
        <w:spacing w:after="0" w:line="222" w:lineRule="auto"/>
        <w:tabs>
          <w:tab w:leader="none" w:pos="240" w:val="left"/>
        </w:tabs>
        <w:numPr>
          <w:ilvl w:val="0"/>
          <w:numId w:val="60"/>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amounts reported in this column represent the gross number of shares that vested without deduction for shares withheld to satisfy tax withholding obligations. The vesting activity includes the following RSU vestings:</w:t>
      </w:r>
    </w:p>
    <w:p>
      <w:pPr>
        <w:spacing w:after="0" w:line="80" w:lineRule="exact"/>
        <w:rPr>
          <w:rFonts w:ascii="Times New Roman" w:cs="Times New Roman" w:eastAsia="Times New Roman" w:hAnsi="Times New Roman"/>
          <w:sz w:val="19"/>
          <w:szCs w:val="19"/>
          <w:color w:val="auto"/>
          <w:vertAlign w:val="superscript"/>
        </w:rPr>
      </w:pPr>
    </w:p>
    <w:p>
      <w:pPr>
        <w:jc w:val="both"/>
        <w:ind w:left="560" w:hanging="228"/>
        <w:spacing w:after="0" w:line="257" w:lineRule="auto"/>
        <w:tabs>
          <w:tab w:leader="none" w:pos="560" w:val="left"/>
        </w:tabs>
        <w:numPr>
          <w:ilvl w:val="1"/>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Mr. Novo received (a) 8,865 shares (value realized on vesting using the Ashland Common Stock closing price of $78.05 on November 14, 2024; (b) 12,639 shares (value realized on vesting using the Ashland Common Stock closing price of $77.03 on November 18, 2024); and (c) 11,096 shares (value realized on vesting using the Ashland Common Stock closing price of $76.39 on November 19, 2024).</w:t>
      </w:r>
    </w:p>
    <w:p>
      <w:pPr>
        <w:spacing w:after="0" w:line="238" w:lineRule="exact"/>
        <w:rPr>
          <w:rFonts w:ascii="Times New Roman" w:cs="Times New Roman" w:eastAsia="Times New Roman" w:hAnsi="Times New Roman"/>
          <w:sz w:val="14"/>
          <w:szCs w:val="14"/>
          <w:color w:val="auto"/>
        </w:rPr>
      </w:pPr>
    </w:p>
    <w:p>
      <w:pPr>
        <w:jc w:val="both"/>
        <w:ind w:left="560" w:hanging="228"/>
        <w:spacing w:after="0" w:line="257" w:lineRule="auto"/>
        <w:tabs>
          <w:tab w:leader="none" w:pos="560" w:val="left"/>
        </w:tabs>
        <w:numPr>
          <w:ilvl w:val="1"/>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Mr. Whitaker received (a) 345 shares (value realized on vesting using the Ashland Common Stock closing price of $78.05 on November 14, 2024); (b) 210 shares (value realized on vesting using the Ashland Common Stock closing price of $77.03 on November 18, 2024); and (c) 177 shares (value realized on vesting using the Ashland Common Stock closing price of $76.39 on November 19, 2024).</w:t>
      </w:r>
    </w:p>
    <w:p>
      <w:pPr>
        <w:spacing w:after="0" w:line="238" w:lineRule="exact"/>
        <w:rPr>
          <w:rFonts w:ascii="Times New Roman" w:cs="Times New Roman" w:eastAsia="Times New Roman" w:hAnsi="Times New Roman"/>
          <w:sz w:val="14"/>
          <w:szCs w:val="14"/>
          <w:color w:val="auto"/>
        </w:rPr>
      </w:pPr>
    </w:p>
    <w:p>
      <w:pPr>
        <w:ind w:left="560" w:hanging="228"/>
        <w:spacing w:after="0" w:line="284" w:lineRule="auto"/>
        <w:tabs>
          <w:tab w:leader="none" w:pos="560" w:val="left"/>
        </w:tabs>
        <w:numPr>
          <w:ilvl w:val="1"/>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Ms. Faccin Assis received 3,123 shares (value realized on vesting using the Ashland Common Stock closing price of $51.26 on July 25, 2025).</w:t>
      </w:r>
    </w:p>
    <w:p>
      <w:pPr>
        <w:spacing w:after="0" w:line="50" w:lineRule="exact"/>
        <w:rPr>
          <w:rFonts w:ascii="Times New Roman" w:cs="Times New Roman" w:eastAsia="Times New Roman" w:hAnsi="Times New Roman"/>
          <w:sz w:val="14"/>
          <w:szCs w:val="14"/>
          <w:color w:val="auto"/>
        </w:rPr>
      </w:pPr>
    </w:p>
    <w:p>
      <w:pPr>
        <w:jc w:val="both"/>
        <w:ind w:left="560" w:hanging="228"/>
        <w:spacing w:after="0" w:line="257" w:lineRule="auto"/>
        <w:tabs>
          <w:tab w:leader="none" w:pos="560" w:val="left"/>
        </w:tabs>
        <w:numPr>
          <w:ilvl w:val="1"/>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Dr. Musa received (a) 2,031 shares (value realized on vesting using the Ashland Common Stock closing price of $78.05 on November 14, 2024); (b) 2,081 shares (value realized on vesting using the Ashland Common Stock closing price of $77.03 on November 18, 2024); and (c) 1,878 shares (value realized on vesting using the Ashland Common Stock closing price of $76.39 on November 19, 2024).</w:t>
      </w:r>
    </w:p>
    <w:p>
      <w:pPr>
        <w:spacing w:after="0" w:line="238" w:lineRule="exact"/>
        <w:rPr>
          <w:rFonts w:ascii="Times New Roman" w:cs="Times New Roman" w:eastAsia="Times New Roman" w:hAnsi="Times New Roman"/>
          <w:sz w:val="14"/>
          <w:szCs w:val="14"/>
          <w:color w:val="auto"/>
        </w:rPr>
      </w:pPr>
    </w:p>
    <w:p>
      <w:pPr>
        <w:jc w:val="both"/>
        <w:ind w:left="560" w:hanging="228"/>
        <w:spacing w:after="0" w:line="270" w:lineRule="auto"/>
        <w:tabs>
          <w:tab w:leader="none" w:pos="560" w:val="left"/>
        </w:tabs>
        <w:numPr>
          <w:ilvl w:val="1"/>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Mr. Minicucci received (a) 1,395 shares (value realized on vesting using the Ashland Common Stock closing price of $49.99 on May 8, 2025); (b) 1,190 shares (value realized on vesting using the Ashland Common Stock closing price of $78.05 on November 14, 2024).</w:t>
      </w:r>
    </w:p>
    <w:p>
      <w:pPr>
        <w:spacing w:after="0" w:line="231" w:lineRule="exact"/>
        <w:rPr>
          <w:rFonts w:ascii="Times New Roman" w:cs="Times New Roman" w:eastAsia="Times New Roman" w:hAnsi="Times New Roman"/>
          <w:sz w:val="14"/>
          <w:szCs w:val="14"/>
          <w:color w:val="auto"/>
        </w:rPr>
      </w:pPr>
    </w:p>
    <w:p>
      <w:pPr>
        <w:jc w:val="both"/>
        <w:ind w:left="560" w:hanging="228"/>
        <w:spacing w:after="0" w:line="257" w:lineRule="auto"/>
        <w:tabs>
          <w:tab w:leader="none" w:pos="560" w:val="left"/>
        </w:tabs>
        <w:numPr>
          <w:ilvl w:val="1"/>
          <w:numId w:val="60"/>
        </w:numPr>
        <w:rPr>
          <w:rFonts w:ascii="Times New Roman" w:cs="Times New Roman" w:eastAsia="Times New Roman" w:hAnsi="Times New Roman"/>
          <w:sz w:val="14"/>
          <w:szCs w:val="14"/>
          <w:color w:val="auto"/>
        </w:rPr>
      </w:pPr>
      <w:r>
        <w:rPr>
          <w:rFonts w:ascii="Arial" w:cs="Arial" w:eastAsia="Arial" w:hAnsi="Arial"/>
          <w:sz w:val="14"/>
          <w:szCs w:val="14"/>
          <w:color w:val="auto"/>
        </w:rPr>
        <w:t>Mr. Bostaph received (a) 1,054 shares (value realized on vesting using the Ashland Common Stock closing price of $78.05 on November 14, 2024); (b) 638 shares (value realized on vesting using the Ashland Common Stock closing price of $77.03 on November 18, 2024); and (c) 418 shares (value realized on vesting using the Ashland Common Stock closing price of $76.39 on November 19, 2024).</w:t>
      </w:r>
    </w:p>
    <w:p>
      <w:pPr>
        <w:spacing w:after="0" w:line="238" w:lineRule="exact"/>
        <w:rPr>
          <w:sz w:val="20"/>
          <w:szCs w:val="20"/>
          <w:color w:val="auto"/>
        </w:rPr>
      </w:pPr>
    </w:p>
    <w:p>
      <w:pPr>
        <w:jc w:val="both"/>
        <w:ind w:left="560" w:hanging="228"/>
        <w:spacing w:after="0" w:line="252" w:lineRule="auto"/>
        <w:tabs>
          <w:tab w:leader="none" w:pos="560" w:val="left"/>
        </w:tabs>
        <w:numPr>
          <w:ilvl w:val="1"/>
          <w:numId w:val="61"/>
        </w:numPr>
        <w:rPr>
          <w:rFonts w:ascii="Times New Roman" w:cs="Times New Roman" w:eastAsia="Times New Roman" w:hAnsi="Times New Roman"/>
          <w:sz w:val="14"/>
          <w:szCs w:val="14"/>
          <w:color w:val="auto"/>
        </w:rPr>
      </w:pPr>
      <w:r>
        <w:rPr>
          <w:rFonts w:ascii="Arial" w:cs="Arial" w:eastAsia="Arial" w:hAnsi="Arial"/>
          <w:sz w:val="14"/>
          <w:szCs w:val="14"/>
          <w:color w:val="auto"/>
        </w:rPr>
        <w:t>Mr. Willis received (a) 3,771 shares (value realized on vesting using the Ashland Common Stock closing price of $78.05 on November 14, 2024); (b) 3,860 shares (value realized on vesting using the Ashland Common Stock closing price of $77.03 on November 18, 2024); (c) 3,486 shares (value realized on vesting using the Ashland Common Stock closing price of $76.39 on November 19, 2024); and 9,417 shares (value realized on vesting using the Ashland Common Stock closing price of $52.76 on May 16, 2025).</w:t>
      </w:r>
    </w:p>
    <w:p>
      <w:pPr>
        <w:spacing w:after="0" w:line="241" w:lineRule="exact"/>
        <w:rPr>
          <w:rFonts w:ascii="Times New Roman" w:cs="Times New Roman" w:eastAsia="Times New Roman" w:hAnsi="Times New Roman"/>
          <w:sz w:val="14"/>
          <w:szCs w:val="14"/>
          <w:color w:val="auto"/>
        </w:rPr>
      </w:pPr>
    </w:p>
    <w:p>
      <w:pPr>
        <w:ind w:left="240" w:right="20" w:hanging="232"/>
        <w:spacing w:after="0" w:line="222" w:lineRule="auto"/>
        <w:tabs>
          <w:tab w:leader="none" w:pos="240" w:val="left"/>
        </w:tabs>
        <w:numPr>
          <w:ilvl w:val="0"/>
          <w:numId w:val="62"/>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amounts reported in this column represent the market value on the vesting date of the shares that vested, without regard to any tax withholding. Market value was determined using the closing price per share of Ashland Common Stock on the applicable vesting date.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50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867F7C"/>
        </w:rPr>
        <w:t>2025 executive compensation tables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non-qualified deferred compensation plans</w:t>
      </w:r>
    </w:p>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certain information for each of the named executive officers regarding non-qualified deferred compensation for fiscal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shd w:val="clear" w:color="auto" w:fill="EFEBE9"/>
          </w:tcPr>
          <w:p>
            <w:pPr>
              <w:spacing w:after="0"/>
              <w:rPr>
                <w:sz w:val="14"/>
                <w:szCs w:val="14"/>
                <w:color w:val="auto"/>
              </w:rPr>
            </w:pPr>
          </w:p>
        </w:tc>
        <w:tc>
          <w:tcPr>
            <w:tcW w:w="1420" w:type="dxa"/>
            <w:vAlign w:val="bottom"/>
            <w:shd w:val="clear" w:color="auto" w:fill="EFEBE9"/>
          </w:tcPr>
          <w:p>
            <w:pPr>
              <w:spacing w:after="0"/>
              <w:rPr>
                <w:sz w:val="14"/>
                <w:szCs w:val="14"/>
                <w:color w:val="auto"/>
              </w:rPr>
            </w:pPr>
          </w:p>
        </w:tc>
        <w:tc>
          <w:tcPr>
            <w:tcW w:w="1440" w:type="dxa"/>
            <w:vAlign w:val="bottom"/>
            <w:shd w:val="clear" w:color="auto" w:fill="EFEBE9"/>
          </w:tcPr>
          <w:p>
            <w:pPr>
              <w:spacing w:after="0"/>
              <w:rPr>
                <w:sz w:val="14"/>
                <w:szCs w:val="14"/>
                <w:color w:val="auto"/>
              </w:rPr>
            </w:pPr>
          </w:p>
        </w:tc>
        <w:tc>
          <w:tcPr>
            <w:tcW w:w="1340" w:type="dxa"/>
            <w:vAlign w:val="bottom"/>
            <w:shd w:val="clear" w:color="auto" w:fill="EFEBE9"/>
          </w:tcPr>
          <w:p>
            <w:pPr>
              <w:spacing w:after="0"/>
              <w:rPr>
                <w:sz w:val="14"/>
                <w:szCs w:val="14"/>
                <w:color w:val="auto"/>
              </w:rPr>
            </w:pPr>
          </w:p>
        </w:tc>
        <w:tc>
          <w:tcPr>
            <w:tcW w:w="1460" w:type="dxa"/>
            <w:vAlign w:val="bottom"/>
            <w:shd w:val="clear" w:color="auto" w:fill="EFEBE9"/>
          </w:tcPr>
          <w:p>
            <w:pPr>
              <w:jc w:val="center"/>
              <w:ind w:left="28"/>
              <w:spacing w:after="0"/>
              <w:rPr>
                <w:sz w:val="20"/>
                <w:szCs w:val="20"/>
                <w:color w:val="auto"/>
              </w:rPr>
            </w:pPr>
            <w:r>
              <w:rPr>
                <w:rFonts w:ascii="Arial" w:cs="Arial" w:eastAsia="Arial" w:hAnsi="Arial"/>
                <w:sz w:val="14"/>
                <w:szCs w:val="14"/>
                <w:b w:val="1"/>
                <w:bCs w:val="1"/>
                <w:color w:val="867F7C"/>
              </w:rPr>
              <w:t>Aggregate</w:t>
            </w:r>
          </w:p>
        </w:tc>
        <w:tc>
          <w:tcPr>
            <w:tcW w:w="1620" w:type="dxa"/>
            <w:vAlign w:val="bottom"/>
            <w:shd w:val="clear" w:color="auto" w:fill="EFEBE9"/>
          </w:tcPr>
          <w:p>
            <w:pPr>
              <w:spacing w:after="0"/>
              <w:rPr>
                <w:sz w:val="14"/>
                <w:szCs w:val="14"/>
                <w:color w:val="auto"/>
              </w:rPr>
            </w:pPr>
          </w:p>
        </w:tc>
      </w:tr>
      <w:tr>
        <w:trPr>
          <w:trHeight w:val="162"/>
        </w:trPr>
        <w:tc>
          <w:tcPr>
            <w:tcW w:w="1800" w:type="dxa"/>
            <w:vAlign w:val="bottom"/>
            <w:shd w:val="clear" w:color="auto" w:fill="EFEBE9"/>
          </w:tcPr>
          <w:p>
            <w:pPr>
              <w:spacing w:after="0"/>
              <w:rPr>
                <w:sz w:val="14"/>
                <w:szCs w:val="14"/>
                <w:color w:val="auto"/>
              </w:rPr>
            </w:pPr>
          </w:p>
        </w:tc>
        <w:tc>
          <w:tcPr>
            <w:tcW w:w="1420" w:type="dxa"/>
            <w:vAlign w:val="bottom"/>
            <w:shd w:val="clear" w:color="auto" w:fill="EFEBE9"/>
          </w:tcPr>
          <w:p>
            <w:pPr>
              <w:jc w:val="center"/>
              <w:ind w:left="8"/>
              <w:spacing w:after="0"/>
              <w:rPr>
                <w:sz w:val="20"/>
                <w:szCs w:val="20"/>
                <w:color w:val="auto"/>
              </w:rPr>
            </w:pPr>
            <w:r>
              <w:rPr>
                <w:rFonts w:ascii="Arial" w:cs="Arial" w:eastAsia="Arial" w:hAnsi="Arial"/>
                <w:sz w:val="14"/>
                <w:szCs w:val="14"/>
                <w:b w:val="1"/>
                <w:bCs w:val="1"/>
                <w:color w:val="867F7C"/>
              </w:rPr>
              <w:t>Executive</w:t>
            </w:r>
          </w:p>
        </w:tc>
        <w:tc>
          <w:tcPr>
            <w:tcW w:w="14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Registrant</w:t>
            </w:r>
          </w:p>
        </w:tc>
        <w:tc>
          <w:tcPr>
            <w:tcW w:w="1340" w:type="dxa"/>
            <w:vAlign w:val="bottom"/>
            <w:shd w:val="clear" w:color="auto" w:fill="EFEBE9"/>
          </w:tcPr>
          <w:p>
            <w:pPr>
              <w:jc w:val="center"/>
              <w:ind w:right="28"/>
              <w:spacing w:after="0"/>
              <w:rPr>
                <w:sz w:val="20"/>
                <w:szCs w:val="20"/>
                <w:color w:val="auto"/>
              </w:rPr>
            </w:pPr>
            <w:r>
              <w:rPr>
                <w:rFonts w:ascii="Arial" w:cs="Arial" w:eastAsia="Arial" w:hAnsi="Arial"/>
                <w:sz w:val="14"/>
                <w:szCs w:val="14"/>
                <w:b w:val="1"/>
                <w:bCs w:val="1"/>
                <w:color w:val="867F7C"/>
              </w:rPr>
              <w:t>Aggregate</w:t>
            </w:r>
          </w:p>
        </w:tc>
        <w:tc>
          <w:tcPr>
            <w:tcW w:w="1460" w:type="dxa"/>
            <w:vAlign w:val="bottom"/>
            <w:shd w:val="clear" w:color="auto" w:fill="EFEBE9"/>
          </w:tcPr>
          <w:p>
            <w:pPr>
              <w:jc w:val="center"/>
              <w:ind w:left="28"/>
              <w:spacing w:after="0"/>
              <w:rPr>
                <w:sz w:val="20"/>
                <w:szCs w:val="20"/>
                <w:color w:val="auto"/>
              </w:rPr>
            </w:pPr>
            <w:r>
              <w:rPr>
                <w:rFonts w:ascii="Arial" w:cs="Arial" w:eastAsia="Arial" w:hAnsi="Arial"/>
                <w:sz w:val="14"/>
                <w:szCs w:val="14"/>
                <w:b w:val="1"/>
                <w:bCs w:val="1"/>
                <w:color w:val="867F7C"/>
              </w:rPr>
              <w:t>Withdrawals/</w:t>
            </w:r>
          </w:p>
        </w:tc>
        <w:tc>
          <w:tcPr>
            <w:tcW w:w="1620" w:type="dxa"/>
            <w:vAlign w:val="bottom"/>
            <w:shd w:val="clear" w:color="auto" w:fill="EFEBE9"/>
          </w:tcPr>
          <w:p>
            <w:pPr>
              <w:jc w:val="center"/>
              <w:ind w:left="128"/>
              <w:spacing w:after="0"/>
              <w:rPr>
                <w:sz w:val="20"/>
                <w:szCs w:val="20"/>
                <w:color w:val="auto"/>
              </w:rPr>
            </w:pPr>
            <w:r>
              <w:rPr>
                <w:rFonts w:ascii="Arial" w:cs="Arial" w:eastAsia="Arial" w:hAnsi="Arial"/>
                <w:sz w:val="14"/>
                <w:szCs w:val="14"/>
                <w:b w:val="1"/>
                <w:bCs w:val="1"/>
                <w:color w:val="867F7C"/>
              </w:rPr>
              <w:t>Aggregate</w:t>
            </w:r>
          </w:p>
        </w:tc>
      </w:tr>
      <w:tr>
        <w:trPr>
          <w:trHeight w:val="162"/>
        </w:trPr>
        <w:tc>
          <w:tcPr>
            <w:tcW w:w="1800" w:type="dxa"/>
            <w:vAlign w:val="bottom"/>
            <w:shd w:val="clear" w:color="auto" w:fill="EFEBE9"/>
          </w:tcPr>
          <w:p>
            <w:pPr>
              <w:spacing w:after="0"/>
              <w:rPr>
                <w:sz w:val="14"/>
                <w:szCs w:val="14"/>
                <w:color w:val="auto"/>
              </w:rPr>
            </w:pPr>
          </w:p>
        </w:tc>
        <w:tc>
          <w:tcPr>
            <w:tcW w:w="1420" w:type="dxa"/>
            <w:vAlign w:val="bottom"/>
            <w:shd w:val="clear" w:color="auto" w:fill="EFEBE9"/>
          </w:tcPr>
          <w:p>
            <w:pPr>
              <w:jc w:val="center"/>
              <w:ind w:left="8"/>
              <w:spacing w:after="0"/>
              <w:rPr>
                <w:sz w:val="20"/>
                <w:szCs w:val="20"/>
                <w:color w:val="auto"/>
              </w:rPr>
            </w:pPr>
            <w:r>
              <w:rPr>
                <w:rFonts w:ascii="Arial" w:cs="Arial" w:eastAsia="Arial" w:hAnsi="Arial"/>
                <w:sz w:val="14"/>
                <w:szCs w:val="14"/>
                <w:b w:val="1"/>
                <w:bCs w:val="1"/>
                <w:color w:val="867F7C"/>
              </w:rPr>
              <w:t>Contributions</w:t>
            </w:r>
          </w:p>
        </w:tc>
        <w:tc>
          <w:tcPr>
            <w:tcW w:w="144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Contributions</w:t>
            </w:r>
          </w:p>
        </w:tc>
        <w:tc>
          <w:tcPr>
            <w:tcW w:w="1340" w:type="dxa"/>
            <w:vAlign w:val="bottom"/>
            <w:shd w:val="clear" w:color="auto" w:fill="EFEBE9"/>
          </w:tcPr>
          <w:p>
            <w:pPr>
              <w:jc w:val="center"/>
              <w:ind w:right="28"/>
              <w:spacing w:after="0"/>
              <w:rPr>
                <w:sz w:val="20"/>
                <w:szCs w:val="20"/>
                <w:color w:val="auto"/>
              </w:rPr>
            </w:pPr>
            <w:r>
              <w:rPr>
                <w:rFonts w:ascii="Arial" w:cs="Arial" w:eastAsia="Arial" w:hAnsi="Arial"/>
                <w:sz w:val="14"/>
                <w:szCs w:val="14"/>
                <w:b w:val="1"/>
                <w:bCs w:val="1"/>
                <w:color w:val="867F7C"/>
              </w:rPr>
              <w:t>Earnings</w:t>
            </w:r>
          </w:p>
        </w:tc>
        <w:tc>
          <w:tcPr>
            <w:tcW w:w="1460" w:type="dxa"/>
            <w:vAlign w:val="bottom"/>
            <w:shd w:val="clear" w:color="auto" w:fill="EFEBE9"/>
          </w:tcPr>
          <w:p>
            <w:pPr>
              <w:jc w:val="center"/>
              <w:ind w:left="28"/>
              <w:spacing w:after="0"/>
              <w:rPr>
                <w:sz w:val="20"/>
                <w:szCs w:val="20"/>
                <w:color w:val="auto"/>
              </w:rPr>
            </w:pPr>
            <w:r>
              <w:rPr>
                <w:rFonts w:ascii="Arial" w:cs="Arial" w:eastAsia="Arial" w:hAnsi="Arial"/>
                <w:sz w:val="14"/>
                <w:szCs w:val="14"/>
                <w:b w:val="1"/>
                <w:bCs w:val="1"/>
                <w:color w:val="867F7C"/>
              </w:rPr>
              <w:t>Distributions</w:t>
            </w:r>
          </w:p>
        </w:tc>
        <w:tc>
          <w:tcPr>
            <w:tcW w:w="1620" w:type="dxa"/>
            <w:vAlign w:val="bottom"/>
            <w:shd w:val="clear" w:color="auto" w:fill="EFEBE9"/>
          </w:tcPr>
          <w:p>
            <w:pPr>
              <w:jc w:val="center"/>
              <w:ind w:left="148"/>
              <w:spacing w:after="0"/>
              <w:rPr>
                <w:sz w:val="20"/>
                <w:szCs w:val="20"/>
                <w:color w:val="auto"/>
              </w:rPr>
            </w:pPr>
            <w:r>
              <w:rPr>
                <w:rFonts w:ascii="Arial" w:cs="Arial" w:eastAsia="Arial" w:hAnsi="Arial"/>
                <w:sz w:val="14"/>
                <w:szCs w:val="14"/>
                <w:b w:val="1"/>
                <w:bCs w:val="1"/>
                <w:color w:val="867F7C"/>
              </w:rPr>
              <w:t>Balance at</w:t>
            </w:r>
          </w:p>
        </w:tc>
      </w:tr>
      <w:tr>
        <w:trPr>
          <w:trHeight w:val="144"/>
        </w:trPr>
        <w:tc>
          <w:tcPr>
            <w:tcW w:w="1800" w:type="dxa"/>
            <w:vAlign w:val="bottom"/>
            <w:shd w:val="clear" w:color="auto" w:fill="EFEBE9"/>
          </w:tcPr>
          <w:p>
            <w:pPr>
              <w:spacing w:after="0"/>
              <w:rPr>
                <w:sz w:val="12"/>
                <w:szCs w:val="12"/>
                <w:color w:val="auto"/>
              </w:rPr>
            </w:pPr>
          </w:p>
        </w:tc>
        <w:tc>
          <w:tcPr>
            <w:tcW w:w="1420" w:type="dxa"/>
            <w:vAlign w:val="bottom"/>
            <w:shd w:val="clear" w:color="auto" w:fill="EFEBE9"/>
          </w:tcPr>
          <w:p>
            <w:pPr>
              <w:jc w:val="center"/>
              <w:ind w:left="8"/>
              <w:spacing w:after="0" w:line="145" w:lineRule="exact"/>
              <w:rPr>
                <w:sz w:val="20"/>
                <w:szCs w:val="20"/>
                <w:color w:val="auto"/>
              </w:rPr>
            </w:pPr>
            <w:r>
              <w:rPr>
                <w:rFonts w:ascii="Arial" w:cs="Arial" w:eastAsia="Arial" w:hAnsi="Arial"/>
                <w:sz w:val="14"/>
                <w:szCs w:val="14"/>
                <w:b w:val="1"/>
                <w:bCs w:val="1"/>
                <w:color w:val="867F7C"/>
              </w:rPr>
              <w:t>in Last FY</w:t>
            </w:r>
          </w:p>
        </w:tc>
        <w:tc>
          <w:tcPr>
            <w:tcW w:w="1440" w:type="dxa"/>
            <w:vAlign w:val="bottom"/>
            <w:shd w:val="clear" w:color="auto" w:fill="EFEBE9"/>
          </w:tcPr>
          <w:p>
            <w:pPr>
              <w:jc w:val="center"/>
              <w:spacing w:after="0" w:line="145" w:lineRule="exact"/>
              <w:rPr>
                <w:sz w:val="20"/>
                <w:szCs w:val="20"/>
                <w:color w:val="auto"/>
              </w:rPr>
            </w:pPr>
            <w:r>
              <w:rPr>
                <w:rFonts w:ascii="Arial" w:cs="Arial" w:eastAsia="Arial" w:hAnsi="Arial"/>
                <w:sz w:val="14"/>
                <w:szCs w:val="14"/>
                <w:b w:val="1"/>
                <w:bCs w:val="1"/>
                <w:color w:val="867F7C"/>
              </w:rPr>
              <w:t>In Last FY</w:t>
            </w:r>
          </w:p>
        </w:tc>
        <w:tc>
          <w:tcPr>
            <w:tcW w:w="1340" w:type="dxa"/>
            <w:vAlign w:val="bottom"/>
            <w:shd w:val="clear" w:color="auto" w:fill="EFEBE9"/>
          </w:tcPr>
          <w:p>
            <w:pPr>
              <w:jc w:val="center"/>
              <w:ind w:right="28"/>
              <w:spacing w:after="0" w:line="145" w:lineRule="exact"/>
              <w:rPr>
                <w:sz w:val="20"/>
                <w:szCs w:val="20"/>
                <w:color w:val="auto"/>
              </w:rPr>
            </w:pPr>
            <w:r>
              <w:rPr>
                <w:rFonts w:ascii="Arial" w:cs="Arial" w:eastAsia="Arial" w:hAnsi="Arial"/>
                <w:sz w:val="14"/>
                <w:szCs w:val="14"/>
                <w:b w:val="1"/>
                <w:bCs w:val="1"/>
                <w:color w:val="867F7C"/>
              </w:rPr>
              <w:t>in Last FY</w:t>
            </w:r>
          </w:p>
        </w:tc>
        <w:tc>
          <w:tcPr>
            <w:tcW w:w="1460" w:type="dxa"/>
            <w:vAlign w:val="bottom"/>
            <w:shd w:val="clear" w:color="auto" w:fill="EFEBE9"/>
          </w:tcPr>
          <w:p>
            <w:pPr>
              <w:jc w:val="center"/>
              <w:ind w:left="28"/>
              <w:spacing w:after="0" w:line="145" w:lineRule="exact"/>
              <w:rPr>
                <w:sz w:val="20"/>
                <w:szCs w:val="20"/>
                <w:color w:val="auto"/>
              </w:rPr>
            </w:pPr>
            <w:r>
              <w:rPr>
                <w:rFonts w:ascii="Arial" w:cs="Arial" w:eastAsia="Arial" w:hAnsi="Arial"/>
                <w:sz w:val="14"/>
                <w:szCs w:val="14"/>
                <w:b w:val="1"/>
                <w:bCs w:val="1"/>
                <w:color w:val="867F7C"/>
              </w:rPr>
              <w:t>In Last FY</w:t>
            </w:r>
          </w:p>
        </w:tc>
        <w:tc>
          <w:tcPr>
            <w:tcW w:w="1620" w:type="dxa"/>
            <w:vAlign w:val="bottom"/>
            <w:shd w:val="clear" w:color="auto" w:fill="EFEBE9"/>
          </w:tcPr>
          <w:p>
            <w:pPr>
              <w:jc w:val="center"/>
              <w:ind w:left="128"/>
              <w:spacing w:after="0" w:line="145" w:lineRule="exact"/>
              <w:rPr>
                <w:sz w:val="20"/>
                <w:szCs w:val="20"/>
                <w:color w:val="auto"/>
              </w:rPr>
            </w:pPr>
            <w:r>
              <w:rPr>
                <w:rFonts w:ascii="Arial" w:cs="Arial" w:eastAsia="Arial" w:hAnsi="Arial"/>
                <w:sz w:val="14"/>
                <w:szCs w:val="14"/>
                <w:b w:val="1"/>
                <w:bCs w:val="1"/>
                <w:color w:val="867F7C"/>
              </w:rPr>
              <w:t>September 30, 2025</w:t>
            </w:r>
          </w:p>
        </w:tc>
      </w:tr>
      <w:tr>
        <w:trPr>
          <w:trHeight w:val="235"/>
        </w:trPr>
        <w:tc>
          <w:tcPr>
            <w:tcW w:w="180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Name</w:t>
            </w:r>
          </w:p>
        </w:tc>
        <w:tc>
          <w:tcPr>
            <w:tcW w:w="1420" w:type="dxa"/>
            <w:vAlign w:val="bottom"/>
            <w:tcBorders>
              <w:bottom w:val="single" w:sz="8" w:color="EFEBE9"/>
            </w:tcBorders>
            <w:shd w:val="clear" w:color="auto" w:fill="EFEBE9"/>
          </w:tcPr>
          <w:p>
            <w:pPr>
              <w:jc w:val="center"/>
              <w:ind w:left="8"/>
              <w:spacing w:after="0"/>
              <w:rPr>
                <w:sz w:val="20"/>
                <w:szCs w:val="20"/>
                <w:color w:val="auto"/>
              </w:rPr>
            </w:pPr>
            <w:r>
              <w:rPr>
                <w:rFonts w:ascii="Arial" w:cs="Arial" w:eastAsia="Arial" w:hAnsi="Arial"/>
                <w:sz w:val="14"/>
                <w:szCs w:val="14"/>
                <w:b w:val="1"/>
                <w:bCs w:val="1"/>
                <w:color w:val="867F7C"/>
              </w:rPr>
              <w:t>($)</w:t>
            </w:r>
          </w:p>
        </w:tc>
        <w:tc>
          <w:tcPr>
            <w:tcW w:w="1440" w:type="dxa"/>
            <w:vAlign w:val="bottom"/>
            <w:tcBorders>
              <w:bottom w:val="single" w:sz="8" w:color="EFEBE9"/>
            </w:tcBorders>
            <w:shd w:val="clear" w:color="auto" w:fill="EFEBE9"/>
          </w:tcPr>
          <w:p>
            <w:pPr>
              <w:jc w:val="center"/>
              <w:spacing w:after="0" w:line="189" w:lineRule="exact"/>
              <w:rPr>
                <w:sz w:val="20"/>
                <w:szCs w:val="20"/>
                <w:color w:val="auto"/>
              </w:rPr>
            </w:pPr>
            <w:r>
              <w:rPr>
                <w:rFonts w:ascii="Arial" w:cs="Arial" w:eastAsia="Arial" w:hAnsi="Arial"/>
                <w:sz w:val="14"/>
                <w:szCs w:val="14"/>
                <w:b w:val="1"/>
                <w:bCs w:val="1"/>
                <w:color w:val="867F7C"/>
                <w:w w:val="91"/>
              </w:rPr>
              <w:t>($)</w:t>
            </w:r>
            <w:r>
              <w:rPr>
                <w:rFonts w:ascii="Arial" w:cs="Arial" w:eastAsia="Arial" w:hAnsi="Arial"/>
                <w:sz w:val="19"/>
                <w:szCs w:val="19"/>
                <w:b w:val="1"/>
                <w:bCs w:val="1"/>
                <w:color w:val="867F7C"/>
                <w:w w:val="91"/>
                <w:vertAlign w:val="superscript"/>
              </w:rPr>
              <w:t>(1)</w:t>
            </w:r>
          </w:p>
        </w:tc>
        <w:tc>
          <w:tcPr>
            <w:tcW w:w="1340" w:type="dxa"/>
            <w:vAlign w:val="bottom"/>
            <w:tcBorders>
              <w:bottom w:val="single" w:sz="8" w:color="EFEBE9"/>
            </w:tcBorders>
            <w:shd w:val="clear" w:color="auto" w:fill="EFEBE9"/>
          </w:tcPr>
          <w:p>
            <w:pPr>
              <w:jc w:val="center"/>
              <w:ind w:right="28"/>
              <w:spacing w:after="0" w:line="189" w:lineRule="exact"/>
              <w:rPr>
                <w:sz w:val="20"/>
                <w:szCs w:val="20"/>
                <w:color w:val="auto"/>
              </w:rPr>
            </w:pPr>
            <w:r>
              <w:rPr>
                <w:rFonts w:ascii="Arial" w:cs="Arial" w:eastAsia="Arial" w:hAnsi="Arial"/>
                <w:sz w:val="14"/>
                <w:szCs w:val="14"/>
                <w:b w:val="1"/>
                <w:bCs w:val="1"/>
                <w:color w:val="867F7C"/>
                <w:w w:val="85"/>
              </w:rPr>
              <w:t>($)</w:t>
            </w:r>
            <w:r>
              <w:rPr>
                <w:rFonts w:ascii="Arial" w:cs="Arial" w:eastAsia="Arial" w:hAnsi="Arial"/>
                <w:sz w:val="19"/>
                <w:szCs w:val="19"/>
                <w:b w:val="1"/>
                <w:bCs w:val="1"/>
                <w:color w:val="867F7C"/>
                <w:w w:val="85"/>
                <w:vertAlign w:val="superscript"/>
              </w:rPr>
              <w:t>(2)</w:t>
            </w:r>
          </w:p>
        </w:tc>
        <w:tc>
          <w:tcPr>
            <w:tcW w:w="1460" w:type="dxa"/>
            <w:vAlign w:val="bottom"/>
            <w:tcBorders>
              <w:bottom w:val="single" w:sz="8" w:color="EFEBE9"/>
            </w:tcBorders>
            <w:shd w:val="clear" w:color="auto" w:fill="EFEBE9"/>
          </w:tcPr>
          <w:p>
            <w:pPr>
              <w:jc w:val="center"/>
              <w:ind w:left="48"/>
              <w:spacing w:after="0"/>
              <w:rPr>
                <w:sz w:val="20"/>
                <w:szCs w:val="20"/>
                <w:color w:val="auto"/>
              </w:rPr>
            </w:pPr>
            <w:r>
              <w:rPr>
                <w:rFonts w:ascii="Arial" w:cs="Arial" w:eastAsia="Arial" w:hAnsi="Arial"/>
                <w:sz w:val="14"/>
                <w:szCs w:val="14"/>
                <w:b w:val="1"/>
                <w:bCs w:val="1"/>
                <w:color w:val="867F7C"/>
              </w:rPr>
              <w:t>($)</w:t>
            </w:r>
          </w:p>
        </w:tc>
        <w:tc>
          <w:tcPr>
            <w:tcW w:w="1620" w:type="dxa"/>
            <w:vAlign w:val="bottom"/>
            <w:tcBorders>
              <w:bottom w:val="single" w:sz="8" w:color="EFEBE9"/>
            </w:tcBorders>
            <w:shd w:val="clear" w:color="auto" w:fill="EFEBE9"/>
          </w:tcPr>
          <w:p>
            <w:pPr>
              <w:jc w:val="center"/>
              <w:ind w:left="128"/>
              <w:spacing w:after="0"/>
              <w:rPr>
                <w:sz w:val="20"/>
                <w:szCs w:val="20"/>
                <w:color w:val="auto"/>
              </w:rPr>
            </w:pPr>
            <w:r>
              <w:rPr>
                <w:rFonts w:ascii="Arial" w:cs="Arial" w:eastAsia="Arial" w:hAnsi="Arial"/>
                <w:sz w:val="14"/>
                <w:szCs w:val="14"/>
                <w:b w:val="1"/>
                <w:bCs w:val="1"/>
                <w:color w:val="867F7C"/>
              </w:rPr>
              <w:t>($)</w:t>
            </w:r>
          </w:p>
        </w:tc>
      </w:tr>
      <w:tr>
        <w:trPr>
          <w:trHeight w:val="196"/>
        </w:trPr>
        <w:tc>
          <w:tcPr>
            <w:tcW w:w="1800" w:type="dxa"/>
            <w:vAlign w:val="bottom"/>
            <w:tcBorders>
              <w:top w:val="single" w:sz="8" w:color="867F7C"/>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1420" w:type="dxa"/>
            <w:vAlign w:val="bottom"/>
            <w:tcBorders>
              <w:top w:val="single" w:sz="8" w:color="867F7C"/>
              <w:bottom w:val="single" w:sz="8" w:color="867F7C"/>
            </w:tcBorders>
          </w:tcPr>
          <w:p>
            <w:pPr>
              <w:jc w:val="right"/>
              <w:ind w:right="288"/>
              <w:spacing w:after="0"/>
              <w:rPr>
                <w:sz w:val="20"/>
                <w:szCs w:val="20"/>
                <w:color w:val="auto"/>
              </w:rPr>
            </w:pPr>
            <w:r>
              <w:rPr>
                <w:rFonts w:ascii="Arial" w:cs="Arial" w:eastAsia="Arial" w:hAnsi="Arial"/>
                <w:sz w:val="14"/>
                <w:szCs w:val="14"/>
                <w:color w:val="262626"/>
              </w:rPr>
              <w:t>263,011</w:t>
            </w:r>
          </w:p>
        </w:tc>
        <w:tc>
          <w:tcPr>
            <w:tcW w:w="1440" w:type="dxa"/>
            <w:vAlign w:val="bottom"/>
            <w:tcBorders>
              <w:top w:val="single" w:sz="8" w:color="867F7C"/>
              <w:bottom w:val="single" w:sz="8" w:color="867F7C"/>
            </w:tcBorders>
          </w:tcPr>
          <w:p>
            <w:pPr>
              <w:jc w:val="right"/>
              <w:ind w:right="368"/>
              <w:spacing w:after="0"/>
              <w:rPr>
                <w:sz w:val="20"/>
                <w:szCs w:val="20"/>
                <w:color w:val="auto"/>
              </w:rPr>
            </w:pPr>
            <w:r>
              <w:rPr>
                <w:rFonts w:ascii="Arial" w:cs="Arial" w:eastAsia="Arial" w:hAnsi="Arial"/>
                <w:sz w:val="14"/>
                <w:szCs w:val="14"/>
                <w:color w:val="262626"/>
              </w:rPr>
              <w:t>161,990</w:t>
            </w:r>
          </w:p>
        </w:tc>
        <w:tc>
          <w:tcPr>
            <w:tcW w:w="1340" w:type="dxa"/>
            <w:vAlign w:val="bottom"/>
            <w:tcBorders>
              <w:top w:val="single" w:sz="8" w:color="867F7C"/>
              <w:bottom w:val="single" w:sz="8" w:color="867F7C"/>
            </w:tcBorders>
          </w:tcPr>
          <w:p>
            <w:pPr>
              <w:jc w:val="right"/>
              <w:ind w:right="328"/>
              <w:spacing w:after="0"/>
              <w:rPr>
                <w:sz w:val="20"/>
                <w:szCs w:val="20"/>
                <w:color w:val="auto"/>
              </w:rPr>
            </w:pPr>
            <w:r>
              <w:rPr>
                <w:rFonts w:ascii="Arial" w:cs="Arial" w:eastAsia="Arial" w:hAnsi="Arial"/>
                <w:sz w:val="14"/>
                <w:szCs w:val="14"/>
                <w:color w:val="262626"/>
              </w:rPr>
              <w:t>69,833</w:t>
            </w:r>
          </w:p>
        </w:tc>
        <w:tc>
          <w:tcPr>
            <w:tcW w:w="1460" w:type="dxa"/>
            <w:vAlign w:val="bottom"/>
            <w:tcBorders>
              <w:top w:val="single" w:sz="8" w:color="867F7C"/>
              <w:bottom w:val="single" w:sz="8" w:color="867F7C"/>
            </w:tcBorders>
          </w:tcPr>
          <w:p>
            <w:pPr>
              <w:jc w:val="right"/>
              <w:ind w:right="228"/>
              <w:spacing w:after="0"/>
              <w:rPr>
                <w:sz w:val="20"/>
                <w:szCs w:val="20"/>
                <w:color w:val="auto"/>
              </w:rPr>
            </w:pPr>
            <w:r>
              <w:rPr>
                <w:rFonts w:ascii="Arial" w:cs="Arial" w:eastAsia="Arial" w:hAnsi="Arial"/>
                <w:sz w:val="14"/>
                <w:szCs w:val="14"/>
                <w:color w:val="262626"/>
              </w:rPr>
              <w:t>—</w:t>
            </w:r>
          </w:p>
        </w:tc>
        <w:tc>
          <w:tcPr>
            <w:tcW w:w="1620" w:type="dxa"/>
            <w:vAlign w:val="bottom"/>
            <w:tcBorders>
              <w:top w:val="single" w:sz="8" w:color="867F7C"/>
              <w:bottom w:val="single" w:sz="8" w:color="867F7C"/>
            </w:tcBorders>
          </w:tcPr>
          <w:p>
            <w:pPr>
              <w:jc w:val="right"/>
              <w:ind w:right="288"/>
              <w:spacing w:after="0"/>
              <w:rPr>
                <w:sz w:val="20"/>
                <w:szCs w:val="20"/>
                <w:color w:val="auto"/>
              </w:rPr>
            </w:pPr>
            <w:r>
              <w:rPr>
                <w:rFonts w:ascii="Arial" w:cs="Arial" w:eastAsia="Arial" w:hAnsi="Arial"/>
                <w:sz w:val="14"/>
                <w:szCs w:val="14"/>
                <w:color w:val="262626"/>
              </w:rPr>
              <w:t>2,191,807</w:t>
            </w:r>
          </w:p>
        </w:tc>
      </w:tr>
      <w:tr>
        <w:trPr>
          <w:trHeight w:val="196"/>
        </w:trPr>
        <w:tc>
          <w:tcPr>
            <w:tcW w:w="18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William Whitaker</w:t>
            </w:r>
          </w:p>
        </w:tc>
        <w:tc>
          <w:tcPr>
            <w:tcW w:w="14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10,120</w:t>
            </w:r>
          </w:p>
        </w:tc>
        <w:tc>
          <w:tcPr>
            <w:tcW w:w="144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262626"/>
              </w:rPr>
              <w:t>8,978</w:t>
            </w:r>
          </w:p>
        </w:tc>
        <w:tc>
          <w:tcPr>
            <w:tcW w:w="134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262626"/>
              </w:rPr>
              <w:t>16,243</w:t>
            </w:r>
          </w:p>
        </w:tc>
        <w:tc>
          <w:tcPr>
            <w:tcW w:w="146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262626"/>
              </w:rPr>
              <w:t>—</w:t>
            </w:r>
          </w:p>
        </w:tc>
        <w:tc>
          <w:tcPr>
            <w:tcW w:w="16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119,606</w:t>
            </w:r>
          </w:p>
        </w:tc>
      </w:tr>
      <w:tr>
        <w:trPr>
          <w:trHeight w:val="146"/>
        </w:trPr>
        <w:tc>
          <w:tcPr>
            <w:tcW w:w="1800" w:type="dxa"/>
            <w:vAlign w:val="bottom"/>
          </w:tcPr>
          <w:p>
            <w:pPr>
              <w:ind w:left="100"/>
              <w:spacing w:after="0" w:line="147" w:lineRule="exact"/>
              <w:rPr>
                <w:sz w:val="20"/>
                <w:szCs w:val="20"/>
                <w:color w:val="auto"/>
              </w:rPr>
            </w:pPr>
            <w:r>
              <w:rPr>
                <w:rFonts w:ascii="Arial" w:cs="Arial" w:eastAsia="Arial" w:hAnsi="Arial"/>
                <w:sz w:val="14"/>
                <w:szCs w:val="14"/>
                <w:b w:val="1"/>
                <w:bCs w:val="1"/>
                <w:color w:val="4CCEDE"/>
              </w:rPr>
              <w:t>Alessandra Faccin</w:t>
            </w:r>
          </w:p>
        </w:tc>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71"/>
        </w:trPr>
        <w:tc>
          <w:tcPr>
            <w:tcW w:w="18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Assis</w:t>
            </w:r>
          </w:p>
        </w:tc>
        <w:tc>
          <w:tcPr>
            <w:tcW w:w="14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w:t>
            </w:r>
          </w:p>
        </w:tc>
        <w:tc>
          <w:tcPr>
            <w:tcW w:w="144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262626"/>
              </w:rPr>
              <w:t>7,524</w:t>
            </w:r>
          </w:p>
        </w:tc>
        <w:tc>
          <w:tcPr>
            <w:tcW w:w="134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262626"/>
              </w:rPr>
              <w:t>155</w:t>
            </w:r>
          </w:p>
        </w:tc>
        <w:tc>
          <w:tcPr>
            <w:tcW w:w="146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262626"/>
              </w:rPr>
              <w:t>—</w:t>
            </w:r>
          </w:p>
        </w:tc>
        <w:tc>
          <w:tcPr>
            <w:tcW w:w="16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7,679</w:t>
            </w:r>
          </w:p>
        </w:tc>
      </w:tr>
      <w:tr>
        <w:trPr>
          <w:trHeight w:val="196"/>
        </w:trPr>
        <w:tc>
          <w:tcPr>
            <w:tcW w:w="18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Osama M. Musa</w:t>
            </w:r>
          </w:p>
        </w:tc>
        <w:tc>
          <w:tcPr>
            <w:tcW w:w="14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264,141</w:t>
            </w:r>
          </w:p>
        </w:tc>
        <w:tc>
          <w:tcPr>
            <w:tcW w:w="144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262626"/>
              </w:rPr>
              <w:t>33,119</w:t>
            </w:r>
          </w:p>
        </w:tc>
        <w:tc>
          <w:tcPr>
            <w:tcW w:w="134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262626"/>
              </w:rPr>
              <w:t>115,133</w:t>
            </w:r>
          </w:p>
        </w:tc>
        <w:tc>
          <w:tcPr>
            <w:tcW w:w="1460" w:type="dxa"/>
            <w:vAlign w:val="bottom"/>
            <w:tcBorders>
              <w:bottom w:val="single" w:sz="8" w:color="867F7C"/>
            </w:tcBorders>
          </w:tcPr>
          <w:p>
            <w:pPr>
              <w:jc w:val="right"/>
              <w:ind w:right="168"/>
              <w:spacing w:after="0"/>
              <w:rPr>
                <w:sz w:val="20"/>
                <w:szCs w:val="20"/>
                <w:color w:val="auto"/>
              </w:rPr>
            </w:pPr>
            <w:r>
              <w:rPr>
                <w:rFonts w:ascii="Arial" w:cs="Arial" w:eastAsia="Arial" w:hAnsi="Arial"/>
                <w:sz w:val="14"/>
                <w:szCs w:val="14"/>
                <w:color w:val="262626"/>
              </w:rPr>
              <w:t>(109,436)</w:t>
            </w:r>
          </w:p>
        </w:tc>
        <w:tc>
          <w:tcPr>
            <w:tcW w:w="16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1,308,968</w:t>
            </w:r>
          </w:p>
        </w:tc>
      </w:tr>
      <w:tr>
        <w:trPr>
          <w:trHeight w:val="196"/>
        </w:trPr>
        <w:tc>
          <w:tcPr>
            <w:tcW w:w="18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James Minicucci</w:t>
            </w:r>
          </w:p>
        </w:tc>
        <w:tc>
          <w:tcPr>
            <w:tcW w:w="14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w:t>
            </w:r>
          </w:p>
        </w:tc>
        <w:tc>
          <w:tcPr>
            <w:tcW w:w="144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262626"/>
              </w:rPr>
              <w:t>31,181</w:t>
            </w:r>
          </w:p>
        </w:tc>
        <w:tc>
          <w:tcPr>
            <w:tcW w:w="134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262626"/>
              </w:rPr>
              <w:t>842</w:t>
            </w:r>
          </w:p>
        </w:tc>
        <w:tc>
          <w:tcPr>
            <w:tcW w:w="146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262626"/>
              </w:rPr>
              <w:t>—</w:t>
            </w:r>
          </w:p>
        </w:tc>
        <w:tc>
          <w:tcPr>
            <w:tcW w:w="16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37,595</w:t>
            </w:r>
          </w:p>
        </w:tc>
      </w:tr>
      <w:tr>
        <w:trPr>
          <w:trHeight w:val="196"/>
        </w:trPr>
        <w:tc>
          <w:tcPr>
            <w:tcW w:w="18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Karl Bostaph</w:t>
            </w:r>
          </w:p>
        </w:tc>
        <w:tc>
          <w:tcPr>
            <w:tcW w:w="14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w:t>
            </w:r>
          </w:p>
        </w:tc>
        <w:tc>
          <w:tcPr>
            <w:tcW w:w="144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262626"/>
              </w:rPr>
              <w:t>23,743</w:t>
            </w:r>
          </w:p>
        </w:tc>
        <w:tc>
          <w:tcPr>
            <w:tcW w:w="134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262626"/>
              </w:rPr>
              <w:t>24,431</w:t>
            </w:r>
          </w:p>
        </w:tc>
        <w:tc>
          <w:tcPr>
            <w:tcW w:w="146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262626"/>
              </w:rPr>
              <w:t>—</w:t>
            </w:r>
          </w:p>
        </w:tc>
        <w:tc>
          <w:tcPr>
            <w:tcW w:w="16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152,943</w:t>
            </w:r>
          </w:p>
        </w:tc>
      </w:tr>
      <w:tr>
        <w:trPr>
          <w:trHeight w:val="196"/>
        </w:trPr>
        <w:tc>
          <w:tcPr>
            <w:tcW w:w="18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J. Kevin Willis</w:t>
            </w:r>
          </w:p>
        </w:tc>
        <w:tc>
          <w:tcPr>
            <w:tcW w:w="14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w:t>
            </w:r>
          </w:p>
        </w:tc>
        <w:tc>
          <w:tcPr>
            <w:tcW w:w="144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262626"/>
              </w:rPr>
              <w:t>62,807</w:t>
            </w:r>
          </w:p>
        </w:tc>
        <w:tc>
          <w:tcPr>
            <w:tcW w:w="134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262626"/>
              </w:rPr>
              <w:t>(989,686)</w:t>
            </w:r>
          </w:p>
        </w:tc>
        <w:tc>
          <w:tcPr>
            <w:tcW w:w="146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262626"/>
              </w:rPr>
              <w:t>—</w:t>
            </w:r>
          </w:p>
        </w:tc>
        <w:tc>
          <w:tcPr>
            <w:tcW w:w="1620" w:type="dxa"/>
            <w:vAlign w:val="bottom"/>
            <w:tcBorders>
              <w:bottom w:val="single" w:sz="8" w:color="867F7C"/>
            </w:tcBorders>
          </w:tcPr>
          <w:p>
            <w:pPr>
              <w:jc w:val="right"/>
              <w:ind w:right="288"/>
              <w:spacing w:after="0"/>
              <w:rPr>
                <w:sz w:val="20"/>
                <w:szCs w:val="20"/>
                <w:color w:val="auto"/>
              </w:rPr>
            </w:pPr>
            <w:r>
              <w:rPr>
                <w:rFonts w:ascii="Arial" w:cs="Arial" w:eastAsia="Arial" w:hAnsi="Arial"/>
                <w:sz w:val="14"/>
                <w:szCs w:val="14"/>
                <w:color w:val="262626"/>
              </w:rPr>
              <w:t>2,303,815</w:t>
            </w:r>
          </w:p>
        </w:tc>
      </w:tr>
    </w:tbl>
    <w:p>
      <w:pPr>
        <w:spacing w:after="0" w:line="193" w:lineRule="exact"/>
        <w:rPr>
          <w:sz w:val="20"/>
          <w:szCs w:val="20"/>
          <w:color w:val="auto"/>
        </w:rPr>
      </w:pPr>
    </w:p>
    <w:p>
      <w:pPr>
        <w:jc w:val="both"/>
        <w:ind w:left="220" w:hanging="212"/>
        <w:spacing w:after="0" w:line="228" w:lineRule="auto"/>
        <w:tabs>
          <w:tab w:leader="none" w:pos="220" w:val="left"/>
        </w:tabs>
        <w:numPr>
          <w:ilvl w:val="0"/>
          <w:numId w:val="6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values relate to the Non-Qualified Defined Contribution Plan contribution equivalent to a base contribution of 4% and a matching contribution of 4% on annual incentive compensation and eligible earnings in excess of limits established under Code Section 401(a)(17) and not permitted in the qualified 401(k) plan.</w:t>
      </w:r>
    </w:p>
    <w:p>
      <w:pPr>
        <w:spacing w:after="0" w:line="80" w:lineRule="exact"/>
        <w:rPr>
          <w:rFonts w:ascii="Times New Roman" w:cs="Times New Roman" w:eastAsia="Times New Roman" w:hAnsi="Times New Roman"/>
          <w:sz w:val="19"/>
          <w:szCs w:val="19"/>
          <w:color w:val="auto"/>
          <w:vertAlign w:val="superscript"/>
        </w:rPr>
      </w:pPr>
    </w:p>
    <w:p>
      <w:pPr>
        <w:ind w:left="220" w:hanging="212"/>
        <w:spacing w:after="0" w:line="222" w:lineRule="auto"/>
        <w:tabs>
          <w:tab w:leader="none" w:pos="220" w:val="left"/>
        </w:tabs>
        <w:numPr>
          <w:ilvl w:val="0"/>
          <w:numId w:val="6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Aggregate earnings are composed of interest, dividends, capital gains and appreciation/depreciation of investment results. These earnings are not included in the “Summary Compensation Table” in this Proxy Statement.</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4CCEDE"/>
        </w:rPr>
        <w:t>Ashland deferred compensation plan for employees (employee deferral plan)</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Employee Deferral Plan is an unfunded, non-qualified deferred compensation plan for a select group of highly compensated employees. Participants may elect to have up to 50% of base pay and up to 75% of their annual cash incentive compensation contributed to the plan. Elections to defer compensation generally must be made in the calendar year prior to the calendar year in which the compensation is earned.</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Participants elect how to invest their account balances from among a diverse set of mutual fund offerings and a hypothetical Ashland Common Stock Fund. No guaranteed interest or earnings are available and there are no above market rates of return on investments in the plan. Investments in the Ashland Common Stock Fund may not be changed and must be distributed as Ashland Common Stock. In all other events, participants may freely elect to change their investments. Withdrawals are generally allowed for an unforeseeable emergency (single sum payment sufficient to meet the emergency), disability (lump sum payment), upon separation from employment (payable as lump sum or installments per election) and at a specified time (paid as single sum). In addition, for pre-2005 contributions, participants may elect to have withdrawals paid in a lump sum (subject to a penalty of up to 10%).</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a change in control, participants will receive an automatic lump sum distribution with respect to deferrals made before January 1, 2005 and will receive distributions with respect to deferrals made following January 1, 2005 in accordance with each employee’s election.</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4CCEDE"/>
        </w:rPr>
        <w:t>non-qualified defined contribution plan for certain employees (NQDCP)</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September 22, 2016, the Compensation Committee froze the Non-Qualified Supplemental Defined Contribution Plan for Certain Employees to future benefits as of September 30, 2016. In connection with such freeze, the Compensation Committee adopted the NQDCP to continue to provide benefits for a select group of management or highly compensated Ashland employees that supplements the limitation on compensation imposed by Section 401(a)(17) of the Code (including successor provisions thereto) on qualified Ashland Employee Savings Plan contributions.</w:t>
      </w:r>
    </w:p>
    <w:p>
      <w:pPr>
        <w:spacing w:after="0" w:line="156"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867F7C"/>
        </w:rPr>
        <w:t>2025 executive compensation tables</w:t>
      </w:r>
    </w:p>
    <w:p>
      <w:pPr>
        <w:spacing w:after="0" w:line="3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NQDCP is an unfunded, non-qualified plan that provides a 4% basic contribution and a 4% matching contribution, in each case, on annual incentive compensation paid and eligible earnings in excess of limits established under Code Section 401(a)(17) not permitted in the qualified 401(k) plan. The account balance may be invested in the mutual funds available in the Employees’ Deferral Plan. The benefit payable under the NQDCP will be made in installments or as a lump sum based on distribution elections. Withdrawals outside of distribution elections are allowed for an unforeseeable emergency (single sum payment sufficient to meet the emergency) or disability (lump sum payment). Under the NQDCP, a participant will become 100% vested in his or her accounts upon a change in control. Named executive officers and certain other highly compensated participants cannot begin to receive distributions for six months following separation from service.</w:t>
      </w:r>
    </w:p>
    <w:p>
      <w:pPr>
        <w:spacing w:after="0" w:line="281"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potential payments upon termination or change in control</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CCEDE"/>
        </w:rPr>
        <w:t>senior leadership severance plan</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fiscal year 2022, the Committee approved a new plan, the Senior Leadership Severance Plan. The Senior Leadership Severance Plan provides benefits in the event of a termination of employment or change in control (“CIC”). These benefits are similar to the benefits previously provided under the Severance Pay Plan and Salary Continuation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a CIC, severance benefits are payable only if both parts of the “double trigger” are satisfied. That is,</w:t>
      </w:r>
    </w:p>
    <w:p>
      <w:pPr>
        <w:spacing w:after="0" w:line="14" w:lineRule="exact"/>
        <w:rPr>
          <w:sz w:val="20"/>
          <w:szCs w:val="20"/>
          <w:color w:val="auto"/>
        </w:rPr>
      </w:pPr>
    </w:p>
    <w:p>
      <w:pPr>
        <w:ind w:firstLine="8"/>
        <w:spacing w:after="0" w:line="250" w:lineRule="auto"/>
        <w:tabs>
          <w:tab w:leader="none" w:pos="2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must be a CIC of the Company, and (ii) the NEO must (a) be involuntarily terminated without cause, or (b) must initiate the termination for good reason.</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Benefits provided under the Senior Leadership Severance Plan are conditioned on the executive executing a release of claims. The general release may provide that the executive agrees to certain non-compete, non-solicitation, confidentiality and similar covenants set forth in the release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60" w:type="dxa"/>
            <w:vAlign w:val="bottom"/>
            <w:tcBorders>
              <w:right w:val="single" w:sz="8" w:color="EFEBE9"/>
            </w:tcBorders>
            <w:shd w:val="clear" w:color="auto" w:fill="EFEBE9"/>
          </w:tcPr>
          <w:p>
            <w:pPr>
              <w:spacing w:after="0"/>
              <w:rPr>
                <w:sz w:val="15"/>
                <w:szCs w:val="15"/>
                <w:color w:val="auto"/>
              </w:rPr>
            </w:pPr>
          </w:p>
        </w:tc>
        <w:tc>
          <w:tcPr>
            <w:tcW w:w="1180" w:type="dxa"/>
            <w:vAlign w:val="bottom"/>
            <w:tcBorders>
              <w:right w:val="single" w:sz="8" w:color="EFEBE9"/>
            </w:tcBorders>
            <w:shd w:val="clear" w:color="auto" w:fill="EFEBE9"/>
          </w:tcPr>
          <w:p>
            <w:pPr>
              <w:spacing w:after="0"/>
              <w:rPr>
                <w:sz w:val="15"/>
                <w:szCs w:val="15"/>
                <w:color w:val="auto"/>
              </w:rPr>
            </w:pPr>
          </w:p>
        </w:tc>
        <w:tc>
          <w:tcPr>
            <w:tcW w:w="1800" w:type="dxa"/>
            <w:vAlign w:val="bottom"/>
            <w:tcBorders>
              <w:right w:val="single" w:sz="8" w:color="EFEBE9"/>
            </w:tcBorders>
            <w:vMerge w:val="restart"/>
            <w:shd w:val="clear" w:color="auto" w:fill="EFEBE9"/>
          </w:tcPr>
          <w:p>
            <w:pPr>
              <w:ind w:left="500"/>
              <w:spacing w:after="0"/>
              <w:rPr>
                <w:sz w:val="20"/>
                <w:szCs w:val="20"/>
                <w:color w:val="auto"/>
              </w:rPr>
            </w:pPr>
            <w:r>
              <w:rPr>
                <w:rFonts w:ascii="Arial" w:cs="Arial" w:eastAsia="Arial" w:hAnsi="Arial"/>
                <w:sz w:val="14"/>
                <w:szCs w:val="14"/>
                <w:b w:val="1"/>
                <w:bCs w:val="1"/>
                <w:color w:val="867F7C"/>
              </w:rPr>
              <w:t xml:space="preserve">Severance </w:t>
            </w:r>
            <w:r>
              <w:rPr>
                <w:rFonts w:ascii="Arial" w:cs="Arial" w:eastAsia="Arial" w:hAnsi="Arial"/>
                <w:sz w:val="19"/>
                <w:szCs w:val="19"/>
                <w:b w:val="1"/>
                <w:bCs w:val="1"/>
                <w:color w:val="867F7C"/>
                <w:vertAlign w:val="superscript"/>
              </w:rPr>
              <w:t>(1)</w:t>
            </w:r>
          </w:p>
        </w:tc>
        <w:tc>
          <w:tcPr>
            <w:tcW w:w="940" w:type="dxa"/>
            <w:vAlign w:val="bottom"/>
            <w:tcBorders>
              <w:right w:val="single" w:sz="8" w:color="EFEBE9"/>
            </w:tcBorders>
            <w:shd w:val="clear" w:color="auto" w:fill="EFEBE9"/>
          </w:tcPr>
          <w:p>
            <w:pPr>
              <w:ind w:left="200"/>
              <w:spacing w:after="0"/>
              <w:rPr>
                <w:sz w:val="20"/>
                <w:szCs w:val="20"/>
                <w:color w:val="auto"/>
              </w:rPr>
            </w:pPr>
            <w:r>
              <w:rPr>
                <w:rFonts w:ascii="Arial" w:cs="Arial" w:eastAsia="Arial" w:hAnsi="Arial"/>
                <w:sz w:val="14"/>
                <w:szCs w:val="14"/>
                <w:b w:val="1"/>
                <w:bCs w:val="1"/>
                <w:color w:val="867F7C"/>
              </w:rPr>
              <w:t>Prior FY</w:t>
            </w:r>
          </w:p>
        </w:tc>
        <w:tc>
          <w:tcPr>
            <w:tcW w:w="960" w:type="dxa"/>
            <w:vAlign w:val="bottom"/>
            <w:tcBorders>
              <w:right w:val="single" w:sz="8" w:color="EFEBE9"/>
            </w:tcBorders>
            <w:shd w:val="clear" w:color="auto" w:fill="EFEBE9"/>
          </w:tcPr>
          <w:p>
            <w:pPr>
              <w:jc w:val="center"/>
              <w:spacing w:after="0"/>
              <w:rPr>
                <w:sz w:val="20"/>
                <w:szCs w:val="20"/>
                <w:color w:val="auto"/>
              </w:rPr>
            </w:pPr>
            <w:r>
              <w:rPr>
                <w:rFonts w:ascii="Arial" w:cs="Arial" w:eastAsia="Arial" w:hAnsi="Arial"/>
                <w:sz w:val="14"/>
                <w:szCs w:val="14"/>
                <w:b w:val="1"/>
                <w:bCs w:val="1"/>
                <w:color w:val="867F7C"/>
              </w:rPr>
              <w:t>Current FY</w:t>
            </w:r>
          </w:p>
        </w:tc>
        <w:tc>
          <w:tcPr>
            <w:tcW w:w="80" w:type="dxa"/>
            <w:vAlign w:val="bottom"/>
            <w:shd w:val="clear" w:color="auto" w:fill="EFEBE9"/>
          </w:tcPr>
          <w:p>
            <w:pPr>
              <w:spacing w:after="0"/>
              <w:rPr>
                <w:sz w:val="15"/>
                <w:szCs w:val="15"/>
                <w:color w:val="auto"/>
              </w:rPr>
            </w:pPr>
          </w:p>
        </w:tc>
        <w:tc>
          <w:tcPr>
            <w:tcW w:w="1960" w:type="dxa"/>
            <w:vAlign w:val="bottom"/>
            <w:vMerge w:val="restart"/>
            <w:shd w:val="clear" w:color="auto" w:fill="EFEBE9"/>
          </w:tcPr>
          <w:p>
            <w:pPr>
              <w:jc w:val="center"/>
              <w:spacing w:after="0"/>
              <w:rPr>
                <w:sz w:val="20"/>
                <w:szCs w:val="20"/>
                <w:color w:val="auto"/>
              </w:rPr>
            </w:pPr>
            <w:r>
              <w:rPr>
                <w:rFonts w:ascii="Arial" w:cs="Arial" w:eastAsia="Arial" w:hAnsi="Arial"/>
                <w:sz w:val="14"/>
                <w:szCs w:val="14"/>
                <w:b w:val="1"/>
                <w:bCs w:val="1"/>
                <w:color w:val="867F7C"/>
                <w:w w:val="99"/>
              </w:rPr>
              <w:t>COBRA Coverage</w:t>
            </w:r>
            <w:r>
              <w:rPr>
                <w:rFonts w:ascii="Arial" w:cs="Arial" w:eastAsia="Arial" w:hAnsi="Arial"/>
                <w:sz w:val="19"/>
                <w:szCs w:val="19"/>
                <w:b w:val="1"/>
                <w:bCs w:val="1"/>
                <w:color w:val="867F7C"/>
                <w:w w:val="99"/>
                <w:vertAlign w:val="superscript"/>
              </w:rPr>
              <w:t>(2)</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867F7C"/>
              <w:right w:val="single" w:sz="8" w:color="EFEBE9"/>
            </w:tcBorders>
            <w:shd w:val="clear" w:color="auto" w:fill="EFEBE9"/>
          </w:tcPr>
          <w:p>
            <w:pPr>
              <w:ind w:left="780"/>
              <w:spacing w:after="0"/>
              <w:rPr>
                <w:sz w:val="20"/>
                <w:szCs w:val="20"/>
                <w:color w:val="auto"/>
              </w:rPr>
            </w:pPr>
            <w:r>
              <w:rPr>
                <w:rFonts w:ascii="Arial" w:cs="Arial" w:eastAsia="Arial" w:hAnsi="Arial"/>
                <w:sz w:val="14"/>
                <w:szCs w:val="14"/>
                <w:b w:val="1"/>
                <w:bCs w:val="1"/>
                <w:color w:val="867F7C"/>
              </w:rPr>
              <w:t>Situation</w:t>
            </w:r>
          </w:p>
        </w:tc>
        <w:tc>
          <w:tcPr>
            <w:tcW w:w="1180" w:type="dxa"/>
            <w:vAlign w:val="bottom"/>
            <w:tcBorders>
              <w:bottom w:val="single" w:sz="8" w:color="867F7C"/>
              <w:right w:val="single" w:sz="8" w:color="EFEBE9"/>
            </w:tcBorders>
            <w:shd w:val="clear" w:color="auto" w:fill="EFEBE9"/>
          </w:tcPr>
          <w:p>
            <w:pPr>
              <w:jc w:val="center"/>
              <w:ind w:left="20"/>
              <w:spacing w:after="0"/>
              <w:rPr>
                <w:sz w:val="20"/>
                <w:szCs w:val="20"/>
                <w:color w:val="auto"/>
              </w:rPr>
            </w:pPr>
            <w:r>
              <w:rPr>
                <w:rFonts w:ascii="Arial" w:cs="Arial" w:eastAsia="Arial" w:hAnsi="Arial"/>
                <w:sz w:val="14"/>
                <w:szCs w:val="14"/>
                <w:b w:val="1"/>
                <w:bCs w:val="1"/>
                <w:color w:val="867F7C"/>
              </w:rPr>
              <w:t>Position</w:t>
            </w:r>
          </w:p>
        </w:tc>
        <w:tc>
          <w:tcPr>
            <w:tcW w:w="1800" w:type="dxa"/>
            <w:vAlign w:val="bottom"/>
            <w:tcBorders>
              <w:bottom w:val="single" w:sz="8" w:color="867F7C"/>
              <w:right w:val="single" w:sz="8" w:color="EFEBE9"/>
            </w:tcBorders>
            <w:vMerge w:val="continue"/>
            <w:shd w:val="clear" w:color="auto" w:fill="EFEBE9"/>
          </w:tcPr>
          <w:p>
            <w:pPr>
              <w:spacing w:after="0"/>
              <w:rPr>
                <w:sz w:val="18"/>
                <w:szCs w:val="18"/>
                <w:color w:val="auto"/>
              </w:rPr>
            </w:pPr>
          </w:p>
        </w:tc>
        <w:tc>
          <w:tcPr>
            <w:tcW w:w="940" w:type="dxa"/>
            <w:vAlign w:val="bottom"/>
            <w:tcBorders>
              <w:bottom w:val="single" w:sz="8" w:color="867F7C"/>
              <w:right w:val="single" w:sz="8" w:color="EFEBE9"/>
            </w:tcBorders>
            <w:shd w:val="clear" w:color="auto" w:fill="EFEBE9"/>
          </w:tcPr>
          <w:p>
            <w:pPr>
              <w:jc w:val="center"/>
              <w:spacing w:after="0" w:line="216" w:lineRule="exact"/>
              <w:rPr>
                <w:sz w:val="20"/>
                <w:szCs w:val="20"/>
                <w:color w:val="auto"/>
              </w:rPr>
            </w:pPr>
            <w:r>
              <w:rPr>
                <w:rFonts w:ascii="Arial" w:cs="Arial" w:eastAsia="Arial" w:hAnsi="Arial"/>
                <w:sz w:val="14"/>
                <w:szCs w:val="14"/>
                <w:b w:val="1"/>
                <w:bCs w:val="1"/>
                <w:color w:val="867F7C"/>
                <w:w w:val="87"/>
              </w:rPr>
              <w:t>AIP</w:t>
            </w:r>
            <w:r>
              <w:rPr>
                <w:rFonts w:ascii="Arial" w:cs="Arial" w:eastAsia="Arial" w:hAnsi="Arial"/>
                <w:sz w:val="19"/>
                <w:szCs w:val="19"/>
                <w:b w:val="1"/>
                <w:bCs w:val="1"/>
                <w:color w:val="867F7C"/>
                <w:w w:val="87"/>
                <w:vertAlign w:val="superscript"/>
              </w:rPr>
              <w:t>(1)</w:t>
            </w:r>
          </w:p>
        </w:tc>
        <w:tc>
          <w:tcPr>
            <w:tcW w:w="960" w:type="dxa"/>
            <w:vAlign w:val="bottom"/>
            <w:tcBorders>
              <w:bottom w:val="single" w:sz="8" w:color="867F7C"/>
              <w:right w:val="single" w:sz="8" w:color="EFEBE9"/>
            </w:tcBorders>
            <w:shd w:val="clear" w:color="auto" w:fill="EFEBE9"/>
          </w:tcPr>
          <w:p>
            <w:pPr>
              <w:jc w:val="center"/>
              <w:spacing w:after="0" w:line="216" w:lineRule="exact"/>
              <w:rPr>
                <w:sz w:val="20"/>
                <w:szCs w:val="20"/>
                <w:color w:val="auto"/>
              </w:rPr>
            </w:pPr>
            <w:r>
              <w:rPr>
                <w:rFonts w:ascii="Arial" w:cs="Arial" w:eastAsia="Arial" w:hAnsi="Arial"/>
                <w:sz w:val="14"/>
                <w:szCs w:val="14"/>
                <w:b w:val="1"/>
                <w:bCs w:val="1"/>
                <w:color w:val="867F7C"/>
                <w:w w:val="92"/>
              </w:rPr>
              <w:t>AIP</w:t>
            </w:r>
            <w:r>
              <w:rPr>
                <w:rFonts w:ascii="Arial" w:cs="Arial" w:eastAsia="Arial" w:hAnsi="Arial"/>
                <w:sz w:val="19"/>
                <w:szCs w:val="19"/>
                <w:b w:val="1"/>
                <w:bCs w:val="1"/>
                <w:color w:val="867F7C"/>
                <w:w w:val="92"/>
                <w:vertAlign w:val="superscript"/>
              </w:rPr>
              <w:t>(1)</w:t>
            </w:r>
          </w:p>
        </w:tc>
        <w:tc>
          <w:tcPr>
            <w:tcW w:w="80" w:type="dxa"/>
            <w:vAlign w:val="bottom"/>
            <w:tcBorders>
              <w:bottom w:val="single" w:sz="8" w:color="867F7C"/>
            </w:tcBorders>
            <w:shd w:val="clear" w:color="auto" w:fill="EFEBE9"/>
          </w:tcPr>
          <w:p>
            <w:pPr>
              <w:spacing w:after="0"/>
              <w:rPr>
                <w:sz w:val="18"/>
                <w:szCs w:val="18"/>
                <w:color w:val="auto"/>
              </w:rPr>
            </w:pPr>
          </w:p>
        </w:tc>
        <w:tc>
          <w:tcPr>
            <w:tcW w:w="1960" w:type="dxa"/>
            <w:vAlign w:val="bottom"/>
            <w:tcBorders>
              <w:bottom w:val="single" w:sz="8" w:color="EFEBE9"/>
            </w:tcBorders>
            <w:vMerge w:val="continue"/>
            <w:shd w:val="clear" w:color="auto" w:fill="EFEBE9"/>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w w:val="99"/>
              </w:rPr>
              <w:t>Non-CIC</w:t>
            </w:r>
          </w:p>
        </w:tc>
        <w:tc>
          <w:tcPr>
            <w:tcW w:w="118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CEO</w:t>
            </w:r>
          </w:p>
        </w:tc>
        <w:tc>
          <w:tcPr>
            <w:tcW w:w="180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2x Annual Base Salary</w:t>
            </w:r>
          </w:p>
        </w:tc>
        <w:tc>
          <w:tcPr>
            <w:tcW w:w="940" w:type="dxa"/>
            <w:vAlign w:val="bottom"/>
            <w:tcBorders>
              <w:right w:val="single" w:sz="8" w:color="867F7C"/>
            </w:tcBorders>
          </w:tcPr>
          <w:p>
            <w:pPr>
              <w:spacing w:after="0"/>
              <w:rPr>
                <w:sz w:val="14"/>
                <w:szCs w:val="14"/>
                <w:color w:val="auto"/>
              </w:rPr>
            </w:pPr>
          </w:p>
        </w:tc>
        <w:tc>
          <w:tcPr>
            <w:tcW w:w="960" w:type="dxa"/>
            <w:vAlign w:val="bottom"/>
            <w:tcBorders>
              <w:right w:val="single" w:sz="8" w:color="867F7C"/>
            </w:tcBorders>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jc w:val="center"/>
              <w:spacing w:after="0" w:line="168" w:lineRule="exact"/>
              <w:rPr>
                <w:sz w:val="20"/>
                <w:szCs w:val="20"/>
                <w:color w:val="auto"/>
              </w:rPr>
            </w:pPr>
            <w:r>
              <w:rPr>
                <w:rFonts w:ascii="Arial" w:cs="Arial" w:eastAsia="Arial" w:hAnsi="Arial"/>
                <w:sz w:val="16"/>
                <w:szCs w:val="16"/>
                <w:color w:val="auto"/>
              </w:rPr>
              <w:t>Duration for the shorter of</w:t>
            </w:r>
          </w:p>
        </w:tc>
        <w:tc>
          <w:tcPr>
            <w:tcW w:w="0" w:type="dxa"/>
            <w:vAlign w:val="bottom"/>
          </w:tcPr>
          <w:p>
            <w:pPr>
              <w:spacing w:after="0"/>
              <w:rPr>
                <w:sz w:val="1"/>
                <w:szCs w:val="1"/>
                <w:color w:val="auto"/>
              </w:rPr>
            </w:pPr>
          </w:p>
        </w:tc>
      </w:tr>
      <w:tr>
        <w:trPr>
          <w:trHeight w:val="80"/>
        </w:trPr>
        <w:tc>
          <w:tcPr>
            <w:tcW w:w="2160" w:type="dxa"/>
            <w:vAlign w:val="bottom"/>
            <w:tcBorders>
              <w:right w:val="single" w:sz="8" w:color="867F7C"/>
            </w:tcBorders>
            <w:vMerge w:val="continue"/>
          </w:tcPr>
          <w:p>
            <w:pPr>
              <w:spacing w:after="0"/>
              <w:rPr>
                <w:sz w:val="6"/>
                <w:szCs w:val="6"/>
                <w:color w:val="auto"/>
              </w:rPr>
            </w:pPr>
          </w:p>
        </w:tc>
        <w:tc>
          <w:tcPr>
            <w:tcW w:w="1180" w:type="dxa"/>
            <w:vAlign w:val="bottom"/>
            <w:tcBorders>
              <w:right w:val="single" w:sz="8" w:color="867F7C"/>
            </w:tcBorders>
            <w:vMerge w:val="continue"/>
          </w:tcPr>
          <w:p>
            <w:pPr>
              <w:spacing w:after="0"/>
              <w:rPr>
                <w:sz w:val="6"/>
                <w:szCs w:val="6"/>
                <w:color w:val="auto"/>
              </w:rPr>
            </w:pPr>
          </w:p>
        </w:tc>
        <w:tc>
          <w:tcPr>
            <w:tcW w:w="1800" w:type="dxa"/>
            <w:vAlign w:val="bottom"/>
            <w:tcBorders>
              <w:right w:val="single" w:sz="8" w:color="867F7C"/>
            </w:tcBorders>
            <w:vMerge w:val="continue"/>
          </w:tcPr>
          <w:p>
            <w:pPr>
              <w:spacing w:after="0"/>
              <w:rPr>
                <w:sz w:val="6"/>
                <w:szCs w:val="6"/>
                <w:color w:val="auto"/>
              </w:rPr>
            </w:pPr>
          </w:p>
        </w:tc>
        <w:tc>
          <w:tcPr>
            <w:tcW w:w="940" w:type="dxa"/>
            <w:vAlign w:val="bottom"/>
            <w:tcBorders>
              <w:right w:val="single" w:sz="8" w:color="867F7C"/>
            </w:tcBorders>
          </w:tcPr>
          <w:p>
            <w:pPr>
              <w:spacing w:after="0"/>
              <w:rPr>
                <w:sz w:val="6"/>
                <w:szCs w:val="6"/>
                <w:color w:val="auto"/>
              </w:rPr>
            </w:pPr>
          </w:p>
        </w:tc>
        <w:tc>
          <w:tcPr>
            <w:tcW w:w="960" w:type="dxa"/>
            <w:vAlign w:val="bottom"/>
            <w:tcBorders>
              <w:right w:val="single" w:sz="8" w:color="867F7C"/>
            </w:tcBorders>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vMerge w:val="restart"/>
          </w:tcPr>
          <w:p>
            <w:pPr>
              <w:jc w:val="center"/>
              <w:spacing w:after="0" w:line="155" w:lineRule="exact"/>
              <w:rPr>
                <w:sz w:val="20"/>
                <w:szCs w:val="20"/>
                <w:color w:val="auto"/>
              </w:rPr>
            </w:pPr>
            <w:r>
              <w:rPr>
                <w:rFonts w:ascii="Arial" w:cs="Arial" w:eastAsia="Arial" w:hAnsi="Arial"/>
                <w:sz w:val="16"/>
                <w:szCs w:val="16"/>
                <w:color w:val="auto"/>
              </w:rPr>
              <w:t>(i) the number of months</w:t>
            </w:r>
          </w:p>
        </w:tc>
        <w:tc>
          <w:tcPr>
            <w:tcW w:w="0" w:type="dxa"/>
            <w:vAlign w:val="bottom"/>
          </w:tcPr>
          <w:p>
            <w:pPr>
              <w:spacing w:after="0"/>
              <w:rPr>
                <w:sz w:val="1"/>
                <w:szCs w:val="1"/>
                <w:color w:val="auto"/>
              </w:rPr>
            </w:pPr>
          </w:p>
        </w:tc>
      </w:tr>
      <w:tr>
        <w:trPr>
          <w:trHeight w:val="76"/>
        </w:trPr>
        <w:tc>
          <w:tcPr>
            <w:tcW w:w="2160" w:type="dxa"/>
            <w:vAlign w:val="bottom"/>
            <w:tcBorders>
              <w:right w:val="single" w:sz="8" w:color="867F7C"/>
            </w:tcBorders>
            <w:vMerge w:val="continue"/>
          </w:tcPr>
          <w:p>
            <w:pPr>
              <w:spacing w:after="0"/>
              <w:rPr>
                <w:sz w:val="6"/>
                <w:szCs w:val="6"/>
                <w:color w:val="auto"/>
              </w:rPr>
            </w:pPr>
          </w:p>
        </w:tc>
        <w:tc>
          <w:tcPr>
            <w:tcW w:w="1180" w:type="dxa"/>
            <w:vAlign w:val="bottom"/>
            <w:tcBorders>
              <w:bottom w:val="single" w:sz="8" w:color="867F7C"/>
              <w:right w:val="single" w:sz="8" w:color="867F7C"/>
            </w:tcBorders>
          </w:tcPr>
          <w:p>
            <w:pPr>
              <w:spacing w:after="0"/>
              <w:rPr>
                <w:sz w:val="6"/>
                <w:szCs w:val="6"/>
                <w:color w:val="auto"/>
              </w:rPr>
            </w:pPr>
          </w:p>
        </w:tc>
        <w:tc>
          <w:tcPr>
            <w:tcW w:w="1800" w:type="dxa"/>
            <w:vAlign w:val="bottom"/>
            <w:tcBorders>
              <w:bottom w:val="single" w:sz="8" w:color="867F7C"/>
              <w:right w:val="single" w:sz="8" w:color="867F7C"/>
            </w:tcBorders>
          </w:tcPr>
          <w:p>
            <w:pPr>
              <w:spacing w:after="0"/>
              <w:rPr>
                <w:sz w:val="6"/>
                <w:szCs w:val="6"/>
                <w:color w:val="auto"/>
              </w:rPr>
            </w:pPr>
          </w:p>
        </w:tc>
        <w:tc>
          <w:tcPr>
            <w:tcW w:w="940" w:type="dxa"/>
            <w:vAlign w:val="bottom"/>
            <w:tcBorders>
              <w:right w:val="single" w:sz="8" w:color="867F7C"/>
            </w:tcBorders>
          </w:tcPr>
          <w:p>
            <w:pPr>
              <w:spacing w:after="0"/>
              <w:rPr>
                <w:sz w:val="6"/>
                <w:szCs w:val="6"/>
                <w:color w:val="auto"/>
              </w:rPr>
            </w:pPr>
          </w:p>
        </w:tc>
        <w:tc>
          <w:tcPr>
            <w:tcW w:w="9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Pro-rata</w:t>
            </w:r>
          </w:p>
        </w:tc>
        <w:tc>
          <w:tcPr>
            <w:tcW w:w="8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160" w:type="dxa"/>
            <w:vAlign w:val="bottom"/>
            <w:tcBorders>
              <w:right w:val="single" w:sz="8" w:color="867F7C"/>
            </w:tcBorders>
          </w:tcPr>
          <w:p>
            <w:pPr>
              <w:jc w:val="center"/>
              <w:spacing w:after="0" w:line="176" w:lineRule="exact"/>
              <w:rPr>
                <w:sz w:val="20"/>
                <w:szCs w:val="20"/>
                <w:color w:val="auto"/>
              </w:rPr>
            </w:pPr>
            <w:r>
              <w:rPr>
                <w:rFonts w:ascii="Arial" w:cs="Arial" w:eastAsia="Arial" w:hAnsi="Arial"/>
                <w:sz w:val="16"/>
                <w:szCs w:val="16"/>
                <w:color w:val="auto"/>
              </w:rPr>
              <w:t>Termination of Employment</w:t>
            </w:r>
          </w:p>
        </w:tc>
        <w:tc>
          <w:tcPr>
            <w:tcW w:w="118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Other</w:t>
            </w:r>
          </w:p>
        </w:tc>
        <w:tc>
          <w:tcPr>
            <w:tcW w:w="180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1.5x Annual Base</w:t>
            </w:r>
          </w:p>
        </w:tc>
        <w:tc>
          <w:tcPr>
            <w:tcW w:w="9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Unpaid</w:t>
            </w:r>
          </w:p>
        </w:tc>
        <w:tc>
          <w:tcPr>
            <w:tcW w:w="960" w:type="dxa"/>
            <w:vAlign w:val="bottom"/>
            <w:tcBorders>
              <w:right w:val="single" w:sz="8" w:color="867F7C"/>
            </w:tcBorders>
            <w:vMerge w:val="continue"/>
          </w:tcPr>
          <w:p>
            <w:pPr>
              <w:spacing w:after="0"/>
              <w:rPr>
                <w:sz w:val="15"/>
                <w:szCs w:val="15"/>
                <w:color w:val="auto"/>
              </w:rPr>
            </w:pPr>
          </w:p>
        </w:tc>
        <w:tc>
          <w:tcPr>
            <w:tcW w:w="2040" w:type="dxa"/>
            <w:vAlign w:val="bottom"/>
            <w:gridSpan w:val="2"/>
          </w:tcPr>
          <w:p>
            <w:pPr>
              <w:jc w:val="center"/>
              <w:spacing w:after="0" w:line="176" w:lineRule="exact"/>
              <w:rPr>
                <w:sz w:val="20"/>
                <w:szCs w:val="20"/>
                <w:color w:val="auto"/>
              </w:rPr>
            </w:pPr>
            <w:r>
              <w:rPr>
                <w:rFonts w:ascii="Arial" w:cs="Arial" w:eastAsia="Arial" w:hAnsi="Arial"/>
                <w:sz w:val="16"/>
                <w:szCs w:val="16"/>
                <w:color w:val="auto"/>
              </w:rPr>
              <w:t>corresponding to the years</w:t>
            </w:r>
          </w:p>
        </w:tc>
        <w:tc>
          <w:tcPr>
            <w:tcW w:w="0" w:type="dxa"/>
            <w:vAlign w:val="bottom"/>
          </w:tcPr>
          <w:p>
            <w:pPr>
              <w:spacing w:after="0"/>
              <w:rPr>
                <w:sz w:val="1"/>
                <w:szCs w:val="1"/>
                <w:color w:val="auto"/>
              </w:rPr>
            </w:pPr>
          </w:p>
        </w:tc>
      </w:tr>
      <w:tr>
        <w:trPr>
          <w:trHeight w:val="80"/>
        </w:trPr>
        <w:tc>
          <w:tcPr>
            <w:tcW w:w="21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Without Cause</w:t>
            </w:r>
          </w:p>
        </w:tc>
        <w:tc>
          <w:tcPr>
            <w:tcW w:w="1180" w:type="dxa"/>
            <w:vAlign w:val="bottom"/>
            <w:tcBorders>
              <w:right w:val="single" w:sz="8" w:color="867F7C"/>
            </w:tcBorders>
            <w:vMerge w:val="continue"/>
          </w:tcPr>
          <w:p>
            <w:pPr>
              <w:spacing w:after="0"/>
              <w:rPr>
                <w:sz w:val="6"/>
                <w:szCs w:val="6"/>
                <w:color w:val="auto"/>
              </w:rPr>
            </w:pPr>
          </w:p>
        </w:tc>
        <w:tc>
          <w:tcPr>
            <w:tcW w:w="1800" w:type="dxa"/>
            <w:vAlign w:val="bottom"/>
            <w:tcBorders>
              <w:right w:val="single" w:sz="8" w:color="867F7C"/>
            </w:tcBorders>
            <w:vMerge w:val="continue"/>
          </w:tcPr>
          <w:p>
            <w:pPr>
              <w:spacing w:after="0"/>
              <w:rPr>
                <w:sz w:val="6"/>
                <w:szCs w:val="6"/>
                <w:color w:val="auto"/>
              </w:rPr>
            </w:pPr>
          </w:p>
        </w:tc>
        <w:tc>
          <w:tcPr>
            <w:tcW w:w="940" w:type="dxa"/>
            <w:vAlign w:val="bottom"/>
            <w:tcBorders>
              <w:right w:val="single" w:sz="8" w:color="867F7C"/>
            </w:tcBorders>
            <w:vMerge w:val="continue"/>
          </w:tcPr>
          <w:p>
            <w:pPr>
              <w:spacing w:after="0"/>
              <w:rPr>
                <w:sz w:val="6"/>
                <w:szCs w:val="6"/>
                <w:color w:val="auto"/>
              </w:rPr>
            </w:pPr>
          </w:p>
        </w:tc>
        <w:tc>
          <w:tcPr>
            <w:tcW w:w="9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w w:val="99"/>
              </w:rPr>
              <w:t>Target</w:t>
            </w:r>
          </w:p>
        </w:tc>
        <w:tc>
          <w:tcPr>
            <w:tcW w:w="80" w:type="dxa"/>
            <w:vAlign w:val="bottom"/>
          </w:tcPr>
          <w:p>
            <w:pPr>
              <w:spacing w:after="0"/>
              <w:rPr>
                <w:sz w:val="6"/>
                <w:szCs w:val="6"/>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(and fractions thereof) of</w:t>
            </w:r>
          </w:p>
        </w:tc>
        <w:tc>
          <w:tcPr>
            <w:tcW w:w="0" w:type="dxa"/>
            <w:vAlign w:val="bottom"/>
          </w:tcPr>
          <w:p>
            <w:pPr>
              <w:spacing w:after="0"/>
              <w:rPr>
                <w:sz w:val="1"/>
                <w:szCs w:val="1"/>
                <w:color w:val="auto"/>
              </w:rPr>
            </w:pPr>
          </w:p>
        </w:tc>
      </w:tr>
      <w:tr>
        <w:trPr>
          <w:trHeight w:val="109"/>
        </w:trPr>
        <w:tc>
          <w:tcPr>
            <w:tcW w:w="2160" w:type="dxa"/>
            <w:vAlign w:val="bottom"/>
            <w:tcBorders>
              <w:right w:val="single" w:sz="8" w:color="867F7C"/>
            </w:tcBorders>
            <w:vMerge w:val="continue"/>
          </w:tcPr>
          <w:p>
            <w:pPr>
              <w:spacing w:after="0"/>
              <w:rPr>
                <w:sz w:val="9"/>
                <w:szCs w:val="9"/>
                <w:color w:val="auto"/>
              </w:rPr>
            </w:pPr>
          </w:p>
        </w:tc>
        <w:tc>
          <w:tcPr>
            <w:tcW w:w="118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NEOs</w:t>
            </w:r>
          </w:p>
        </w:tc>
        <w:tc>
          <w:tcPr>
            <w:tcW w:w="180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Salary</w:t>
            </w:r>
          </w:p>
        </w:tc>
        <w:tc>
          <w:tcPr>
            <w:tcW w:w="9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960" w:type="dxa"/>
            <w:vAlign w:val="bottom"/>
            <w:tcBorders>
              <w:right w:val="single" w:sz="8" w:color="867F7C"/>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160" w:type="dxa"/>
            <w:vAlign w:val="bottom"/>
            <w:tcBorders>
              <w:right w:val="single" w:sz="8" w:color="867F7C"/>
            </w:tcBorders>
          </w:tcPr>
          <w:p>
            <w:pPr>
              <w:spacing w:after="0"/>
              <w:rPr>
                <w:sz w:val="6"/>
                <w:szCs w:val="6"/>
                <w:color w:val="auto"/>
              </w:rPr>
            </w:pPr>
          </w:p>
        </w:tc>
        <w:tc>
          <w:tcPr>
            <w:tcW w:w="1180" w:type="dxa"/>
            <w:vAlign w:val="bottom"/>
            <w:tcBorders>
              <w:right w:val="single" w:sz="8" w:color="867F7C"/>
            </w:tcBorders>
            <w:vMerge w:val="continue"/>
          </w:tcPr>
          <w:p>
            <w:pPr>
              <w:spacing w:after="0"/>
              <w:rPr>
                <w:sz w:val="6"/>
                <w:szCs w:val="6"/>
                <w:color w:val="auto"/>
              </w:rPr>
            </w:pPr>
          </w:p>
        </w:tc>
        <w:tc>
          <w:tcPr>
            <w:tcW w:w="1800" w:type="dxa"/>
            <w:vAlign w:val="bottom"/>
            <w:tcBorders>
              <w:right w:val="single" w:sz="8" w:color="867F7C"/>
            </w:tcBorders>
            <w:vMerge w:val="continue"/>
          </w:tcPr>
          <w:p>
            <w:pPr>
              <w:spacing w:after="0"/>
              <w:rPr>
                <w:sz w:val="6"/>
                <w:szCs w:val="6"/>
                <w:color w:val="auto"/>
              </w:rPr>
            </w:pPr>
          </w:p>
        </w:tc>
        <w:tc>
          <w:tcPr>
            <w:tcW w:w="940" w:type="dxa"/>
            <w:vAlign w:val="bottom"/>
            <w:tcBorders>
              <w:right w:val="single" w:sz="8" w:color="867F7C"/>
            </w:tcBorders>
            <w:vMerge w:val="continue"/>
          </w:tcPr>
          <w:p>
            <w:pPr>
              <w:spacing w:after="0"/>
              <w:rPr>
                <w:sz w:val="6"/>
                <w:szCs w:val="6"/>
                <w:color w:val="auto"/>
              </w:rPr>
            </w:pPr>
          </w:p>
        </w:tc>
        <w:tc>
          <w:tcPr>
            <w:tcW w:w="9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80" w:type="dxa"/>
            <w:vAlign w:val="bottom"/>
          </w:tcPr>
          <w:p>
            <w:pPr>
              <w:spacing w:after="0"/>
              <w:rPr>
                <w:sz w:val="6"/>
                <w:szCs w:val="6"/>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the severance multiple, (ii)</w:t>
            </w:r>
          </w:p>
        </w:tc>
        <w:tc>
          <w:tcPr>
            <w:tcW w:w="0" w:type="dxa"/>
            <w:vAlign w:val="bottom"/>
          </w:tcPr>
          <w:p>
            <w:pPr>
              <w:spacing w:after="0"/>
              <w:rPr>
                <w:sz w:val="1"/>
                <w:szCs w:val="1"/>
                <w:color w:val="auto"/>
              </w:rPr>
            </w:pPr>
          </w:p>
        </w:tc>
      </w:tr>
      <w:tr>
        <w:trPr>
          <w:trHeight w:val="109"/>
        </w:trPr>
        <w:tc>
          <w:tcPr>
            <w:tcW w:w="2160" w:type="dxa"/>
            <w:vAlign w:val="bottom"/>
            <w:tcBorders>
              <w:right w:val="single" w:sz="8" w:color="867F7C"/>
            </w:tcBorders>
          </w:tcPr>
          <w:p>
            <w:pPr>
              <w:spacing w:after="0"/>
              <w:rPr>
                <w:sz w:val="9"/>
                <w:szCs w:val="9"/>
                <w:color w:val="auto"/>
              </w:rPr>
            </w:pPr>
          </w:p>
        </w:tc>
        <w:tc>
          <w:tcPr>
            <w:tcW w:w="1180" w:type="dxa"/>
            <w:vAlign w:val="bottom"/>
            <w:tcBorders>
              <w:right w:val="single" w:sz="8" w:color="867F7C"/>
            </w:tcBorders>
          </w:tcPr>
          <w:p>
            <w:pPr>
              <w:spacing w:after="0"/>
              <w:rPr>
                <w:sz w:val="9"/>
                <w:szCs w:val="9"/>
                <w:color w:val="auto"/>
              </w:rPr>
            </w:pPr>
          </w:p>
        </w:tc>
        <w:tc>
          <w:tcPr>
            <w:tcW w:w="1800" w:type="dxa"/>
            <w:vAlign w:val="bottom"/>
            <w:tcBorders>
              <w:right w:val="single" w:sz="8" w:color="867F7C"/>
            </w:tcBorders>
          </w:tcPr>
          <w:p>
            <w:pPr>
              <w:spacing w:after="0"/>
              <w:rPr>
                <w:sz w:val="9"/>
                <w:szCs w:val="9"/>
                <w:color w:val="auto"/>
              </w:rPr>
            </w:pPr>
          </w:p>
        </w:tc>
        <w:tc>
          <w:tcPr>
            <w:tcW w:w="9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w w:val="99"/>
              </w:rPr>
              <w:t>Incentive</w:t>
            </w:r>
          </w:p>
        </w:tc>
        <w:tc>
          <w:tcPr>
            <w:tcW w:w="960" w:type="dxa"/>
            <w:vAlign w:val="bottom"/>
            <w:tcBorders>
              <w:right w:val="single" w:sz="8" w:color="867F7C"/>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160" w:type="dxa"/>
            <w:vAlign w:val="bottom"/>
            <w:tcBorders>
              <w:bottom w:val="single" w:sz="8" w:color="867F7C"/>
              <w:right w:val="single" w:sz="8" w:color="867F7C"/>
            </w:tcBorders>
          </w:tcPr>
          <w:p>
            <w:pPr>
              <w:spacing w:after="0"/>
              <w:rPr>
                <w:sz w:val="2"/>
                <w:szCs w:val="2"/>
                <w:color w:val="auto"/>
              </w:rPr>
            </w:pPr>
          </w:p>
        </w:tc>
        <w:tc>
          <w:tcPr>
            <w:tcW w:w="1180" w:type="dxa"/>
            <w:vAlign w:val="bottom"/>
            <w:tcBorders>
              <w:bottom w:val="single" w:sz="8" w:color="867F7C"/>
              <w:right w:val="single" w:sz="8" w:color="867F7C"/>
            </w:tcBorders>
          </w:tcPr>
          <w:p>
            <w:pPr>
              <w:spacing w:after="0"/>
              <w:rPr>
                <w:sz w:val="2"/>
                <w:szCs w:val="2"/>
                <w:color w:val="auto"/>
              </w:rPr>
            </w:pPr>
          </w:p>
        </w:tc>
        <w:tc>
          <w:tcPr>
            <w:tcW w:w="1800" w:type="dxa"/>
            <w:vAlign w:val="bottom"/>
            <w:tcBorders>
              <w:bottom w:val="single" w:sz="8" w:color="867F7C"/>
              <w:right w:val="single" w:sz="8" w:color="867F7C"/>
            </w:tcBorders>
          </w:tcPr>
          <w:p>
            <w:pPr>
              <w:spacing w:after="0"/>
              <w:rPr>
                <w:sz w:val="2"/>
                <w:szCs w:val="2"/>
                <w:color w:val="auto"/>
              </w:rPr>
            </w:pPr>
          </w:p>
        </w:tc>
        <w:tc>
          <w:tcPr>
            <w:tcW w:w="940" w:type="dxa"/>
            <w:vAlign w:val="bottom"/>
            <w:tcBorders>
              <w:right w:val="single" w:sz="8" w:color="867F7C"/>
            </w:tcBorders>
            <w:vMerge w:val="continue"/>
          </w:tcPr>
          <w:p>
            <w:pPr>
              <w:spacing w:after="0"/>
              <w:rPr>
                <w:sz w:val="2"/>
                <w:szCs w:val="2"/>
                <w:color w:val="auto"/>
              </w:rPr>
            </w:pPr>
          </w:p>
        </w:tc>
        <w:tc>
          <w:tcPr>
            <w:tcW w:w="9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Incentive</w:t>
            </w:r>
          </w:p>
        </w:tc>
        <w:tc>
          <w:tcPr>
            <w:tcW w:w="80" w:type="dxa"/>
            <w:vAlign w:val="bottom"/>
            <w:tcBorders>
              <w:bottom w:val="single" w:sz="8" w:color="867F7C"/>
            </w:tcBorders>
          </w:tcPr>
          <w:p>
            <w:pPr>
              <w:spacing w:after="0"/>
              <w:rPr>
                <w:sz w:val="2"/>
                <w:szCs w:val="2"/>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the applicable COBRA</w:t>
            </w:r>
          </w:p>
        </w:tc>
        <w:tc>
          <w:tcPr>
            <w:tcW w:w="0" w:type="dxa"/>
            <w:vAlign w:val="bottom"/>
          </w:tcPr>
          <w:p>
            <w:pPr>
              <w:spacing w:after="0"/>
              <w:rPr>
                <w:sz w:val="1"/>
                <w:szCs w:val="1"/>
                <w:color w:val="auto"/>
              </w:rPr>
            </w:pPr>
          </w:p>
        </w:tc>
      </w:tr>
      <w:tr>
        <w:trPr>
          <w:trHeight w:val="33"/>
        </w:trPr>
        <w:tc>
          <w:tcPr>
            <w:tcW w:w="2160" w:type="dxa"/>
            <w:vAlign w:val="bottom"/>
            <w:tcBorders>
              <w:right w:val="single" w:sz="8" w:color="867F7C"/>
            </w:tcBorders>
          </w:tcPr>
          <w:p>
            <w:pPr>
              <w:spacing w:after="0"/>
              <w:rPr>
                <w:sz w:val="2"/>
                <w:szCs w:val="2"/>
                <w:color w:val="auto"/>
              </w:rPr>
            </w:pPr>
          </w:p>
        </w:tc>
        <w:tc>
          <w:tcPr>
            <w:tcW w:w="1180" w:type="dxa"/>
            <w:vAlign w:val="bottom"/>
            <w:tcBorders>
              <w:right w:val="single" w:sz="8" w:color="867F7C"/>
            </w:tcBorders>
          </w:tcPr>
          <w:p>
            <w:pPr>
              <w:spacing w:after="0"/>
              <w:rPr>
                <w:sz w:val="2"/>
                <w:szCs w:val="2"/>
                <w:color w:val="auto"/>
              </w:rPr>
            </w:pPr>
          </w:p>
        </w:tc>
        <w:tc>
          <w:tcPr>
            <w:tcW w:w="1800" w:type="dxa"/>
            <w:vAlign w:val="bottom"/>
            <w:tcBorders>
              <w:right w:val="single" w:sz="8" w:color="867F7C"/>
            </w:tcBorders>
          </w:tcPr>
          <w:p>
            <w:pPr>
              <w:spacing w:after="0"/>
              <w:rPr>
                <w:sz w:val="2"/>
                <w:szCs w:val="2"/>
                <w:color w:val="auto"/>
              </w:rPr>
            </w:pPr>
          </w:p>
        </w:tc>
        <w:tc>
          <w:tcPr>
            <w:tcW w:w="940" w:type="dxa"/>
            <w:vAlign w:val="bottom"/>
            <w:tcBorders>
              <w:right w:val="single" w:sz="8" w:color="867F7C"/>
            </w:tcBorders>
            <w:vMerge w:val="continue"/>
          </w:tcPr>
          <w:p>
            <w:pPr>
              <w:spacing w:after="0"/>
              <w:rPr>
                <w:sz w:val="2"/>
                <w:szCs w:val="2"/>
                <w:color w:val="auto"/>
              </w:rPr>
            </w:pPr>
          </w:p>
        </w:tc>
        <w:tc>
          <w:tcPr>
            <w:tcW w:w="960" w:type="dxa"/>
            <w:vAlign w:val="bottom"/>
            <w:tcBorders>
              <w:right w:val="single" w:sz="8" w:color="867F7C"/>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160" w:type="dxa"/>
            <w:vAlign w:val="bottom"/>
            <w:tcBorders>
              <w:right w:val="single" w:sz="8" w:color="867F7C"/>
            </w:tcBorders>
          </w:tcPr>
          <w:p>
            <w:pPr>
              <w:spacing w:after="0"/>
              <w:rPr>
                <w:sz w:val="9"/>
                <w:szCs w:val="9"/>
                <w:color w:val="auto"/>
              </w:rPr>
            </w:pPr>
          </w:p>
        </w:tc>
        <w:tc>
          <w:tcPr>
            <w:tcW w:w="1180" w:type="dxa"/>
            <w:vAlign w:val="bottom"/>
            <w:tcBorders>
              <w:right w:val="single" w:sz="8" w:color="867F7C"/>
            </w:tcBorders>
          </w:tcPr>
          <w:p>
            <w:pPr>
              <w:spacing w:after="0"/>
              <w:rPr>
                <w:sz w:val="9"/>
                <w:szCs w:val="9"/>
                <w:color w:val="auto"/>
              </w:rPr>
            </w:pPr>
          </w:p>
        </w:tc>
        <w:tc>
          <w:tcPr>
            <w:tcW w:w="180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3x Annual Base Salary</w:t>
            </w:r>
          </w:p>
        </w:tc>
        <w:tc>
          <w:tcPr>
            <w:tcW w:w="9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earned</w:t>
            </w:r>
          </w:p>
        </w:tc>
        <w:tc>
          <w:tcPr>
            <w:tcW w:w="960" w:type="dxa"/>
            <w:vAlign w:val="bottom"/>
            <w:tcBorders>
              <w:right w:val="single" w:sz="8" w:color="867F7C"/>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160" w:type="dxa"/>
            <w:vAlign w:val="bottom"/>
            <w:tcBorders>
              <w:right w:val="single" w:sz="8" w:color="867F7C"/>
            </w:tcBorders>
          </w:tcPr>
          <w:p>
            <w:pPr>
              <w:spacing w:after="0"/>
              <w:rPr>
                <w:sz w:val="6"/>
                <w:szCs w:val="6"/>
                <w:color w:val="auto"/>
              </w:rPr>
            </w:pPr>
          </w:p>
        </w:tc>
        <w:tc>
          <w:tcPr>
            <w:tcW w:w="118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CEO</w:t>
            </w:r>
          </w:p>
        </w:tc>
        <w:tc>
          <w:tcPr>
            <w:tcW w:w="1800" w:type="dxa"/>
            <w:vAlign w:val="bottom"/>
            <w:tcBorders>
              <w:right w:val="single" w:sz="8" w:color="867F7C"/>
            </w:tcBorders>
            <w:vMerge w:val="continue"/>
          </w:tcPr>
          <w:p>
            <w:pPr>
              <w:spacing w:after="0"/>
              <w:rPr>
                <w:sz w:val="6"/>
                <w:szCs w:val="6"/>
                <w:color w:val="auto"/>
              </w:rPr>
            </w:pPr>
          </w:p>
        </w:tc>
        <w:tc>
          <w:tcPr>
            <w:tcW w:w="940" w:type="dxa"/>
            <w:vAlign w:val="bottom"/>
            <w:tcBorders>
              <w:right w:val="single" w:sz="8" w:color="867F7C"/>
            </w:tcBorders>
            <w:vMerge w:val="continue"/>
          </w:tcPr>
          <w:p>
            <w:pPr>
              <w:spacing w:after="0"/>
              <w:rPr>
                <w:sz w:val="6"/>
                <w:szCs w:val="6"/>
                <w:color w:val="auto"/>
              </w:rPr>
            </w:pPr>
          </w:p>
        </w:tc>
        <w:tc>
          <w:tcPr>
            <w:tcW w:w="9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for the</w:t>
            </w:r>
          </w:p>
        </w:tc>
        <w:tc>
          <w:tcPr>
            <w:tcW w:w="80" w:type="dxa"/>
            <w:vAlign w:val="bottom"/>
          </w:tcPr>
          <w:p>
            <w:pPr>
              <w:spacing w:after="0"/>
              <w:rPr>
                <w:sz w:val="6"/>
                <w:szCs w:val="6"/>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continuation period; or (iii)</w:t>
            </w:r>
          </w:p>
        </w:tc>
        <w:tc>
          <w:tcPr>
            <w:tcW w:w="0" w:type="dxa"/>
            <w:vAlign w:val="bottom"/>
          </w:tcPr>
          <w:p>
            <w:pPr>
              <w:spacing w:after="0"/>
              <w:rPr>
                <w:sz w:val="1"/>
                <w:szCs w:val="1"/>
                <w:color w:val="auto"/>
              </w:rPr>
            </w:pPr>
          </w:p>
        </w:tc>
      </w:tr>
      <w:tr>
        <w:trPr>
          <w:trHeight w:val="68"/>
        </w:trPr>
        <w:tc>
          <w:tcPr>
            <w:tcW w:w="2160" w:type="dxa"/>
            <w:vAlign w:val="bottom"/>
            <w:tcBorders>
              <w:right w:val="single" w:sz="8" w:color="867F7C"/>
            </w:tcBorders>
            <w:vMerge w:val="restart"/>
          </w:tcPr>
          <w:p>
            <w:pPr>
              <w:jc w:val="center"/>
              <w:spacing w:after="0" w:line="109" w:lineRule="exact"/>
              <w:rPr>
                <w:sz w:val="20"/>
                <w:szCs w:val="20"/>
                <w:color w:val="auto"/>
              </w:rPr>
            </w:pPr>
            <w:r>
              <w:rPr>
                <w:rFonts w:ascii="Arial" w:cs="Arial" w:eastAsia="Arial" w:hAnsi="Arial"/>
                <w:sz w:val="12"/>
                <w:szCs w:val="12"/>
                <w:color w:val="auto"/>
              </w:rPr>
              <w:t>CIC</w:t>
            </w:r>
          </w:p>
        </w:tc>
        <w:tc>
          <w:tcPr>
            <w:tcW w:w="1180" w:type="dxa"/>
            <w:vAlign w:val="bottom"/>
            <w:tcBorders>
              <w:right w:val="single" w:sz="8" w:color="867F7C"/>
            </w:tcBorders>
            <w:vMerge w:val="continue"/>
          </w:tcPr>
          <w:p>
            <w:pPr>
              <w:spacing w:after="0"/>
              <w:rPr>
                <w:sz w:val="5"/>
                <w:szCs w:val="5"/>
                <w:color w:val="auto"/>
              </w:rPr>
            </w:pPr>
          </w:p>
        </w:tc>
        <w:tc>
          <w:tcPr>
            <w:tcW w:w="1800" w:type="dxa"/>
            <w:vAlign w:val="bottom"/>
            <w:tcBorders>
              <w:right w:val="single" w:sz="8" w:color="867F7C"/>
            </w:tcBorders>
            <w:vMerge w:val="continue"/>
          </w:tcPr>
          <w:p>
            <w:pPr>
              <w:spacing w:after="0"/>
              <w:rPr>
                <w:sz w:val="5"/>
                <w:szCs w:val="5"/>
                <w:color w:val="auto"/>
              </w:rPr>
            </w:pPr>
          </w:p>
        </w:tc>
        <w:tc>
          <w:tcPr>
            <w:tcW w:w="940" w:type="dxa"/>
            <w:vAlign w:val="bottom"/>
            <w:tcBorders>
              <w:right w:val="single" w:sz="8" w:color="867F7C"/>
            </w:tcBorders>
            <w:vMerge w:val="restart"/>
          </w:tcPr>
          <w:p>
            <w:pPr>
              <w:jc w:val="center"/>
              <w:spacing w:after="0" w:line="109" w:lineRule="exact"/>
              <w:rPr>
                <w:sz w:val="20"/>
                <w:szCs w:val="20"/>
                <w:color w:val="auto"/>
              </w:rPr>
            </w:pPr>
            <w:r>
              <w:rPr>
                <w:rFonts w:ascii="Arial" w:cs="Arial" w:eastAsia="Arial" w:hAnsi="Arial"/>
                <w:sz w:val="12"/>
                <w:szCs w:val="12"/>
                <w:color w:val="auto"/>
              </w:rPr>
              <w:t>for Prior</w:t>
            </w:r>
          </w:p>
        </w:tc>
        <w:tc>
          <w:tcPr>
            <w:tcW w:w="960" w:type="dxa"/>
            <w:vAlign w:val="bottom"/>
            <w:tcBorders>
              <w:right w:val="single" w:sz="8" w:color="867F7C"/>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160" w:type="dxa"/>
            <w:vAlign w:val="bottom"/>
            <w:tcBorders>
              <w:right w:val="single" w:sz="8" w:color="867F7C"/>
            </w:tcBorders>
            <w:vMerge w:val="continue"/>
          </w:tcPr>
          <w:p>
            <w:pPr>
              <w:spacing w:after="0"/>
              <w:rPr>
                <w:sz w:val="3"/>
                <w:szCs w:val="3"/>
                <w:color w:val="auto"/>
              </w:rPr>
            </w:pPr>
          </w:p>
        </w:tc>
        <w:tc>
          <w:tcPr>
            <w:tcW w:w="1180" w:type="dxa"/>
            <w:vAlign w:val="bottom"/>
            <w:tcBorders>
              <w:right w:val="single" w:sz="8" w:color="867F7C"/>
            </w:tcBorders>
            <w:vMerge w:val="continue"/>
          </w:tcPr>
          <w:p>
            <w:pPr>
              <w:spacing w:after="0"/>
              <w:rPr>
                <w:sz w:val="3"/>
                <w:szCs w:val="3"/>
                <w:color w:val="auto"/>
              </w:rPr>
            </w:pPr>
          </w:p>
        </w:tc>
        <w:tc>
          <w:tcPr>
            <w:tcW w:w="180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w w:val="99"/>
              </w:rPr>
              <w:t>+ Target AIP</w:t>
            </w:r>
          </w:p>
        </w:tc>
        <w:tc>
          <w:tcPr>
            <w:tcW w:w="940" w:type="dxa"/>
            <w:vAlign w:val="bottom"/>
            <w:tcBorders>
              <w:right w:val="single" w:sz="8" w:color="867F7C"/>
            </w:tcBorders>
            <w:vMerge w:val="continue"/>
          </w:tcPr>
          <w:p>
            <w:pPr>
              <w:spacing w:after="0"/>
              <w:rPr>
                <w:sz w:val="3"/>
                <w:szCs w:val="3"/>
                <w:color w:val="auto"/>
              </w:rPr>
            </w:pPr>
          </w:p>
        </w:tc>
        <w:tc>
          <w:tcPr>
            <w:tcW w:w="960" w:type="dxa"/>
            <w:vAlign w:val="bottom"/>
            <w:tcBorders>
              <w:right w:val="single" w:sz="8" w:color="867F7C"/>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1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Termination of Employment</w:t>
            </w:r>
          </w:p>
        </w:tc>
        <w:tc>
          <w:tcPr>
            <w:tcW w:w="1180" w:type="dxa"/>
            <w:vAlign w:val="bottom"/>
            <w:tcBorders>
              <w:right w:val="single" w:sz="8" w:color="867F7C"/>
            </w:tcBorders>
          </w:tcPr>
          <w:p>
            <w:pPr>
              <w:spacing w:after="0"/>
              <w:rPr>
                <w:sz w:val="16"/>
                <w:szCs w:val="16"/>
                <w:color w:val="auto"/>
              </w:rPr>
            </w:pPr>
          </w:p>
        </w:tc>
        <w:tc>
          <w:tcPr>
            <w:tcW w:w="1800" w:type="dxa"/>
            <w:vAlign w:val="bottom"/>
            <w:tcBorders>
              <w:right w:val="single" w:sz="8" w:color="867F7C"/>
            </w:tcBorders>
            <w:vMerge w:val="continue"/>
          </w:tcPr>
          <w:p>
            <w:pPr>
              <w:spacing w:after="0"/>
              <w:rPr>
                <w:sz w:val="16"/>
                <w:szCs w:val="16"/>
                <w:color w:val="auto"/>
              </w:rPr>
            </w:pPr>
          </w:p>
        </w:tc>
        <w:tc>
          <w:tcPr>
            <w:tcW w:w="94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Fiscal</w:t>
            </w:r>
          </w:p>
        </w:tc>
        <w:tc>
          <w:tcPr>
            <w:tcW w:w="960" w:type="dxa"/>
            <w:vAlign w:val="bottom"/>
            <w:tcBorders>
              <w:right w:val="single" w:sz="8" w:color="867F7C"/>
            </w:tcBorders>
          </w:tcPr>
          <w:p>
            <w:pPr>
              <w:jc w:val="center"/>
              <w:spacing w:after="0"/>
              <w:rPr>
                <w:sz w:val="20"/>
                <w:szCs w:val="20"/>
                <w:color w:val="auto"/>
              </w:rPr>
            </w:pPr>
            <w:r>
              <w:rPr>
                <w:rFonts w:ascii="Arial" w:cs="Arial" w:eastAsia="Arial" w:hAnsi="Arial"/>
                <w:sz w:val="16"/>
                <w:szCs w:val="16"/>
                <w:color w:val="auto"/>
              </w:rPr>
              <w:t>Current</w:t>
            </w:r>
          </w:p>
        </w:tc>
        <w:tc>
          <w:tcPr>
            <w:tcW w:w="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rPr>
              <w:t>the date on which the</w:t>
            </w:r>
          </w:p>
        </w:tc>
        <w:tc>
          <w:tcPr>
            <w:tcW w:w="0" w:type="dxa"/>
            <w:vAlign w:val="bottom"/>
          </w:tcPr>
          <w:p>
            <w:pPr>
              <w:spacing w:after="0"/>
              <w:rPr>
                <w:sz w:val="1"/>
                <w:szCs w:val="1"/>
                <w:color w:val="auto"/>
              </w:rPr>
            </w:pPr>
          </w:p>
        </w:tc>
      </w:tr>
      <w:tr>
        <w:trPr>
          <w:trHeight w:val="95"/>
        </w:trPr>
        <w:tc>
          <w:tcPr>
            <w:tcW w:w="2160" w:type="dxa"/>
            <w:vAlign w:val="bottom"/>
            <w:tcBorders>
              <w:right w:val="single" w:sz="8" w:color="867F7C"/>
            </w:tcBorders>
            <w:vMerge w:val="continue"/>
          </w:tcPr>
          <w:p>
            <w:pPr>
              <w:spacing w:after="0"/>
              <w:rPr>
                <w:sz w:val="8"/>
                <w:szCs w:val="8"/>
                <w:color w:val="auto"/>
              </w:rPr>
            </w:pPr>
          </w:p>
        </w:tc>
        <w:tc>
          <w:tcPr>
            <w:tcW w:w="1180" w:type="dxa"/>
            <w:vAlign w:val="bottom"/>
            <w:tcBorders>
              <w:bottom w:val="single" w:sz="8" w:color="867F7C"/>
              <w:right w:val="single" w:sz="8" w:color="867F7C"/>
            </w:tcBorders>
          </w:tcPr>
          <w:p>
            <w:pPr>
              <w:spacing w:after="0"/>
              <w:rPr>
                <w:sz w:val="8"/>
                <w:szCs w:val="8"/>
                <w:color w:val="auto"/>
              </w:rPr>
            </w:pPr>
          </w:p>
        </w:tc>
        <w:tc>
          <w:tcPr>
            <w:tcW w:w="1800" w:type="dxa"/>
            <w:vAlign w:val="bottom"/>
            <w:tcBorders>
              <w:bottom w:val="single" w:sz="8" w:color="867F7C"/>
              <w:right w:val="single" w:sz="8" w:color="867F7C"/>
            </w:tcBorders>
          </w:tcPr>
          <w:p>
            <w:pPr>
              <w:spacing w:after="0"/>
              <w:rPr>
                <w:sz w:val="8"/>
                <w:szCs w:val="8"/>
                <w:color w:val="auto"/>
              </w:rPr>
            </w:pPr>
          </w:p>
        </w:tc>
        <w:tc>
          <w:tcPr>
            <w:tcW w:w="940" w:type="dxa"/>
            <w:vAlign w:val="bottom"/>
            <w:tcBorders>
              <w:right w:val="single" w:sz="8" w:color="867F7C"/>
            </w:tcBorders>
            <w:vMerge w:val="continue"/>
          </w:tcPr>
          <w:p>
            <w:pPr>
              <w:spacing w:after="0"/>
              <w:rPr>
                <w:sz w:val="8"/>
                <w:szCs w:val="8"/>
                <w:color w:val="auto"/>
              </w:rPr>
            </w:pPr>
          </w:p>
        </w:tc>
        <w:tc>
          <w:tcPr>
            <w:tcW w:w="9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Fiscal</w:t>
            </w:r>
          </w:p>
        </w:tc>
        <w:tc>
          <w:tcPr>
            <w:tcW w:w="2040" w:type="dxa"/>
            <w:vAlign w:val="bottom"/>
            <w:gridSpan w:val="2"/>
            <w:vMerge w:val="restart"/>
          </w:tcPr>
          <w:p>
            <w:pPr>
              <w:jc w:val="center"/>
              <w:spacing w:after="0"/>
              <w:rPr>
                <w:sz w:val="20"/>
                <w:szCs w:val="20"/>
                <w:color w:val="auto"/>
              </w:rPr>
            </w:pPr>
            <w:r>
              <w:rPr>
                <w:rFonts w:ascii="Arial" w:cs="Arial" w:eastAsia="Arial" w:hAnsi="Arial"/>
                <w:sz w:val="16"/>
                <w:szCs w:val="16"/>
                <w:color w:val="auto"/>
              </w:rPr>
              <w:t>executive becomes eligible</w:t>
            </w:r>
          </w:p>
        </w:tc>
        <w:tc>
          <w:tcPr>
            <w:tcW w:w="0" w:type="dxa"/>
            <w:vAlign w:val="bottom"/>
          </w:tcPr>
          <w:p>
            <w:pPr>
              <w:spacing w:after="0"/>
              <w:rPr>
                <w:sz w:val="1"/>
                <w:szCs w:val="1"/>
                <w:color w:val="auto"/>
              </w:rPr>
            </w:pPr>
          </w:p>
        </w:tc>
      </w:tr>
      <w:tr>
        <w:trPr>
          <w:trHeight w:val="74"/>
        </w:trPr>
        <w:tc>
          <w:tcPr>
            <w:tcW w:w="2160" w:type="dxa"/>
            <w:vAlign w:val="bottom"/>
            <w:tcBorders>
              <w:right w:val="single" w:sz="8" w:color="867F7C"/>
            </w:tcBorders>
            <w:vMerge w:val="restart"/>
          </w:tcPr>
          <w:p>
            <w:pPr>
              <w:jc w:val="center"/>
              <w:spacing w:after="0" w:line="155" w:lineRule="exact"/>
              <w:rPr>
                <w:sz w:val="20"/>
                <w:szCs w:val="20"/>
                <w:color w:val="auto"/>
              </w:rPr>
            </w:pPr>
            <w:r>
              <w:rPr>
                <w:rFonts w:ascii="Arial" w:cs="Arial" w:eastAsia="Arial" w:hAnsi="Arial"/>
                <w:sz w:val="16"/>
                <w:szCs w:val="16"/>
                <w:color w:val="auto"/>
              </w:rPr>
              <w:t>without Cause or Good</w:t>
            </w:r>
          </w:p>
        </w:tc>
        <w:tc>
          <w:tcPr>
            <w:tcW w:w="1180" w:type="dxa"/>
            <w:vAlign w:val="bottom"/>
            <w:tcBorders>
              <w:right w:val="single" w:sz="8" w:color="867F7C"/>
            </w:tcBorders>
          </w:tcPr>
          <w:p>
            <w:pPr>
              <w:spacing w:after="0"/>
              <w:rPr>
                <w:sz w:val="6"/>
                <w:szCs w:val="6"/>
                <w:color w:val="auto"/>
              </w:rPr>
            </w:pPr>
          </w:p>
        </w:tc>
        <w:tc>
          <w:tcPr>
            <w:tcW w:w="1800" w:type="dxa"/>
            <w:vAlign w:val="bottom"/>
            <w:tcBorders>
              <w:right w:val="single" w:sz="8" w:color="867F7C"/>
            </w:tcBorders>
          </w:tcPr>
          <w:p>
            <w:pPr>
              <w:spacing w:after="0"/>
              <w:rPr>
                <w:sz w:val="6"/>
                <w:szCs w:val="6"/>
                <w:color w:val="auto"/>
              </w:rPr>
            </w:pPr>
          </w:p>
        </w:tc>
        <w:tc>
          <w:tcPr>
            <w:tcW w:w="940" w:type="dxa"/>
            <w:vAlign w:val="bottom"/>
            <w:tcBorders>
              <w:right w:val="single" w:sz="8" w:color="867F7C"/>
            </w:tcBorders>
            <w:vMerge w:val="restart"/>
          </w:tcPr>
          <w:p>
            <w:pPr>
              <w:jc w:val="center"/>
              <w:spacing w:after="0" w:line="155" w:lineRule="exact"/>
              <w:rPr>
                <w:sz w:val="20"/>
                <w:szCs w:val="20"/>
                <w:color w:val="auto"/>
              </w:rPr>
            </w:pPr>
            <w:r>
              <w:rPr>
                <w:rFonts w:ascii="Arial" w:cs="Arial" w:eastAsia="Arial" w:hAnsi="Arial"/>
                <w:sz w:val="16"/>
                <w:szCs w:val="16"/>
                <w:color w:val="auto"/>
              </w:rPr>
              <w:t>Year</w:t>
            </w:r>
          </w:p>
        </w:tc>
        <w:tc>
          <w:tcPr>
            <w:tcW w:w="960" w:type="dxa"/>
            <w:vAlign w:val="bottom"/>
            <w:tcBorders>
              <w:right w:val="single" w:sz="8" w:color="867F7C"/>
            </w:tcBorders>
            <w:vMerge w:val="continue"/>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60" w:type="dxa"/>
            <w:vAlign w:val="bottom"/>
            <w:tcBorders>
              <w:right w:val="single" w:sz="8" w:color="867F7C"/>
            </w:tcBorders>
            <w:vMerge w:val="continue"/>
          </w:tcPr>
          <w:p>
            <w:pPr>
              <w:spacing w:after="0"/>
              <w:rPr>
                <w:sz w:val="6"/>
                <w:szCs w:val="6"/>
                <w:color w:val="auto"/>
              </w:rPr>
            </w:pPr>
          </w:p>
        </w:tc>
        <w:tc>
          <w:tcPr>
            <w:tcW w:w="118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Other</w:t>
            </w:r>
          </w:p>
        </w:tc>
        <w:tc>
          <w:tcPr>
            <w:tcW w:w="180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2x Annual Base Salary</w:t>
            </w:r>
          </w:p>
        </w:tc>
        <w:tc>
          <w:tcPr>
            <w:tcW w:w="940" w:type="dxa"/>
            <w:vAlign w:val="bottom"/>
            <w:tcBorders>
              <w:right w:val="single" w:sz="8" w:color="867F7C"/>
            </w:tcBorders>
            <w:vMerge w:val="continue"/>
          </w:tcPr>
          <w:p>
            <w:pPr>
              <w:spacing w:after="0"/>
              <w:rPr>
                <w:sz w:val="6"/>
                <w:szCs w:val="6"/>
                <w:color w:val="auto"/>
              </w:rPr>
            </w:pPr>
          </w:p>
        </w:tc>
        <w:tc>
          <w:tcPr>
            <w:tcW w:w="9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Year</w:t>
            </w:r>
          </w:p>
        </w:tc>
        <w:tc>
          <w:tcPr>
            <w:tcW w:w="80" w:type="dxa"/>
            <w:vAlign w:val="bottom"/>
          </w:tcPr>
          <w:p>
            <w:pPr>
              <w:spacing w:after="0"/>
              <w:rPr>
                <w:sz w:val="6"/>
                <w:szCs w:val="6"/>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for third-party coverage</w:t>
            </w:r>
          </w:p>
        </w:tc>
        <w:tc>
          <w:tcPr>
            <w:tcW w:w="0" w:type="dxa"/>
            <w:vAlign w:val="bottom"/>
          </w:tcPr>
          <w:p>
            <w:pPr>
              <w:spacing w:after="0"/>
              <w:rPr>
                <w:sz w:val="1"/>
                <w:szCs w:val="1"/>
                <w:color w:val="auto"/>
              </w:rPr>
            </w:pPr>
          </w:p>
        </w:tc>
      </w:tr>
      <w:tr>
        <w:trPr>
          <w:trHeight w:val="135"/>
        </w:trPr>
        <w:tc>
          <w:tcPr>
            <w:tcW w:w="216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Reason</w:t>
            </w:r>
          </w:p>
        </w:tc>
        <w:tc>
          <w:tcPr>
            <w:tcW w:w="1180" w:type="dxa"/>
            <w:vAlign w:val="bottom"/>
            <w:tcBorders>
              <w:right w:val="single" w:sz="8" w:color="867F7C"/>
            </w:tcBorders>
            <w:vMerge w:val="continue"/>
          </w:tcPr>
          <w:p>
            <w:pPr>
              <w:spacing w:after="0"/>
              <w:rPr>
                <w:sz w:val="11"/>
                <w:szCs w:val="11"/>
                <w:color w:val="auto"/>
              </w:rPr>
            </w:pPr>
          </w:p>
        </w:tc>
        <w:tc>
          <w:tcPr>
            <w:tcW w:w="1800" w:type="dxa"/>
            <w:vAlign w:val="bottom"/>
            <w:tcBorders>
              <w:right w:val="single" w:sz="8" w:color="867F7C"/>
            </w:tcBorders>
            <w:vMerge w:val="continue"/>
          </w:tcPr>
          <w:p>
            <w:pPr>
              <w:spacing w:after="0"/>
              <w:rPr>
                <w:sz w:val="11"/>
                <w:szCs w:val="11"/>
                <w:color w:val="auto"/>
              </w:rPr>
            </w:pPr>
          </w:p>
        </w:tc>
        <w:tc>
          <w:tcPr>
            <w:tcW w:w="940" w:type="dxa"/>
            <w:vAlign w:val="bottom"/>
            <w:tcBorders>
              <w:right w:val="single" w:sz="8" w:color="867F7C"/>
            </w:tcBorders>
          </w:tcPr>
          <w:p>
            <w:pPr>
              <w:spacing w:after="0"/>
              <w:rPr>
                <w:sz w:val="11"/>
                <w:szCs w:val="11"/>
                <w:color w:val="auto"/>
              </w:rPr>
            </w:pPr>
          </w:p>
        </w:tc>
        <w:tc>
          <w:tcPr>
            <w:tcW w:w="960" w:type="dxa"/>
            <w:vAlign w:val="bottom"/>
            <w:tcBorders>
              <w:right w:val="single" w:sz="8" w:color="867F7C"/>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160" w:type="dxa"/>
            <w:vAlign w:val="bottom"/>
            <w:tcBorders>
              <w:right w:val="single" w:sz="8" w:color="867F7C"/>
            </w:tcBorders>
            <w:vMerge w:val="continue"/>
          </w:tcPr>
          <w:p>
            <w:pPr>
              <w:spacing w:after="0"/>
              <w:rPr>
                <w:sz w:val="6"/>
                <w:szCs w:val="6"/>
                <w:color w:val="auto"/>
              </w:rPr>
            </w:pPr>
          </w:p>
        </w:tc>
        <w:tc>
          <w:tcPr>
            <w:tcW w:w="118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rPr>
              <w:t>NEOs</w:t>
            </w:r>
          </w:p>
        </w:tc>
        <w:tc>
          <w:tcPr>
            <w:tcW w:w="1800" w:type="dxa"/>
            <w:vAlign w:val="bottom"/>
            <w:tcBorders>
              <w:right w:val="single" w:sz="8" w:color="867F7C"/>
            </w:tcBorders>
            <w:vMerge w:val="restart"/>
          </w:tcPr>
          <w:p>
            <w:pPr>
              <w:jc w:val="center"/>
              <w:spacing w:after="0"/>
              <w:rPr>
                <w:sz w:val="20"/>
                <w:szCs w:val="20"/>
                <w:color w:val="auto"/>
              </w:rPr>
            </w:pPr>
            <w:r>
              <w:rPr>
                <w:rFonts w:ascii="Arial" w:cs="Arial" w:eastAsia="Arial" w:hAnsi="Arial"/>
                <w:sz w:val="16"/>
                <w:szCs w:val="16"/>
                <w:color w:val="auto"/>
                <w:w w:val="99"/>
              </w:rPr>
              <w:t>+ Target AIP</w:t>
            </w:r>
          </w:p>
        </w:tc>
        <w:tc>
          <w:tcPr>
            <w:tcW w:w="940" w:type="dxa"/>
            <w:vAlign w:val="bottom"/>
            <w:tcBorders>
              <w:right w:val="single" w:sz="8" w:color="867F7C"/>
            </w:tcBorders>
          </w:tcPr>
          <w:p>
            <w:pPr>
              <w:spacing w:after="0"/>
              <w:rPr>
                <w:sz w:val="6"/>
                <w:szCs w:val="6"/>
                <w:color w:val="auto"/>
              </w:rPr>
            </w:pPr>
          </w:p>
        </w:tc>
        <w:tc>
          <w:tcPr>
            <w:tcW w:w="960" w:type="dxa"/>
            <w:vAlign w:val="bottom"/>
            <w:tcBorders>
              <w:right w:val="single" w:sz="8" w:color="867F7C"/>
            </w:tcBorders>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tcBorders>
              <w:right w:val="single" w:sz="8" w:color="867F7C"/>
            </w:tcBorders>
          </w:tcPr>
          <w:p>
            <w:pPr>
              <w:spacing w:after="0"/>
              <w:rPr>
                <w:sz w:val="11"/>
                <w:szCs w:val="11"/>
                <w:color w:val="auto"/>
              </w:rPr>
            </w:pPr>
          </w:p>
        </w:tc>
        <w:tc>
          <w:tcPr>
            <w:tcW w:w="1180" w:type="dxa"/>
            <w:vAlign w:val="bottom"/>
            <w:tcBorders>
              <w:right w:val="single" w:sz="8" w:color="867F7C"/>
            </w:tcBorders>
            <w:vMerge w:val="continue"/>
          </w:tcPr>
          <w:p>
            <w:pPr>
              <w:spacing w:after="0"/>
              <w:rPr>
                <w:sz w:val="11"/>
                <w:szCs w:val="11"/>
                <w:color w:val="auto"/>
              </w:rPr>
            </w:pPr>
          </w:p>
        </w:tc>
        <w:tc>
          <w:tcPr>
            <w:tcW w:w="1800" w:type="dxa"/>
            <w:vAlign w:val="bottom"/>
            <w:tcBorders>
              <w:right w:val="single" w:sz="8" w:color="867F7C"/>
            </w:tcBorders>
            <w:vMerge w:val="continue"/>
          </w:tcPr>
          <w:p>
            <w:pPr>
              <w:spacing w:after="0"/>
              <w:rPr>
                <w:sz w:val="11"/>
                <w:szCs w:val="11"/>
                <w:color w:val="auto"/>
              </w:rPr>
            </w:pPr>
          </w:p>
        </w:tc>
        <w:tc>
          <w:tcPr>
            <w:tcW w:w="940" w:type="dxa"/>
            <w:vAlign w:val="bottom"/>
            <w:tcBorders>
              <w:right w:val="single" w:sz="8" w:color="867F7C"/>
            </w:tcBorders>
          </w:tcPr>
          <w:p>
            <w:pPr>
              <w:spacing w:after="0"/>
              <w:rPr>
                <w:sz w:val="11"/>
                <w:szCs w:val="11"/>
                <w:color w:val="auto"/>
              </w:rPr>
            </w:pPr>
          </w:p>
        </w:tc>
        <w:tc>
          <w:tcPr>
            <w:tcW w:w="960" w:type="dxa"/>
            <w:vAlign w:val="bottom"/>
            <w:tcBorders>
              <w:right w:val="single" w:sz="8" w:color="867F7C"/>
            </w:tcBorders>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867F7C"/>
              <w:right w:val="single" w:sz="8" w:color="867F7C"/>
            </w:tcBorders>
          </w:tcPr>
          <w:p>
            <w:pPr>
              <w:spacing w:after="0"/>
              <w:rPr>
                <w:sz w:val="9"/>
                <w:szCs w:val="9"/>
                <w:color w:val="auto"/>
              </w:rPr>
            </w:pPr>
          </w:p>
        </w:tc>
        <w:tc>
          <w:tcPr>
            <w:tcW w:w="1180" w:type="dxa"/>
            <w:vAlign w:val="bottom"/>
            <w:tcBorders>
              <w:bottom w:val="single" w:sz="8" w:color="867F7C"/>
              <w:right w:val="single" w:sz="8" w:color="867F7C"/>
            </w:tcBorders>
          </w:tcPr>
          <w:p>
            <w:pPr>
              <w:spacing w:after="0"/>
              <w:rPr>
                <w:sz w:val="9"/>
                <w:szCs w:val="9"/>
                <w:color w:val="auto"/>
              </w:rPr>
            </w:pPr>
          </w:p>
        </w:tc>
        <w:tc>
          <w:tcPr>
            <w:tcW w:w="1800" w:type="dxa"/>
            <w:vAlign w:val="bottom"/>
            <w:tcBorders>
              <w:bottom w:val="single" w:sz="8" w:color="867F7C"/>
              <w:right w:val="single" w:sz="8" w:color="867F7C"/>
            </w:tcBorders>
          </w:tcPr>
          <w:p>
            <w:pPr>
              <w:spacing w:after="0"/>
              <w:rPr>
                <w:sz w:val="9"/>
                <w:szCs w:val="9"/>
                <w:color w:val="auto"/>
              </w:rPr>
            </w:pPr>
          </w:p>
        </w:tc>
        <w:tc>
          <w:tcPr>
            <w:tcW w:w="940" w:type="dxa"/>
            <w:vAlign w:val="bottom"/>
            <w:tcBorders>
              <w:bottom w:val="single" w:sz="8" w:color="867F7C"/>
              <w:right w:val="single" w:sz="8" w:color="867F7C"/>
            </w:tcBorders>
          </w:tcPr>
          <w:p>
            <w:pPr>
              <w:spacing w:after="0"/>
              <w:rPr>
                <w:sz w:val="9"/>
                <w:szCs w:val="9"/>
                <w:color w:val="auto"/>
              </w:rPr>
            </w:pPr>
          </w:p>
        </w:tc>
        <w:tc>
          <w:tcPr>
            <w:tcW w:w="960" w:type="dxa"/>
            <w:vAlign w:val="bottom"/>
            <w:tcBorders>
              <w:bottom w:val="single" w:sz="8" w:color="867F7C"/>
              <w:right w:val="single" w:sz="8" w:color="867F7C"/>
            </w:tcBorders>
          </w:tcPr>
          <w:p>
            <w:pPr>
              <w:spacing w:after="0"/>
              <w:rPr>
                <w:sz w:val="9"/>
                <w:szCs w:val="9"/>
                <w:color w:val="auto"/>
              </w:rPr>
            </w:pPr>
          </w:p>
        </w:tc>
        <w:tc>
          <w:tcPr>
            <w:tcW w:w="80" w:type="dxa"/>
            <w:vAlign w:val="bottom"/>
            <w:tcBorders>
              <w:bottom w:val="single" w:sz="8" w:color="867F7C"/>
            </w:tcBorders>
          </w:tcPr>
          <w:p>
            <w:pPr>
              <w:spacing w:after="0"/>
              <w:rPr>
                <w:sz w:val="9"/>
                <w:szCs w:val="9"/>
                <w:color w:val="auto"/>
              </w:rPr>
            </w:pPr>
          </w:p>
        </w:tc>
        <w:tc>
          <w:tcPr>
            <w:tcW w:w="1960" w:type="dxa"/>
            <w:vAlign w:val="bottom"/>
            <w:tcBorders>
              <w:bottom w:val="single" w:sz="8" w:color="867F7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-1414145</wp:posOffset>
            </wp:positionV>
            <wp:extent cx="12433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73" w:lineRule="exact"/>
        <w:rPr>
          <w:sz w:val="20"/>
          <w:szCs w:val="20"/>
          <w:color w:val="auto"/>
        </w:rPr>
      </w:pPr>
    </w:p>
    <w:p>
      <w:pPr>
        <w:ind w:left="220" w:hanging="212"/>
        <w:spacing w:after="0"/>
        <w:tabs>
          <w:tab w:leader="none" w:pos="220" w:val="left"/>
        </w:tabs>
        <w:numPr>
          <w:ilvl w:val="0"/>
          <w:numId w:val="65"/>
        </w:numPr>
        <w:rPr>
          <w:rFonts w:ascii="Times New Roman" w:cs="Times New Roman" w:eastAsia="Times New Roman" w:hAnsi="Times New Roman"/>
          <w:sz w:val="8"/>
          <w:szCs w:val="8"/>
          <w:color w:val="auto"/>
        </w:rPr>
      </w:pPr>
      <w:r>
        <w:rPr>
          <w:rFonts w:ascii="Arial" w:cs="Arial" w:eastAsia="Arial" w:hAnsi="Arial"/>
          <w:sz w:val="14"/>
          <w:szCs w:val="14"/>
          <w:color w:val="auto"/>
        </w:rPr>
        <w:t>Lump sum payment.</w:t>
      </w:r>
    </w:p>
    <w:p>
      <w:pPr>
        <w:spacing w:after="0" w:line="109" w:lineRule="exact"/>
        <w:rPr>
          <w:rFonts w:ascii="Times New Roman" w:cs="Times New Roman" w:eastAsia="Times New Roman" w:hAnsi="Times New Roman"/>
          <w:sz w:val="8"/>
          <w:szCs w:val="8"/>
          <w:color w:val="auto"/>
        </w:rPr>
      </w:pPr>
    </w:p>
    <w:p>
      <w:pPr>
        <w:jc w:val="both"/>
        <w:ind w:left="220" w:hanging="212"/>
        <w:spacing w:after="0" w:line="263" w:lineRule="auto"/>
        <w:tabs>
          <w:tab w:leader="none" w:pos="220" w:val="left"/>
        </w:tabs>
        <w:numPr>
          <w:ilvl w:val="0"/>
          <w:numId w:val="65"/>
        </w:numPr>
        <w:rPr>
          <w:rFonts w:ascii="Times New Roman" w:cs="Times New Roman" w:eastAsia="Times New Roman" w:hAnsi="Times New Roman"/>
          <w:sz w:val="8"/>
          <w:szCs w:val="8"/>
          <w:color w:val="auto"/>
        </w:rPr>
      </w:pPr>
      <w:r>
        <w:rPr>
          <w:rFonts w:ascii="Arial" w:cs="Arial" w:eastAsia="Arial" w:hAnsi="Arial"/>
          <w:sz w:val="14"/>
          <w:szCs w:val="14"/>
          <w:color w:val="auto"/>
        </w:rPr>
        <w:t>Ashland continuing to subsidize its share of the premium (on the same basis as other full time employees for the same period and an additional cash payment equal to the subsidized premiums for the number of months, if any, by which the severance multiple exceeds the COBRA continuation period.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52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867F7C"/>
        </w:rPr>
        <w:t>2025 executive compensation tables</w:t>
      </w:r>
    </w:p>
    <w:p>
      <w:pPr>
        <w:spacing w:after="0" w:line="3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these severance payments, under either of the situations described in the table above, the NEOs are eligible to receive outplacement services for up to one year and continued financial planning for the year of termination (or termination date, if hired after September 2022). In the event an executive is terminated without cause or initiates termination for good reason following a CIC, the Company shall also (i) reimburse the executive for any legal fees or expenses incurred during his or her lifetime to enforce payment of benefits under the Senior Leadership Severance Plan and (ii) pay or provide, to the extent not already paid or provided, any other amounts or benefits to which the executive is entitled under any Company plan, program, policy, practice, contract, or agreement.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4CCEDE"/>
        </w:rPr>
        <w:t>potential payments upon termination or change in control table</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table summarizes the estimated amounts payable to each named executive officer in the event of a termination from employment or change in control as of September 30, 2025. A narrative description follows the table. Different termination events are identified in columns (b)-(g). Column (a) enumerates the types of potential payments for each named executive officer. As applicable, each payment or benefit is estimated across the table under the appropriate column or columns.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These estimates are based on the assumption that the various triggering events occur on September 30, 2025, the last day of fiscal 2025. Other material assumptions used in calculating the estimated compensation and benefits under each triggering event are noted below. The actual amounts that would be paid to a named executive officer upon certain terminations of employment or upon a change in control can only be determined at the time an actual triggering event occurs.</w:t>
      </w:r>
    </w:p>
    <w:p>
      <w:pPr>
        <w:spacing w:after="0" w:line="369"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867F7C"/>
        </w:rPr>
        <w:t>2025 executive compensation tables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Borders>
              <w:bottom w:val="single" w:sz="8" w:color="EFEBE9"/>
            </w:tcBorders>
            <w:shd w:val="clear" w:color="auto" w:fill="EFEBE9"/>
          </w:tcPr>
          <w:p>
            <w:pPr>
              <w:spacing w:after="0"/>
              <w:rPr>
                <w:sz w:val="13"/>
                <w:szCs w:val="13"/>
                <w:color w:val="auto"/>
              </w:rPr>
            </w:pPr>
          </w:p>
        </w:tc>
        <w:tc>
          <w:tcPr>
            <w:tcW w:w="100" w:type="dxa"/>
            <w:vAlign w:val="bottom"/>
            <w:tcBorders>
              <w:bottom w:val="single" w:sz="8" w:color="EFEBE9"/>
            </w:tcBorders>
            <w:shd w:val="clear" w:color="auto" w:fill="EFEBE9"/>
          </w:tcPr>
          <w:p>
            <w:pPr>
              <w:spacing w:after="0"/>
              <w:rPr>
                <w:sz w:val="13"/>
                <w:szCs w:val="13"/>
                <w:color w:val="auto"/>
              </w:rPr>
            </w:pPr>
          </w:p>
        </w:tc>
        <w:tc>
          <w:tcPr>
            <w:tcW w:w="1080" w:type="dxa"/>
            <w:vAlign w:val="bottom"/>
            <w:tcBorders>
              <w:bottom w:val="single" w:sz="8" w:color="867F7C"/>
            </w:tcBorders>
            <w:shd w:val="clear" w:color="auto" w:fill="EFEBE9"/>
          </w:tcPr>
          <w:p>
            <w:pPr>
              <w:spacing w:after="0"/>
              <w:rPr>
                <w:sz w:val="13"/>
                <w:szCs w:val="13"/>
                <w:color w:val="auto"/>
              </w:rPr>
            </w:pPr>
          </w:p>
        </w:tc>
        <w:tc>
          <w:tcPr>
            <w:tcW w:w="4680" w:type="dxa"/>
            <w:vAlign w:val="bottom"/>
            <w:tcBorders>
              <w:bottom w:val="single" w:sz="8" w:color="867F7C"/>
            </w:tcBorders>
            <w:gridSpan w:val="4"/>
            <w:shd w:val="clear" w:color="auto" w:fill="EFEBE9"/>
          </w:tcPr>
          <w:p>
            <w:pPr>
              <w:jc w:val="right"/>
              <w:ind w:right="537"/>
              <w:spacing w:after="0"/>
              <w:rPr>
                <w:sz w:val="20"/>
                <w:szCs w:val="20"/>
                <w:color w:val="auto"/>
              </w:rPr>
            </w:pPr>
            <w:r>
              <w:rPr>
                <w:rFonts w:ascii="Arial" w:cs="Arial" w:eastAsia="Arial" w:hAnsi="Arial"/>
                <w:sz w:val="13"/>
                <w:szCs w:val="13"/>
                <w:b w:val="1"/>
                <w:bCs w:val="1"/>
                <w:color w:val="867F7C"/>
              </w:rPr>
              <w:t>Potential Payments upon Termination or Change in Control</w:t>
            </w:r>
          </w:p>
        </w:tc>
        <w:tc>
          <w:tcPr>
            <w:tcW w:w="1120" w:type="dxa"/>
            <w:vAlign w:val="bottom"/>
            <w:tcBorders>
              <w:bottom w:val="single" w:sz="8" w:color="867F7C"/>
            </w:tcBorders>
            <w:shd w:val="clear" w:color="auto" w:fill="EFEBE9"/>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100" w:type="dxa"/>
            <w:vAlign w:val="bottom"/>
            <w:shd w:val="clear" w:color="auto" w:fill="EFEBE9"/>
          </w:tcPr>
          <w:p>
            <w:pPr>
              <w:spacing w:after="0"/>
              <w:rPr>
                <w:sz w:val="9"/>
                <w:szCs w:val="9"/>
                <w:color w:val="auto"/>
              </w:rPr>
            </w:pPr>
          </w:p>
        </w:tc>
        <w:tc>
          <w:tcPr>
            <w:tcW w:w="100" w:type="dxa"/>
            <w:vAlign w:val="bottom"/>
            <w:shd w:val="clear" w:color="auto" w:fill="EFEBE9"/>
          </w:tcPr>
          <w:p>
            <w:pPr>
              <w:spacing w:after="0"/>
              <w:rPr>
                <w:sz w:val="9"/>
                <w:szCs w:val="9"/>
                <w:color w:val="auto"/>
              </w:rPr>
            </w:pPr>
          </w:p>
        </w:tc>
        <w:tc>
          <w:tcPr>
            <w:tcW w:w="1080" w:type="dxa"/>
            <w:vAlign w:val="bottom"/>
            <w:shd w:val="clear" w:color="auto" w:fill="EFEBE9"/>
          </w:tcPr>
          <w:p>
            <w:pPr>
              <w:spacing w:after="0"/>
              <w:rPr>
                <w:sz w:val="9"/>
                <w:szCs w:val="9"/>
                <w:color w:val="auto"/>
              </w:rPr>
            </w:pPr>
          </w:p>
        </w:tc>
        <w:tc>
          <w:tcPr>
            <w:tcW w:w="1180" w:type="dxa"/>
            <w:vAlign w:val="bottom"/>
            <w:shd w:val="clear" w:color="auto" w:fill="EFEBE9"/>
          </w:tcPr>
          <w:p>
            <w:pPr>
              <w:spacing w:after="0"/>
              <w:rPr>
                <w:sz w:val="9"/>
                <w:szCs w:val="9"/>
                <w:color w:val="auto"/>
              </w:rPr>
            </w:pPr>
          </w:p>
        </w:tc>
        <w:tc>
          <w:tcPr>
            <w:tcW w:w="1180" w:type="dxa"/>
            <w:vAlign w:val="bottom"/>
            <w:shd w:val="clear" w:color="auto" w:fill="EFEBE9"/>
          </w:tcPr>
          <w:p>
            <w:pPr>
              <w:spacing w:after="0"/>
              <w:rPr>
                <w:sz w:val="9"/>
                <w:szCs w:val="9"/>
                <w:color w:val="auto"/>
              </w:rPr>
            </w:pPr>
          </w:p>
        </w:tc>
        <w:tc>
          <w:tcPr>
            <w:tcW w:w="1160" w:type="dxa"/>
            <w:vAlign w:val="bottom"/>
            <w:shd w:val="clear" w:color="auto" w:fill="EFEBE9"/>
          </w:tcPr>
          <w:p>
            <w:pPr>
              <w:spacing w:after="0"/>
              <w:rPr>
                <w:sz w:val="9"/>
                <w:szCs w:val="9"/>
                <w:color w:val="auto"/>
              </w:rPr>
            </w:pPr>
          </w:p>
        </w:tc>
        <w:tc>
          <w:tcPr>
            <w:tcW w:w="1160" w:type="dxa"/>
            <w:vAlign w:val="bottom"/>
            <w:shd w:val="clear" w:color="auto" w:fill="EFEBE9"/>
          </w:tcPr>
          <w:p>
            <w:pPr>
              <w:spacing w:after="0"/>
              <w:rPr>
                <w:sz w:val="9"/>
                <w:szCs w:val="9"/>
                <w:color w:val="auto"/>
              </w:rPr>
            </w:pPr>
          </w:p>
        </w:tc>
        <w:tc>
          <w:tcPr>
            <w:tcW w:w="1120" w:type="dxa"/>
            <w:vAlign w:val="bottom"/>
            <w:shd w:val="clear" w:color="auto" w:fill="EFEBE9"/>
          </w:tcPr>
          <w:p>
            <w:pPr>
              <w:jc w:val="center"/>
              <w:spacing w:after="0" w:line="111" w:lineRule="exact"/>
              <w:rPr>
                <w:sz w:val="20"/>
                <w:szCs w:val="20"/>
                <w:color w:val="auto"/>
              </w:rPr>
            </w:pPr>
            <w:r>
              <w:rPr>
                <w:rFonts w:ascii="Arial" w:cs="Arial" w:eastAsia="Arial" w:hAnsi="Arial"/>
                <w:sz w:val="12"/>
                <w:szCs w:val="12"/>
                <w:b w:val="1"/>
                <w:bCs w:val="1"/>
                <w:color w:val="867F7C"/>
              </w:rPr>
              <w:t>Termination</w:t>
            </w:r>
          </w:p>
        </w:tc>
        <w:tc>
          <w:tcPr>
            <w:tcW w:w="0" w:type="dxa"/>
            <w:vAlign w:val="bottom"/>
          </w:tcPr>
          <w:p>
            <w:pPr>
              <w:spacing w:after="0"/>
              <w:rPr>
                <w:sz w:val="1"/>
                <w:szCs w:val="1"/>
                <w:color w:val="auto"/>
              </w:rPr>
            </w:pPr>
          </w:p>
        </w:tc>
      </w:tr>
      <w:tr>
        <w:trPr>
          <w:trHeight w:val="135"/>
        </w:trPr>
        <w:tc>
          <w:tcPr>
            <w:tcW w:w="2100" w:type="dxa"/>
            <w:vAlign w:val="bottom"/>
            <w:shd w:val="clear" w:color="auto" w:fill="EFEBE9"/>
          </w:tcPr>
          <w:p>
            <w:pPr>
              <w:spacing w:after="0"/>
              <w:rPr>
                <w:sz w:val="11"/>
                <w:szCs w:val="11"/>
                <w:color w:val="auto"/>
              </w:rPr>
            </w:pPr>
          </w:p>
        </w:tc>
        <w:tc>
          <w:tcPr>
            <w:tcW w:w="100" w:type="dxa"/>
            <w:vAlign w:val="bottom"/>
            <w:shd w:val="clear" w:color="auto" w:fill="EFEBE9"/>
          </w:tcPr>
          <w:p>
            <w:pPr>
              <w:spacing w:after="0"/>
              <w:rPr>
                <w:sz w:val="11"/>
                <w:szCs w:val="11"/>
                <w:color w:val="auto"/>
              </w:rPr>
            </w:pPr>
          </w:p>
        </w:tc>
        <w:tc>
          <w:tcPr>
            <w:tcW w:w="1080" w:type="dxa"/>
            <w:vAlign w:val="bottom"/>
            <w:vMerge w:val="restart"/>
            <w:shd w:val="clear" w:color="auto" w:fill="EFEBE9"/>
          </w:tcPr>
          <w:p>
            <w:pPr>
              <w:jc w:val="center"/>
              <w:spacing w:after="0"/>
              <w:rPr>
                <w:sz w:val="20"/>
                <w:szCs w:val="20"/>
                <w:color w:val="auto"/>
              </w:rPr>
            </w:pPr>
            <w:r>
              <w:rPr>
                <w:rFonts w:ascii="Arial" w:cs="Arial" w:eastAsia="Arial" w:hAnsi="Arial"/>
                <w:sz w:val="13"/>
                <w:szCs w:val="13"/>
                <w:b w:val="1"/>
                <w:bCs w:val="1"/>
                <w:color w:val="867F7C"/>
                <w:w w:val="96"/>
              </w:rPr>
              <w:t>Termination</w:t>
            </w:r>
          </w:p>
        </w:tc>
        <w:tc>
          <w:tcPr>
            <w:tcW w:w="1180" w:type="dxa"/>
            <w:vAlign w:val="bottom"/>
            <w:shd w:val="clear" w:color="auto" w:fill="EFEBE9"/>
          </w:tcPr>
          <w:p>
            <w:pPr>
              <w:spacing w:after="0"/>
              <w:rPr>
                <w:sz w:val="11"/>
                <w:szCs w:val="11"/>
                <w:color w:val="auto"/>
              </w:rPr>
            </w:pPr>
          </w:p>
        </w:tc>
        <w:tc>
          <w:tcPr>
            <w:tcW w:w="1180" w:type="dxa"/>
            <w:vAlign w:val="bottom"/>
            <w:shd w:val="clear" w:color="auto" w:fill="EFEBE9"/>
          </w:tcPr>
          <w:p>
            <w:pPr>
              <w:spacing w:after="0"/>
              <w:rPr>
                <w:sz w:val="11"/>
                <w:szCs w:val="11"/>
                <w:color w:val="auto"/>
              </w:rPr>
            </w:pPr>
          </w:p>
        </w:tc>
        <w:tc>
          <w:tcPr>
            <w:tcW w:w="1160" w:type="dxa"/>
            <w:vAlign w:val="bottom"/>
            <w:shd w:val="clear" w:color="auto" w:fill="EFEBE9"/>
          </w:tcPr>
          <w:p>
            <w:pPr>
              <w:spacing w:after="0"/>
              <w:rPr>
                <w:sz w:val="11"/>
                <w:szCs w:val="11"/>
                <w:color w:val="auto"/>
              </w:rPr>
            </w:pPr>
          </w:p>
        </w:tc>
        <w:tc>
          <w:tcPr>
            <w:tcW w:w="1160" w:type="dxa"/>
            <w:vAlign w:val="bottom"/>
            <w:shd w:val="clear" w:color="auto" w:fill="EFEBE9"/>
          </w:tcPr>
          <w:p>
            <w:pPr>
              <w:spacing w:after="0"/>
              <w:rPr>
                <w:sz w:val="11"/>
                <w:szCs w:val="11"/>
                <w:color w:val="auto"/>
              </w:rPr>
            </w:pPr>
          </w:p>
        </w:tc>
        <w:tc>
          <w:tcPr>
            <w:tcW w:w="112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8"/>
              </w:rPr>
              <w:t>after Change</w:t>
            </w:r>
          </w:p>
        </w:tc>
        <w:tc>
          <w:tcPr>
            <w:tcW w:w="0" w:type="dxa"/>
            <w:vAlign w:val="bottom"/>
          </w:tcPr>
          <w:p>
            <w:pPr>
              <w:spacing w:after="0"/>
              <w:rPr>
                <w:sz w:val="1"/>
                <w:szCs w:val="1"/>
                <w:color w:val="auto"/>
              </w:rPr>
            </w:pPr>
          </w:p>
        </w:tc>
      </w:tr>
      <w:tr>
        <w:trPr>
          <w:trHeight w:val="135"/>
        </w:trPr>
        <w:tc>
          <w:tcPr>
            <w:tcW w:w="2100" w:type="dxa"/>
            <w:vAlign w:val="bottom"/>
            <w:shd w:val="clear" w:color="auto" w:fill="EFEBE9"/>
          </w:tcPr>
          <w:p>
            <w:pPr>
              <w:spacing w:after="0"/>
              <w:rPr>
                <w:sz w:val="11"/>
                <w:szCs w:val="11"/>
                <w:color w:val="auto"/>
              </w:rPr>
            </w:pPr>
          </w:p>
        </w:tc>
        <w:tc>
          <w:tcPr>
            <w:tcW w:w="100" w:type="dxa"/>
            <w:vAlign w:val="bottom"/>
            <w:shd w:val="clear" w:color="auto" w:fill="EFEBE9"/>
          </w:tcPr>
          <w:p>
            <w:pPr>
              <w:spacing w:after="0"/>
              <w:rPr>
                <w:sz w:val="11"/>
                <w:szCs w:val="11"/>
                <w:color w:val="auto"/>
              </w:rPr>
            </w:pPr>
          </w:p>
        </w:tc>
        <w:tc>
          <w:tcPr>
            <w:tcW w:w="1080" w:type="dxa"/>
            <w:vAlign w:val="bottom"/>
            <w:vMerge w:val="continue"/>
            <w:shd w:val="clear" w:color="auto" w:fill="EFEBE9"/>
          </w:tcPr>
          <w:p>
            <w:pPr>
              <w:spacing w:after="0"/>
              <w:rPr>
                <w:sz w:val="11"/>
                <w:szCs w:val="11"/>
                <w:color w:val="auto"/>
              </w:rPr>
            </w:pPr>
          </w:p>
        </w:tc>
        <w:tc>
          <w:tcPr>
            <w:tcW w:w="1180" w:type="dxa"/>
            <w:vAlign w:val="bottom"/>
            <w:shd w:val="clear" w:color="auto" w:fill="EFEBE9"/>
          </w:tcPr>
          <w:p>
            <w:pPr>
              <w:spacing w:after="0"/>
              <w:rPr>
                <w:sz w:val="11"/>
                <w:szCs w:val="11"/>
                <w:color w:val="auto"/>
              </w:rPr>
            </w:pPr>
          </w:p>
        </w:tc>
        <w:tc>
          <w:tcPr>
            <w:tcW w:w="1180" w:type="dxa"/>
            <w:vAlign w:val="bottom"/>
            <w:shd w:val="clear" w:color="auto" w:fill="EFEBE9"/>
          </w:tcPr>
          <w:p>
            <w:pPr>
              <w:spacing w:after="0"/>
              <w:rPr>
                <w:sz w:val="11"/>
                <w:szCs w:val="11"/>
                <w:color w:val="auto"/>
              </w:rPr>
            </w:pPr>
          </w:p>
        </w:tc>
        <w:tc>
          <w:tcPr>
            <w:tcW w:w="1160" w:type="dxa"/>
            <w:vAlign w:val="bottom"/>
            <w:shd w:val="clear" w:color="auto" w:fill="EFEBE9"/>
          </w:tcPr>
          <w:p>
            <w:pPr>
              <w:spacing w:after="0"/>
              <w:rPr>
                <w:sz w:val="11"/>
                <w:szCs w:val="11"/>
                <w:color w:val="auto"/>
              </w:rPr>
            </w:pPr>
          </w:p>
        </w:tc>
        <w:tc>
          <w:tcPr>
            <w:tcW w:w="1160" w:type="dxa"/>
            <w:vAlign w:val="bottom"/>
            <w:shd w:val="clear" w:color="auto" w:fill="EFEBE9"/>
          </w:tcPr>
          <w:p>
            <w:pPr>
              <w:spacing w:after="0"/>
              <w:rPr>
                <w:sz w:val="11"/>
                <w:szCs w:val="11"/>
                <w:color w:val="auto"/>
              </w:rPr>
            </w:pPr>
          </w:p>
        </w:tc>
        <w:tc>
          <w:tcPr>
            <w:tcW w:w="112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7"/>
              </w:rPr>
              <w:t>in Control</w:t>
            </w:r>
          </w:p>
        </w:tc>
        <w:tc>
          <w:tcPr>
            <w:tcW w:w="0" w:type="dxa"/>
            <w:vAlign w:val="bottom"/>
          </w:tcPr>
          <w:p>
            <w:pPr>
              <w:spacing w:after="0"/>
              <w:rPr>
                <w:sz w:val="1"/>
                <w:szCs w:val="1"/>
                <w:color w:val="auto"/>
              </w:rPr>
            </w:pPr>
          </w:p>
        </w:tc>
      </w:tr>
      <w:tr>
        <w:trPr>
          <w:trHeight w:val="135"/>
        </w:trPr>
        <w:tc>
          <w:tcPr>
            <w:tcW w:w="2100" w:type="dxa"/>
            <w:vAlign w:val="bottom"/>
            <w:shd w:val="clear" w:color="auto" w:fill="EFEBE9"/>
          </w:tcPr>
          <w:p>
            <w:pPr>
              <w:spacing w:after="0"/>
              <w:rPr>
                <w:sz w:val="11"/>
                <w:szCs w:val="11"/>
                <w:color w:val="auto"/>
              </w:rPr>
            </w:pPr>
          </w:p>
        </w:tc>
        <w:tc>
          <w:tcPr>
            <w:tcW w:w="100" w:type="dxa"/>
            <w:vAlign w:val="bottom"/>
            <w:shd w:val="clear" w:color="auto" w:fill="EFEBE9"/>
          </w:tcPr>
          <w:p>
            <w:pPr>
              <w:spacing w:after="0"/>
              <w:rPr>
                <w:sz w:val="11"/>
                <w:szCs w:val="11"/>
                <w:color w:val="auto"/>
              </w:rPr>
            </w:pPr>
          </w:p>
        </w:tc>
        <w:tc>
          <w:tcPr>
            <w:tcW w:w="10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9"/>
              </w:rPr>
              <w:t>prior to a</w:t>
            </w:r>
          </w:p>
        </w:tc>
        <w:tc>
          <w:tcPr>
            <w:tcW w:w="1180" w:type="dxa"/>
            <w:vAlign w:val="bottom"/>
            <w:shd w:val="clear" w:color="auto" w:fill="EFEBE9"/>
          </w:tcPr>
          <w:p>
            <w:pPr>
              <w:spacing w:after="0"/>
              <w:rPr>
                <w:sz w:val="11"/>
                <w:szCs w:val="11"/>
                <w:color w:val="auto"/>
              </w:rPr>
            </w:pPr>
          </w:p>
        </w:tc>
        <w:tc>
          <w:tcPr>
            <w:tcW w:w="1180" w:type="dxa"/>
            <w:vAlign w:val="bottom"/>
            <w:vMerge w:val="restart"/>
            <w:shd w:val="clear" w:color="auto" w:fill="EFEBE9"/>
          </w:tcPr>
          <w:p>
            <w:pPr>
              <w:jc w:val="center"/>
              <w:spacing w:after="0"/>
              <w:rPr>
                <w:sz w:val="20"/>
                <w:szCs w:val="20"/>
                <w:color w:val="auto"/>
              </w:rPr>
            </w:pPr>
            <w:r>
              <w:rPr>
                <w:rFonts w:ascii="Arial" w:cs="Arial" w:eastAsia="Arial" w:hAnsi="Arial"/>
                <w:sz w:val="13"/>
                <w:szCs w:val="13"/>
                <w:b w:val="1"/>
                <w:bCs w:val="1"/>
                <w:color w:val="867F7C"/>
                <w:w w:val="96"/>
              </w:rPr>
              <w:t>Voluntary</w:t>
            </w:r>
          </w:p>
        </w:tc>
        <w:tc>
          <w:tcPr>
            <w:tcW w:w="1160" w:type="dxa"/>
            <w:vAlign w:val="bottom"/>
            <w:shd w:val="clear" w:color="auto" w:fill="EFEBE9"/>
          </w:tcPr>
          <w:p>
            <w:pPr>
              <w:spacing w:after="0"/>
              <w:rPr>
                <w:sz w:val="11"/>
                <w:szCs w:val="11"/>
                <w:color w:val="auto"/>
              </w:rPr>
            </w:pPr>
          </w:p>
        </w:tc>
        <w:tc>
          <w:tcPr>
            <w:tcW w:w="1160" w:type="dxa"/>
            <w:vAlign w:val="bottom"/>
            <w:shd w:val="clear" w:color="auto" w:fill="EFEBE9"/>
          </w:tcPr>
          <w:p>
            <w:pPr>
              <w:spacing w:after="0"/>
              <w:rPr>
                <w:sz w:val="11"/>
                <w:szCs w:val="11"/>
                <w:color w:val="auto"/>
              </w:rPr>
            </w:pPr>
          </w:p>
        </w:tc>
        <w:tc>
          <w:tcPr>
            <w:tcW w:w="112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8"/>
              </w:rPr>
              <w:t>of Company</w:t>
            </w:r>
          </w:p>
        </w:tc>
        <w:tc>
          <w:tcPr>
            <w:tcW w:w="0" w:type="dxa"/>
            <w:vAlign w:val="bottom"/>
          </w:tcPr>
          <w:p>
            <w:pPr>
              <w:spacing w:after="0"/>
              <w:rPr>
                <w:sz w:val="1"/>
                <w:szCs w:val="1"/>
                <w:color w:val="auto"/>
              </w:rPr>
            </w:pPr>
          </w:p>
        </w:tc>
      </w:tr>
      <w:tr>
        <w:trPr>
          <w:trHeight w:val="135"/>
        </w:trPr>
        <w:tc>
          <w:tcPr>
            <w:tcW w:w="2100" w:type="dxa"/>
            <w:vAlign w:val="bottom"/>
            <w:shd w:val="clear" w:color="auto" w:fill="EFEBE9"/>
          </w:tcPr>
          <w:p>
            <w:pPr>
              <w:spacing w:after="0"/>
              <w:rPr>
                <w:sz w:val="11"/>
                <w:szCs w:val="11"/>
                <w:color w:val="auto"/>
              </w:rPr>
            </w:pPr>
          </w:p>
        </w:tc>
        <w:tc>
          <w:tcPr>
            <w:tcW w:w="100" w:type="dxa"/>
            <w:vAlign w:val="bottom"/>
            <w:shd w:val="clear" w:color="auto" w:fill="EFEBE9"/>
          </w:tcPr>
          <w:p>
            <w:pPr>
              <w:spacing w:after="0"/>
              <w:rPr>
                <w:sz w:val="11"/>
                <w:szCs w:val="11"/>
                <w:color w:val="auto"/>
              </w:rPr>
            </w:pPr>
          </w:p>
        </w:tc>
        <w:tc>
          <w:tcPr>
            <w:tcW w:w="10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Change in</w:t>
            </w:r>
          </w:p>
        </w:tc>
        <w:tc>
          <w:tcPr>
            <w:tcW w:w="1180" w:type="dxa"/>
            <w:vAlign w:val="bottom"/>
            <w:shd w:val="clear" w:color="auto" w:fill="EFEBE9"/>
          </w:tcPr>
          <w:p>
            <w:pPr>
              <w:spacing w:after="0"/>
              <w:rPr>
                <w:sz w:val="11"/>
                <w:szCs w:val="11"/>
                <w:color w:val="auto"/>
              </w:rPr>
            </w:pPr>
          </w:p>
        </w:tc>
        <w:tc>
          <w:tcPr>
            <w:tcW w:w="1180" w:type="dxa"/>
            <w:vAlign w:val="bottom"/>
            <w:vMerge w:val="continue"/>
            <w:shd w:val="clear" w:color="auto" w:fill="EFEBE9"/>
          </w:tcPr>
          <w:p>
            <w:pPr>
              <w:spacing w:after="0"/>
              <w:rPr>
                <w:sz w:val="11"/>
                <w:szCs w:val="11"/>
                <w:color w:val="auto"/>
              </w:rPr>
            </w:pPr>
          </w:p>
        </w:tc>
        <w:tc>
          <w:tcPr>
            <w:tcW w:w="1160" w:type="dxa"/>
            <w:vAlign w:val="bottom"/>
            <w:shd w:val="clear" w:color="auto" w:fill="EFEBE9"/>
          </w:tcPr>
          <w:p>
            <w:pPr>
              <w:spacing w:after="0"/>
              <w:rPr>
                <w:sz w:val="11"/>
                <w:szCs w:val="11"/>
                <w:color w:val="auto"/>
              </w:rPr>
            </w:pPr>
          </w:p>
        </w:tc>
        <w:tc>
          <w:tcPr>
            <w:tcW w:w="1160" w:type="dxa"/>
            <w:vAlign w:val="bottom"/>
            <w:vMerge w:val="restart"/>
            <w:shd w:val="clear" w:color="auto" w:fill="EFEBE9"/>
          </w:tcPr>
          <w:p>
            <w:pPr>
              <w:jc w:val="center"/>
              <w:spacing w:after="0"/>
              <w:rPr>
                <w:sz w:val="20"/>
                <w:szCs w:val="20"/>
                <w:color w:val="auto"/>
              </w:rPr>
            </w:pPr>
            <w:r>
              <w:rPr>
                <w:rFonts w:ascii="Arial" w:cs="Arial" w:eastAsia="Arial" w:hAnsi="Arial"/>
                <w:sz w:val="13"/>
                <w:szCs w:val="13"/>
                <w:b w:val="1"/>
                <w:bCs w:val="1"/>
                <w:color w:val="867F7C"/>
                <w:w w:val="95"/>
              </w:rPr>
              <w:t>Change in</w:t>
            </w:r>
          </w:p>
        </w:tc>
        <w:tc>
          <w:tcPr>
            <w:tcW w:w="112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9"/>
              </w:rPr>
              <w:t>without</w:t>
            </w:r>
          </w:p>
        </w:tc>
        <w:tc>
          <w:tcPr>
            <w:tcW w:w="0" w:type="dxa"/>
            <w:vAlign w:val="bottom"/>
          </w:tcPr>
          <w:p>
            <w:pPr>
              <w:spacing w:after="0"/>
              <w:rPr>
                <w:sz w:val="1"/>
                <w:szCs w:val="1"/>
                <w:color w:val="auto"/>
              </w:rPr>
            </w:pPr>
          </w:p>
        </w:tc>
      </w:tr>
      <w:tr>
        <w:trPr>
          <w:trHeight w:val="135"/>
        </w:trPr>
        <w:tc>
          <w:tcPr>
            <w:tcW w:w="2100" w:type="dxa"/>
            <w:vAlign w:val="bottom"/>
            <w:shd w:val="clear" w:color="auto" w:fill="EFEBE9"/>
          </w:tcPr>
          <w:p>
            <w:pPr>
              <w:spacing w:after="0"/>
              <w:rPr>
                <w:sz w:val="11"/>
                <w:szCs w:val="11"/>
                <w:color w:val="auto"/>
              </w:rPr>
            </w:pPr>
          </w:p>
        </w:tc>
        <w:tc>
          <w:tcPr>
            <w:tcW w:w="100" w:type="dxa"/>
            <w:vAlign w:val="bottom"/>
            <w:shd w:val="clear" w:color="auto" w:fill="EFEBE9"/>
          </w:tcPr>
          <w:p>
            <w:pPr>
              <w:spacing w:after="0"/>
              <w:rPr>
                <w:sz w:val="11"/>
                <w:szCs w:val="11"/>
                <w:color w:val="auto"/>
              </w:rPr>
            </w:pPr>
          </w:p>
        </w:tc>
        <w:tc>
          <w:tcPr>
            <w:tcW w:w="10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6"/>
              </w:rPr>
              <w:t>Control of</w:t>
            </w:r>
          </w:p>
        </w:tc>
        <w:tc>
          <w:tcPr>
            <w:tcW w:w="1180" w:type="dxa"/>
            <w:vAlign w:val="bottom"/>
            <w:shd w:val="clear" w:color="auto" w:fill="EFEBE9"/>
          </w:tcPr>
          <w:p>
            <w:pPr>
              <w:spacing w:after="0"/>
              <w:rPr>
                <w:sz w:val="11"/>
                <w:szCs w:val="11"/>
                <w:color w:val="auto"/>
              </w:rPr>
            </w:pPr>
          </w:p>
        </w:tc>
        <w:tc>
          <w:tcPr>
            <w:tcW w:w="11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6"/>
              </w:rPr>
              <w:t>Resignation</w:t>
            </w:r>
          </w:p>
        </w:tc>
        <w:tc>
          <w:tcPr>
            <w:tcW w:w="1160" w:type="dxa"/>
            <w:vAlign w:val="bottom"/>
            <w:shd w:val="clear" w:color="auto" w:fill="EFEBE9"/>
          </w:tcPr>
          <w:p>
            <w:pPr>
              <w:spacing w:after="0"/>
              <w:rPr>
                <w:sz w:val="11"/>
                <w:szCs w:val="11"/>
                <w:color w:val="auto"/>
              </w:rPr>
            </w:pPr>
          </w:p>
        </w:tc>
        <w:tc>
          <w:tcPr>
            <w:tcW w:w="1160" w:type="dxa"/>
            <w:vAlign w:val="bottom"/>
            <w:vMerge w:val="continue"/>
            <w:shd w:val="clear" w:color="auto" w:fill="EFEBE9"/>
          </w:tcPr>
          <w:p>
            <w:pPr>
              <w:spacing w:after="0"/>
              <w:rPr>
                <w:sz w:val="11"/>
                <w:szCs w:val="11"/>
                <w:color w:val="auto"/>
              </w:rPr>
            </w:pPr>
          </w:p>
        </w:tc>
        <w:tc>
          <w:tcPr>
            <w:tcW w:w="112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6"/>
              </w:rPr>
              <w:t>Cause or</w:t>
            </w:r>
          </w:p>
        </w:tc>
        <w:tc>
          <w:tcPr>
            <w:tcW w:w="0" w:type="dxa"/>
            <w:vAlign w:val="bottom"/>
          </w:tcPr>
          <w:p>
            <w:pPr>
              <w:spacing w:after="0"/>
              <w:rPr>
                <w:sz w:val="1"/>
                <w:szCs w:val="1"/>
                <w:color w:val="auto"/>
              </w:rPr>
            </w:pPr>
          </w:p>
        </w:tc>
      </w:tr>
      <w:tr>
        <w:trPr>
          <w:trHeight w:val="135"/>
        </w:trPr>
        <w:tc>
          <w:tcPr>
            <w:tcW w:w="2100" w:type="dxa"/>
            <w:vAlign w:val="bottom"/>
            <w:shd w:val="clear" w:color="auto" w:fill="EFEBE9"/>
          </w:tcPr>
          <w:p>
            <w:pPr>
              <w:spacing w:after="0"/>
              <w:rPr>
                <w:sz w:val="11"/>
                <w:szCs w:val="11"/>
                <w:color w:val="auto"/>
              </w:rPr>
            </w:pPr>
          </w:p>
        </w:tc>
        <w:tc>
          <w:tcPr>
            <w:tcW w:w="100" w:type="dxa"/>
            <w:vAlign w:val="bottom"/>
            <w:shd w:val="clear" w:color="auto" w:fill="EFEBE9"/>
          </w:tcPr>
          <w:p>
            <w:pPr>
              <w:spacing w:after="0"/>
              <w:rPr>
                <w:sz w:val="11"/>
                <w:szCs w:val="11"/>
                <w:color w:val="auto"/>
              </w:rPr>
            </w:pPr>
          </w:p>
        </w:tc>
        <w:tc>
          <w:tcPr>
            <w:tcW w:w="10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4"/>
              </w:rPr>
              <w:t>Company</w:t>
            </w:r>
          </w:p>
        </w:tc>
        <w:tc>
          <w:tcPr>
            <w:tcW w:w="1180" w:type="dxa"/>
            <w:vAlign w:val="bottom"/>
            <w:shd w:val="clear" w:color="auto" w:fill="EFEBE9"/>
          </w:tcPr>
          <w:p>
            <w:pPr>
              <w:spacing w:after="0"/>
              <w:rPr>
                <w:sz w:val="11"/>
                <w:szCs w:val="11"/>
                <w:color w:val="auto"/>
              </w:rPr>
            </w:pPr>
          </w:p>
        </w:tc>
        <w:tc>
          <w:tcPr>
            <w:tcW w:w="11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1"/>
              </w:rPr>
              <w:t>or</w:t>
            </w:r>
          </w:p>
        </w:tc>
        <w:tc>
          <w:tcPr>
            <w:tcW w:w="1160" w:type="dxa"/>
            <w:vAlign w:val="bottom"/>
            <w:shd w:val="clear" w:color="auto" w:fill="EFEBE9"/>
          </w:tcPr>
          <w:p>
            <w:pPr>
              <w:spacing w:after="0"/>
              <w:rPr>
                <w:sz w:val="11"/>
                <w:szCs w:val="11"/>
                <w:color w:val="auto"/>
              </w:rPr>
            </w:pPr>
          </w:p>
        </w:tc>
        <w:tc>
          <w:tcPr>
            <w:tcW w:w="116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Control</w:t>
            </w:r>
          </w:p>
        </w:tc>
        <w:tc>
          <w:tcPr>
            <w:tcW w:w="112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8"/>
              </w:rPr>
              <w:t>by Executive</w:t>
            </w:r>
          </w:p>
        </w:tc>
        <w:tc>
          <w:tcPr>
            <w:tcW w:w="0" w:type="dxa"/>
            <w:vAlign w:val="bottom"/>
          </w:tcPr>
          <w:p>
            <w:pPr>
              <w:spacing w:after="0"/>
              <w:rPr>
                <w:sz w:val="1"/>
                <w:szCs w:val="1"/>
                <w:color w:val="auto"/>
              </w:rPr>
            </w:pPr>
          </w:p>
        </w:tc>
      </w:tr>
      <w:tr>
        <w:trPr>
          <w:trHeight w:val="135"/>
        </w:trPr>
        <w:tc>
          <w:tcPr>
            <w:tcW w:w="2100" w:type="dxa"/>
            <w:vAlign w:val="bottom"/>
            <w:shd w:val="clear" w:color="auto" w:fill="EFEBE9"/>
          </w:tcPr>
          <w:p>
            <w:pPr>
              <w:spacing w:after="0"/>
              <w:rPr>
                <w:sz w:val="11"/>
                <w:szCs w:val="11"/>
                <w:color w:val="auto"/>
              </w:rPr>
            </w:pPr>
          </w:p>
        </w:tc>
        <w:tc>
          <w:tcPr>
            <w:tcW w:w="100" w:type="dxa"/>
            <w:vAlign w:val="bottom"/>
            <w:shd w:val="clear" w:color="auto" w:fill="EFEBE9"/>
          </w:tcPr>
          <w:p>
            <w:pPr>
              <w:spacing w:after="0"/>
              <w:rPr>
                <w:sz w:val="11"/>
                <w:szCs w:val="11"/>
                <w:color w:val="auto"/>
              </w:rPr>
            </w:pPr>
          </w:p>
        </w:tc>
        <w:tc>
          <w:tcPr>
            <w:tcW w:w="10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without</w:t>
            </w:r>
          </w:p>
        </w:tc>
        <w:tc>
          <w:tcPr>
            <w:tcW w:w="1180" w:type="dxa"/>
            <w:vAlign w:val="bottom"/>
            <w:vMerge w:val="restart"/>
            <w:shd w:val="clear" w:color="auto" w:fill="EFEBE9"/>
          </w:tcPr>
          <w:p>
            <w:pPr>
              <w:jc w:val="right"/>
              <w:ind w:right="217"/>
              <w:spacing w:after="0"/>
              <w:rPr>
                <w:sz w:val="20"/>
                <w:szCs w:val="20"/>
                <w:color w:val="auto"/>
              </w:rPr>
            </w:pPr>
            <w:r>
              <w:rPr>
                <w:rFonts w:ascii="Arial" w:cs="Arial" w:eastAsia="Arial" w:hAnsi="Arial"/>
                <w:sz w:val="13"/>
                <w:szCs w:val="13"/>
                <w:b w:val="1"/>
                <w:bCs w:val="1"/>
                <w:color w:val="867F7C"/>
              </w:rPr>
              <w:t>Death and</w:t>
            </w:r>
          </w:p>
        </w:tc>
        <w:tc>
          <w:tcPr>
            <w:tcW w:w="118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6"/>
              </w:rPr>
              <w:t>Involuntary</w:t>
            </w:r>
          </w:p>
        </w:tc>
        <w:tc>
          <w:tcPr>
            <w:tcW w:w="1160" w:type="dxa"/>
            <w:vAlign w:val="bottom"/>
            <w:shd w:val="clear" w:color="auto" w:fill="EFEBE9"/>
          </w:tcPr>
          <w:p>
            <w:pPr>
              <w:spacing w:after="0"/>
              <w:rPr>
                <w:sz w:val="11"/>
                <w:szCs w:val="11"/>
                <w:color w:val="auto"/>
              </w:rPr>
            </w:pPr>
          </w:p>
        </w:tc>
        <w:tc>
          <w:tcPr>
            <w:tcW w:w="116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5"/>
              </w:rPr>
              <w:t>without</w:t>
            </w:r>
          </w:p>
        </w:tc>
        <w:tc>
          <w:tcPr>
            <w:tcW w:w="1120" w:type="dxa"/>
            <w:vAlign w:val="bottom"/>
            <w:shd w:val="clear" w:color="auto" w:fill="EFEBE9"/>
          </w:tcPr>
          <w:p>
            <w:pPr>
              <w:jc w:val="center"/>
              <w:spacing w:after="0" w:line="135" w:lineRule="exact"/>
              <w:rPr>
                <w:sz w:val="20"/>
                <w:szCs w:val="20"/>
                <w:color w:val="auto"/>
              </w:rPr>
            </w:pPr>
            <w:r>
              <w:rPr>
                <w:rFonts w:ascii="Arial" w:cs="Arial" w:eastAsia="Arial" w:hAnsi="Arial"/>
                <w:sz w:val="13"/>
                <w:szCs w:val="13"/>
                <w:b w:val="1"/>
                <w:bCs w:val="1"/>
                <w:color w:val="867F7C"/>
                <w:w w:val="98"/>
              </w:rPr>
              <w:t>for Good</w:t>
            </w:r>
          </w:p>
        </w:tc>
        <w:tc>
          <w:tcPr>
            <w:tcW w:w="0" w:type="dxa"/>
            <w:vAlign w:val="bottom"/>
          </w:tcPr>
          <w:p>
            <w:pPr>
              <w:spacing w:after="0"/>
              <w:rPr>
                <w:sz w:val="1"/>
                <w:szCs w:val="1"/>
                <w:color w:val="auto"/>
              </w:rPr>
            </w:pPr>
          </w:p>
        </w:tc>
      </w:tr>
      <w:tr>
        <w:trPr>
          <w:trHeight w:val="126"/>
        </w:trPr>
        <w:tc>
          <w:tcPr>
            <w:tcW w:w="2100" w:type="dxa"/>
            <w:vAlign w:val="bottom"/>
            <w:vMerge w:val="restart"/>
            <w:shd w:val="clear" w:color="auto" w:fill="EFEBE9"/>
          </w:tcPr>
          <w:p>
            <w:pPr>
              <w:ind w:left="100"/>
              <w:spacing w:after="0"/>
              <w:rPr>
                <w:sz w:val="20"/>
                <w:szCs w:val="20"/>
                <w:color w:val="auto"/>
              </w:rPr>
            </w:pPr>
            <w:r>
              <w:rPr>
                <w:rFonts w:ascii="Arial" w:cs="Arial" w:eastAsia="Arial" w:hAnsi="Arial"/>
                <w:sz w:val="13"/>
                <w:szCs w:val="13"/>
                <w:b w:val="1"/>
                <w:bCs w:val="1"/>
                <w:color w:val="867F7C"/>
              </w:rPr>
              <w:t>Name/Kinds of Payments</w:t>
            </w:r>
          </w:p>
        </w:tc>
        <w:tc>
          <w:tcPr>
            <w:tcW w:w="100" w:type="dxa"/>
            <w:vAlign w:val="bottom"/>
            <w:shd w:val="clear" w:color="auto" w:fill="EFEBE9"/>
          </w:tcPr>
          <w:p>
            <w:pPr>
              <w:spacing w:after="0"/>
              <w:rPr>
                <w:sz w:val="10"/>
                <w:szCs w:val="10"/>
                <w:color w:val="auto"/>
              </w:rPr>
            </w:pPr>
          </w:p>
        </w:tc>
        <w:tc>
          <w:tcPr>
            <w:tcW w:w="1080" w:type="dxa"/>
            <w:vAlign w:val="bottom"/>
            <w:shd w:val="clear" w:color="auto" w:fill="EFEBE9"/>
          </w:tcPr>
          <w:p>
            <w:pPr>
              <w:jc w:val="center"/>
              <w:spacing w:after="0" w:line="126" w:lineRule="exact"/>
              <w:rPr>
                <w:sz w:val="20"/>
                <w:szCs w:val="20"/>
                <w:color w:val="auto"/>
              </w:rPr>
            </w:pPr>
            <w:r>
              <w:rPr>
                <w:rFonts w:ascii="Arial" w:cs="Arial" w:eastAsia="Arial" w:hAnsi="Arial"/>
                <w:sz w:val="13"/>
                <w:szCs w:val="13"/>
                <w:b w:val="1"/>
                <w:bCs w:val="1"/>
                <w:color w:val="867F7C"/>
                <w:w w:val="97"/>
              </w:rPr>
              <w:t>Cause</w:t>
            </w:r>
          </w:p>
        </w:tc>
        <w:tc>
          <w:tcPr>
            <w:tcW w:w="1180" w:type="dxa"/>
            <w:vAlign w:val="bottom"/>
            <w:vMerge w:val="continue"/>
            <w:shd w:val="clear" w:color="auto" w:fill="EFEBE9"/>
          </w:tcPr>
          <w:p>
            <w:pPr>
              <w:spacing w:after="0"/>
              <w:rPr>
                <w:sz w:val="10"/>
                <w:szCs w:val="10"/>
                <w:color w:val="auto"/>
              </w:rPr>
            </w:pPr>
          </w:p>
        </w:tc>
        <w:tc>
          <w:tcPr>
            <w:tcW w:w="1180" w:type="dxa"/>
            <w:vAlign w:val="bottom"/>
            <w:shd w:val="clear" w:color="auto" w:fill="EFEBE9"/>
          </w:tcPr>
          <w:p>
            <w:pPr>
              <w:jc w:val="center"/>
              <w:spacing w:after="0" w:line="126" w:lineRule="exact"/>
              <w:rPr>
                <w:sz w:val="20"/>
                <w:szCs w:val="20"/>
                <w:color w:val="auto"/>
              </w:rPr>
            </w:pPr>
            <w:r>
              <w:rPr>
                <w:rFonts w:ascii="Arial" w:cs="Arial" w:eastAsia="Arial" w:hAnsi="Arial"/>
                <w:sz w:val="13"/>
                <w:szCs w:val="13"/>
                <w:b w:val="1"/>
                <w:bCs w:val="1"/>
                <w:color w:val="867F7C"/>
                <w:w w:val="96"/>
              </w:rPr>
              <w:t>Termination</w:t>
            </w:r>
          </w:p>
        </w:tc>
        <w:tc>
          <w:tcPr>
            <w:tcW w:w="1160" w:type="dxa"/>
            <w:vAlign w:val="bottom"/>
            <w:vMerge w:val="restart"/>
            <w:shd w:val="clear" w:color="auto" w:fill="EFEBE9"/>
          </w:tcPr>
          <w:p>
            <w:pPr>
              <w:jc w:val="right"/>
              <w:ind w:right="157"/>
              <w:spacing w:after="0"/>
              <w:rPr>
                <w:sz w:val="20"/>
                <w:szCs w:val="20"/>
                <w:color w:val="auto"/>
              </w:rPr>
            </w:pPr>
            <w:r>
              <w:rPr>
                <w:rFonts w:ascii="Arial" w:cs="Arial" w:eastAsia="Arial" w:hAnsi="Arial"/>
                <w:sz w:val="13"/>
                <w:szCs w:val="13"/>
                <w:b w:val="1"/>
                <w:bCs w:val="1"/>
                <w:color w:val="867F7C"/>
              </w:rPr>
              <w:t>Retirement</w:t>
            </w:r>
            <w:r>
              <w:rPr>
                <w:rFonts w:ascii="Arial" w:cs="Arial" w:eastAsia="Arial" w:hAnsi="Arial"/>
                <w:sz w:val="16"/>
                <w:szCs w:val="16"/>
                <w:b w:val="1"/>
                <w:bCs w:val="1"/>
                <w:color w:val="867F7C"/>
                <w:vertAlign w:val="superscript"/>
              </w:rPr>
              <w:t>(3)</w:t>
            </w:r>
          </w:p>
        </w:tc>
        <w:tc>
          <w:tcPr>
            <w:tcW w:w="1160" w:type="dxa"/>
            <w:vAlign w:val="bottom"/>
            <w:shd w:val="clear" w:color="auto" w:fill="EFEBE9"/>
          </w:tcPr>
          <w:p>
            <w:pPr>
              <w:jc w:val="center"/>
              <w:spacing w:after="0" w:line="126" w:lineRule="exact"/>
              <w:rPr>
                <w:sz w:val="20"/>
                <w:szCs w:val="20"/>
                <w:color w:val="auto"/>
              </w:rPr>
            </w:pPr>
            <w:r>
              <w:rPr>
                <w:rFonts w:ascii="Arial" w:cs="Arial" w:eastAsia="Arial" w:hAnsi="Arial"/>
                <w:sz w:val="13"/>
                <w:szCs w:val="13"/>
                <w:b w:val="1"/>
                <w:bCs w:val="1"/>
                <w:color w:val="867F7C"/>
                <w:w w:val="96"/>
              </w:rPr>
              <w:t>Termination</w:t>
            </w:r>
          </w:p>
        </w:tc>
        <w:tc>
          <w:tcPr>
            <w:tcW w:w="1120" w:type="dxa"/>
            <w:vAlign w:val="bottom"/>
            <w:shd w:val="clear" w:color="auto" w:fill="EFEBE9"/>
          </w:tcPr>
          <w:p>
            <w:pPr>
              <w:jc w:val="center"/>
              <w:spacing w:after="0" w:line="126" w:lineRule="exact"/>
              <w:rPr>
                <w:sz w:val="20"/>
                <w:szCs w:val="20"/>
                <w:color w:val="auto"/>
              </w:rPr>
            </w:pPr>
            <w:r>
              <w:rPr>
                <w:rFonts w:ascii="Arial" w:cs="Arial" w:eastAsia="Arial" w:hAnsi="Arial"/>
                <w:sz w:val="13"/>
                <w:szCs w:val="13"/>
                <w:b w:val="1"/>
                <w:bCs w:val="1"/>
                <w:color w:val="867F7C"/>
                <w:w w:val="97"/>
              </w:rPr>
              <w:t>Reason</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EFEBE9"/>
            </w:tcBorders>
            <w:vMerge w:val="continue"/>
            <w:shd w:val="clear" w:color="auto" w:fill="EFEBE9"/>
          </w:tcPr>
          <w:p>
            <w:pPr>
              <w:spacing w:after="0"/>
              <w:rPr>
                <w:sz w:val="15"/>
                <w:szCs w:val="15"/>
                <w:color w:val="auto"/>
              </w:rPr>
            </w:pPr>
          </w:p>
        </w:tc>
        <w:tc>
          <w:tcPr>
            <w:tcW w:w="100" w:type="dxa"/>
            <w:vAlign w:val="bottom"/>
            <w:tcBorders>
              <w:bottom w:val="single" w:sz="8" w:color="EFEBE9"/>
            </w:tcBorders>
            <w:shd w:val="clear" w:color="auto" w:fill="EFEBE9"/>
          </w:tcPr>
          <w:p>
            <w:pPr>
              <w:spacing w:after="0"/>
              <w:rPr>
                <w:sz w:val="15"/>
                <w:szCs w:val="15"/>
                <w:color w:val="auto"/>
              </w:rPr>
            </w:pPr>
          </w:p>
        </w:tc>
        <w:tc>
          <w:tcPr>
            <w:tcW w:w="1080" w:type="dxa"/>
            <w:vAlign w:val="bottom"/>
            <w:tcBorders>
              <w:bottom w:val="single" w:sz="8" w:color="EFEBE9"/>
            </w:tcBorders>
            <w:shd w:val="clear" w:color="auto" w:fill="EFEBE9"/>
          </w:tcPr>
          <w:p>
            <w:pPr>
              <w:jc w:val="center"/>
              <w:spacing w:after="0"/>
              <w:rPr>
                <w:sz w:val="20"/>
                <w:szCs w:val="20"/>
                <w:color w:val="auto"/>
              </w:rPr>
            </w:pPr>
            <w:r>
              <w:rPr>
                <w:rFonts w:ascii="Arial" w:cs="Arial" w:eastAsia="Arial" w:hAnsi="Arial"/>
                <w:sz w:val="13"/>
                <w:szCs w:val="13"/>
                <w:b w:val="1"/>
                <w:bCs w:val="1"/>
                <w:color w:val="867F7C"/>
              </w:rPr>
              <w:t>($)</w:t>
            </w:r>
          </w:p>
        </w:tc>
        <w:tc>
          <w:tcPr>
            <w:tcW w:w="1180" w:type="dxa"/>
            <w:vAlign w:val="bottom"/>
            <w:tcBorders>
              <w:bottom w:val="single" w:sz="8" w:color="EFEBE9"/>
            </w:tcBorders>
            <w:shd w:val="clear" w:color="auto" w:fill="EFEBE9"/>
          </w:tcPr>
          <w:p>
            <w:pPr>
              <w:jc w:val="right"/>
              <w:ind w:right="97"/>
              <w:spacing w:after="0" w:line="162" w:lineRule="exact"/>
              <w:rPr>
                <w:sz w:val="20"/>
                <w:szCs w:val="20"/>
                <w:color w:val="auto"/>
              </w:rPr>
            </w:pPr>
            <w:r>
              <w:rPr>
                <w:rFonts w:ascii="Arial" w:cs="Arial" w:eastAsia="Arial" w:hAnsi="Arial"/>
                <w:sz w:val="13"/>
                <w:szCs w:val="13"/>
                <w:b w:val="1"/>
                <w:bCs w:val="1"/>
                <w:color w:val="867F7C"/>
              </w:rPr>
              <w:t>Disability ($)</w:t>
            </w:r>
            <w:r>
              <w:rPr>
                <w:rFonts w:ascii="Arial" w:cs="Arial" w:eastAsia="Arial" w:hAnsi="Arial"/>
                <w:sz w:val="16"/>
                <w:szCs w:val="16"/>
                <w:b w:val="1"/>
                <w:bCs w:val="1"/>
                <w:color w:val="867F7C"/>
                <w:vertAlign w:val="superscript"/>
              </w:rPr>
              <w:t>(1)</w:t>
            </w:r>
          </w:p>
        </w:tc>
        <w:tc>
          <w:tcPr>
            <w:tcW w:w="1180" w:type="dxa"/>
            <w:vAlign w:val="bottom"/>
            <w:tcBorders>
              <w:bottom w:val="single" w:sz="8" w:color="EFEBE9"/>
            </w:tcBorders>
            <w:shd w:val="clear" w:color="auto" w:fill="EFEBE9"/>
          </w:tcPr>
          <w:p>
            <w:pPr>
              <w:jc w:val="center"/>
              <w:spacing w:after="0" w:line="162" w:lineRule="exact"/>
              <w:rPr>
                <w:sz w:val="20"/>
                <w:szCs w:val="20"/>
                <w:color w:val="auto"/>
              </w:rPr>
            </w:pPr>
            <w:r>
              <w:rPr>
                <w:rFonts w:ascii="Arial" w:cs="Arial" w:eastAsia="Arial" w:hAnsi="Arial"/>
                <w:sz w:val="13"/>
                <w:szCs w:val="13"/>
                <w:b w:val="1"/>
                <w:bCs w:val="1"/>
                <w:color w:val="867F7C"/>
                <w:w w:val="95"/>
              </w:rPr>
              <w:t>for Cause ($)</w:t>
            </w:r>
            <w:r>
              <w:rPr>
                <w:rFonts w:ascii="Arial" w:cs="Arial" w:eastAsia="Arial" w:hAnsi="Arial"/>
                <w:sz w:val="16"/>
                <w:szCs w:val="16"/>
                <w:b w:val="1"/>
                <w:bCs w:val="1"/>
                <w:color w:val="867F7C"/>
                <w:w w:val="95"/>
                <w:vertAlign w:val="superscript"/>
              </w:rPr>
              <w:t>(2)</w:t>
            </w:r>
          </w:p>
        </w:tc>
        <w:tc>
          <w:tcPr>
            <w:tcW w:w="1160" w:type="dxa"/>
            <w:vAlign w:val="bottom"/>
            <w:tcBorders>
              <w:bottom w:val="single" w:sz="8" w:color="EFEBE9"/>
            </w:tcBorders>
            <w:vMerge w:val="continue"/>
            <w:shd w:val="clear" w:color="auto" w:fill="EFEBE9"/>
          </w:tcPr>
          <w:p>
            <w:pPr>
              <w:spacing w:after="0"/>
              <w:rPr>
                <w:sz w:val="15"/>
                <w:szCs w:val="15"/>
                <w:color w:val="auto"/>
              </w:rPr>
            </w:pPr>
          </w:p>
        </w:tc>
        <w:tc>
          <w:tcPr>
            <w:tcW w:w="1160" w:type="dxa"/>
            <w:vAlign w:val="bottom"/>
            <w:tcBorders>
              <w:bottom w:val="single" w:sz="8" w:color="EFEBE9"/>
            </w:tcBorders>
            <w:shd w:val="clear" w:color="auto" w:fill="EFEBE9"/>
          </w:tcPr>
          <w:p>
            <w:pPr>
              <w:jc w:val="center"/>
              <w:spacing w:after="0" w:line="162" w:lineRule="exact"/>
              <w:rPr>
                <w:sz w:val="20"/>
                <w:szCs w:val="20"/>
                <w:color w:val="auto"/>
              </w:rPr>
            </w:pPr>
            <w:r>
              <w:rPr>
                <w:rFonts w:ascii="Arial" w:cs="Arial" w:eastAsia="Arial" w:hAnsi="Arial"/>
                <w:sz w:val="18"/>
                <w:szCs w:val="18"/>
                <w:b w:val="1"/>
                <w:bCs w:val="1"/>
                <w:color w:val="867F7C"/>
                <w:vertAlign w:val="subscript"/>
              </w:rPr>
              <w:t>($)</w:t>
            </w:r>
            <w:r>
              <w:rPr>
                <w:rFonts w:ascii="Arial" w:cs="Arial" w:eastAsia="Arial" w:hAnsi="Arial"/>
                <w:sz w:val="7"/>
                <w:szCs w:val="7"/>
                <w:b w:val="1"/>
                <w:bCs w:val="1"/>
                <w:color w:val="867F7C"/>
              </w:rPr>
              <w:t>(4)</w:t>
            </w:r>
          </w:p>
        </w:tc>
        <w:tc>
          <w:tcPr>
            <w:tcW w:w="1120" w:type="dxa"/>
            <w:vAlign w:val="bottom"/>
            <w:tcBorders>
              <w:bottom w:val="single" w:sz="8" w:color="EFEBE9"/>
            </w:tcBorders>
            <w:shd w:val="clear" w:color="auto" w:fill="EFEBE9"/>
          </w:tcPr>
          <w:p>
            <w:pPr>
              <w:jc w:val="center"/>
              <w:spacing w:after="0" w:line="162" w:lineRule="exact"/>
              <w:rPr>
                <w:sz w:val="20"/>
                <w:szCs w:val="20"/>
                <w:color w:val="auto"/>
              </w:rPr>
            </w:pPr>
            <w:r>
              <w:rPr>
                <w:rFonts w:ascii="Arial" w:cs="Arial" w:eastAsia="Arial" w:hAnsi="Arial"/>
                <w:sz w:val="18"/>
                <w:szCs w:val="18"/>
                <w:b w:val="1"/>
                <w:bCs w:val="1"/>
                <w:color w:val="867F7C"/>
                <w:vertAlign w:val="subscript"/>
              </w:rPr>
              <w:t>($)</w:t>
            </w:r>
            <w:r>
              <w:rPr>
                <w:rFonts w:ascii="Arial" w:cs="Arial" w:eastAsia="Arial" w:hAnsi="Arial"/>
                <w:sz w:val="7"/>
                <w:szCs w:val="7"/>
                <w:b w:val="1"/>
                <w:bCs w:val="1"/>
                <w:color w:val="867F7C"/>
              </w:rPr>
              <w:t>(5)</w:t>
            </w:r>
          </w:p>
        </w:tc>
        <w:tc>
          <w:tcPr>
            <w:tcW w:w="0" w:type="dxa"/>
            <w:vAlign w:val="bottom"/>
          </w:tcPr>
          <w:p>
            <w:pPr>
              <w:spacing w:after="0"/>
              <w:rPr>
                <w:sz w:val="1"/>
                <w:szCs w:val="1"/>
                <w:color w:val="auto"/>
              </w:rPr>
            </w:pPr>
          </w:p>
        </w:tc>
      </w:tr>
      <w:tr>
        <w:trPr>
          <w:trHeight w:val="108"/>
        </w:trPr>
        <w:tc>
          <w:tcPr>
            <w:tcW w:w="2100" w:type="dxa"/>
            <w:vAlign w:val="bottom"/>
          </w:tcPr>
          <w:p>
            <w:pPr>
              <w:ind w:left="100"/>
              <w:spacing w:after="0" w:line="108" w:lineRule="exact"/>
              <w:rPr>
                <w:sz w:val="20"/>
                <w:szCs w:val="20"/>
                <w:color w:val="auto"/>
              </w:rPr>
            </w:pPr>
            <w:r>
              <w:rPr>
                <w:rFonts w:ascii="Arial" w:cs="Arial" w:eastAsia="Arial" w:hAnsi="Arial"/>
                <w:sz w:val="12"/>
                <w:szCs w:val="12"/>
                <w:b w:val="1"/>
                <w:bCs w:val="1"/>
                <w:color w:val="4CCEDE"/>
              </w:rPr>
              <w:t>Guillermo Novo</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Cash Severance</w:t>
            </w:r>
            <w:r>
              <w:rPr>
                <w:rFonts w:ascii="Arial" w:cs="Arial" w:eastAsia="Arial" w:hAnsi="Arial"/>
                <w:sz w:val="15"/>
                <w:szCs w:val="15"/>
                <w:color w:val="auto"/>
                <w:vertAlign w:val="superscript"/>
              </w:rPr>
              <w:t>(6)</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2,324,720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7,845,930</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Restricted Stock</w:t>
            </w:r>
            <w:r>
              <w:rPr>
                <w:rFonts w:ascii="Arial" w:cs="Arial" w:eastAsia="Arial" w:hAnsi="Arial"/>
                <w:sz w:val="15"/>
                <w:szCs w:val="15"/>
                <w:color w:val="auto"/>
                <w:vertAlign w:val="superscript"/>
              </w:rPr>
              <w:t>(7)</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2,687,037</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2,687,037</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2,687,037</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2,902,670</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Performance Stock</w:t>
            </w:r>
            <w:r>
              <w:rPr>
                <w:rFonts w:ascii="Arial" w:cs="Arial" w:eastAsia="Arial" w:hAnsi="Arial"/>
                <w:sz w:val="15"/>
                <w:szCs w:val="15"/>
                <w:color w:val="auto"/>
                <w:vertAlign w:val="superscript"/>
              </w:rPr>
              <w:t>(8)</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4,840,155</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4,840,155</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4,840,155</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5,809,512</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Incentive Compensation</w:t>
            </w:r>
            <w:r>
              <w:rPr>
                <w:rFonts w:ascii="Arial" w:cs="Arial" w:eastAsia="Arial" w:hAnsi="Arial"/>
                <w:sz w:val="16"/>
                <w:szCs w:val="16"/>
                <w:color w:val="auto"/>
                <w:vertAlign w:val="superscript"/>
              </w:rPr>
              <w:t>(9)</w:t>
            </w:r>
          </w:p>
        </w:tc>
        <w:tc>
          <w:tcPr>
            <w:tcW w:w="1180" w:type="dxa"/>
            <w:vAlign w:val="bottom"/>
            <w:gridSpan w:val="2"/>
          </w:tcPr>
          <w:p>
            <w:pPr>
              <w:jc w:val="right"/>
              <w:ind w:right="97"/>
              <w:spacing w:after="0" w:line="144" w:lineRule="exact"/>
              <w:rPr>
                <w:sz w:val="20"/>
                <w:szCs w:val="20"/>
                <w:color w:val="auto"/>
              </w:rPr>
            </w:pPr>
            <w:r>
              <w:rPr>
                <w:rFonts w:ascii="Arial" w:cs="Arial" w:eastAsia="Arial" w:hAnsi="Arial"/>
                <w:sz w:val="13"/>
                <w:szCs w:val="13"/>
                <w:color w:val="auto"/>
              </w:rPr>
              <w:t>1,452,950</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1,452,950</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1,452,950</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1,452,950</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1,452,950</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Welfare Benefit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31,163</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31,163</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Outplacement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5,200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5,200</w:t>
            </w:r>
          </w:p>
        </w:tc>
        <w:tc>
          <w:tcPr>
            <w:tcW w:w="0" w:type="dxa"/>
            <w:vAlign w:val="bottom"/>
          </w:tcPr>
          <w:p>
            <w:pPr>
              <w:spacing w:after="0"/>
              <w:rPr>
                <w:sz w:val="1"/>
                <w:szCs w:val="1"/>
                <w:color w:val="auto"/>
              </w:rPr>
            </w:pPr>
          </w:p>
        </w:tc>
      </w:tr>
      <w:tr>
        <w:trPr>
          <w:trHeight w:val="126"/>
        </w:trPr>
        <w:tc>
          <w:tcPr>
            <w:tcW w:w="2100" w:type="dxa"/>
            <w:vAlign w:val="bottom"/>
          </w:tcPr>
          <w:p>
            <w:pPr>
              <w:ind w:left="80"/>
              <w:spacing w:after="0" w:line="126" w:lineRule="exact"/>
              <w:rPr>
                <w:sz w:val="20"/>
                <w:szCs w:val="20"/>
                <w:color w:val="auto"/>
              </w:rPr>
            </w:pPr>
            <w:r>
              <w:rPr>
                <w:rFonts w:ascii="Arial" w:cs="Arial" w:eastAsia="Arial" w:hAnsi="Arial"/>
                <w:sz w:val="13"/>
                <w:szCs w:val="13"/>
                <w:color w:val="auto"/>
              </w:rPr>
              <w:t>Financial Planning</w:t>
            </w:r>
          </w:p>
        </w:tc>
        <w:tc>
          <w:tcPr>
            <w:tcW w:w="1180" w:type="dxa"/>
            <w:vAlign w:val="bottom"/>
            <w:gridSpan w:val="2"/>
          </w:tcPr>
          <w:p>
            <w:pPr>
              <w:jc w:val="right"/>
              <w:ind w:right="97"/>
              <w:spacing w:after="0" w:line="126" w:lineRule="exact"/>
              <w:rPr>
                <w:sz w:val="20"/>
                <w:szCs w:val="20"/>
                <w:color w:val="auto"/>
              </w:rPr>
            </w:pPr>
            <w:r>
              <w:rPr>
                <w:rFonts w:ascii="Arial" w:cs="Arial" w:eastAsia="Arial" w:hAnsi="Arial"/>
                <w:sz w:val="13"/>
                <w:szCs w:val="13"/>
                <w:color w:val="auto"/>
              </w:rPr>
              <w:t>26,000</w:t>
            </w:r>
          </w:p>
        </w:tc>
        <w:tc>
          <w:tcPr>
            <w:tcW w:w="118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26" w:lineRule="exact"/>
              <w:rPr>
                <w:sz w:val="20"/>
                <w:szCs w:val="20"/>
                <w:color w:val="auto"/>
              </w:rPr>
            </w:pPr>
            <w:r>
              <w:rPr>
                <w:rFonts w:ascii="Arial" w:cs="Arial" w:eastAsia="Arial" w:hAnsi="Arial"/>
                <w:sz w:val="13"/>
                <w:szCs w:val="13"/>
                <w:color w:val="auto"/>
              </w:rPr>
              <w:t>26,000</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Severance Cutback</w:t>
            </w:r>
            <w:r>
              <w:rPr>
                <w:rFonts w:ascii="Arial" w:cs="Arial" w:eastAsia="Arial" w:hAnsi="Arial"/>
                <w:sz w:val="16"/>
                <w:szCs w:val="16"/>
                <w:color w:val="auto"/>
                <w:vertAlign w:val="superscript"/>
              </w:rPr>
              <w:t>(10)</w:t>
            </w:r>
          </w:p>
        </w:tc>
        <w:tc>
          <w:tcPr>
            <w:tcW w:w="100" w:type="dxa"/>
            <w:vAlign w:val="bottom"/>
          </w:tcPr>
          <w:p>
            <w:pPr>
              <w:spacing w:after="0"/>
              <w:rPr>
                <w:sz w:val="12"/>
                <w:szCs w:val="12"/>
                <w:color w:val="auto"/>
              </w:rPr>
            </w:pPr>
          </w:p>
        </w:tc>
        <w:tc>
          <w:tcPr>
            <w:tcW w:w="1080" w:type="dxa"/>
            <w:vAlign w:val="bottom"/>
          </w:tcPr>
          <w:p>
            <w:pPr>
              <w:jc w:val="right"/>
              <w:ind w:right="9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Borders>
              <w:bottom w:val="single" w:sz="8" w:color="867F7C"/>
            </w:tcBorders>
          </w:tcPr>
          <w:p>
            <w:pPr>
              <w:ind w:left="80"/>
              <w:spacing w:after="0"/>
              <w:rPr>
                <w:sz w:val="20"/>
                <w:szCs w:val="20"/>
                <w:color w:val="auto"/>
              </w:rPr>
            </w:pPr>
            <w:r>
              <w:rPr>
                <w:rFonts w:ascii="Arial" w:cs="Arial" w:eastAsia="Arial" w:hAnsi="Arial"/>
                <w:sz w:val="13"/>
                <w:szCs w:val="13"/>
                <w:color w:val="auto"/>
              </w:rPr>
              <w:t>Total</w:t>
            </w:r>
          </w:p>
        </w:tc>
        <w:tc>
          <w:tcPr>
            <w:tcW w:w="1180" w:type="dxa"/>
            <w:vAlign w:val="bottom"/>
            <w:tcBorders>
              <w:bottom w:val="single" w:sz="8" w:color="867F7C"/>
            </w:tcBorders>
            <w:gridSpan w:val="2"/>
          </w:tcPr>
          <w:p>
            <w:pPr>
              <w:jc w:val="right"/>
              <w:ind w:right="97"/>
              <w:spacing w:after="0"/>
              <w:rPr>
                <w:sz w:val="20"/>
                <w:szCs w:val="20"/>
                <w:color w:val="auto"/>
              </w:rPr>
            </w:pPr>
            <w:r>
              <w:rPr>
                <w:rFonts w:ascii="Arial" w:cs="Arial" w:eastAsia="Arial" w:hAnsi="Arial"/>
                <w:sz w:val="13"/>
                <w:szCs w:val="13"/>
                <w:color w:val="auto"/>
              </w:rPr>
              <w:t>11,367,225</w:t>
            </w:r>
          </w:p>
        </w:tc>
        <w:tc>
          <w:tcPr>
            <w:tcW w:w="118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8,980,142</w:t>
            </w:r>
          </w:p>
        </w:tc>
        <w:tc>
          <w:tcPr>
            <w:tcW w:w="11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8,980,142</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1,452,950</w:t>
            </w:r>
          </w:p>
        </w:tc>
        <w:tc>
          <w:tcPr>
            <w:tcW w:w="1120" w:type="dxa"/>
            <w:vAlign w:val="bottom"/>
            <w:tcBorders>
              <w:bottom w:val="single" w:sz="8" w:color="867F7C"/>
            </w:tcBorders>
          </w:tcPr>
          <w:p>
            <w:pPr>
              <w:jc w:val="right"/>
              <w:ind w:right="78"/>
              <w:spacing w:after="0"/>
              <w:rPr>
                <w:sz w:val="20"/>
                <w:szCs w:val="20"/>
                <w:color w:val="auto"/>
              </w:rPr>
            </w:pPr>
            <w:r>
              <w:rPr>
                <w:rFonts w:ascii="Arial" w:cs="Arial" w:eastAsia="Arial" w:hAnsi="Arial"/>
                <w:sz w:val="13"/>
                <w:szCs w:val="13"/>
                <w:color w:val="auto"/>
              </w:rPr>
              <w:t>18,073,424</w:t>
            </w:r>
          </w:p>
        </w:tc>
        <w:tc>
          <w:tcPr>
            <w:tcW w:w="0" w:type="dxa"/>
            <w:vAlign w:val="bottom"/>
          </w:tcPr>
          <w:p>
            <w:pPr>
              <w:spacing w:after="0"/>
              <w:rPr>
                <w:sz w:val="1"/>
                <w:szCs w:val="1"/>
                <w:color w:val="auto"/>
              </w:rPr>
            </w:pPr>
          </w:p>
        </w:tc>
      </w:tr>
      <w:tr>
        <w:trPr>
          <w:trHeight w:val="102"/>
        </w:trPr>
        <w:tc>
          <w:tcPr>
            <w:tcW w:w="2100" w:type="dxa"/>
            <w:vAlign w:val="bottom"/>
          </w:tcPr>
          <w:p>
            <w:pPr>
              <w:ind w:left="100"/>
              <w:spacing w:after="0" w:line="102" w:lineRule="exact"/>
              <w:rPr>
                <w:sz w:val="20"/>
                <w:szCs w:val="20"/>
                <w:color w:val="auto"/>
              </w:rPr>
            </w:pPr>
            <w:r>
              <w:rPr>
                <w:rFonts w:ascii="Arial" w:cs="Arial" w:eastAsia="Arial" w:hAnsi="Arial"/>
                <w:sz w:val="10"/>
                <w:szCs w:val="10"/>
                <w:b w:val="1"/>
                <w:bCs w:val="1"/>
                <w:color w:val="4CCEDE"/>
              </w:rPr>
              <w:t>William Whitaker</w:t>
            </w: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Cash Severance</w:t>
            </w:r>
            <w:r>
              <w:rPr>
                <w:rFonts w:ascii="Arial" w:cs="Arial" w:eastAsia="Arial" w:hAnsi="Arial"/>
                <w:sz w:val="15"/>
                <w:szCs w:val="15"/>
                <w:color w:val="auto"/>
                <w:vertAlign w:val="superscript"/>
              </w:rPr>
              <w:t>(6)</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621,900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1,368,180</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Restricted Stock</w:t>
            </w:r>
            <w:r>
              <w:rPr>
                <w:rFonts w:ascii="Arial" w:cs="Arial" w:eastAsia="Arial" w:hAnsi="Arial"/>
                <w:sz w:val="15"/>
                <w:szCs w:val="15"/>
                <w:color w:val="auto"/>
                <w:vertAlign w:val="superscript"/>
              </w:rPr>
              <w:t>(7)</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113,271</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113,271</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113,271</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650,248</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Performance Stock</w:t>
            </w:r>
            <w:r>
              <w:rPr>
                <w:rFonts w:ascii="Arial" w:cs="Arial" w:eastAsia="Arial" w:hAnsi="Arial"/>
                <w:sz w:val="15"/>
                <w:szCs w:val="15"/>
                <w:color w:val="auto"/>
                <w:vertAlign w:val="superscript"/>
              </w:rPr>
              <w:t>(8)</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199,767</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199,767</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199,767</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1,584,817</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Incentive Compensation</w:t>
            </w:r>
            <w:r>
              <w:rPr>
                <w:rFonts w:ascii="Arial" w:cs="Arial" w:eastAsia="Arial" w:hAnsi="Arial"/>
                <w:sz w:val="16"/>
                <w:szCs w:val="16"/>
                <w:color w:val="auto"/>
                <w:vertAlign w:val="superscript"/>
              </w:rPr>
              <w:t>(9)</w:t>
            </w:r>
          </w:p>
        </w:tc>
        <w:tc>
          <w:tcPr>
            <w:tcW w:w="1180" w:type="dxa"/>
            <w:vAlign w:val="bottom"/>
            <w:gridSpan w:val="2"/>
          </w:tcPr>
          <w:p>
            <w:pPr>
              <w:jc w:val="right"/>
              <w:ind w:right="97"/>
              <w:spacing w:after="0" w:line="144" w:lineRule="exact"/>
              <w:rPr>
                <w:sz w:val="20"/>
                <w:szCs w:val="20"/>
                <w:color w:val="auto"/>
              </w:rPr>
            </w:pPr>
            <w:r>
              <w:rPr>
                <w:rFonts w:ascii="Arial" w:cs="Arial" w:eastAsia="Arial" w:hAnsi="Arial"/>
                <w:sz w:val="13"/>
                <w:szCs w:val="13"/>
                <w:color w:val="auto"/>
              </w:rPr>
              <w:t>243,686</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243,686</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243,686</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243,686</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243,686</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Welfare Benefit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25,157</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25,157</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Outplacement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5,200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5,200</w:t>
            </w:r>
          </w:p>
        </w:tc>
        <w:tc>
          <w:tcPr>
            <w:tcW w:w="0" w:type="dxa"/>
            <w:vAlign w:val="bottom"/>
          </w:tcPr>
          <w:p>
            <w:pPr>
              <w:spacing w:after="0"/>
              <w:rPr>
                <w:sz w:val="1"/>
                <w:szCs w:val="1"/>
                <w:color w:val="auto"/>
              </w:rPr>
            </w:pPr>
          </w:p>
        </w:tc>
      </w:tr>
      <w:tr>
        <w:trPr>
          <w:trHeight w:val="126"/>
        </w:trPr>
        <w:tc>
          <w:tcPr>
            <w:tcW w:w="2100" w:type="dxa"/>
            <w:vAlign w:val="bottom"/>
          </w:tcPr>
          <w:p>
            <w:pPr>
              <w:ind w:left="80"/>
              <w:spacing w:after="0" w:line="126" w:lineRule="exact"/>
              <w:rPr>
                <w:sz w:val="20"/>
                <w:szCs w:val="20"/>
                <w:color w:val="auto"/>
              </w:rPr>
            </w:pPr>
            <w:r>
              <w:rPr>
                <w:rFonts w:ascii="Arial" w:cs="Arial" w:eastAsia="Arial" w:hAnsi="Arial"/>
                <w:sz w:val="13"/>
                <w:szCs w:val="13"/>
                <w:color w:val="auto"/>
              </w:rPr>
              <w:t>Financial Planning</w:t>
            </w:r>
          </w:p>
        </w:tc>
        <w:tc>
          <w:tcPr>
            <w:tcW w:w="1180" w:type="dxa"/>
            <w:vAlign w:val="bottom"/>
            <w:gridSpan w:val="2"/>
          </w:tcPr>
          <w:p>
            <w:pPr>
              <w:jc w:val="right"/>
              <w:ind w:right="97"/>
              <w:spacing w:after="0" w:line="126" w:lineRule="exact"/>
              <w:rPr>
                <w:sz w:val="20"/>
                <w:szCs w:val="20"/>
                <w:color w:val="auto"/>
              </w:rPr>
            </w:pPr>
            <w:r>
              <w:rPr>
                <w:rFonts w:ascii="Arial" w:cs="Arial" w:eastAsia="Arial" w:hAnsi="Arial"/>
                <w:sz w:val="13"/>
                <w:szCs w:val="13"/>
                <w:color w:val="auto"/>
              </w:rPr>
              <w:t>15,000</w:t>
            </w:r>
          </w:p>
        </w:tc>
        <w:tc>
          <w:tcPr>
            <w:tcW w:w="118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26"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Severance Cutback</w:t>
            </w:r>
            <w:r>
              <w:rPr>
                <w:rFonts w:ascii="Arial" w:cs="Arial" w:eastAsia="Arial" w:hAnsi="Arial"/>
                <w:sz w:val="16"/>
                <w:szCs w:val="16"/>
                <w:color w:val="auto"/>
                <w:vertAlign w:val="superscript"/>
              </w:rPr>
              <w:t>(10)</w:t>
            </w:r>
          </w:p>
        </w:tc>
        <w:tc>
          <w:tcPr>
            <w:tcW w:w="100" w:type="dxa"/>
            <w:vAlign w:val="bottom"/>
          </w:tcPr>
          <w:p>
            <w:pPr>
              <w:spacing w:after="0"/>
              <w:rPr>
                <w:sz w:val="12"/>
                <w:szCs w:val="12"/>
                <w:color w:val="auto"/>
              </w:rPr>
            </w:pPr>
          </w:p>
        </w:tc>
        <w:tc>
          <w:tcPr>
            <w:tcW w:w="1080" w:type="dxa"/>
            <w:vAlign w:val="bottom"/>
          </w:tcPr>
          <w:p>
            <w:pPr>
              <w:jc w:val="right"/>
              <w:ind w:right="9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Borders>
              <w:bottom w:val="single" w:sz="8" w:color="867F7C"/>
            </w:tcBorders>
          </w:tcPr>
          <w:p>
            <w:pPr>
              <w:ind w:left="80"/>
              <w:spacing w:after="0"/>
              <w:rPr>
                <w:sz w:val="20"/>
                <w:szCs w:val="20"/>
                <w:color w:val="auto"/>
              </w:rPr>
            </w:pPr>
            <w:r>
              <w:rPr>
                <w:rFonts w:ascii="Arial" w:cs="Arial" w:eastAsia="Arial" w:hAnsi="Arial"/>
                <w:sz w:val="13"/>
                <w:szCs w:val="13"/>
                <w:color w:val="auto"/>
              </w:rPr>
              <w:t>Total</w:t>
            </w:r>
          </w:p>
        </w:tc>
        <w:tc>
          <w:tcPr>
            <w:tcW w:w="1180" w:type="dxa"/>
            <w:vAlign w:val="bottom"/>
            <w:tcBorders>
              <w:bottom w:val="single" w:sz="8" w:color="867F7C"/>
            </w:tcBorders>
            <w:gridSpan w:val="2"/>
          </w:tcPr>
          <w:p>
            <w:pPr>
              <w:jc w:val="right"/>
              <w:ind w:right="97"/>
              <w:spacing w:after="0"/>
              <w:rPr>
                <w:sz w:val="20"/>
                <w:szCs w:val="20"/>
                <w:color w:val="auto"/>
              </w:rPr>
            </w:pPr>
            <w:r>
              <w:rPr>
                <w:rFonts w:ascii="Arial" w:cs="Arial" w:eastAsia="Arial" w:hAnsi="Arial"/>
                <w:sz w:val="13"/>
                <w:szCs w:val="13"/>
                <w:color w:val="auto"/>
              </w:rPr>
              <w:t>1,223,981</w:t>
            </w:r>
          </w:p>
        </w:tc>
        <w:tc>
          <w:tcPr>
            <w:tcW w:w="118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556,724</w:t>
            </w:r>
          </w:p>
        </w:tc>
        <w:tc>
          <w:tcPr>
            <w:tcW w:w="11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556,724</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243,686</w:t>
            </w:r>
          </w:p>
        </w:tc>
        <w:tc>
          <w:tcPr>
            <w:tcW w:w="1120" w:type="dxa"/>
            <w:vAlign w:val="bottom"/>
            <w:tcBorders>
              <w:bottom w:val="single" w:sz="8" w:color="867F7C"/>
            </w:tcBorders>
          </w:tcPr>
          <w:p>
            <w:pPr>
              <w:jc w:val="right"/>
              <w:ind w:right="78"/>
              <w:spacing w:after="0"/>
              <w:rPr>
                <w:sz w:val="20"/>
                <w:szCs w:val="20"/>
                <w:color w:val="auto"/>
              </w:rPr>
            </w:pPr>
            <w:r>
              <w:rPr>
                <w:rFonts w:ascii="Arial" w:cs="Arial" w:eastAsia="Arial" w:hAnsi="Arial"/>
                <w:sz w:val="13"/>
                <w:szCs w:val="13"/>
                <w:color w:val="auto"/>
              </w:rPr>
              <w:t>3,892,288</w:t>
            </w:r>
          </w:p>
        </w:tc>
        <w:tc>
          <w:tcPr>
            <w:tcW w:w="0" w:type="dxa"/>
            <w:vAlign w:val="bottom"/>
          </w:tcPr>
          <w:p>
            <w:pPr>
              <w:spacing w:after="0"/>
              <w:rPr>
                <w:sz w:val="1"/>
                <w:szCs w:val="1"/>
                <w:color w:val="auto"/>
              </w:rPr>
            </w:pPr>
          </w:p>
        </w:tc>
      </w:tr>
      <w:tr>
        <w:trPr>
          <w:trHeight w:val="102"/>
        </w:trPr>
        <w:tc>
          <w:tcPr>
            <w:tcW w:w="2100" w:type="dxa"/>
            <w:vAlign w:val="bottom"/>
          </w:tcPr>
          <w:p>
            <w:pPr>
              <w:ind w:left="100"/>
              <w:spacing w:after="0" w:line="102" w:lineRule="exact"/>
              <w:rPr>
                <w:sz w:val="20"/>
                <w:szCs w:val="20"/>
                <w:color w:val="auto"/>
              </w:rPr>
            </w:pPr>
            <w:r>
              <w:rPr>
                <w:rFonts w:ascii="Arial" w:cs="Arial" w:eastAsia="Arial" w:hAnsi="Arial"/>
                <w:sz w:val="10"/>
                <w:szCs w:val="10"/>
                <w:b w:val="1"/>
                <w:bCs w:val="1"/>
                <w:color w:val="4CCEDE"/>
              </w:rPr>
              <w:t>Alessandra Faccin Assis</w:t>
            </w: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Cash Severance</w:t>
            </w:r>
            <w:r>
              <w:rPr>
                <w:rFonts w:ascii="Arial" w:cs="Arial" w:eastAsia="Arial" w:hAnsi="Arial"/>
                <w:sz w:val="15"/>
                <w:szCs w:val="15"/>
                <w:color w:val="auto"/>
                <w:vertAlign w:val="superscript"/>
              </w:rPr>
              <w:t>(6)</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757,050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1,705,530</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Restricted Stock</w:t>
            </w:r>
            <w:r>
              <w:rPr>
                <w:rFonts w:ascii="Arial" w:cs="Arial" w:eastAsia="Arial" w:hAnsi="Arial"/>
                <w:sz w:val="15"/>
                <w:szCs w:val="15"/>
                <w:color w:val="auto"/>
                <w:vertAlign w:val="superscript"/>
              </w:rPr>
              <w:t>(7)</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490,569</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490,569</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490,569</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847,230</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Performance Stock</w:t>
            </w:r>
            <w:r>
              <w:rPr>
                <w:rFonts w:ascii="Arial" w:cs="Arial" w:eastAsia="Arial" w:hAnsi="Arial"/>
                <w:sz w:val="15"/>
                <w:szCs w:val="15"/>
                <w:color w:val="auto"/>
                <w:vertAlign w:val="superscript"/>
              </w:rPr>
              <w:t>(8)</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94,044</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94,044</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94,044</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307,565</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Incentive Compensation</w:t>
            </w:r>
            <w:r>
              <w:rPr>
                <w:rFonts w:ascii="Arial" w:cs="Arial" w:eastAsia="Arial" w:hAnsi="Arial"/>
                <w:sz w:val="16"/>
                <w:szCs w:val="16"/>
                <w:color w:val="auto"/>
                <w:vertAlign w:val="superscript"/>
              </w:rPr>
              <w:t>(9)</w:t>
            </w:r>
          </w:p>
        </w:tc>
        <w:tc>
          <w:tcPr>
            <w:tcW w:w="1180" w:type="dxa"/>
            <w:vAlign w:val="bottom"/>
            <w:gridSpan w:val="2"/>
          </w:tcPr>
          <w:p>
            <w:pPr>
              <w:jc w:val="right"/>
              <w:ind w:right="97"/>
              <w:spacing w:after="0" w:line="144" w:lineRule="exact"/>
              <w:rPr>
                <w:sz w:val="20"/>
                <w:szCs w:val="20"/>
                <w:color w:val="auto"/>
              </w:rPr>
            </w:pPr>
            <w:r>
              <w:rPr>
                <w:rFonts w:ascii="Arial" w:cs="Arial" w:eastAsia="Arial" w:hAnsi="Arial"/>
                <w:sz w:val="13"/>
                <w:szCs w:val="13"/>
                <w:color w:val="auto"/>
              </w:rPr>
              <w:t>355,852</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355,852</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355,852</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355,852</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355,852</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Welfare Benefit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43,485</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43,485</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Outplacement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5,200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5,200</w:t>
            </w:r>
          </w:p>
        </w:tc>
        <w:tc>
          <w:tcPr>
            <w:tcW w:w="0" w:type="dxa"/>
            <w:vAlign w:val="bottom"/>
          </w:tcPr>
          <w:p>
            <w:pPr>
              <w:spacing w:after="0"/>
              <w:rPr>
                <w:sz w:val="1"/>
                <w:szCs w:val="1"/>
                <w:color w:val="auto"/>
              </w:rPr>
            </w:pPr>
          </w:p>
        </w:tc>
      </w:tr>
      <w:tr>
        <w:trPr>
          <w:trHeight w:val="126"/>
        </w:trPr>
        <w:tc>
          <w:tcPr>
            <w:tcW w:w="2100" w:type="dxa"/>
            <w:vAlign w:val="bottom"/>
          </w:tcPr>
          <w:p>
            <w:pPr>
              <w:ind w:left="80"/>
              <w:spacing w:after="0" w:line="126" w:lineRule="exact"/>
              <w:rPr>
                <w:sz w:val="20"/>
                <w:szCs w:val="20"/>
                <w:color w:val="auto"/>
              </w:rPr>
            </w:pPr>
            <w:r>
              <w:rPr>
                <w:rFonts w:ascii="Arial" w:cs="Arial" w:eastAsia="Arial" w:hAnsi="Arial"/>
                <w:sz w:val="13"/>
                <w:szCs w:val="13"/>
                <w:color w:val="auto"/>
              </w:rPr>
              <w:t>Financial Planning</w:t>
            </w:r>
          </w:p>
        </w:tc>
        <w:tc>
          <w:tcPr>
            <w:tcW w:w="1180" w:type="dxa"/>
            <w:vAlign w:val="bottom"/>
            <w:gridSpan w:val="2"/>
          </w:tcPr>
          <w:p>
            <w:pPr>
              <w:jc w:val="right"/>
              <w:ind w:right="97"/>
              <w:spacing w:after="0" w:line="126" w:lineRule="exact"/>
              <w:rPr>
                <w:sz w:val="20"/>
                <w:szCs w:val="20"/>
                <w:color w:val="auto"/>
              </w:rPr>
            </w:pPr>
            <w:r>
              <w:rPr>
                <w:rFonts w:ascii="Arial" w:cs="Arial" w:eastAsia="Arial" w:hAnsi="Arial"/>
                <w:sz w:val="13"/>
                <w:szCs w:val="13"/>
                <w:color w:val="auto"/>
              </w:rPr>
              <w:t>15,000</w:t>
            </w:r>
          </w:p>
        </w:tc>
        <w:tc>
          <w:tcPr>
            <w:tcW w:w="118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26"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Severance Cutback</w:t>
            </w:r>
            <w:r>
              <w:rPr>
                <w:rFonts w:ascii="Arial" w:cs="Arial" w:eastAsia="Arial" w:hAnsi="Arial"/>
                <w:sz w:val="16"/>
                <w:szCs w:val="16"/>
                <w:color w:val="auto"/>
                <w:vertAlign w:val="superscript"/>
              </w:rPr>
              <w:t>(10)</w:t>
            </w:r>
          </w:p>
        </w:tc>
        <w:tc>
          <w:tcPr>
            <w:tcW w:w="100" w:type="dxa"/>
            <w:vAlign w:val="bottom"/>
          </w:tcPr>
          <w:p>
            <w:pPr>
              <w:spacing w:after="0"/>
              <w:rPr>
                <w:sz w:val="12"/>
                <w:szCs w:val="12"/>
                <w:color w:val="auto"/>
              </w:rPr>
            </w:pPr>
          </w:p>
        </w:tc>
        <w:tc>
          <w:tcPr>
            <w:tcW w:w="1080" w:type="dxa"/>
            <w:vAlign w:val="bottom"/>
          </w:tcPr>
          <w:p>
            <w:pPr>
              <w:jc w:val="right"/>
              <w:ind w:right="9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Borders>
              <w:bottom w:val="single" w:sz="8" w:color="867F7C"/>
            </w:tcBorders>
          </w:tcPr>
          <w:p>
            <w:pPr>
              <w:ind w:left="80"/>
              <w:spacing w:after="0"/>
              <w:rPr>
                <w:sz w:val="20"/>
                <w:szCs w:val="20"/>
                <w:color w:val="auto"/>
              </w:rPr>
            </w:pPr>
            <w:r>
              <w:rPr>
                <w:rFonts w:ascii="Arial" w:cs="Arial" w:eastAsia="Arial" w:hAnsi="Arial"/>
                <w:sz w:val="13"/>
                <w:szCs w:val="13"/>
                <w:color w:val="auto"/>
              </w:rPr>
              <w:t>Total</w:t>
            </w:r>
          </w:p>
        </w:tc>
        <w:tc>
          <w:tcPr>
            <w:tcW w:w="1180" w:type="dxa"/>
            <w:vAlign w:val="bottom"/>
            <w:tcBorders>
              <w:bottom w:val="single" w:sz="8" w:color="867F7C"/>
            </w:tcBorders>
            <w:gridSpan w:val="2"/>
          </w:tcPr>
          <w:p>
            <w:pPr>
              <w:jc w:val="right"/>
              <w:ind w:right="97"/>
              <w:spacing w:after="0"/>
              <w:rPr>
                <w:sz w:val="20"/>
                <w:szCs w:val="20"/>
                <w:color w:val="auto"/>
              </w:rPr>
            </w:pPr>
            <w:r>
              <w:rPr>
                <w:rFonts w:ascii="Arial" w:cs="Arial" w:eastAsia="Arial" w:hAnsi="Arial"/>
                <w:sz w:val="13"/>
                <w:szCs w:val="13"/>
                <w:color w:val="auto"/>
              </w:rPr>
              <w:t>1,761,200</w:t>
            </w:r>
          </w:p>
        </w:tc>
        <w:tc>
          <w:tcPr>
            <w:tcW w:w="118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940,465</w:t>
            </w:r>
          </w:p>
        </w:tc>
        <w:tc>
          <w:tcPr>
            <w:tcW w:w="11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940,465</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355,852</w:t>
            </w:r>
          </w:p>
        </w:tc>
        <w:tc>
          <w:tcPr>
            <w:tcW w:w="1120" w:type="dxa"/>
            <w:vAlign w:val="bottom"/>
            <w:tcBorders>
              <w:bottom w:val="single" w:sz="8" w:color="867F7C"/>
            </w:tcBorders>
          </w:tcPr>
          <w:p>
            <w:pPr>
              <w:jc w:val="right"/>
              <w:ind w:right="78"/>
              <w:spacing w:after="0"/>
              <w:rPr>
                <w:sz w:val="20"/>
                <w:szCs w:val="20"/>
                <w:color w:val="auto"/>
              </w:rPr>
            </w:pPr>
            <w:r>
              <w:rPr>
                <w:rFonts w:ascii="Arial" w:cs="Arial" w:eastAsia="Arial" w:hAnsi="Arial"/>
                <w:sz w:val="13"/>
                <w:szCs w:val="13"/>
                <w:color w:val="auto"/>
              </w:rPr>
              <w:t>3,279,862</w:t>
            </w:r>
          </w:p>
        </w:tc>
        <w:tc>
          <w:tcPr>
            <w:tcW w:w="0" w:type="dxa"/>
            <w:vAlign w:val="bottom"/>
          </w:tcPr>
          <w:p>
            <w:pPr>
              <w:spacing w:after="0"/>
              <w:rPr>
                <w:sz w:val="1"/>
                <w:szCs w:val="1"/>
                <w:color w:val="auto"/>
              </w:rPr>
            </w:pPr>
          </w:p>
        </w:tc>
      </w:tr>
      <w:tr>
        <w:trPr>
          <w:trHeight w:val="102"/>
        </w:trPr>
        <w:tc>
          <w:tcPr>
            <w:tcW w:w="2100" w:type="dxa"/>
            <w:vAlign w:val="bottom"/>
          </w:tcPr>
          <w:p>
            <w:pPr>
              <w:ind w:left="100"/>
              <w:spacing w:after="0" w:line="102" w:lineRule="exact"/>
              <w:rPr>
                <w:sz w:val="20"/>
                <w:szCs w:val="20"/>
                <w:color w:val="auto"/>
              </w:rPr>
            </w:pPr>
            <w:r>
              <w:rPr>
                <w:rFonts w:ascii="Arial" w:cs="Arial" w:eastAsia="Arial" w:hAnsi="Arial"/>
                <w:sz w:val="10"/>
                <w:szCs w:val="10"/>
                <w:b w:val="1"/>
                <w:bCs w:val="1"/>
                <w:color w:val="4CCEDE"/>
              </w:rPr>
              <w:t>Osama Musa</w:t>
            </w: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Cash Severance</w:t>
            </w:r>
            <w:r>
              <w:rPr>
                <w:rFonts w:ascii="Arial" w:cs="Arial" w:eastAsia="Arial" w:hAnsi="Arial"/>
                <w:sz w:val="15"/>
                <w:szCs w:val="15"/>
                <w:color w:val="auto"/>
                <w:vertAlign w:val="superscript"/>
              </w:rPr>
              <w:t>(6)</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787,065</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1,796,465</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Restricted Stock</w:t>
            </w:r>
            <w:r>
              <w:rPr>
                <w:rFonts w:ascii="Arial" w:cs="Arial" w:eastAsia="Arial" w:hAnsi="Arial"/>
                <w:sz w:val="15"/>
                <w:szCs w:val="15"/>
                <w:color w:val="auto"/>
                <w:vertAlign w:val="superscript"/>
              </w:rPr>
              <w:t>(7)</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993,735</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993,735</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993,735</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993,508</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Performance Stock</w:t>
            </w:r>
            <w:r>
              <w:rPr>
                <w:rFonts w:ascii="Arial" w:cs="Arial" w:eastAsia="Arial" w:hAnsi="Arial"/>
                <w:sz w:val="15"/>
                <w:szCs w:val="15"/>
                <w:color w:val="auto"/>
                <w:vertAlign w:val="superscript"/>
              </w:rPr>
              <w:t>(8)</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837,981</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837,981</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837,981</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837,945</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Incentive Compensation</w:t>
            </w:r>
            <w:r>
              <w:rPr>
                <w:rFonts w:ascii="Arial" w:cs="Arial" w:eastAsia="Arial" w:hAnsi="Arial"/>
                <w:sz w:val="16"/>
                <w:szCs w:val="16"/>
                <w:color w:val="auto"/>
                <w:vertAlign w:val="superscript"/>
              </w:rPr>
              <w:t>(9)</w:t>
            </w:r>
          </w:p>
        </w:tc>
        <w:tc>
          <w:tcPr>
            <w:tcW w:w="1180" w:type="dxa"/>
            <w:vAlign w:val="bottom"/>
            <w:gridSpan w:val="2"/>
          </w:tcPr>
          <w:p>
            <w:pPr>
              <w:jc w:val="right"/>
              <w:ind w:right="97"/>
              <w:spacing w:after="0" w:line="144" w:lineRule="exact"/>
              <w:rPr>
                <w:sz w:val="20"/>
                <w:szCs w:val="20"/>
                <w:color w:val="auto"/>
              </w:rPr>
            </w:pPr>
            <w:r>
              <w:rPr>
                <w:rFonts w:ascii="Arial" w:cs="Arial" w:eastAsia="Arial" w:hAnsi="Arial"/>
                <w:sz w:val="13"/>
                <w:szCs w:val="13"/>
                <w:color w:val="auto"/>
              </w:rPr>
              <w:t>286,146</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286,146</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286,146</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286,146</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286,146</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Welfare Benefit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27,487</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27,487</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Outplacement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5,200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5,200</w:t>
            </w:r>
          </w:p>
        </w:tc>
        <w:tc>
          <w:tcPr>
            <w:tcW w:w="0" w:type="dxa"/>
            <w:vAlign w:val="bottom"/>
          </w:tcPr>
          <w:p>
            <w:pPr>
              <w:spacing w:after="0"/>
              <w:rPr>
                <w:sz w:val="1"/>
                <w:szCs w:val="1"/>
                <w:color w:val="auto"/>
              </w:rPr>
            </w:pPr>
          </w:p>
        </w:tc>
      </w:tr>
      <w:tr>
        <w:trPr>
          <w:trHeight w:val="126"/>
        </w:trPr>
        <w:tc>
          <w:tcPr>
            <w:tcW w:w="2100" w:type="dxa"/>
            <w:vAlign w:val="bottom"/>
          </w:tcPr>
          <w:p>
            <w:pPr>
              <w:ind w:left="80"/>
              <w:spacing w:after="0" w:line="126" w:lineRule="exact"/>
              <w:rPr>
                <w:sz w:val="20"/>
                <w:szCs w:val="20"/>
                <w:color w:val="auto"/>
              </w:rPr>
            </w:pPr>
            <w:r>
              <w:rPr>
                <w:rFonts w:ascii="Arial" w:cs="Arial" w:eastAsia="Arial" w:hAnsi="Arial"/>
                <w:sz w:val="13"/>
                <w:szCs w:val="13"/>
                <w:color w:val="auto"/>
              </w:rPr>
              <w:t>Financial Planning</w:t>
            </w:r>
          </w:p>
        </w:tc>
        <w:tc>
          <w:tcPr>
            <w:tcW w:w="1180" w:type="dxa"/>
            <w:vAlign w:val="bottom"/>
            <w:gridSpan w:val="2"/>
          </w:tcPr>
          <w:p>
            <w:pPr>
              <w:jc w:val="right"/>
              <w:ind w:right="97"/>
              <w:spacing w:after="0" w:line="126" w:lineRule="exact"/>
              <w:rPr>
                <w:sz w:val="20"/>
                <w:szCs w:val="20"/>
                <w:color w:val="auto"/>
              </w:rPr>
            </w:pPr>
            <w:r>
              <w:rPr>
                <w:rFonts w:ascii="Arial" w:cs="Arial" w:eastAsia="Arial" w:hAnsi="Arial"/>
                <w:sz w:val="13"/>
                <w:szCs w:val="13"/>
                <w:color w:val="auto"/>
              </w:rPr>
              <w:t>15,000</w:t>
            </w:r>
          </w:p>
        </w:tc>
        <w:tc>
          <w:tcPr>
            <w:tcW w:w="118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26"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Severance Cutback</w:t>
            </w:r>
            <w:r>
              <w:rPr>
                <w:rFonts w:ascii="Arial" w:cs="Arial" w:eastAsia="Arial" w:hAnsi="Arial"/>
                <w:sz w:val="16"/>
                <w:szCs w:val="16"/>
                <w:color w:val="auto"/>
                <w:vertAlign w:val="superscript"/>
              </w:rPr>
              <w:t>(10)</w:t>
            </w:r>
          </w:p>
        </w:tc>
        <w:tc>
          <w:tcPr>
            <w:tcW w:w="100" w:type="dxa"/>
            <w:vAlign w:val="bottom"/>
          </w:tcPr>
          <w:p>
            <w:pPr>
              <w:spacing w:after="0"/>
              <w:rPr>
                <w:sz w:val="12"/>
                <w:szCs w:val="12"/>
                <w:color w:val="auto"/>
              </w:rPr>
            </w:pPr>
          </w:p>
        </w:tc>
        <w:tc>
          <w:tcPr>
            <w:tcW w:w="1080" w:type="dxa"/>
            <w:vAlign w:val="bottom"/>
          </w:tcPr>
          <w:p>
            <w:pPr>
              <w:jc w:val="right"/>
              <w:ind w:right="9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Borders>
              <w:bottom w:val="single" w:sz="8" w:color="867F7C"/>
            </w:tcBorders>
          </w:tcPr>
          <w:p>
            <w:pPr>
              <w:ind w:left="80"/>
              <w:spacing w:after="0"/>
              <w:rPr>
                <w:sz w:val="20"/>
                <w:szCs w:val="20"/>
                <w:color w:val="auto"/>
              </w:rPr>
            </w:pPr>
            <w:r>
              <w:rPr>
                <w:rFonts w:ascii="Arial" w:cs="Arial" w:eastAsia="Arial" w:hAnsi="Arial"/>
                <w:sz w:val="13"/>
                <w:szCs w:val="13"/>
                <w:color w:val="auto"/>
              </w:rPr>
              <w:t>Total</w:t>
            </w:r>
          </w:p>
        </w:tc>
        <w:tc>
          <w:tcPr>
            <w:tcW w:w="1180" w:type="dxa"/>
            <w:vAlign w:val="bottom"/>
            <w:tcBorders>
              <w:bottom w:val="single" w:sz="8" w:color="867F7C"/>
            </w:tcBorders>
            <w:gridSpan w:val="2"/>
          </w:tcPr>
          <w:p>
            <w:pPr>
              <w:jc w:val="right"/>
              <w:ind w:right="97"/>
              <w:spacing w:after="0"/>
              <w:rPr>
                <w:sz w:val="20"/>
                <w:szCs w:val="20"/>
                <w:color w:val="auto"/>
              </w:rPr>
            </w:pPr>
            <w:r>
              <w:rPr>
                <w:rFonts w:ascii="Arial" w:cs="Arial" w:eastAsia="Arial" w:hAnsi="Arial"/>
                <w:sz w:val="13"/>
                <w:szCs w:val="13"/>
                <w:color w:val="auto"/>
              </w:rPr>
              <w:t>2,952,614</w:t>
            </w:r>
          </w:p>
        </w:tc>
        <w:tc>
          <w:tcPr>
            <w:tcW w:w="118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2,117,862</w:t>
            </w:r>
          </w:p>
        </w:tc>
        <w:tc>
          <w:tcPr>
            <w:tcW w:w="11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2,117,862</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286,146</w:t>
            </w:r>
          </w:p>
        </w:tc>
        <w:tc>
          <w:tcPr>
            <w:tcW w:w="1120" w:type="dxa"/>
            <w:vAlign w:val="bottom"/>
            <w:tcBorders>
              <w:bottom w:val="single" w:sz="8" w:color="867F7C"/>
            </w:tcBorders>
          </w:tcPr>
          <w:p>
            <w:pPr>
              <w:jc w:val="right"/>
              <w:ind w:right="78"/>
              <w:spacing w:after="0"/>
              <w:rPr>
                <w:sz w:val="20"/>
                <w:szCs w:val="20"/>
                <w:color w:val="auto"/>
              </w:rPr>
            </w:pPr>
            <w:r>
              <w:rPr>
                <w:rFonts w:ascii="Arial" w:cs="Arial" w:eastAsia="Arial" w:hAnsi="Arial"/>
                <w:sz w:val="13"/>
                <w:szCs w:val="13"/>
                <w:color w:val="auto"/>
              </w:rPr>
              <w:t>3,961,752</w:t>
            </w:r>
          </w:p>
        </w:tc>
        <w:tc>
          <w:tcPr>
            <w:tcW w:w="0" w:type="dxa"/>
            <w:vAlign w:val="bottom"/>
          </w:tcPr>
          <w:p>
            <w:pPr>
              <w:spacing w:after="0"/>
              <w:rPr>
                <w:sz w:val="1"/>
                <w:szCs w:val="1"/>
                <w:color w:val="auto"/>
              </w:rPr>
            </w:pPr>
          </w:p>
        </w:tc>
      </w:tr>
      <w:tr>
        <w:trPr>
          <w:trHeight w:val="102"/>
        </w:trPr>
        <w:tc>
          <w:tcPr>
            <w:tcW w:w="2100" w:type="dxa"/>
            <w:vAlign w:val="bottom"/>
          </w:tcPr>
          <w:p>
            <w:pPr>
              <w:ind w:left="100"/>
              <w:spacing w:after="0" w:line="102" w:lineRule="exact"/>
              <w:rPr>
                <w:sz w:val="20"/>
                <w:szCs w:val="20"/>
                <w:color w:val="auto"/>
              </w:rPr>
            </w:pPr>
            <w:r>
              <w:rPr>
                <w:rFonts w:ascii="Arial" w:cs="Arial" w:eastAsia="Arial" w:hAnsi="Arial"/>
                <w:sz w:val="10"/>
                <w:szCs w:val="10"/>
                <w:b w:val="1"/>
                <w:bCs w:val="1"/>
                <w:color w:val="4CCEDE"/>
              </w:rPr>
              <w:t>James Minicucci</w:t>
            </w: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Cash Severance</w:t>
            </w:r>
            <w:r>
              <w:rPr>
                <w:rFonts w:ascii="Arial" w:cs="Arial" w:eastAsia="Arial" w:hAnsi="Arial"/>
                <w:sz w:val="15"/>
                <w:szCs w:val="15"/>
                <w:color w:val="auto"/>
                <w:vertAlign w:val="superscript"/>
              </w:rPr>
              <w:t>(6)</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692,160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1,522,752</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Restricted Stock</w:t>
            </w:r>
            <w:r>
              <w:rPr>
                <w:rFonts w:ascii="Arial" w:cs="Arial" w:eastAsia="Arial" w:hAnsi="Arial"/>
                <w:sz w:val="15"/>
                <w:szCs w:val="15"/>
                <w:color w:val="auto"/>
                <w:vertAlign w:val="superscript"/>
              </w:rPr>
              <w:t>(7)</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181,407</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181,407</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497,872</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Performance Stock</w:t>
            </w:r>
            <w:r>
              <w:rPr>
                <w:rFonts w:ascii="Arial" w:cs="Arial" w:eastAsia="Arial" w:hAnsi="Arial"/>
                <w:sz w:val="15"/>
                <w:szCs w:val="15"/>
                <w:color w:val="auto"/>
                <w:vertAlign w:val="superscript"/>
              </w:rPr>
              <w:t>(8)</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354,501</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354,501</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497,872</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Incentive Compensation</w:t>
            </w:r>
            <w:r>
              <w:rPr>
                <w:rFonts w:ascii="Arial" w:cs="Arial" w:eastAsia="Arial" w:hAnsi="Arial"/>
                <w:sz w:val="16"/>
                <w:szCs w:val="16"/>
                <w:color w:val="auto"/>
                <w:vertAlign w:val="superscript"/>
              </w:rPr>
              <w:t>(9)</w:t>
            </w:r>
          </w:p>
        </w:tc>
        <w:tc>
          <w:tcPr>
            <w:tcW w:w="1180" w:type="dxa"/>
            <w:vAlign w:val="bottom"/>
            <w:gridSpan w:val="2"/>
          </w:tcPr>
          <w:p>
            <w:pPr>
              <w:jc w:val="right"/>
              <w:ind w:right="97"/>
              <w:spacing w:after="0" w:line="144" w:lineRule="exact"/>
              <w:rPr>
                <w:sz w:val="20"/>
                <w:szCs w:val="20"/>
                <w:color w:val="auto"/>
              </w:rPr>
            </w:pPr>
            <w:r>
              <w:rPr>
                <w:rFonts w:ascii="Arial" w:cs="Arial" w:eastAsia="Arial" w:hAnsi="Arial"/>
                <w:sz w:val="13"/>
                <w:szCs w:val="13"/>
                <w:color w:val="auto"/>
              </w:rPr>
              <w:t>311,409</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311,409</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311,409</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311,409</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311,409</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Welfare Benefit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43,485</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43,485</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Outplacement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5,200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5,200</w:t>
            </w:r>
          </w:p>
        </w:tc>
        <w:tc>
          <w:tcPr>
            <w:tcW w:w="0" w:type="dxa"/>
            <w:vAlign w:val="bottom"/>
          </w:tcPr>
          <w:p>
            <w:pPr>
              <w:spacing w:after="0"/>
              <w:rPr>
                <w:sz w:val="1"/>
                <w:szCs w:val="1"/>
                <w:color w:val="auto"/>
              </w:rPr>
            </w:pPr>
          </w:p>
        </w:tc>
      </w:tr>
      <w:tr>
        <w:trPr>
          <w:trHeight w:val="126"/>
        </w:trPr>
        <w:tc>
          <w:tcPr>
            <w:tcW w:w="2100" w:type="dxa"/>
            <w:vAlign w:val="bottom"/>
          </w:tcPr>
          <w:p>
            <w:pPr>
              <w:ind w:left="80"/>
              <w:spacing w:after="0" w:line="126" w:lineRule="exact"/>
              <w:rPr>
                <w:sz w:val="20"/>
                <w:szCs w:val="20"/>
                <w:color w:val="auto"/>
              </w:rPr>
            </w:pPr>
            <w:r>
              <w:rPr>
                <w:rFonts w:ascii="Arial" w:cs="Arial" w:eastAsia="Arial" w:hAnsi="Arial"/>
                <w:sz w:val="13"/>
                <w:szCs w:val="13"/>
                <w:color w:val="auto"/>
              </w:rPr>
              <w:t>Financial Planning</w:t>
            </w:r>
          </w:p>
        </w:tc>
        <w:tc>
          <w:tcPr>
            <w:tcW w:w="1180" w:type="dxa"/>
            <w:vAlign w:val="bottom"/>
            <w:gridSpan w:val="2"/>
          </w:tcPr>
          <w:p>
            <w:pPr>
              <w:jc w:val="right"/>
              <w:ind w:right="97"/>
              <w:spacing w:after="0" w:line="126" w:lineRule="exact"/>
              <w:rPr>
                <w:sz w:val="20"/>
                <w:szCs w:val="20"/>
                <w:color w:val="auto"/>
              </w:rPr>
            </w:pPr>
            <w:r>
              <w:rPr>
                <w:rFonts w:ascii="Arial" w:cs="Arial" w:eastAsia="Arial" w:hAnsi="Arial"/>
                <w:sz w:val="13"/>
                <w:szCs w:val="13"/>
                <w:color w:val="auto"/>
              </w:rPr>
              <w:t>15,000</w:t>
            </w:r>
          </w:p>
        </w:tc>
        <w:tc>
          <w:tcPr>
            <w:tcW w:w="118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26"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Severance Cutback</w:t>
            </w:r>
            <w:r>
              <w:rPr>
                <w:rFonts w:ascii="Arial" w:cs="Arial" w:eastAsia="Arial" w:hAnsi="Arial"/>
                <w:sz w:val="16"/>
                <w:szCs w:val="16"/>
                <w:color w:val="auto"/>
                <w:vertAlign w:val="superscript"/>
              </w:rPr>
              <w:t>(10)</w:t>
            </w:r>
          </w:p>
        </w:tc>
        <w:tc>
          <w:tcPr>
            <w:tcW w:w="100" w:type="dxa"/>
            <w:vAlign w:val="bottom"/>
          </w:tcPr>
          <w:p>
            <w:pPr>
              <w:spacing w:after="0"/>
              <w:rPr>
                <w:sz w:val="12"/>
                <w:szCs w:val="12"/>
                <w:color w:val="auto"/>
              </w:rPr>
            </w:pPr>
          </w:p>
        </w:tc>
        <w:tc>
          <w:tcPr>
            <w:tcW w:w="1080" w:type="dxa"/>
            <w:vAlign w:val="bottom"/>
          </w:tcPr>
          <w:p>
            <w:pPr>
              <w:jc w:val="right"/>
              <w:ind w:right="9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Borders>
              <w:bottom w:val="single" w:sz="8" w:color="867F7C"/>
            </w:tcBorders>
          </w:tcPr>
          <w:p>
            <w:pPr>
              <w:ind w:left="80"/>
              <w:spacing w:after="0"/>
              <w:rPr>
                <w:sz w:val="20"/>
                <w:szCs w:val="20"/>
                <w:color w:val="auto"/>
              </w:rPr>
            </w:pPr>
            <w:r>
              <w:rPr>
                <w:rFonts w:ascii="Arial" w:cs="Arial" w:eastAsia="Arial" w:hAnsi="Arial"/>
                <w:sz w:val="13"/>
                <w:szCs w:val="13"/>
                <w:color w:val="auto"/>
              </w:rPr>
              <w:t>Total</w:t>
            </w:r>
          </w:p>
        </w:tc>
        <w:tc>
          <w:tcPr>
            <w:tcW w:w="1180" w:type="dxa"/>
            <w:vAlign w:val="bottom"/>
            <w:tcBorders>
              <w:bottom w:val="single" w:sz="8" w:color="867F7C"/>
            </w:tcBorders>
            <w:gridSpan w:val="2"/>
          </w:tcPr>
          <w:p>
            <w:pPr>
              <w:jc w:val="right"/>
              <w:ind w:right="97"/>
              <w:spacing w:after="0"/>
              <w:rPr>
                <w:sz w:val="20"/>
                <w:szCs w:val="20"/>
                <w:color w:val="auto"/>
              </w:rPr>
            </w:pPr>
            <w:r>
              <w:rPr>
                <w:rFonts w:ascii="Arial" w:cs="Arial" w:eastAsia="Arial" w:hAnsi="Arial"/>
                <w:sz w:val="13"/>
                <w:szCs w:val="13"/>
                <w:color w:val="auto"/>
              </w:rPr>
              <w:t>1,603,162</w:t>
            </w:r>
          </w:p>
        </w:tc>
        <w:tc>
          <w:tcPr>
            <w:tcW w:w="118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847,317</w:t>
            </w:r>
          </w:p>
        </w:tc>
        <w:tc>
          <w:tcPr>
            <w:tcW w:w="11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311,409</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311,409</w:t>
            </w:r>
          </w:p>
        </w:tc>
        <w:tc>
          <w:tcPr>
            <w:tcW w:w="1120" w:type="dxa"/>
            <w:vAlign w:val="bottom"/>
            <w:tcBorders>
              <w:bottom w:val="single" w:sz="8" w:color="867F7C"/>
            </w:tcBorders>
          </w:tcPr>
          <w:p>
            <w:pPr>
              <w:jc w:val="right"/>
              <w:ind w:right="78"/>
              <w:spacing w:after="0"/>
              <w:rPr>
                <w:sz w:val="20"/>
                <w:szCs w:val="20"/>
                <w:color w:val="auto"/>
              </w:rPr>
            </w:pPr>
            <w:r>
              <w:rPr>
                <w:rFonts w:ascii="Arial" w:cs="Arial" w:eastAsia="Arial" w:hAnsi="Arial"/>
                <w:sz w:val="13"/>
                <w:szCs w:val="13"/>
                <w:color w:val="auto"/>
              </w:rPr>
              <w:t>2,893,589</w:t>
            </w:r>
          </w:p>
        </w:tc>
        <w:tc>
          <w:tcPr>
            <w:tcW w:w="0" w:type="dxa"/>
            <w:vAlign w:val="bottom"/>
          </w:tcPr>
          <w:p>
            <w:pPr>
              <w:spacing w:after="0"/>
              <w:rPr>
                <w:sz w:val="1"/>
                <w:szCs w:val="1"/>
                <w:color w:val="auto"/>
              </w:rPr>
            </w:pPr>
          </w:p>
        </w:tc>
      </w:tr>
      <w:tr>
        <w:trPr>
          <w:trHeight w:val="102"/>
        </w:trPr>
        <w:tc>
          <w:tcPr>
            <w:tcW w:w="2100" w:type="dxa"/>
            <w:vAlign w:val="bottom"/>
          </w:tcPr>
          <w:p>
            <w:pPr>
              <w:ind w:left="100"/>
              <w:spacing w:after="0" w:line="102" w:lineRule="exact"/>
              <w:rPr>
                <w:sz w:val="20"/>
                <w:szCs w:val="20"/>
                <w:color w:val="auto"/>
              </w:rPr>
            </w:pPr>
            <w:r>
              <w:rPr>
                <w:rFonts w:ascii="Arial" w:cs="Arial" w:eastAsia="Arial" w:hAnsi="Arial"/>
                <w:sz w:val="10"/>
                <w:szCs w:val="10"/>
                <w:b w:val="1"/>
                <w:bCs w:val="1"/>
                <w:color w:val="4CCEDE"/>
              </w:rPr>
              <w:t>Karl Bostaph</w:t>
            </w: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Cash Severance</w:t>
            </w:r>
            <w:r>
              <w:rPr>
                <w:rFonts w:ascii="Arial" w:cs="Arial" w:eastAsia="Arial" w:hAnsi="Arial"/>
                <w:sz w:val="15"/>
                <w:szCs w:val="15"/>
                <w:color w:val="auto"/>
                <w:vertAlign w:val="superscript"/>
              </w:rPr>
              <w:t>(6)</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603,570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1,327,854</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Restricted Stock</w:t>
            </w:r>
            <w:r>
              <w:rPr>
                <w:rFonts w:ascii="Arial" w:cs="Arial" w:eastAsia="Arial" w:hAnsi="Arial"/>
                <w:sz w:val="15"/>
                <w:szCs w:val="15"/>
                <w:color w:val="auto"/>
                <w:vertAlign w:val="superscript"/>
              </w:rPr>
              <w:t>(7)</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239,598</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239,598</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239,598</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239,792</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Performance Stock</w:t>
            </w:r>
            <w:r>
              <w:rPr>
                <w:rFonts w:ascii="Arial" w:cs="Arial" w:eastAsia="Arial" w:hAnsi="Arial"/>
                <w:sz w:val="15"/>
                <w:szCs w:val="15"/>
                <w:color w:val="auto"/>
                <w:vertAlign w:val="superscript"/>
              </w:rPr>
              <w:t>(8)</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408,306</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408,306</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408,306</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408,336</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Incentive Compensation</w:t>
            </w:r>
            <w:r>
              <w:rPr>
                <w:rFonts w:ascii="Arial" w:cs="Arial" w:eastAsia="Arial" w:hAnsi="Arial"/>
                <w:sz w:val="16"/>
                <w:szCs w:val="16"/>
                <w:color w:val="auto"/>
                <w:vertAlign w:val="superscript"/>
              </w:rPr>
              <w:t>(9)</w:t>
            </w:r>
          </w:p>
        </w:tc>
        <w:tc>
          <w:tcPr>
            <w:tcW w:w="1180" w:type="dxa"/>
            <w:vAlign w:val="bottom"/>
            <w:gridSpan w:val="2"/>
          </w:tcPr>
          <w:p>
            <w:pPr>
              <w:jc w:val="right"/>
              <w:ind w:right="97"/>
              <w:spacing w:after="0" w:line="144" w:lineRule="exact"/>
              <w:rPr>
                <w:sz w:val="20"/>
                <w:szCs w:val="20"/>
                <w:color w:val="auto"/>
              </w:rPr>
            </w:pPr>
            <w:r>
              <w:rPr>
                <w:rFonts w:ascii="Arial" w:cs="Arial" w:eastAsia="Arial" w:hAnsi="Arial"/>
                <w:sz w:val="13"/>
                <w:szCs w:val="13"/>
                <w:color w:val="auto"/>
              </w:rPr>
              <w:t>236,504</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236,504</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236,504</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236,504</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236,504</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Welfare Benefit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29,330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29,330</w:t>
            </w:r>
          </w:p>
        </w:tc>
        <w:tc>
          <w:tcPr>
            <w:tcW w:w="0" w:type="dxa"/>
            <w:vAlign w:val="bottom"/>
          </w:tcPr>
          <w:p>
            <w:pPr>
              <w:spacing w:after="0"/>
              <w:rPr>
                <w:sz w:val="1"/>
                <w:szCs w:val="1"/>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Outplacement</w:t>
            </w:r>
          </w:p>
        </w:tc>
        <w:tc>
          <w:tcPr>
            <w:tcW w:w="11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5,200</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5,200</w:t>
            </w:r>
          </w:p>
        </w:tc>
        <w:tc>
          <w:tcPr>
            <w:tcW w:w="0" w:type="dxa"/>
            <w:vAlign w:val="bottom"/>
          </w:tcPr>
          <w:p>
            <w:pPr>
              <w:spacing w:after="0"/>
              <w:rPr>
                <w:sz w:val="1"/>
                <w:szCs w:val="1"/>
                <w:color w:val="auto"/>
              </w:rPr>
            </w:pPr>
          </w:p>
        </w:tc>
      </w:tr>
      <w:tr>
        <w:trPr>
          <w:trHeight w:val="126"/>
        </w:trPr>
        <w:tc>
          <w:tcPr>
            <w:tcW w:w="2100" w:type="dxa"/>
            <w:vAlign w:val="bottom"/>
          </w:tcPr>
          <w:p>
            <w:pPr>
              <w:ind w:left="80"/>
              <w:spacing w:after="0" w:line="126" w:lineRule="exact"/>
              <w:rPr>
                <w:sz w:val="20"/>
                <w:szCs w:val="20"/>
                <w:color w:val="auto"/>
              </w:rPr>
            </w:pPr>
            <w:r>
              <w:rPr>
                <w:rFonts w:ascii="Arial" w:cs="Arial" w:eastAsia="Arial" w:hAnsi="Arial"/>
                <w:sz w:val="13"/>
                <w:szCs w:val="13"/>
                <w:color w:val="auto"/>
              </w:rPr>
              <w:t>Financial Planning</w:t>
            </w:r>
          </w:p>
        </w:tc>
        <w:tc>
          <w:tcPr>
            <w:tcW w:w="1180" w:type="dxa"/>
            <w:vAlign w:val="bottom"/>
            <w:gridSpan w:val="2"/>
          </w:tcPr>
          <w:p>
            <w:pPr>
              <w:jc w:val="right"/>
              <w:ind w:right="97"/>
              <w:spacing w:after="0" w:line="126" w:lineRule="exact"/>
              <w:rPr>
                <w:sz w:val="20"/>
                <w:szCs w:val="20"/>
                <w:color w:val="auto"/>
              </w:rPr>
            </w:pPr>
            <w:r>
              <w:rPr>
                <w:rFonts w:ascii="Arial" w:cs="Arial" w:eastAsia="Arial" w:hAnsi="Arial"/>
                <w:sz w:val="13"/>
                <w:szCs w:val="13"/>
                <w:color w:val="auto"/>
              </w:rPr>
              <w:t>15,000</w:t>
            </w:r>
          </w:p>
        </w:tc>
        <w:tc>
          <w:tcPr>
            <w:tcW w:w="118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3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78"/>
              <w:spacing w:after="0" w:line="126"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Severance Cutback</w:t>
            </w:r>
            <w:r>
              <w:rPr>
                <w:rFonts w:ascii="Arial" w:cs="Arial" w:eastAsia="Arial" w:hAnsi="Arial"/>
                <w:sz w:val="16"/>
                <w:szCs w:val="16"/>
                <w:color w:val="auto"/>
                <w:vertAlign w:val="superscript"/>
              </w:rPr>
              <w:t>(10)</w:t>
            </w:r>
          </w:p>
        </w:tc>
        <w:tc>
          <w:tcPr>
            <w:tcW w:w="100" w:type="dxa"/>
            <w:vAlign w:val="bottom"/>
          </w:tcPr>
          <w:p>
            <w:pPr>
              <w:spacing w:after="0"/>
              <w:rPr>
                <w:sz w:val="12"/>
                <w:szCs w:val="12"/>
                <w:color w:val="auto"/>
              </w:rPr>
            </w:pPr>
          </w:p>
        </w:tc>
        <w:tc>
          <w:tcPr>
            <w:tcW w:w="1080" w:type="dxa"/>
            <w:vAlign w:val="bottom"/>
          </w:tcPr>
          <w:p>
            <w:pPr>
              <w:jc w:val="right"/>
              <w:ind w:right="9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6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78"/>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Borders>
              <w:bottom w:val="single" w:sz="8" w:color="867F7C"/>
            </w:tcBorders>
          </w:tcPr>
          <w:p>
            <w:pPr>
              <w:ind w:left="80"/>
              <w:spacing w:after="0"/>
              <w:rPr>
                <w:sz w:val="20"/>
                <w:szCs w:val="20"/>
                <w:color w:val="auto"/>
              </w:rPr>
            </w:pPr>
            <w:r>
              <w:rPr>
                <w:rFonts w:ascii="Arial" w:cs="Arial" w:eastAsia="Arial" w:hAnsi="Arial"/>
                <w:sz w:val="13"/>
                <w:szCs w:val="13"/>
                <w:color w:val="auto"/>
              </w:rPr>
              <w:t>Total</w:t>
            </w:r>
          </w:p>
        </w:tc>
        <w:tc>
          <w:tcPr>
            <w:tcW w:w="1180" w:type="dxa"/>
            <w:vAlign w:val="bottom"/>
            <w:tcBorders>
              <w:bottom w:val="single" w:sz="8" w:color="867F7C"/>
            </w:tcBorders>
            <w:gridSpan w:val="2"/>
          </w:tcPr>
          <w:p>
            <w:pPr>
              <w:jc w:val="right"/>
              <w:ind w:right="97"/>
              <w:spacing w:after="0"/>
              <w:rPr>
                <w:sz w:val="20"/>
                <w:szCs w:val="20"/>
                <w:color w:val="auto"/>
              </w:rPr>
            </w:pPr>
            <w:r>
              <w:rPr>
                <w:rFonts w:ascii="Arial" w:cs="Arial" w:eastAsia="Arial" w:hAnsi="Arial"/>
                <w:sz w:val="13"/>
                <w:szCs w:val="13"/>
                <w:color w:val="auto"/>
              </w:rPr>
              <w:t>1,537,507</w:t>
            </w:r>
          </w:p>
        </w:tc>
        <w:tc>
          <w:tcPr>
            <w:tcW w:w="118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884,408</w:t>
            </w:r>
          </w:p>
        </w:tc>
        <w:tc>
          <w:tcPr>
            <w:tcW w:w="1180" w:type="dxa"/>
            <w:vAlign w:val="bottom"/>
            <w:tcBorders>
              <w:bottom w:val="single" w:sz="8" w:color="867F7C"/>
            </w:tcBorders>
          </w:tcPr>
          <w:p>
            <w:pPr>
              <w:jc w:val="right"/>
              <w:ind w:right="1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884,408</w:t>
            </w:r>
          </w:p>
        </w:tc>
        <w:tc>
          <w:tcPr>
            <w:tcW w:w="1160" w:type="dxa"/>
            <w:vAlign w:val="bottom"/>
            <w:tcBorders>
              <w:bottom w:val="single" w:sz="8" w:color="867F7C"/>
            </w:tcBorders>
          </w:tcPr>
          <w:p>
            <w:pPr>
              <w:jc w:val="right"/>
              <w:ind w:right="117"/>
              <w:spacing w:after="0"/>
              <w:rPr>
                <w:sz w:val="20"/>
                <w:szCs w:val="20"/>
                <w:color w:val="auto"/>
              </w:rPr>
            </w:pPr>
            <w:r>
              <w:rPr>
                <w:rFonts w:ascii="Arial" w:cs="Arial" w:eastAsia="Arial" w:hAnsi="Arial"/>
                <w:sz w:val="13"/>
                <w:szCs w:val="13"/>
                <w:color w:val="auto"/>
              </w:rPr>
              <w:t>236,504</w:t>
            </w:r>
          </w:p>
        </w:tc>
        <w:tc>
          <w:tcPr>
            <w:tcW w:w="1120" w:type="dxa"/>
            <w:vAlign w:val="bottom"/>
            <w:tcBorders>
              <w:bottom w:val="single" w:sz="8" w:color="867F7C"/>
            </w:tcBorders>
          </w:tcPr>
          <w:p>
            <w:pPr>
              <w:jc w:val="right"/>
              <w:ind w:right="78"/>
              <w:spacing w:after="0"/>
              <w:rPr>
                <w:sz w:val="20"/>
                <w:szCs w:val="20"/>
                <w:color w:val="auto"/>
              </w:rPr>
            </w:pPr>
            <w:r>
              <w:rPr>
                <w:rFonts w:ascii="Arial" w:cs="Arial" w:eastAsia="Arial" w:hAnsi="Arial"/>
                <w:sz w:val="13"/>
                <w:szCs w:val="13"/>
                <w:color w:val="auto"/>
              </w:rPr>
              <w:t>2,262,016</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54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867F7C"/>
        </w:rPr>
        <w:t>2025 executive compensation tables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100" w:type="dxa"/>
            <w:vAlign w:val="bottom"/>
            <w:tcBorders>
              <w:top w:val="single" w:sz="8" w:color="867F7C"/>
            </w:tcBorders>
          </w:tcPr>
          <w:p>
            <w:pPr>
              <w:ind w:left="100"/>
              <w:spacing w:after="0" w:line="122" w:lineRule="exact"/>
              <w:rPr>
                <w:sz w:val="20"/>
                <w:szCs w:val="20"/>
                <w:color w:val="auto"/>
              </w:rPr>
            </w:pPr>
            <w:r>
              <w:rPr>
                <w:rFonts w:ascii="Arial" w:cs="Arial" w:eastAsia="Arial" w:hAnsi="Arial"/>
                <w:sz w:val="13"/>
                <w:szCs w:val="13"/>
                <w:b w:val="1"/>
                <w:bCs w:val="1"/>
                <w:color w:val="4CCEDE"/>
              </w:rPr>
              <w:t>J. Kevin Willis</w:t>
            </w:r>
          </w:p>
        </w:tc>
        <w:tc>
          <w:tcPr>
            <w:tcW w:w="1380" w:type="dxa"/>
            <w:vAlign w:val="bottom"/>
            <w:tcBorders>
              <w:top w:val="single" w:sz="8" w:color="867F7C"/>
            </w:tcBorders>
          </w:tcPr>
          <w:p>
            <w:pPr>
              <w:spacing w:after="0"/>
              <w:rPr>
                <w:sz w:val="10"/>
                <w:szCs w:val="10"/>
                <w:color w:val="auto"/>
              </w:rPr>
            </w:pPr>
          </w:p>
        </w:tc>
        <w:tc>
          <w:tcPr>
            <w:tcW w:w="1280" w:type="dxa"/>
            <w:vAlign w:val="bottom"/>
            <w:tcBorders>
              <w:top w:val="single" w:sz="8" w:color="867F7C"/>
            </w:tcBorders>
          </w:tcPr>
          <w:p>
            <w:pPr>
              <w:spacing w:after="0"/>
              <w:rPr>
                <w:sz w:val="10"/>
                <w:szCs w:val="10"/>
                <w:color w:val="auto"/>
              </w:rPr>
            </w:pPr>
          </w:p>
        </w:tc>
        <w:tc>
          <w:tcPr>
            <w:tcW w:w="1040" w:type="dxa"/>
            <w:vAlign w:val="bottom"/>
            <w:tcBorders>
              <w:top w:val="single" w:sz="8" w:color="867F7C"/>
            </w:tcBorders>
          </w:tcPr>
          <w:p>
            <w:pPr>
              <w:spacing w:after="0"/>
              <w:rPr>
                <w:sz w:val="10"/>
                <w:szCs w:val="10"/>
                <w:color w:val="auto"/>
              </w:rPr>
            </w:pPr>
          </w:p>
        </w:tc>
        <w:tc>
          <w:tcPr>
            <w:tcW w:w="1280" w:type="dxa"/>
            <w:vAlign w:val="bottom"/>
            <w:tcBorders>
              <w:top w:val="single" w:sz="8" w:color="867F7C"/>
            </w:tcBorders>
          </w:tcPr>
          <w:p>
            <w:pPr>
              <w:spacing w:after="0"/>
              <w:rPr>
                <w:sz w:val="10"/>
                <w:szCs w:val="10"/>
                <w:color w:val="auto"/>
              </w:rPr>
            </w:pPr>
          </w:p>
        </w:tc>
        <w:tc>
          <w:tcPr>
            <w:tcW w:w="1060" w:type="dxa"/>
            <w:vAlign w:val="bottom"/>
            <w:tcBorders>
              <w:top w:val="single" w:sz="8" w:color="867F7C"/>
            </w:tcBorders>
          </w:tcPr>
          <w:p>
            <w:pPr>
              <w:spacing w:after="0"/>
              <w:rPr>
                <w:sz w:val="10"/>
                <w:szCs w:val="10"/>
                <w:color w:val="auto"/>
              </w:rPr>
            </w:pPr>
          </w:p>
        </w:tc>
        <w:tc>
          <w:tcPr>
            <w:tcW w:w="940" w:type="dxa"/>
            <w:vAlign w:val="bottom"/>
            <w:tcBorders>
              <w:top w:val="single" w:sz="8" w:color="867F7C"/>
            </w:tcBorders>
          </w:tcPr>
          <w:p>
            <w:pPr>
              <w:spacing w:after="0"/>
              <w:rPr>
                <w:sz w:val="10"/>
                <w:szCs w:val="10"/>
                <w:color w:val="auto"/>
              </w:rPr>
            </w:pP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Cash Severance</w:t>
            </w:r>
            <w:r>
              <w:rPr>
                <w:rFonts w:ascii="Arial" w:cs="Arial" w:eastAsia="Arial" w:hAnsi="Arial"/>
                <w:sz w:val="15"/>
                <w:szCs w:val="15"/>
                <w:color w:val="auto"/>
                <w:vertAlign w:val="superscript"/>
              </w:rPr>
              <w:t>(6)</w:t>
            </w:r>
          </w:p>
        </w:tc>
        <w:tc>
          <w:tcPr>
            <w:tcW w:w="138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9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Restricted Stock</w:t>
            </w:r>
            <w:r>
              <w:rPr>
                <w:rFonts w:ascii="Arial" w:cs="Arial" w:eastAsia="Arial" w:hAnsi="Arial"/>
                <w:sz w:val="15"/>
                <w:szCs w:val="15"/>
                <w:color w:val="auto"/>
                <w:vertAlign w:val="superscript"/>
              </w:rPr>
              <w:t>(7)</w:t>
            </w:r>
          </w:p>
        </w:tc>
        <w:tc>
          <w:tcPr>
            <w:tcW w:w="138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9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2"/>
                <w:szCs w:val="12"/>
                <w:color w:val="auto"/>
              </w:rPr>
              <w:t>Performance Stock</w:t>
            </w:r>
            <w:r>
              <w:rPr>
                <w:rFonts w:ascii="Arial" w:cs="Arial" w:eastAsia="Arial" w:hAnsi="Arial"/>
                <w:sz w:val="15"/>
                <w:szCs w:val="15"/>
                <w:color w:val="auto"/>
                <w:vertAlign w:val="superscript"/>
              </w:rPr>
              <w:t>(8)</w:t>
            </w:r>
          </w:p>
        </w:tc>
        <w:tc>
          <w:tcPr>
            <w:tcW w:w="138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961,656</w:t>
            </w:r>
          </w:p>
        </w:tc>
        <w:tc>
          <w:tcPr>
            <w:tcW w:w="1280" w:type="dxa"/>
            <w:vAlign w:val="bottom"/>
          </w:tcPr>
          <w:p>
            <w:pPr>
              <w:jc w:val="right"/>
              <w:ind w:right="417"/>
              <w:spacing w:after="0" w:line="135" w:lineRule="exact"/>
              <w:rPr>
                <w:sz w:val="20"/>
                <w:szCs w:val="20"/>
                <w:color w:val="auto"/>
              </w:rPr>
            </w:pPr>
            <w:r>
              <w:rPr>
                <w:rFonts w:ascii="Arial" w:cs="Arial" w:eastAsia="Arial" w:hAnsi="Arial"/>
                <w:sz w:val="13"/>
                <w:szCs w:val="13"/>
                <w:color w:val="auto"/>
              </w:rPr>
              <w:t>961,656</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97"/>
              <w:spacing w:after="0" w:line="135" w:lineRule="exact"/>
              <w:rPr>
                <w:sz w:val="20"/>
                <w:szCs w:val="20"/>
                <w:color w:val="auto"/>
              </w:rPr>
            </w:pPr>
            <w:r>
              <w:rPr>
                <w:rFonts w:ascii="Arial" w:cs="Arial" w:eastAsia="Arial" w:hAnsi="Arial"/>
                <w:sz w:val="13"/>
                <w:szCs w:val="13"/>
                <w:color w:val="auto"/>
              </w:rPr>
              <w:t>961,656</w:t>
            </w:r>
          </w:p>
        </w:tc>
        <w:tc>
          <w:tcPr>
            <w:tcW w:w="10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961,656</w:t>
            </w: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Incentive Compensation</w:t>
            </w:r>
            <w:r>
              <w:rPr>
                <w:rFonts w:ascii="Arial" w:cs="Arial" w:eastAsia="Arial" w:hAnsi="Arial"/>
                <w:sz w:val="16"/>
                <w:szCs w:val="16"/>
                <w:color w:val="auto"/>
                <w:vertAlign w:val="superscript"/>
              </w:rPr>
              <w:t>(9)</w:t>
            </w:r>
          </w:p>
        </w:tc>
        <w:tc>
          <w:tcPr>
            <w:tcW w:w="1380" w:type="dxa"/>
            <w:vAlign w:val="bottom"/>
          </w:tcPr>
          <w:p>
            <w:pPr>
              <w:jc w:val="right"/>
              <w:ind w:right="297"/>
              <w:spacing w:after="0" w:line="144"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417"/>
              <w:spacing w:after="0" w:line="144"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97"/>
              <w:spacing w:after="0" w:line="144"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97"/>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Welfare Benefit</w:t>
            </w:r>
          </w:p>
        </w:tc>
        <w:tc>
          <w:tcPr>
            <w:tcW w:w="138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9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r>
      <w:tr>
        <w:trPr>
          <w:trHeight w:val="135"/>
        </w:trPr>
        <w:tc>
          <w:tcPr>
            <w:tcW w:w="2100" w:type="dxa"/>
            <w:vAlign w:val="bottom"/>
          </w:tcPr>
          <w:p>
            <w:pPr>
              <w:ind w:left="80"/>
              <w:spacing w:after="0" w:line="135" w:lineRule="exact"/>
              <w:rPr>
                <w:sz w:val="20"/>
                <w:szCs w:val="20"/>
                <w:color w:val="auto"/>
              </w:rPr>
            </w:pPr>
            <w:r>
              <w:rPr>
                <w:rFonts w:ascii="Arial" w:cs="Arial" w:eastAsia="Arial" w:hAnsi="Arial"/>
                <w:sz w:val="13"/>
                <w:szCs w:val="13"/>
                <w:color w:val="auto"/>
              </w:rPr>
              <w:t>Outplacement</w:t>
            </w:r>
          </w:p>
        </w:tc>
        <w:tc>
          <w:tcPr>
            <w:tcW w:w="138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9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r>
      <w:tr>
        <w:trPr>
          <w:trHeight w:val="126"/>
        </w:trPr>
        <w:tc>
          <w:tcPr>
            <w:tcW w:w="2100" w:type="dxa"/>
            <w:vAlign w:val="bottom"/>
          </w:tcPr>
          <w:p>
            <w:pPr>
              <w:ind w:left="80"/>
              <w:spacing w:after="0" w:line="126" w:lineRule="exact"/>
              <w:rPr>
                <w:sz w:val="20"/>
                <w:szCs w:val="20"/>
                <w:color w:val="auto"/>
              </w:rPr>
            </w:pPr>
            <w:r>
              <w:rPr>
                <w:rFonts w:ascii="Arial" w:cs="Arial" w:eastAsia="Arial" w:hAnsi="Arial"/>
                <w:sz w:val="13"/>
                <w:szCs w:val="13"/>
                <w:color w:val="auto"/>
              </w:rPr>
              <w:t>Financial Planning</w:t>
            </w:r>
          </w:p>
        </w:tc>
        <w:tc>
          <w:tcPr>
            <w:tcW w:w="1380" w:type="dxa"/>
            <w:vAlign w:val="bottom"/>
          </w:tcPr>
          <w:p>
            <w:pPr>
              <w:jc w:val="right"/>
              <w:ind w:right="297"/>
              <w:spacing w:after="0" w:line="126"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417"/>
              <w:spacing w:after="0" w:line="126"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97"/>
              <w:spacing w:after="0" w:line="126"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97"/>
              <w:spacing w:after="0" w:line="126"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97"/>
              <w:spacing w:after="0" w:line="12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26" w:lineRule="exact"/>
              <w:rPr>
                <w:sz w:val="20"/>
                <w:szCs w:val="20"/>
                <w:color w:val="auto"/>
              </w:rPr>
            </w:pPr>
            <w:r>
              <w:rPr>
                <w:rFonts w:ascii="Arial" w:cs="Arial" w:eastAsia="Arial" w:hAnsi="Arial"/>
                <w:sz w:val="13"/>
                <w:szCs w:val="13"/>
                <w:color w:val="auto"/>
              </w:rPr>
              <w:t>—</w:t>
            </w: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Severance Cutback</w:t>
            </w:r>
            <w:r>
              <w:rPr>
                <w:rFonts w:ascii="Arial" w:cs="Arial" w:eastAsia="Arial" w:hAnsi="Arial"/>
                <w:sz w:val="16"/>
                <w:szCs w:val="16"/>
                <w:color w:val="auto"/>
                <w:vertAlign w:val="superscript"/>
              </w:rPr>
              <w:t>(10)</w:t>
            </w:r>
          </w:p>
        </w:tc>
        <w:tc>
          <w:tcPr>
            <w:tcW w:w="1380" w:type="dxa"/>
            <w:vAlign w:val="bottom"/>
          </w:tcPr>
          <w:p>
            <w:pPr>
              <w:jc w:val="right"/>
              <w:ind w:right="297"/>
              <w:spacing w:after="0" w:line="144" w:lineRule="exact"/>
              <w:rPr>
                <w:sz w:val="20"/>
                <w:szCs w:val="20"/>
                <w:color w:val="auto"/>
              </w:rPr>
            </w:pPr>
            <w:r>
              <w:rPr>
                <w:rFonts w:ascii="Arial" w:cs="Arial" w:eastAsia="Arial" w:hAnsi="Arial"/>
                <w:sz w:val="13"/>
                <w:szCs w:val="13"/>
                <w:color w:val="auto"/>
              </w:rPr>
              <w:t>N/A</w:t>
            </w:r>
          </w:p>
        </w:tc>
        <w:tc>
          <w:tcPr>
            <w:tcW w:w="1280" w:type="dxa"/>
            <w:vAlign w:val="bottom"/>
          </w:tcPr>
          <w:p>
            <w:pPr>
              <w:jc w:val="right"/>
              <w:ind w:right="417"/>
              <w:spacing w:after="0" w:line="144" w:lineRule="exact"/>
              <w:rPr>
                <w:sz w:val="20"/>
                <w:szCs w:val="20"/>
                <w:color w:val="auto"/>
              </w:rPr>
            </w:pPr>
            <w:r>
              <w:rPr>
                <w:rFonts w:ascii="Arial" w:cs="Arial" w:eastAsia="Arial" w:hAnsi="Arial"/>
                <w:sz w:val="13"/>
                <w:szCs w:val="13"/>
                <w:color w:val="auto"/>
              </w:rPr>
              <w:t>N/A</w:t>
            </w:r>
          </w:p>
        </w:tc>
        <w:tc>
          <w:tcPr>
            <w:tcW w:w="1040" w:type="dxa"/>
            <w:vAlign w:val="bottom"/>
          </w:tcPr>
          <w:p>
            <w:pPr>
              <w:jc w:val="right"/>
              <w:ind w:right="297"/>
              <w:spacing w:after="0" w:line="144" w:lineRule="exact"/>
              <w:rPr>
                <w:sz w:val="20"/>
                <w:szCs w:val="20"/>
                <w:color w:val="auto"/>
              </w:rPr>
            </w:pPr>
            <w:r>
              <w:rPr>
                <w:rFonts w:ascii="Arial" w:cs="Arial" w:eastAsia="Arial" w:hAnsi="Arial"/>
                <w:sz w:val="13"/>
                <w:szCs w:val="13"/>
                <w:color w:val="auto"/>
              </w:rPr>
              <w:t>N/A</w:t>
            </w:r>
          </w:p>
        </w:tc>
        <w:tc>
          <w:tcPr>
            <w:tcW w:w="128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N/A</w:t>
            </w:r>
          </w:p>
        </w:tc>
        <w:tc>
          <w:tcPr>
            <w:tcW w:w="1060" w:type="dxa"/>
            <w:vAlign w:val="bottom"/>
          </w:tcPr>
          <w:p>
            <w:pPr>
              <w:jc w:val="right"/>
              <w:ind w:right="297"/>
              <w:spacing w:after="0" w:line="144" w:lineRule="exact"/>
              <w:rPr>
                <w:sz w:val="20"/>
                <w:szCs w:val="20"/>
                <w:color w:val="auto"/>
              </w:rPr>
            </w:pPr>
            <w:r>
              <w:rPr>
                <w:rFonts w:ascii="Arial" w:cs="Arial" w:eastAsia="Arial" w:hAnsi="Arial"/>
                <w:sz w:val="13"/>
                <w:szCs w:val="13"/>
                <w:color w:val="auto"/>
              </w:rPr>
              <w:t>N/A</w:t>
            </w:r>
          </w:p>
        </w:tc>
        <w:tc>
          <w:tcPr>
            <w:tcW w:w="9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r>
      <w:tr>
        <w:trPr>
          <w:trHeight w:val="153"/>
        </w:trPr>
        <w:tc>
          <w:tcPr>
            <w:tcW w:w="2100" w:type="dxa"/>
            <w:vAlign w:val="bottom"/>
            <w:tcBorders>
              <w:bottom w:val="single" w:sz="8" w:color="867F7C"/>
            </w:tcBorders>
          </w:tcPr>
          <w:p>
            <w:pPr>
              <w:ind w:left="80"/>
              <w:spacing w:after="0"/>
              <w:rPr>
                <w:sz w:val="20"/>
                <w:szCs w:val="20"/>
                <w:color w:val="auto"/>
              </w:rPr>
            </w:pPr>
            <w:r>
              <w:rPr>
                <w:rFonts w:ascii="Arial" w:cs="Arial" w:eastAsia="Arial" w:hAnsi="Arial"/>
                <w:sz w:val="13"/>
                <w:szCs w:val="13"/>
                <w:color w:val="auto"/>
              </w:rPr>
              <w:t>Total</w:t>
            </w:r>
          </w:p>
        </w:tc>
        <w:tc>
          <w:tcPr>
            <w:tcW w:w="1380" w:type="dxa"/>
            <w:vAlign w:val="bottom"/>
            <w:tcBorders>
              <w:bottom w:val="single" w:sz="8" w:color="867F7C"/>
            </w:tcBorders>
          </w:tcPr>
          <w:p>
            <w:pPr>
              <w:jc w:val="right"/>
              <w:ind w:right="297"/>
              <w:spacing w:after="0"/>
              <w:rPr>
                <w:sz w:val="20"/>
                <w:szCs w:val="20"/>
                <w:color w:val="auto"/>
              </w:rPr>
            </w:pPr>
            <w:r>
              <w:rPr>
                <w:rFonts w:ascii="Arial" w:cs="Arial" w:eastAsia="Arial" w:hAnsi="Arial"/>
                <w:sz w:val="13"/>
                <w:szCs w:val="13"/>
                <w:color w:val="auto"/>
              </w:rPr>
              <w:t>961,656</w:t>
            </w:r>
          </w:p>
        </w:tc>
        <w:tc>
          <w:tcPr>
            <w:tcW w:w="1280" w:type="dxa"/>
            <w:vAlign w:val="bottom"/>
            <w:tcBorders>
              <w:bottom w:val="single" w:sz="8" w:color="867F7C"/>
            </w:tcBorders>
          </w:tcPr>
          <w:p>
            <w:pPr>
              <w:jc w:val="right"/>
              <w:ind w:right="417"/>
              <w:spacing w:after="0"/>
              <w:rPr>
                <w:sz w:val="20"/>
                <w:szCs w:val="20"/>
                <w:color w:val="auto"/>
              </w:rPr>
            </w:pPr>
            <w:r>
              <w:rPr>
                <w:rFonts w:ascii="Arial" w:cs="Arial" w:eastAsia="Arial" w:hAnsi="Arial"/>
                <w:sz w:val="13"/>
                <w:szCs w:val="13"/>
                <w:color w:val="auto"/>
              </w:rPr>
              <w:t>961,656</w:t>
            </w:r>
          </w:p>
        </w:tc>
        <w:tc>
          <w:tcPr>
            <w:tcW w:w="1040" w:type="dxa"/>
            <w:vAlign w:val="bottom"/>
            <w:tcBorders>
              <w:bottom w:val="single" w:sz="8" w:color="867F7C"/>
            </w:tcBorders>
          </w:tcPr>
          <w:p>
            <w:pPr>
              <w:jc w:val="right"/>
              <w:ind w:right="29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867F7C"/>
            </w:tcBorders>
          </w:tcPr>
          <w:p>
            <w:pPr>
              <w:jc w:val="right"/>
              <w:ind w:right="397"/>
              <w:spacing w:after="0"/>
              <w:rPr>
                <w:sz w:val="20"/>
                <w:szCs w:val="20"/>
                <w:color w:val="auto"/>
              </w:rPr>
            </w:pPr>
            <w:r>
              <w:rPr>
                <w:rFonts w:ascii="Arial" w:cs="Arial" w:eastAsia="Arial" w:hAnsi="Arial"/>
                <w:sz w:val="13"/>
                <w:szCs w:val="13"/>
                <w:color w:val="auto"/>
              </w:rPr>
              <w:t>961,656</w:t>
            </w:r>
          </w:p>
        </w:tc>
        <w:tc>
          <w:tcPr>
            <w:tcW w:w="1060" w:type="dxa"/>
            <w:vAlign w:val="bottom"/>
            <w:tcBorders>
              <w:bottom w:val="single" w:sz="8" w:color="867F7C"/>
            </w:tcBorders>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867F7C"/>
            </w:tcBorders>
          </w:tcPr>
          <w:p>
            <w:pPr>
              <w:jc w:val="right"/>
              <w:ind w:right="77"/>
              <w:spacing w:after="0"/>
              <w:rPr>
                <w:sz w:val="20"/>
                <w:szCs w:val="20"/>
                <w:color w:val="auto"/>
              </w:rPr>
            </w:pPr>
            <w:r>
              <w:rPr>
                <w:rFonts w:ascii="Arial" w:cs="Arial" w:eastAsia="Arial" w:hAnsi="Arial"/>
                <w:sz w:val="13"/>
                <w:szCs w:val="13"/>
                <w:color w:val="auto"/>
              </w:rPr>
              <w:t>961,656</w:t>
            </w:r>
          </w:p>
        </w:tc>
      </w:tr>
    </w:tbl>
    <w:p>
      <w:pPr>
        <w:spacing w:after="0" w:line="112" w:lineRule="exact"/>
        <w:rPr>
          <w:sz w:val="20"/>
          <w:szCs w:val="20"/>
          <w:color w:val="auto"/>
        </w:rPr>
      </w:pPr>
    </w:p>
    <w:p>
      <w:pPr>
        <w:jc w:val="both"/>
        <w:ind w:left="240" w:hanging="232"/>
        <w:spacing w:after="0" w:line="250"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For purposes of the information reported in this column, it is assumed the NEO incurred a disabling event and termination of employment on September 30, 2025. Executives receive benefits pursuant to Ashland’s standard Long-Term Disability Plan which applies to substantially all of Ashland’s employees. Subject to coordination with other income received while disabled, the Long-Term Disability Plan provides a benefit equal to 60% of base compensation and is limited in 2025 to $12,000 per month. If the NEO died, his or her beneficiaries would receive the same accelerated vesting of the Performance Units as the named executive officer would in the event of disability. Under the EPIRP award agreements, if a NEO is terminated due to disability, the entire award will vest.</w:t>
      </w:r>
    </w:p>
    <w:p>
      <w:pPr>
        <w:spacing w:after="0" w:line="73" w:lineRule="exact"/>
        <w:rPr>
          <w:rFonts w:ascii="Times New Roman" w:cs="Times New Roman" w:eastAsia="Times New Roman" w:hAnsi="Times New Roman"/>
          <w:sz w:val="8"/>
          <w:szCs w:val="8"/>
          <w:color w:val="auto"/>
        </w:rPr>
      </w:pPr>
    </w:p>
    <w:p>
      <w:pPr>
        <w:ind w:left="240" w:hanging="232"/>
        <w:spacing w:after="0" w:line="285"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Ashland does not maintain any plans or arrangements that would provide additional or enhanced benefits to the NEOs solely as a result of a voluntary termination of employment.</w:t>
      </w:r>
    </w:p>
    <w:p>
      <w:pPr>
        <w:spacing w:after="0" w:line="49" w:lineRule="exact"/>
        <w:rPr>
          <w:rFonts w:ascii="Times New Roman" w:cs="Times New Roman" w:eastAsia="Times New Roman" w:hAnsi="Times New Roman"/>
          <w:sz w:val="8"/>
          <w:szCs w:val="8"/>
          <w:color w:val="auto"/>
        </w:rPr>
      </w:pPr>
    </w:p>
    <w:p>
      <w:pPr>
        <w:jc w:val="both"/>
        <w:ind w:left="240" w:hanging="232"/>
        <w:spacing w:after="0" w:line="250"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The requirements for retirement and receiving benefits under the retirement plans are 55 years of age or older and 10 years of service with the Company. Effective October 1, 2024, new equity grants will also recognize age 60 or older and 5 years of service with the Company for retirement benefit purposes. Mr. Novo has a specific retirement provision as a part of his initial employment agreement that provides that after completion of five years of service with the Company, all of Mr. Novo’s unvested equity awards will vest, on a pro-rata basis. This provision does not apply to Mr. Novo’s retention grant received in November 2023 that cliff vests after 3 years or pro-rated if he is asked to leave 18 months after grant date (with 6 months’ notice).</w:t>
      </w:r>
    </w:p>
    <w:p>
      <w:pPr>
        <w:spacing w:after="0" w:line="73" w:lineRule="exact"/>
        <w:rPr>
          <w:rFonts w:ascii="Times New Roman" w:cs="Times New Roman" w:eastAsia="Times New Roman" w:hAnsi="Times New Roman"/>
          <w:sz w:val="8"/>
          <w:szCs w:val="8"/>
          <w:color w:val="auto"/>
        </w:rPr>
      </w:pPr>
    </w:p>
    <w:p>
      <w:pPr>
        <w:jc w:val="both"/>
        <w:ind w:left="240" w:hanging="232"/>
        <w:spacing w:after="0" w:line="247"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For purposes of the information reported in this column, it is assumed that all equity and non-equity awards are replaced, substituted or assumed in connection with the change in control. Under the Employees’ Deferral Plan, in the event of a change in control, the named executive officers will receive an automatic lump sum distribution of the benefit for deferrals made before January 1, 2005. Deferrals made on or after January 1, 2005 will not be automatically distributed upon a change in control, but rather will be distributed pursuant to each employee’s election and valued at the time of the distribution. To the extent that an executive’s account is invested in hypothetical shares of Ashland Common Stock, those shares would be valued at the highest price for which Ashland Common Stock closed during the 30 days preceding the change in control. Under the NQDCP, a participant will become 100% vested in his or her accounts upon a change in control.</w:t>
      </w:r>
    </w:p>
    <w:p>
      <w:pPr>
        <w:spacing w:after="0" w:line="244" w:lineRule="exact"/>
        <w:rPr>
          <w:rFonts w:ascii="Times New Roman" w:cs="Times New Roman" w:eastAsia="Times New Roman" w:hAnsi="Times New Roman"/>
          <w:sz w:val="8"/>
          <w:szCs w:val="8"/>
          <w:color w:val="auto"/>
        </w:rPr>
      </w:pPr>
    </w:p>
    <w:p>
      <w:pPr>
        <w:jc w:val="both"/>
        <w:ind w:left="240" w:hanging="232"/>
        <w:spacing w:after="0" w:line="285"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A termination after a change in control assumes a termination on September 30, 2025 and the change in control occurring at an earlier time. Therefore, the amounts provided in this column include the amounts provided in the “Change in Control without Termination” column.</w:t>
      </w:r>
    </w:p>
    <w:p>
      <w:pPr>
        <w:spacing w:after="0" w:line="49" w:lineRule="exact"/>
        <w:rPr>
          <w:rFonts w:ascii="Times New Roman" w:cs="Times New Roman" w:eastAsia="Times New Roman" w:hAnsi="Times New Roman"/>
          <w:sz w:val="8"/>
          <w:szCs w:val="8"/>
          <w:color w:val="auto"/>
        </w:rPr>
      </w:pPr>
    </w:p>
    <w:p>
      <w:pPr>
        <w:jc w:val="both"/>
        <w:ind w:left="240" w:hanging="232"/>
        <w:spacing w:after="0" w:line="263"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Represents amounts and benefits payable or provided pursuant to the Senior Leadership Severance Plan, as applicable, each as described further below, financial planning services provided pursuant to Ashland policy for any NEOs without a change in control agreement, and payment for accrued but unused vacation time for each of our NEOs, in accordance with Ashland policy.</w:t>
      </w:r>
    </w:p>
    <w:p>
      <w:pPr>
        <w:spacing w:after="0" w:line="64" w:lineRule="exact"/>
        <w:rPr>
          <w:rFonts w:ascii="Times New Roman" w:cs="Times New Roman" w:eastAsia="Times New Roman" w:hAnsi="Times New Roman"/>
          <w:sz w:val="8"/>
          <w:szCs w:val="8"/>
          <w:color w:val="auto"/>
        </w:rPr>
      </w:pPr>
    </w:p>
    <w:p>
      <w:pPr>
        <w:jc w:val="both"/>
        <w:ind w:left="240" w:hanging="232"/>
        <w:spacing w:after="0" w:line="248"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Pursuant to the RSU award agreements under the 2018 Omnibus Plan and 2021 Omnibus Plan, provided such RSUs are assumed or replaced in connection with a change in control, RSUs only become immediately vested upon a qualifying termination in the two-year period following a change in control. Additionally, under the 2018 Omnibus Plan and 2021 Omnibus Plan, unvested RSUs will be pro-rated through the last day worked and the vesting would be accelerated. Finally, as part of the Senior Leadership Severance Plan, the Compensation Committee approved the acceleration of a pro-rated amount of RSUs in the case of a termination without cause. As such, that accelerated number is included in the “Termination prior to a “Change in Control of Company without Cause” column. Values provided are based on the closing price of Ashland Common Stock of $47.91 as reported on the NYSE on September 30, 2025.</w:t>
      </w:r>
    </w:p>
    <w:p>
      <w:pPr>
        <w:spacing w:after="0" w:line="77" w:lineRule="exact"/>
        <w:rPr>
          <w:rFonts w:ascii="Times New Roman" w:cs="Times New Roman" w:eastAsia="Times New Roman" w:hAnsi="Times New Roman"/>
          <w:sz w:val="8"/>
          <w:szCs w:val="8"/>
          <w:color w:val="auto"/>
        </w:rPr>
      </w:pPr>
    </w:p>
    <w:p>
      <w:pPr>
        <w:jc w:val="both"/>
        <w:ind w:left="240" w:hanging="232"/>
        <w:spacing w:after="0" w:line="250"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The LTIPP amounts identified in all of the columns are based on the actual results for the fiscal 2023-2025 performance period as this performance period is complete (payout at 0%) and target results for the fiscal 2024-2026 and 2025-2027 performance periods, as these performance periods are not complete. If one of the events represented by the columns titled “Termination prior to a Change in Control of Company without Cause,” “Death and Disability,” and “Retirement” occurred, the payments would be prorated based on service during the performance period. If a Termination after Change in Control of the Company without cause or by the Executive for Good Reason occurred, the payments would NOT be prorated.</w:t>
      </w:r>
    </w:p>
    <w:p>
      <w:pPr>
        <w:spacing w:after="0" w:line="73" w:lineRule="exact"/>
        <w:rPr>
          <w:rFonts w:ascii="Times New Roman" w:cs="Times New Roman" w:eastAsia="Times New Roman" w:hAnsi="Times New Roman"/>
          <w:sz w:val="8"/>
          <w:szCs w:val="8"/>
          <w:color w:val="auto"/>
        </w:rPr>
      </w:pPr>
    </w:p>
    <w:p>
      <w:pPr>
        <w:jc w:val="both"/>
        <w:ind w:left="240"/>
        <w:spacing w:after="0" w:line="247" w:lineRule="auto"/>
        <w:rPr>
          <w:rFonts w:ascii="Times New Roman" w:cs="Times New Roman" w:eastAsia="Times New Roman" w:hAnsi="Times New Roman"/>
          <w:sz w:val="8"/>
          <w:szCs w:val="8"/>
          <w:color w:val="auto"/>
        </w:rPr>
      </w:pPr>
      <w:r>
        <w:rPr>
          <w:rFonts w:ascii="Arial" w:cs="Arial" w:eastAsia="Arial" w:hAnsi="Arial"/>
          <w:sz w:val="14"/>
          <w:szCs w:val="14"/>
          <w:color w:val="auto"/>
        </w:rPr>
        <w:t>The amounts reported in the columns titled “Change in Control without Termination,” and “Termination after Change in Control of the Company without cause or by the Executive for Good Reason” pertain to the LTIPP PSUs. Pursuant to the 2018 Omnibus Plan and the 2021 Omnibus Plan and the PSU award agreements thereunder, in the event of a change in control prior to the vesting date for the fiscal 2024-2026 and 2025-2027 LTIPP PSUs, if provision for the assumption or substitution of the PSUs is made, then the PSUs will convert into a number of time-based, stock settled RSUs, with such number determined based upon actual achievement of the performance goals through the date of the change in control (without pro-ration), and such RSUs shall continue to vest; provided that, in the event that the participant’s service is terminated without cause or for “good reason,” and not as a result of the NEO’s disability or death, during the two-year period beginning on the date of the change in control, then such RSUs shall immediately vest in full upon the date of such termination.</w:t>
      </w:r>
    </w:p>
    <w:p>
      <w:pPr>
        <w:spacing w:after="0" w:line="78" w:lineRule="exact"/>
        <w:rPr>
          <w:rFonts w:ascii="Times New Roman" w:cs="Times New Roman" w:eastAsia="Times New Roman" w:hAnsi="Times New Roman"/>
          <w:sz w:val="8"/>
          <w:szCs w:val="8"/>
          <w:color w:val="auto"/>
        </w:rPr>
      </w:pPr>
    </w:p>
    <w:p>
      <w:pPr>
        <w:jc w:val="both"/>
        <w:ind w:left="240" w:hanging="232"/>
        <w:spacing w:after="0" w:line="263" w:lineRule="auto"/>
        <w:tabs>
          <w:tab w:leader="none" w:pos="240" w:val="left"/>
        </w:tabs>
        <w:numPr>
          <w:ilvl w:val="0"/>
          <w:numId w:val="66"/>
        </w:numPr>
        <w:rPr>
          <w:rFonts w:ascii="Times New Roman" w:cs="Times New Roman" w:eastAsia="Times New Roman" w:hAnsi="Times New Roman"/>
          <w:sz w:val="8"/>
          <w:szCs w:val="8"/>
          <w:color w:val="auto"/>
        </w:rPr>
      </w:pPr>
      <w:r>
        <w:rPr>
          <w:rFonts w:ascii="Arial" w:cs="Arial" w:eastAsia="Arial" w:hAnsi="Arial"/>
          <w:sz w:val="14"/>
          <w:szCs w:val="14"/>
          <w:color w:val="auto"/>
        </w:rPr>
        <w:t>The amounts identified in the Incentive Compensation row of the columns titled “Termination prior to a Change in Control of Company without Cause,” “Death and Disability,” and “Retirement” represent a payment of the fiscal 2025 annual incentive compensation based on actual results for the entire performance period. Upon a change in control, in the Compensation</w:t>
      </w:r>
    </w:p>
    <w:p>
      <w:pPr>
        <w:spacing w:after="0" w:line="140"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61" w:name="page62"/>
    <w:bookmarkEnd w:id="61"/>
    <w:p>
      <w:pPr>
        <w:ind w:left="980"/>
        <w:spacing w:after="0"/>
        <w:rPr>
          <w:sz w:val="20"/>
          <w:szCs w:val="20"/>
          <w:color w:val="auto"/>
        </w:rPr>
      </w:pPr>
      <w:r>
        <w:rPr>
          <w:rFonts w:ascii="Arial" w:cs="Arial" w:eastAsia="Arial" w:hAnsi="Arial"/>
          <w:sz w:val="18"/>
          <w:szCs w:val="18"/>
          <w:color w:val="867F7C"/>
        </w:rPr>
        <w:t>2025 executive compensation tables</w:t>
      </w:r>
    </w:p>
    <w:p>
      <w:pPr>
        <w:spacing w:after="0" w:line="316" w:lineRule="exact"/>
        <w:rPr>
          <w:sz w:val="20"/>
          <w:szCs w:val="20"/>
          <w:color w:val="auto"/>
        </w:rPr>
      </w:pPr>
    </w:p>
    <w:p>
      <w:pPr>
        <w:jc w:val="both"/>
        <w:ind w:left="1220" w:right="980"/>
        <w:spacing w:after="0" w:line="263" w:lineRule="auto"/>
        <w:rPr>
          <w:sz w:val="20"/>
          <w:szCs w:val="20"/>
          <w:color w:val="auto"/>
        </w:rPr>
      </w:pPr>
      <w:r>
        <w:rPr>
          <w:rFonts w:ascii="Arial" w:cs="Arial" w:eastAsia="Arial" w:hAnsi="Arial"/>
          <w:sz w:val="14"/>
          <w:szCs w:val="14"/>
          <w:color w:val="auto"/>
        </w:rPr>
        <w:t>Committee’s discretion, the incentive award will vest based on the greater of actual results or pro-rated target performance. The amounts identified in the Incentive Compensation row of the “Change in Control without Termination” column are based on actual performance for the 2025 annual incentive award without pro-ration since the entire performance period was completed as of September 30, 2025.</w:t>
      </w:r>
    </w:p>
    <w:p>
      <w:pPr>
        <w:spacing w:after="0" w:line="65" w:lineRule="exact"/>
        <w:rPr>
          <w:sz w:val="20"/>
          <w:szCs w:val="20"/>
          <w:color w:val="auto"/>
        </w:rPr>
      </w:pPr>
    </w:p>
    <w:p>
      <w:pPr>
        <w:ind w:left="1220" w:right="980" w:hanging="232"/>
        <w:spacing w:after="0" w:line="222" w:lineRule="auto"/>
        <w:tabs>
          <w:tab w:leader="none" w:pos="1220" w:val="left"/>
        </w:tabs>
        <w:numPr>
          <w:ilvl w:val="0"/>
          <w:numId w:val="6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Mr. Novo is over his Parachute Limit under Sections 4999 and 280G of the Internal Revenue code if a CIC occurs with a qualifying termination. However, a reduction in payments will not result in a greater overall net after-tax benefit, so a cutback will not be applied.</w:t>
      </w:r>
    </w:p>
    <w:p>
      <w:pPr>
        <w:spacing w:after="0" w:line="80" w:lineRule="exact"/>
        <w:rPr>
          <w:rFonts w:ascii="Times New Roman" w:cs="Times New Roman" w:eastAsia="Times New Roman" w:hAnsi="Times New Roman"/>
          <w:sz w:val="19"/>
          <w:szCs w:val="19"/>
          <w:color w:val="auto"/>
          <w:vertAlign w:val="superscript"/>
        </w:rPr>
      </w:pPr>
    </w:p>
    <w:p>
      <w:pPr>
        <w:jc w:val="both"/>
        <w:ind w:left="1220" w:right="980" w:hanging="232"/>
        <w:spacing w:after="0" w:line="228" w:lineRule="auto"/>
        <w:tabs>
          <w:tab w:leader="none" w:pos="1220" w:val="left"/>
        </w:tabs>
        <w:numPr>
          <w:ilvl w:val="0"/>
          <w:numId w:val="6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Future potential payouts remain for Mr. Bostaph’s PSU awards which were granted on November 17, 2022, November 14, 2023, and November 13, 2024, Based on the amount of time Mr. Bostaph was employed during these award periods, he is eligible to receive 1,678, 3,123, and 3,206 shares, respectively, assuming 100% achievement of company RONA and rTSR metrics.</w:t>
      </w:r>
    </w:p>
    <w:p>
      <w:pPr>
        <w:spacing w:after="0" w:line="80" w:lineRule="exact"/>
        <w:rPr>
          <w:rFonts w:ascii="Times New Roman" w:cs="Times New Roman" w:eastAsia="Times New Roman" w:hAnsi="Times New Roman"/>
          <w:sz w:val="19"/>
          <w:szCs w:val="19"/>
          <w:color w:val="auto"/>
          <w:vertAlign w:val="superscript"/>
        </w:rPr>
      </w:pPr>
    </w:p>
    <w:p>
      <w:pPr>
        <w:jc w:val="both"/>
        <w:ind w:left="1220" w:right="980" w:hanging="232"/>
        <w:spacing w:after="0" w:line="228" w:lineRule="auto"/>
        <w:tabs>
          <w:tab w:leader="none" w:pos="1220" w:val="left"/>
        </w:tabs>
        <w:numPr>
          <w:ilvl w:val="0"/>
          <w:numId w:val="6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Future potential payouts remain for Mr. Willis’ PSU awards which were granted on November 17, 2022, and November 14, 2023. Based on the amount of time Mr. Willis was employed during these award periods, he is eligible to receive 7,683 and 11,173 shares, respectively, assuming 100% achievement of company RONA and rTSR metrics</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18"/>
          <w:szCs w:val="18"/>
          <w:color w:val="4CCEDE"/>
        </w:rPr>
        <w:t>executive change in control agreements</w:t>
      </w:r>
    </w:p>
    <w:p>
      <w:pPr>
        <w:spacing w:after="0" w:line="104" w:lineRule="exact"/>
        <w:rPr>
          <w:sz w:val="20"/>
          <w:szCs w:val="20"/>
          <w:color w:val="auto"/>
        </w:rPr>
      </w:pPr>
    </w:p>
    <w:p>
      <w:pPr>
        <w:jc w:val="both"/>
        <w:ind w:left="980" w:right="980"/>
        <w:spacing w:after="0" w:line="253" w:lineRule="auto"/>
        <w:rPr>
          <w:sz w:val="20"/>
          <w:szCs w:val="20"/>
          <w:color w:val="auto"/>
        </w:rPr>
      </w:pPr>
      <w:r>
        <w:rPr>
          <w:rFonts w:ascii="Arial" w:cs="Arial" w:eastAsia="Arial" w:hAnsi="Arial"/>
          <w:sz w:val="18"/>
          <w:szCs w:val="18"/>
          <w:color w:val="auto"/>
        </w:rPr>
        <w:t>Mr. Novo executed a change in control agreement in January 2020 with Ashland. This agreement describe the payments and benefits to which the executive is entitled in the event of a qualifying termination of employment within the two-year period following a change in control of Ashland.</w:t>
      </w:r>
    </w:p>
    <w:p>
      <w:pPr>
        <w:spacing w:after="0" w:line="115" w:lineRule="exact"/>
        <w:rPr>
          <w:sz w:val="20"/>
          <w:szCs w:val="20"/>
          <w:color w:val="auto"/>
        </w:rPr>
      </w:pPr>
    </w:p>
    <w:p>
      <w:pPr>
        <w:jc w:val="both"/>
        <w:ind w:left="980" w:right="980"/>
        <w:spacing w:after="0" w:line="253" w:lineRule="auto"/>
        <w:rPr>
          <w:sz w:val="20"/>
          <w:szCs w:val="20"/>
          <w:color w:val="auto"/>
        </w:rPr>
      </w:pPr>
      <w:r>
        <w:rPr>
          <w:rFonts w:ascii="Arial" w:cs="Arial" w:eastAsia="Arial" w:hAnsi="Arial"/>
          <w:sz w:val="18"/>
          <w:szCs w:val="18"/>
          <w:color w:val="auto"/>
        </w:rPr>
        <w:t>If, within two years after a change in control (see the “Definitions” section below), an executive’s employment is terminated without cause or the executive terminates employment for good reason (see the “Definitions” section below), the executive is entitled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110490</wp:posOffset>
            </wp:positionV>
            <wp:extent cx="5760720" cy="1454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60720" cy="145415"/>
                    </a:xfrm>
                    <a:prstGeom prst="rect">
                      <a:avLst/>
                    </a:prstGeom>
                    <a:noFill/>
                  </pic:spPr>
                </pic:pic>
              </a:graphicData>
            </a:graphic>
          </wp:anchor>
        </w:drawing>
      </w:r>
    </w:p>
    <w:p>
      <w:pPr>
        <w:spacing w:after="0" w:line="159" w:lineRule="exact"/>
        <w:rPr>
          <w:sz w:val="20"/>
          <w:szCs w:val="20"/>
          <w:color w:val="auto"/>
        </w:rPr>
      </w:pPr>
    </w:p>
    <w:p>
      <w:pPr>
        <w:ind w:left="2300"/>
        <w:spacing w:after="0"/>
        <w:tabs>
          <w:tab w:leader="none" w:pos="5480" w:val="left"/>
          <w:tab w:leader="none" w:pos="8200" w:val="left"/>
        </w:tabs>
        <w:rPr>
          <w:sz w:val="20"/>
          <w:szCs w:val="20"/>
          <w:color w:val="auto"/>
        </w:rPr>
      </w:pPr>
      <w:r>
        <w:rPr>
          <w:rFonts w:ascii="Arial" w:cs="Arial" w:eastAsia="Arial" w:hAnsi="Arial"/>
          <w:sz w:val="14"/>
          <w:szCs w:val="14"/>
          <w:b w:val="1"/>
          <w:bCs w:val="1"/>
          <w:color w:val="867F7C"/>
        </w:rPr>
        <w:t>Benefit</w:t>
      </w:r>
      <w:r>
        <w:rPr>
          <w:sz w:val="20"/>
          <w:szCs w:val="20"/>
          <w:color w:val="auto"/>
        </w:rPr>
        <w:tab/>
      </w:r>
      <w:r>
        <w:rPr>
          <w:rFonts w:ascii="Arial" w:cs="Arial" w:eastAsia="Arial" w:hAnsi="Arial"/>
          <w:sz w:val="14"/>
          <w:szCs w:val="14"/>
          <w:b w:val="1"/>
          <w:bCs w:val="1"/>
          <w:color w:val="867F7C"/>
        </w:rPr>
        <w:t>CEO</w:t>
      </w:r>
      <w:r>
        <w:rPr>
          <w:sz w:val="20"/>
          <w:szCs w:val="20"/>
          <w:color w:val="auto"/>
        </w:rPr>
        <w:tab/>
      </w:r>
      <w:r>
        <w:rPr>
          <w:rFonts w:ascii="Arial" w:cs="Arial" w:eastAsia="Arial" w:hAnsi="Arial"/>
          <w:sz w:val="14"/>
          <w:szCs w:val="14"/>
          <w:b w:val="1"/>
          <w:bCs w:val="1"/>
          <w:color w:val="867F7C"/>
        </w:rPr>
        <w:t>Other NEOs</w:t>
      </w:r>
    </w:p>
    <w:p>
      <w:pPr>
        <w:sectPr>
          <w:pgSz w:w="11900" w:h="16838" w:orient="portrait"/>
          <w:cols w:equalWidth="0" w:num="1">
            <w:col w:w="11040"/>
          </w:cols>
          <w:pgMar w:left="420" w:top="769" w:right="439" w:bottom="1440" w:gutter="0" w:footer="0" w:header="0"/>
        </w:sectPr>
      </w:pPr>
    </w:p>
    <w:p>
      <w:pPr>
        <w:spacing w:after="0" w:line="91" w:lineRule="exact"/>
        <w:rPr>
          <w:sz w:val="20"/>
          <w:szCs w:val="20"/>
          <w:color w:val="auto"/>
        </w:rPr>
      </w:pPr>
    </w:p>
    <w:p>
      <w:pPr>
        <w:ind w:left="1060"/>
        <w:spacing w:after="0"/>
        <w:tabs>
          <w:tab w:leader="none" w:pos="4180" w:val="left"/>
        </w:tabs>
        <w:rPr>
          <w:sz w:val="20"/>
          <w:szCs w:val="20"/>
          <w:color w:val="auto"/>
        </w:rPr>
      </w:pPr>
      <w:r>
        <w:rPr>
          <w:rFonts w:ascii="Arial" w:cs="Arial" w:eastAsia="Arial" w:hAnsi="Arial"/>
          <w:sz w:val="16"/>
          <w:szCs w:val="16"/>
          <w:b w:val="1"/>
          <w:bCs w:val="1"/>
          <w:color w:val="4CCEDE"/>
        </w:rPr>
        <w:t>Base Compensation</w:t>
      </w:r>
      <w:r>
        <w:rPr>
          <w:sz w:val="20"/>
          <w:szCs w:val="20"/>
          <w:color w:val="auto"/>
        </w:rPr>
        <w:tab/>
      </w:r>
      <w:r>
        <w:rPr>
          <w:rFonts w:ascii="Arial" w:cs="Arial" w:eastAsia="Arial" w:hAnsi="Arial"/>
          <w:sz w:val="16"/>
          <w:szCs w:val="16"/>
          <w:color w:val="auto"/>
        </w:rPr>
        <w:t>Three times the sum of his or her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highest annual base compensation and</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highest target percentage annual</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incentive compensation in respect of the</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prior three fiscal years preceding the</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fiscal year in which the termination</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occurs in a lump sum paid in the</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seventh month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19050</wp:posOffset>
            </wp:positionV>
            <wp:extent cx="57607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1020"/>
        <w:spacing w:after="0" w:line="252" w:lineRule="auto"/>
        <w:rPr>
          <w:sz w:val="20"/>
          <w:szCs w:val="20"/>
          <w:color w:val="auto"/>
        </w:rPr>
      </w:pPr>
      <w:r>
        <w:rPr>
          <w:rFonts w:ascii="Arial" w:cs="Arial" w:eastAsia="Arial" w:hAnsi="Arial"/>
          <w:sz w:val="16"/>
          <w:szCs w:val="16"/>
          <w:color w:val="auto"/>
        </w:rPr>
        <w:t>Two times the sum of his or her highest annual base compensation and highest target percentage annual incentive compensation in respect of the prior three fiscal years preceding the fiscal year in which the termination occurs in a lump sum paid in the seventh month following termination.</w:t>
      </w:r>
    </w:p>
    <w:p>
      <w:pPr>
        <w:spacing w:after="0" w:line="48" w:lineRule="exact"/>
        <w:rPr>
          <w:sz w:val="20"/>
          <w:szCs w:val="20"/>
          <w:color w:val="auto"/>
        </w:rPr>
      </w:pPr>
    </w:p>
    <w:p>
      <w:pPr>
        <w:sectPr>
          <w:pgSz w:w="11900" w:h="16838" w:orient="portrait"/>
          <w:cols w:equalWidth="0" w:num="2">
            <w:col w:w="7100" w:space="100"/>
            <w:col w:w="3840"/>
          </w:cols>
          <w:pgMar w:left="420" w:top="769" w:right="439" w:bottom="1440" w:gutter="0" w:footer="0" w:header="0"/>
          <w:type w:val="continuous"/>
        </w:sectPr>
      </w:pPr>
    </w:p>
    <w:p>
      <w:pPr>
        <w:ind w:left="1060"/>
        <w:spacing w:after="0"/>
        <w:tabs>
          <w:tab w:leader="none" w:pos="4180" w:val="left"/>
        </w:tabs>
        <w:rPr>
          <w:sz w:val="20"/>
          <w:szCs w:val="20"/>
          <w:color w:val="auto"/>
        </w:rPr>
      </w:pPr>
      <w:r>
        <w:rPr>
          <w:rFonts w:ascii="Arial" w:cs="Arial" w:eastAsia="Arial" w:hAnsi="Arial"/>
          <w:sz w:val="16"/>
          <w:szCs w:val="16"/>
          <w:b w:val="1"/>
          <w:bCs w:val="1"/>
          <w:color w:val="4CCEDE"/>
        </w:rPr>
        <w:t>Medical, dental and group life</w:t>
      </w:r>
      <w:r>
        <w:rPr>
          <w:sz w:val="20"/>
          <w:szCs w:val="20"/>
          <w:color w:val="auto"/>
        </w:rPr>
        <w:tab/>
      </w:r>
      <w:r>
        <w:rPr>
          <w:rFonts w:ascii="Arial" w:cs="Arial" w:eastAsia="Arial" w:hAnsi="Arial"/>
          <w:sz w:val="16"/>
          <w:szCs w:val="16"/>
          <w:color w:val="auto"/>
        </w:rPr>
        <w:t>Ashland continues to subsidize its share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of the premium for the same severance</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period and an additional cash payment</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equal to the subsidized premiums for</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number of months, if any, by which</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severance multiple exceeds the</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COBRA continuation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139065</wp:posOffset>
            </wp:positionV>
            <wp:extent cx="57607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100"/>
        <w:spacing w:after="0" w:line="252" w:lineRule="auto"/>
        <w:rPr>
          <w:sz w:val="20"/>
          <w:szCs w:val="20"/>
          <w:color w:val="auto"/>
        </w:rPr>
      </w:pPr>
      <w:r>
        <w:rPr>
          <w:rFonts w:ascii="Arial" w:cs="Arial" w:eastAsia="Arial" w:hAnsi="Arial"/>
          <w:sz w:val="16"/>
          <w:szCs w:val="16"/>
          <w:color w:val="auto"/>
        </w:rPr>
        <w:t>Ashland continues to subsidize its share of the premium for the same severance period and an additional cash payment equal to the subsidized premiums for the number of months, if any, by which the severance multiple exceeds the COBRA continuation period.</w:t>
      </w:r>
    </w:p>
    <w:p>
      <w:pPr>
        <w:spacing w:after="0" w:line="48" w:lineRule="exact"/>
        <w:rPr>
          <w:sz w:val="20"/>
          <w:szCs w:val="20"/>
          <w:color w:val="auto"/>
        </w:rPr>
      </w:pPr>
    </w:p>
    <w:p>
      <w:pPr>
        <w:sectPr>
          <w:pgSz w:w="11900" w:h="16838" w:orient="portrait"/>
          <w:cols w:equalWidth="0" w:num="2">
            <w:col w:w="7080" w:space="120"/>
            <w:col w:w="3840"/>
          </w:cols>
          <w:pgMar w:left="420" w:top="769" w:right="439" w:bottom="1440" w:gutter="0" w:footer="0" w:header="0"/>
          <w:type w:val="continuous"/>
        </w:sectPr>
      </w:pPr>
    </w:p>
    <w:p>
      <w:pPr>
        <w:ind w:left="1060"/>
        <w:spacing w:after="0"/>
        <w:tabs>
          <w:tab w:leader="none" w:pos="4180" w:val="left"/>
        </w:tabs>
        <w:rPr>
          <w:sz w:val="20"/>
          <w:szCs w:val="20"/>
          <w:color w:val="auto"/>
        </w:rPr>
      </w:pPr>
      <w:r>
        <w:rPr>
          <w:rFonts w:ascii="Arial" w:cs="Arial" w:eastAsia="Arial" w:hAnsi="Arial"/>
          <w:sz w:val="16"/>
          <w:szCs w:val="16"/>
          <w:b w:val="1"/>
          <w:bCs w:val="1"/>
          <w:color w:val="4CCEDE"/>
        </w:rPr>
        <w:t>Performance Units</w:t>
      </w:r>
      <w:r>
        <w:rPr>
          <w:sz w:val="20"/>
          <w:szCs w:val="20"/>
          <w:color w:val="auto"/>
        </w:rPr>
        <w:tab/>
      </w:r>
      <w:r>
        <w:rPr>
          <w:rFonts w:ascii="Arial" w:cs="Arial" w:eastAsia="Arial" w:hAnsi="Arial"/>
          <w:sz w:val="16"/>
          <w:szCs w:val="16"/>
          <w:color w:val="auto"/>
        </w:rPr>
        <w:t>Full payment at target in cash of any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then-outstanding Performance Unit</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awards granted under the LTIPP (less</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any amounts already paid under the</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LTIPP because of the change in</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19050</wp:posOffset>
            </wp:positionV>
            <wp:extent cx="57607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120"/>
        <w:spacing w:after="0" w:line="254" w:lineRule="auto"/>
        <w:rPr>
          <w:sz w:val="20"/>
          <w:szCs w:val="20"/>
          <w:color w:val="auto"/>
        </w:rPr>
      </w:pPr>
      <w:r>
        <w:rPr>
          <w:rFonts w:ascii="Arial" w:cs="Arial" w:eastAsia="Arial" w:hAnsi="Arial"/>
          <w:sz w:val="16"/>
          <w:szCs w:val="16"/>
          <w:color w:val="auto"/>
        </w:rPr>
        <w:t>Full payment at target in cash of any then-outstanding Performance Unit awards granted under the LTIPP (less any amounts already paid under the LTIPP because of the change in control).</w:t>
      </w:r>
    </w:p>
    <w:p>
      <w:pPr>
        <w:spacing w:after="0" w:line="47" w:lineRule="exact"/>
        <w:rPr>
          <w:sz w:val="20"/>
          <w:szCs w:val="20"/>
          <w:color w:val="auto"/>
        </w:rPr>
      </w:pPr>
    </w:p>
    <w:p>
      <w:pPr>
        <w:sectPr>
          <w:pgSz w:w="11900" w:h="16838" w:orient="portrait"/>
          <w:cols w:equalWidth="0" w:num="2">
            <w:col w:w="6920" w:space="280"/>
            <w:col w:w="3840"/>
          </w:cols>
          <w:pgMar w:left="420" w:top="769" w:right="4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2580" w:type="dxa"/>
            <w:vAlign w:val="bottom"/>
          </w:tcPr>
          <w:p>
            <w:pPr>
              <w:ind w:left="80"/>
              <w:spacing w:after="0"/>
              <w:rPr>
                <w:sz w:val="20"/>
                <w:szCs w:val="20"/>
                <w:color w:val="auto"/>
              </w:rPr>
            </w:pPr>
            <w:r>
              <w:rPr>
                <w:rFonts w:ascii="Arial" w:cs="Arial" w:eastAsia="Arial" w:hAnsi="Arial"/>
                <w:sz w:val="16"/>
                <w:szCs w:val="16"/>
                <w:b w:val="1"/>
                <w:bCs w:val="1"/>
                <w:color w:val="4CCEDE"/>
              </w:rPr>
              <w:t>Restricted Units</w:t>
            </w:r>
          </w:p>
        </w:tc>
        <w:tc>
          <w:tcPr>
            <w:tcW w:w="3580" w:type="dxa"/>
            <w:vAlign w:val="bottom"/>
          </w:tcPr>
          <w:p>
            <w:pPr>
              <w:ind w:left="640"/>
              <w:spacing w:after="0"/>
              <w:rPr>
                <w:sz w:val="20"/>
                <w:szCs w:val="20"/>
                <w:color w:val="auto"/>
              </w:rPr>
            </w:pPr>
            <w:r>
              <w:rPr>
                <w:rFonts w:ascii="Arial" w:cs="Arial" w:eastAsia="Arial" w:hAnsi="Arial"/>
                <w:sz w:val="16"/>
                <w:szCs w:val="16"/>
                <w:color w:val="auto"/>
              </w:rPr>
              <w:t>Immediate vesting of all outstanding</w:t>
            </w:r>
          </w:p>
        </w:tc>
        <w:tc>
          <w:tcPr>
            <w:tcW w:w="3900" w:type="dxa"/>
            <w:vAlign w:val="bottom"/>
            <w:gridSpan w:val="2"/>
          </w:tcPr>
          <w:p>
            <w:pPr>
              <w:ind w:left="60"/>
              <w:spacing w:after="0"/>
              <w:rPr>
                <w:sz w:val="20"/>
                <w:szCs w:val="20"/>
                <w:color w:val="auto"/>
              </w:rPr>
            </w:pPr>
            <w:r>
              <w:rPr>
                <w:rFonts w:ascii="Arial" w:cs="Arial" w:eastAsia="Arial" w:hAnsi="Arial"/>
                <w:sz w:val="16"/>
                <w:szCs w:val="16"/>
                <w:color w:val="auto"/>
              </w:rPr>
              <w:t>Immediate vesting of all outstanding</w:t>
            </w:r>
          </w:p>
        </w:tc>
      </w:tr>
      <w:tr>
        <w:trPr>
          <w:trHeight w:val="189"/>
        </w:trPr>
        <w:tc>
          <w:tcPr>
            <w:tcW w:w="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580" w:type="dxa"/>
            <w:vAlign w:val="bottom"/>
          </w:tcPr>
          <w:p>
            <w:pPr>
              <w:ind w:left="640"/>
              <w:spacing w:after="0"/>
              <w:rPr>
                <w:sz w:val="20"/>
                <w:szCs w:val="20"/>
                <w:color w:val="auto"/>
              </w:rPr>
            </w:pPr>
            <w:r>
              <w:rPr>
                <w:rFonts w:ascii="Arial" w:cs="Arial" w:eastAsia="Arial" w:hAnsi="Arial"/>
                <w:sz w:val="16"/>
                <w:szCs w:val="16"/>
                <w:color w:val="auto"/>
              </w:rPr>
              <w:t>RSUs/Restricted Stock Equivalents</w:t>
            </w:r>
          </w:p>
        </w:tc>
        <w:tc>
          <w:tcPr>
            <w:tcW w:w="3900" w:type="dxa"/>
            <w:vAlign w:val="bottom"/>
            <w:gridSpan w:val="2"/>
          </w:tcPr>
          <w:p>
            <w:pPr>
              <w:ind w:left="60"/>
              <w:spacing w:after="0"/>
              <w:rPr>
                <w:sz w:val="20"/>
                <w:szCs w:val="20"/>
                <w:color w:val="auto"/>
              </w:rPr>
            </w:pPr>
            <w:r>
              <w:rPr>
                <w:rFonts w:ascii="Arial" w:cs="Arial" w:eastAsia="Arial" w:hAnsi="Arial"/>
                <w:sz w:val="16"/>
                <w:szCs w:val="16"/>
                <w:color w:val="auto"/>
              </w:rPr>
              <w:t>RSU/RSEs.</w:t>
            </w:r>
          </w:p>
        </w:tc>
      </w:tr>
      <w:tr>
        <w:trPr>
          <w:trHeight w:val="224"/>
        </w:trPr>
        <w:tc>
          <w:tcPr>
            <w:tcW w:w="980" w:type="dxa"/>
            <w:vAlign w:val="bottom"/>
          </w:tcPr>
          <w:p>
            <w:pPr>
              <w:spacing w:after="0"/>
              <w:rPr>
                <w:sz w:val="19"/>
                <w:szCs w:val="19"/>
                <w:color w:val="auto"/>
              </w:rPr>
            </w:pPr>
          </w:p>
        </w:tc>
        <w:tc>
          <w:tcPr>
            <w:tcW w:w="2580" w:type="dxa"/>
            <w:vAlign w:val="bottom"/>
            <w:tcBorders>
              <w:bottom w:val="single" w:sz="8" w:color="867F7C"/>
            </w:tcBorders>
          </w:tcPr>
          <w:p>
            <w:pPr>
              <w:spacing w:after="0"/>
              <w:rPr>
                <w:sz w:val="19"/>
                <w:szCs w:val="19"/>
                <w:color w:val="auto"/>
              </w:rPr>
            </w:pPr>
          </w:p>
        </w:tc>
        <w:tc>
          <w:tcPr>
            <w:tcW w:w="3580" w:type="dxa"/>
            <w:vAlign w:val="bottom"/>
            <w:tcBorders>
              <w:bottom w:val="single" w:sz="8" w:color="867F7C"/>
            </w:tcBorders>
          </w:tcPr>
          <w:p>
            <w:pPr>
              <w:ind w:left="640"/>
              <w:spacing w:after="0"/>
              <w:rPr>
                <w:sz w:val="20"/>
                <w:szCs w:val="20"/>
                <w:color w:val="auto"/>
              </w:rPr>
            </w:pPr>
            <w:r>
              <w:rPr>
                <w:rFonts w:ascii="Arial" w:cs="Arial" w:eastAsia="Arial" w:hAnsi="Arial"/>
                <w:sz w:val="16"/>
                <w:szCs w:val="16"/>
                <w:color w:val="auto"/>
              </w:rPr>
              <w:t>(“RSEs”).</w:t>
            </w:r>
          </w:p>
        </w:tc>
        <w:tc>
          <w:tcPr>
            <w:tcW w:w="2920" w:type="dxa"/>
            <w:vAlign w:val="bottom"/>
            <w:tcBorders>
              <w:bottom w:val="single" w:sz="8" w:color="867F7C"/>
            </w:tcBorders>
          </w:tcPr>
          <w:p>
            <w:pPr>
              <w:spacing w:after="0"/>
              <w:rPr>
                <w:sz w:val="19"/>
                <w:szCs w:val="19"/>
                <w:color w:val="auto"/>
              </w:rPr>
            </w:pPr>
          </w:p>
        </w:tc>
        <w:tc>
          <w:tcPr>
            <w:tcW w:w="980" w:type="dxa"/>
            <w:vAlign w:val="bottom"/>
          </w:tcPr>
          <w:p>
            <w:pPr>
              <w:spacing w:after="0"/>
              <w:rPr>
                <w:sz w:val="19"/>
                <w:szCs w:val="19"/>
                <w:color w:val="auto"/>
              </w:rPr>
            </w:pPr>
          </w:p>
        </w:tc>
      </w:tr>
      <w:tr>
        <w:trPr>
          <w:trHeight w:val="215"/>
        </w:trPr>
        <w:tc>
          <w:tcPr>
            <w:tcW w:w="98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Arial" w:cs="Arial" w:eastAsia="Arial" w:hAnsi="Arial"/>
                <w:sz w:val="16"/>
                <w:szCs w:val="16"/>
                <w:b w:val="1"/>
                <w:bCs w:val="1"/>
                <w:color w:val="4CCEDE"/>
              </w:rPr>
              <w:t>Incentive Compensation</w:t>
            </w:r>
          </w:p>
        </w:tc>
        <w:tc>
          <w:tcPr>
            <w:tcW w:w="3580" w:type="dxa"/>
            <w:vAlign w:val="bottom"/>
          </w:tcPr>
          <w:p>
            <w:pPr>
              <w:ind w:left="640"/>
              <w:spacing w:after="0"/>
              <w:rPr>
                <w:sz w:val="20"/>
                <w:szCs w:val="20"/>
                <w:color w:val="auto"/>
              </w:rPr>
            </w:pPr>
            <w:r>
              <w:rPr>
                <w:rFonts w:ascii="Arial" w:cs="Arial" w:eastAsia="Arial" w:hAnsi="Arial"/>
                <w:sz w:val="16"/>
                <w:szCs w:val="16"/>
                <w:color w:val="auto"/>
              </w:rPr>
              <w:t>Payment in cash equal to the amount</w:t>
            </w:r>
          </w:p>
        </w:tc>
        <w:tc>
          <w:tcPr>
            <w:tcW w:w="3900" w:type="dxa"/>
            <w:vAlign w:val="bottom"/>
            <w:gridSpan w:val="2"/>
          </w:tcPr>
          <w:p>
            <w:pPr>
              <w:ind w:left="60"/>
              <w:spacing w:after="0"/>
              <w:rPr>
                <w:sz w:val="20"/>
                <w:szCs w:val="20"/>
                <w:color w:val="auto"/>
              </w:rPr>
            </w:pPr>
            <w:r>
              <w:rPr>
                <w:rFonts w:ascii="Arial" w:cs="Arial" w:eastAsia="Arial" w:hAnsi="Arial"/>
                <w:sz w:val="16"/>
                <w:szCs w:val="16"/>
                <w:color w:val="auto"/>
              </w:rPr>
              <w:t>Payment in cash of any earned</w:t>
            </w:r>
          </w:p>
        </w:tc>
      </w:tr>
      <w:tr>
        <w:trPr>
          <w:trHeight w:val="189"/>
        </w:trPr>
        <w:tc>
          <w:tcPr>
            <w:tcW w:w="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580" w:type="dxa"/>
            <w:vAlign w:val="bottom"/>
          </w:tcPr>
          <w:p>
            <w:pPr>
              <w:ind w:left="640"/>
              <w:spacing w:after="0"/>
              <w:rPr>
                <w:sz w:val="20"/>
                <w:szCs w:val="20"/>
                <w:color w:val="auto"/>
              </w:rPr>
            </w:pPr>
            <w:r>
              <w:rPr>
                <w:rFonts w:ascii="Arial" w:cs="Arial" w:eastAsia="Arial" w:hAnsi="Arial"/>
                <w:sz w:val="16"/>
                <w:szCs w:val="16"/>
                <w:color w:val="auto"/>
              </w:rPr>
              <w:t>earned for any prior fiscal year for which</w:t>
            </w:r>
          </w:p>
        </w:tc>
        <w:tc>
          <w:tcPr>
            <w:tcW w:w="3900" w:type="dxa"/>
            <w:vAlign w:val="bottom"/>
            <w:gridSpan w:val="2"/>
          </w:tcPr>
          <w:p>
            <w:pPr>
              <w:ind w:left="60"/>
              <w:spacing w:after="0"/>
              <w:rPr>
                <w:sz w:val="20"/>
                <w:szCs w:val="20"/>
                <w:color w:val="auto"/>
              </w:rPr>
            </w:pPr>
            <w:r>
              <w:rPr>
                <w:rFonts w:ascii="Arial" w:cs="Arial" w:eastAsia="Arial" w:hAnsi="Arial"/>
                <w:sz w:val="16"/>
                <w:szCs w:val="16"/>
                <w:color w:val="auto"/>
              </w:rPr>
              <w:t>incentive compensation for completed</w:t>
            </w:r>
          </w:p>
        </w:tc>
      </w:tr>
      <w:tr>
        <w:trPr>
          <w:trHeight w:val="189"/>
        </w:trPr>
        <w:tc>
          <w:tcPr>
            <w:tcW w:w="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580" w:type="dxa"/>
            <w:vAlign w:val="bottom"/>
          </w:tcPr>
          <w:p>
            <w:pPr>
              <w:ind w:left="640"/>
              <w:spacing w:after="0"/>
              <w:rPr>
                <w:sz w:val="20"/>
                <w:szCs w:val="20"/>
                <w:color w:val="auto"/>
              </w:rPr>
            </w:pPr>
            <w:r>
              <w:rPr>
                <w:rFonts w:ascii="Arial" w:cs="Arial" w:eastAsia="Arial" w:hAnsi="Arial"/>
                <w:sz w:val="16"/>
                <w:szCs w:val="16"/>
                <w:color w:val="auto"/>
              </w:rPr>
              <w:t>the CEO has not yet received payment,</w:t>
            </w:r>
          </w:p>
        </w:tc>
        <w:tc>
          <w:tcPr>
            <w:tcW w:w="3900" w:type="dxa"/>
            <w:vAlign w:val="bottom"/>
            <w:gridSpan w:val="2"/>
          </w:tcPr>
          <w:p>
            <w:pPr>
              <w:ind w:left="60"/>
              <w:spacing w:after="0"/>
              <w:rPr>
                <w:sz w:val="20"/>
                <w:szCs w:val="20"/>
                <w:color w:val="auto"/>
              </w:rPr>
            </w:pPr>
            <w:r>
              <w:rPr>
                <w:rFonts w:ascii="Arial" w:cs="Arial" w:eastAsia="Arial" w:hAnsi="Arial"/>
                <w:sz w:val="16"/>
                <w:szCs w:val="16"/>
                <w:color w:val="auto"/>
              </w:rPr>
              <w:t>performance periods not already paid</w:t>
            </w:r>
          </w:p>
        </w:tc>
      </w:tr>
      <w:tr>
        <w:trPr>
          <w:trHeight w:val="189"/>
        </w:trPr>
        <w:tc>
          <w:tcPr>
            <w:tcW w:w="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580" w:type="dxa"/>
            <w:vAlign w:val="bottom"/>
          </w:tcPr>
          <w:p>
            <w:pPr>
              <w:ind w:left="640"/>
              <w:spacing w:after="0"/>
              <w:rPr>
                <w:sz w:val="20"/>
                <w:szCs w:val="20"/>
                <w:color w:val="auto"/>
              </w:rPr>
            </w:pPr>
            <w:r>
              <w:rPr>
                <w:rFonts w:ascii="Arial" w:cs="Arial" w:eastAsia="Arial" w:hAnsi="Arial"/>
                <w:sz w:val="16"/>
                <w:szCs w:val="16"/>
                <w:color w:val="auto"/>
              </w:rPr>
              <w:t>and payment of the pro-rata portion</w:t>
            </w:r>
          </w:p>
        </w:tc>
        <w:tc>
          <w:tcPr>
            <w:tcW w:w="3900" w:type="dxa"/>
            <w:vAlign w:val="bottom"/>
            <w:gridSpan w:val="2"/>
          </w:tcPr>
          <w:p>
            <w:pPr>
              <w:ind w:left="60"/>
              <w:spacing w:after="0"/>
              <w:rPr>
                <w:sz w:val="20"/>
                <w:szCs w:val="20"/>
                <w:color w:val="auto"/>
              </w:rPr>
            </w:pPr>
            <w:r>
              <w:rPr>
                <w:rFonts w:ascii="Arial" w:cs="Arial" w:eastAsia="Arial" w:hAnsi="Arial"/>
                <w:sz w:val="16"/>
                <w:szCs w:val="16"/>
                <w:color w:val="auto"/>
              </w:rPr>
              <w:t>and pro-rata payment of any incentive</w:t>
            </w:r>
          </w:p>
        </w:tc>
      </w:tr>
      <w:tr>
        <w:trPr>
          <w:trHeight w:val="215"/>
        </w:trPr>
        <w:tc>
          <w:tcPr>
            <w:tcW w:w="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6"/>
                <w:szCs w:val="16"/>
                <w:color w:val="auto"/>
              </w:rPr>
              <w:t>(through the date of termination) of any</w:t>
            </w:r>
          </w:p>
        </w:tc>
        <w:tc>
          <w:tcPr>
            <w:tcW w:w="3900" w:type="dxa"/>
            <w:vAlign w:val="bottom"/>
            <w:gridSpan w:val="2"/>
          </w:tcPr>
          <w:p>
            <w:pPr>
              <w:ind w:left="60"/>
              <w:spacing w:after="0"/>
              <w:rPr>
                <w:sz w:val="20"/>
                <w:szCs w:val="20"/>
                <w:color w:val="auto"/>
              </w:rPr>
            </w:pPr>
            <w:r>
              <w:rPr>
                <w:rFonts w:ascii="Arial" w:cs="Arial" w:eastAsia="Arial" w:hAnsi="Arial"/>
                <w:sz w:val="16"/>
                <w:szCs w:val="16"/>
                <w:color w:val="auto"/>
              </w:rPr>
              <w:t>compensation at target level for the</w:t>
            </w:r>
          </w:p>
        </w:tc>
      </w:tr>
      <w:tr>
        <w:trPr>
          <w:trHeight w:val="204"/>
        </w:trPr>
        <w:tc>
          <w:tcPr>
            <w:tcW w:w="980" w:type="dxa"/>
            <w:vAlign w:val="bottom"/>
          </w:tcPr>
          <w:p>
            <w:pPr>
              <w:spacing w:after="0"/>
              <w:rPr>
                <w:sz w:val="17"/>
                <w:szCs w:val="17"/>
                <w:color w:val="auto"/>
              </w:rPr>
            </w:pPr>
          </w:p>
        </w:tc>
        <w:tc>
          <w:tcPr>
            <w:tcW w:w="2580" w:type="dxa"/>
            <w:vAlign w:val="bottom"/>
            <w:tcBorders>
              <w:bottom w:val="single" w:sz="8" w:color="4CCEDE"/>
            </w:tcBorders>
          </w:tcPr>
          <w:p>
            <w:pPr>
              <w:spacing w:after="0"/>
              <w:rPr>
                <w:sz w:val="17"/>
                <w:szCs w:val="17"/>
                <w:color w:val="auto"/>
              </w:rPr>
            </w:pPr>
          </w:p>
        </w:tc>
        <w:tc>
          <w:tcPr>
            <w:tcW w:w="3580" w:type="dxa"/>
            <w:vAlign w:val="bottom"/>
            <w:tcBorders>
              <w:bottom w:val="single" w:sz="8" w:color="4CCEDE"/>
            </w:tcBorders>
          </w:tcPr>
          <w:p>
            <w:pPr>
              <w:spacing w:after="0"/>
              <w:rPr>
                <w:sz w:val="17"/>
                <w:szCs w:val="17"/>
                <w:color w:val="auto"/>
              </w:rPr>
            </w:pPr>
          </w:p>
        </w:tc>
        <w:tc>
          <w:tcPr>
            <w:tcW w:w="2920" w:type="dxa"/>
            <w:vAlign w:val="bottom"/>
            <w:tcBorders>
              <w:bottom w:val="single" w:sz="8" w:color="4CCEDE"/>
            </w:tcBorders>
          </w:tcPr>
          <w:p>
            <w:pPr>
              <w:spacing w:after="0"/>
              <w:rPr>
                <w:sz w:val="17"/>
                <w:szCs w:val="17"/>
                <w:color w:val="auto"/>
              </w:rPr>
            </w:pPr>
          </w:p>
        </w:tc>
        <w:tc>
          <w:tcPr>
            <w:tcW w:w="980" w:type="dxa"/>
            <w:vAlign w:val="bottom"/>
          </w:tcPr>
          <w:p>
            <w:pPr>
              <w:spacing w:after="0"/>
              <w:rPr>
                <w:sz w:val="17"/>
                <w:szCs w:val="17"/>
                <w:color w:val="auto"/>
              </w:rPr>
            </w:pPr>
          </w:p>
        </w:tc>
      </w:tr>
      <w:tr>
        <w:trPr>
          <w:trHeight w:val="291"/>
        </w:trPr>
        <w:tc>
          <w:tcPr>
            <w:tcW w:w="98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6"/>
                <w:szCs w:val="16"/>
                <w:b w:val="1"/>
                <w:bCs w:val="1"/>
                <w:color w:val="4CCEDE"/>
              </w:rPr>
              <w:t xml:space="preserve">56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tc>
        <w:tc>
          <w:tcPr>
            <w:tcW w:w="3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22"/>
        </w:trPr>
        <w:tc>
          <w:tcPr>
            <w:tcW w:w="9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color w:val="867F7C"/>
        </w:rPr>
        <w:t>2025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60720" cy="146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spacing w:after="0" w:line="201" w:lineRule="exact"/>
        <w:rPr>
          <w:sz w:val="20"/>
          <w:szCs w:val="20"/>
          <w:color w:val="auto"/>
        </w:rPr>
      </w:pPr>
    </w:p>
    <w:p>
      <w:pPr>
        <w:ind w:left="1320"/>
        <w:spacing w:after="0"/>
        <w:tabs>
          <w:tab w:leader="none" w:pos="4500" w:val="left"/>
          <w:tab w:leader="none" w:pos="7220" w:val="left"/>
        </w:tabs>
        <w:rPr>
          <w:sz w:val="20"/>
          <w:szCs w:val="20"/>
          <w:color w:val="auto"/>
        </w:rPr>
      </w:pPr>
      <w:r>
        <w:rPr>
          <w:rFonts w:ascii="Arial" w:cs="Arial" w:eastAsia="Arial" w:hAnsi="Arial"/>
          <w:sz w:val="14"/>
          <w:szCs w:val="14"/>
          <w:b w:val="1"/>
          <w:bCs w:val="1"/>
          <w:color w:val="867F7C"/>
        </w:rPr>
        <w:t>Benefit</w:t>
      </w:r>
      <w:r>
        <w:rPr>
          <w:sz w:val="20"/>
          <w:szCs w:val="20"/>
          <w:color w:val="auto"/>
        </w:rPr>
        <w:tab/>
      </w:r>
      <w:r>
        <w:rPr>
          <w:rFonts w:ascii="Arial" w:cs="Arial" w:eastAsia="Arial" w:hAnsi="Arial"/>
          <w:sz w:val="14"/>
          <w:szCs w:val="14"/>
          <w:b w:val="1"/>
          <w:bCs w:val="1"/>
          <w:color w:val="867F7C"/>
        </w:rPr>
        <w:t>CEO</w:t>
      </w:r>
      <w:r>
        <w:rPr>
          <w:sz w:val="20"/>
          <w:szCs w:val="20"/>
          <w:color w:val="auto"/>
        </w:rPr>
        <w:tab/>
      </w:r>
      <w:r>
        <w:rPr>
          <w:rFonts w:ascii="Arial" w:cs="Arial" w:eastAsia="Arial" w:hAnsi="Arial"/>
          <w:sz w:val="14"/>
          <w:szCs w:val="14"/>
          <w:b w:val="1"/>
          <w:bCs w:val="1"/>
          <w:color w:val="867F7C"/>
        </w:rPr>
        <w:t>Other NEOs</w:t>
      </w:r>
    </w:p>
    <w:p>
      <w:pPr>
        <w:sectPr>
          <w:pgSz w:w="11900" w:h="16838" w:orient="portrait"/>
          <w:cols w:equalWidth="0" w:num="1">
            <w:col w:w="9080"/>
          </w:cols>
          <w:pgMar w:left="1400" w:top="769" w:right="1419" w:bottom="1440" w:gutter="0" w:footer="0" w:header="0"/>
        </w:sectPr>
      </w:pPr>
    </w:p>
    <w:p>
      <w:pPr>
        <w:spacing w:after="0" w:line="50"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incentive compensation for the fiscal</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year in which the date of termination</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occurs calculated on the basis of the</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target bonus percentage of base</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compensation in the applicable</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607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fiscal year in which the termination occurs.</w:t>
      </w:r>
    </w:p>
    <w:p>
      <w:pPr>
        <w:spacing w:after="0" w:line="776" w:lineRule="exact"/>
        <w:rPr>
          <w:sz w:val="20"/>
          <w:szCs w:val="20"/>
          <w:color w:val="auto"/>
        </w:rPr>
      </w:pPr>
    </w:p>
    <w:p>
      <w:pPr>
        <w:sectPr>
          <w:pgSz w:w="11900" w:h="16838" w:orient="portrait"/>
          <w:cols w:equalWidth="0" w:num="2">
            <w:col w:w="5840" w:space="380"/>
            <w:col w:w="2860"/>
          </w:cols>
          <w:pgMar w:left="1400" w:top="769" w:right="141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360" w:type="dxa"/>
            <w:vAlign w:val="bottom"/>
          </w:tcPr>
          <w:p>
            <w:pPr>
              <w:ind w:left="80"/>
              <w:spacing w:after="0"/>
              <w:rPr>
                <w:sz w:val="20"/>
                <w:szCs w:val="20"/>
                <w:color w:val="auto"/>
              </w:rPr>
            </w:pPr>
            <w:r>
              <w:rPr>
                <w:rFonts w:ascii="Arial" w:cs="Arial" w:eastAsia="Arial" w:hAnsi="Arial"/>
                <w:sz w:val="16"/>
                <w:szCs w:val="16"/>
                <w:b w:val="1"/>
                <w:bCs w:val="1"/>
                <w:color w:val="4CCEDE"/>
              </w:rPr>
              <w:t>Outplacement and</w:t>
            </w:r>
          </w:p>
        </w:tc>
        <w:tc>
          <w:tcPr>
            <w:tcW w:w="3760" w:type="dxa"/>
            <w:vAlign w:val="bottom"/>
          </w:tcPr>
          <w:p>
            <w:pPr>
              <w:ind w:left="860"/>
              <w:spacing w:after="0"/>
              <w:rPr>
                <w:sz w:val="20"/>
                <w:szCs w:val="20"/>
                <w:color w:val="auto"/>
              </w:rPr>
            </w:pPr>
            <w:r>
              <w:rPr>
                <w:rFonts w:ascii="Arial" w:cs="Arial" w:eastAsia="Arial" w:hAnsi="Arial"/>
                <w:sz w:val="16"/>
                <w:szCs w:val="16"/>
                <w:color w:val="auto"/>
              </w:rPr>
              <w:t>Outplacement services for one year</w:t>
            </w:r>
          </w:p>
        </w:tc>
        <w:tc>
          <w:tcPr>
            <w:tcW w:w="2960" w:type="dxa"/>
            <w:vAlign w:val="bottom"/>
          </w:tcPr>
          <w:p>
            <w:pPr>
              <w:ind w:left="100"/>
              <w:spacing w:after="0"/>
              <w:rPr>
                <w:sz w:val="20"/>
                <w:szCs w:val="20"/>
                <w:color w:val="auto"/>
              </w:rPr>
            </w:pPr>
            <w:r>
              <w:rPr>
                <w:rFonts w:ascii="Arial" w:cs="Arial" w:eastAsia="Arial" w:hAnsi="Arial"/>
                <w:sz w:val="16"/>
                <w:szCs w:val="16"/>
                <w:color w:val="auto"/>
              </w:rPr>
              <w:t>Outplacement services for one year</w:t>
            </w:r>
          </w:p>
        </w:tc>
      </w:tr>
      <w:tr>
        <w:trPr>
          <w:trHeight w:val="189"/>
        </w:trPr>
        <w:tc>
          <w:tcPr>
            <w:tcW w:w="2360" w:type="dxa"/>
            <w:vAlign w:val="bottom"/>
          </w:tcPr>
          <w:p>
            <w:pPr>
              <w:ind w:left="80"/>
              <w:spacing w:after="0"/>
              <w:rPr>
                <w:sz w:val="20"/>
                <w:szCs w:val="20"/>
                <w:color w:val="auto"/>
              </w:rPr>
            </w:pPr>
            <w:r>
              <w:rPr>
                <w:rFonts w:ascii="Arial" w:cs="Arial" w:eastAsia="Arial" w:hAnsi="Arial"/>
                <w:sz w:val="16"/>
                <w:szCs w:val="16"/>
                <w:b w:val="1"/>
                <w:bCs w:val="1"/>
                <w:color w:val="4CCEDE"/>
              </w:rPr>
              <w:t>Financial Planning</w:t>
            </w:r>
          </w:p>
        </w:tc>
        <w:tc>
          <w:tcPr>
            <w:tcW w:w="3760" w:type="dxa"/>
            <w:vAlign w:val="bottom"/>
          </w:tcPr>
          <w:p>
            <w:pPr>
              <w:ind w:left="860"/>
              <w:spacing w:after="0"/>
              <w:rPr>
                <w:sz w:val="20"/>
                <w:szCs w:val="20"/>
                <w:color w:val="auto"/>
              </w:rPr>
            </w:pPr>
            <w:r>
              <w:rPr>
                <w:rFonts w:ascii="Arial" w:cs="Arial" w:eastAsia="Arial" w:hAnsi="Arial"/>
                <w:sz w:val="16"/>
                <w:szCs w:val="16"/>
                <w:color w:val="auto"/>
              </w:rPr>
              <w:t>after termination and financial planning</w:t>
            </w:r>
          </w:p>
        </w:tc>
        <w:tc>
          <w:tcPr>
            <w:tcW w:w="2960" w:type="dxa"/>
            <w:vAlign w:val="bottom"/>
          </w:tcPr>
          <w:p>
            <w:pPr>
              <w:ind w:left="100"/>
              <w:spacing w:after="0"/>
              <w:rPr>
                <w:sz w:val="20"/>
                <w:szCs w:val="20"/>
                <w:color w:val="auto"/>
              </w:rPr>
            </w:pPr>
            <w:r>
              <w:rPr>
                <w:rFonts w:ascii="Arial" w:cs="Arial" w:eastAsia="Arial" w:hAnsi="Arial"/>
                <w:sz w:val="16"/>
                <w:szCs w:val="16"/>
                <w:color w:val="auto"/>
              </w:rPr>
              <w:t>after termination and financial planning</w:t>
            </w:r>
          </w:p>
        </w:tc>
      </w:tr>
      <w:tr>
        <w:trPr>
          <w:trHeight w:val="189"/>
        </w:trPr>
        <w:tc>
          <w:tcPr>
            <w:tcW w:w="2360" w:type="dxa"/>
            <w:vAlign w:val="bottom"/>
          </w:tcPr>
          <w:p>
            <w:pPr>
              <w:spacing w:after="0"/>
              <w:rPr>
                <w:sz w:val="16"/>
                <w:szCs w:val="16"/>
                <w:color w:val="auto"/>
              </w:rPr>
            </w:pPr>
          </w:p>
        </w:tc>
        <w:tc>
          <w:tcPr>
            <w:tcW w:w="3760" w:type="dxa"/>
            <w:vAlign w:val="bottom"/>
          </w:tcPr>
          <w:p>
            <w:pPr>
              <w:ind w:left="860"/>
              <w:spacing w:after="0"/>
              <w:rPr>
                <w:sz w:val="20"/>
                <w:szCs w:val="20"/>
                <w:color w:val="auto"/>
              </w:rPr>
            </w:pPr>
            <w:r>
              <w:rPr>
                <w:rFonts w:ascii="Arial" w:cs="Arial" w:eastAsia="Arial" w:hAnsi="Arial"/>
                <w:sz w:val="16"/>
                <w:szCs w:val="16"/>
                <w:color w:val="auto"/>
              </w:rPr>
              <w:t>for the calendar year in which the</w:t>
            </w:r>
          </w:p>
        </w:tc>
        <w:tc>
          <w:tcPr>
            <w:tcW w:w="2960" w:type="dxa"/>
            <w:vAlign w:val="bottom"/>
          </w:tcPr>
          <w:p>
            <w:pPr>
              <w:ind w:left="100"/>
              <w:spacing w:after="0"/>
              <w:rPr>
                <w:sz w:val="20"/>
                <w:szCs w:val="20"/>
                <w:color w:val="auto"/>
              </w:rPr>
            </w:pPr>
            <w:r>
              <w:rPr>
                <w:rFonts w:ascii="Arial" w:cs="Arial" w:eastAsia="Arial" w:hAnsi="Arial"/>
                <w:sz w:val="16"/>
                <w:szCs w:val="16"/>
                <w:color w:val="auto"/>
              </w:rPr>
              <w:t>for the calendar year in which the</w:t>
            </w:r>
          </w:p>
        </w:tc>
      </w:tr>
      <w:tr>
        <w:trPr>
          <w:trHeight w:val="224"/>
        </w:trPr>
        <w:tc>
          <w:tcPr>
            <w:tcW w:w="2360" w:type="dxa"/>
            <w:vAlign w:val="bottom"/>
            <w:tcBorders>
              <w:bottom w:val="single" w:sz="8" w:color="867F7C"/>
            </w:tcBorders>
          </w:tcPr>
          <w:p>
            <w:pPr>
              <w:spacing w:after="0"/>
              <w:rPr>
                <w:sz w:val="19"/>
                <w:szCs w:val="19"/>
                <w:color w:val="auto"/>
              </w:rPr>
            </w:pPr>
          </w:p>
        </w:tc>
        <w:tc>
          <w:tcPr>
            <w:tcW w:w="3760" w:type="dxa"/>
            <w:vAlign w:val="bottom"/>
            <w:tcBorders>
              <w:bottom w:val="single" w:sz="8" w:color="867F7C"/>
            </w:tcBorders>
          </w:tcPr>
          <w:p>
            <w:pPr>
              <w:ind w:left="860"/>
              <w:spacing w:after="0"/>
              <w:rPr>
                <w:sz w:val="20"/>
                <w:szCs w:val="20"/>
                <w:color w:val="auto"/>
              </w:rPr>
            </w:pPr>
            <w:r>
              <w:rPr>
                <w:rFonts w:ascii="Arial" w:cs="Arial" w:eastAsia="Arial" w:hAnsi="Arial"/>
                <w:sz w:val="16"/>
                <w:szCs w:val="16"/>
                <w:color w:val="auto"/>
              </w:rPr>
              <w:t>termination occurs.</w:t>
            </w:r>
          </w:p>
        </w:tc>
        <w:tc>
          <w:tcPr>
            <w:tcW w:w="2960" w:type="dxa"/>
            <w:vAlign w:val="bottom"/>
            <w:tcBorders>
              <w:bottom w:val="single" w:sz="8" w:color="867F7C"/>
            </w:tcBorders>
          </w:tcPr>
          <w:p>
            <w:pPr>
              <w:ind w:left="100"/>
              <w:spacing w:after="0"/>
              <w:rPr>
                <w:sz w:val="20"/>
                <w:szCs w:val="20"/>
                <w:color w:val="auto"/>
              </w:rPr>
            </w:pPr>
            <w:r>
              <w:rPr>
                <w:rFonts w:ascii="Arial" w:cs="Arial" w:eastAsia="Arial" w:hAnsi="Arial"/>
                <w:sz w:val="16"/>
                <w:szCs w:val="16"/>
                <w:color w:val="auto"/>
              </w:rPr>
              <w:t>termination occurs.</w:t>
            </w:r>
          </w:p>
        </w:tc>
      </w:tr>
      <w:tr>
        <w:trPr>
          <w:trHeight w:val="215"/>
        </w:trPr>
        <w:tc>
          <w:tcPr>
            <w:tcW w:w="2360" w:type="dxa"/>
            <w:vAlign w:val="bottom"/>
          </w:tcPr>
          <w:p>
            <w:pPr>
              <w:ind w:left="80"/>
              <w:spacing w:after="0"/>
              <w:rPr>
                <w:sz w:val="20"/>
                <w:szCs w:val="20"/>
                <w:color w:val="auto"/>
              </w:rPr>
            </w:pPr>
            <w:r>
              <w:rPr>
                <w:rFonts w:ascii="Arial" w:cs="Arial" w:eastAsia="Arial" w:hAnsi="Arial"/>
                <w:sz w:val="16"/>
                <w:szCs w:val="16"/>
                <w:b w:val="1"/>
                <w:bCs w:val="1"/>
                <w:color w:val="4CCEDE"/>
              </w:rPr>
              <w:t>Vacation</w:t>
            </w:r>
          </w:p>
        </w:tc>
        <w:tc>
          <w:tcPr>
            <w:tcW w:w="3760" w:type="dxa"/>
            <w:vAlign w:val="bottom"/>
          </w:tcPr>
          <w:p>
            <w:pPr>
              <w:ind w:left="860"/>
              <w:spacing w:after="0"/>
              <w:rPr>
                <w:sz w:val="20"/>
                <w:szCs w:val="20"/>
                <w:color w:val="auto"/>
              </w:rPr>
            </w:pPr>
            <w:r>
              <w:rPr>
                <w:rFonts w:ascii="Arial" w:cs="Arial" w:eastAsia="Arial" w:hAnsi="Arial"/>
                <w:sz w:val="16"/>
                <w:szCs w:val="16"/>
                <w:color w:val="auto"/>
              </w:rPr>
              <w:t>Payment of all unused, earned and</w:t>
            </w:r>
          </w:p>
        </w:tc>
        <w:tc>
          <w:tcPr>
            <w:tcW w:w="2960" w:type="dxa"/>
            <w:vAlign w:val="bottom"/>
          </w:tcPr>
          <w:p>
            <w:pPr>
              <w:ind w:left="100"/>
              <w:spacing w:after="0"/>
              <w:rPr>
                <w:sz w:val="20"/>
                <w:szCs w:val="20"/>
                <w:color w:val="auto"/>
              </w:rPr>
            </w:pPr>
            <w:r>
              <w:rPr>
                <w:rFonts w:ascii="Arial" w:cs="Arial" w:eastAsia="Arial" w:hAnsi="Arial"/>
                <w:sz w:val="16"/>
                <w:szCs w:val="16"/>
                <w:color w:val="auto"/>
              </w:rPr>
              <w:t>Payment of all unused, earned and</w:t>
            </w:r>
          </w:p>
        </w:tc>
      </w:tr>
      <w:tr>
        <w:trPr>
          <w:trHeight w:val="224"/>
        </w:trPr>
        <w:tc>
          <w:tcPr>
            <w:tcW w:w="2360" w:type="dxa"/>
            <w:vAlign w:val="bottom"/>
            <w:tcBorders>
              <w:bottom w:val="single" w:sz="8" w:color="867F7C"/>
            </w:tcBorders>
          </w:tcPr>
          <w:p>
            <w:pPr>
              <w:spacing w:after="0"/>
              <w:rPr>
                <w:sz w:val="19"/>
                <w:szCs w:val="19"/>
                <w:color w:val="auto"/>
              </w:rPr>
            </w:pPr>
          </w:p>
        </w:tc>
        <w:tc>
          <w:tcPr>
            <w:tcW w:w="3760" w:type="dxa"/>
            <w:vAlign w:val="bottom"/>
            <w:tcBorders>
              <w:bottom w:val="single" w:sz="8" w:color="867F7C"/>
            </w:tcBorders>
          </w:tcPr>
          <w:p>
            <w:pPr>
              <w:ind w:left="860"/>
              <w:spacing w:after="0"/>
              <w:rPr>
                <w:sz w:val="20"/>
                <w:szCs w:val="20"/>
                <w:color w:val="auto"/>
              </w:rPr>
            </w:pPr>
            <w:r>
              <w:rPr>
                <w:rFonts w:ascii="Arial" w:cs="Arial" w:eastAsia="Arial" w:hAnsi="Arial"/>
                <w:sz w:val="16"/>
                <w:szCs w:val="16"/>
                <w:color w:val="auto"/>
              </w:rPr>
              <w:t>accrued vacation in a lump sum.</w:t>
            </w:r>
          </w:p>
        </w:tc>
        <w:tc>
          <w:tcPr>
            <w:tcW w:w="2960" w:type="dxa"/>
            <w:vAlign w:val="bottom"/>
            <w:tcBorders>
              <w:bottom w:val="single" w:sz="8" w:color="867F7C"/>
            </w:tcBorders>
          </w:tcPr>
          <w:p>
            <w:pPr>
              <w:ind w:left="100"/>
              <w:spacing w:after="0"/>
              <w:rPr>
                <w:sz w:val="20"/>
                <w:szCs w:val="20"/>
                <w:color w:val="auto"/>
              </w:rPr>
            </w:pPr>
            <w:r>
              <w:rPr>
                <w:rFonts w:ascii="Arial" w:cs="Arial" w:eastAsia="Arial" w:hAnsi="Arial"/>
                <w:sz w:val="16"/>
                <w:szCs w:val="16"/>
                <w:color w:val="auto"/>
              </w:rPr>
              <w:t>accrued vacation in a lump sum.</w:t>
            </w:r>
          </w:p>
        </w:tc>
      </w:tr>
    </w:tbl>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condition to receiving the benefits and compensation payable under the agreement, each NEO has agreed for a period of 24 months (36 months for the CEO) following termination following a change in control other than by reason of death or disability, for cause or voluntary termination without good reason, absent prior written consent of Ashland’s General Counsel, to refrain from (i) engaging in competitive activity against Ashland; and (ii) soliciting persons working for Ashland, soliciting customers of Ashland or otherwise interfering with Ashland’s business relationships. Pursuant to the agreement, each executive has also agreed not to disclose Ashland’s confidential information, subject to limited exceptions. If an executive breaches the agreement, Ashland has the right to recover benefits that have been paid to the executive. Finally, an executive may recover legal fees and expenses incurred as a result of Ashland’s unsuccessful legal challenge to the agreement or the executive’s interpretation of the agreement.</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2"/>
          <w:szCs w:val="22"/>
          <w:color w:val="4CCEDE"/>
        </w:rPr>
        <w:t>definitions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“Cause” is any of the following:</w:t>
      </w:r>
    </w:p>
    <w:p>
      <w:pPr>
        <w:spacing w:after="0" w:line="104" w:lineRule="exact"/>
        <w:rPr>
          <w:sz w:val="20"/>
          <w:szCs w:val="20"/>
          <w:color w:val="auto"/>
        </w:rPr>
      </w:pPr>
    </w:p>
    <w:p>
      <w:pPr>
        <w:ind w:left="240" w:right="20" w:hanging="232"/>
        <w:spacing w:after="0" w:line="270" w:lineRule="auto"/>
        <w:tabs>
          <w:tab w:leader="none" w:pos="240" w:val="left"/>
        </w:tabs>
        <w:numPr>
          <w:ilvl w:val="0"/>
          <w:numId w:val="68"/>
        </w:numPr>
        <w:rPr>
          <w:rFonts w:ascii="Times New Roman" w:cs="Times New Roman" w:eastAsia="Times New Roman" w:hAnsi="Times New Roman"/>
          <w:sz w:val="18"/>
          <w:szCs w:val="18"/>
          <w:color w:val="4CCEDE"/>
        </w:rPr>
      </w:pPr>
      <w:r>
        <w:rPr>
          <w:rFonts w:ascii="Arial" w:cs="Arial" w:eastAsia="Arial" w:hAnsi="Arial"/>
          <w:sz w:val="18"/>
          <w:szCs w:val="18"/>
          <w:color w:val="auto"/>
        </w:rPr>
        <w:t>Willfully failing to substantially perform duties after a written demand for such performance (except in the case of disability);</w:t>
      </w:r>
    </w:p>
    <w:p>
      <w:pPr>
        <w:spacing w:after="0" w:line="46" w:lineRule="exact"/>
        <w:rPr>
          <w:rFonts w:ascii="Times New Roman" w:cs="Times New Roman" w:eastAsia="Times New Roman" w:hAnsi="Times New Roman"/>
          <w:sz w:val="18"/>
          <w:szCs w:val="18"/>
          <w:color w:val="4CCEDE"/>
        </w:rPr>
      </w:pPr>
    </w:p>
    <w:p>
      <w:pPr>
        <w:ind w:left="240" w:right="20" w:hanging="232"/>
        <w:spacing w:after="0" w:line="270" w:lineRule="auto"/>
        <w:tabs>
          <w:tab w:leader="none" w:pos="240" w:val="left"/>
        </w:tabs>
        <w:numPr>
          <w:ilvl w:val="0"/>
          <w:numId w:val="68"/>
        </w:numPr>
        <w:rPr>
          <w:rFonts w:ascii="Times New Roman" w:cs="Times New Roman" w:eastAsia="Times New Roman" w:hAnsi="Times New Roman"/>
          <w:sz w:val="18"/>
          <w:szCs w:val="18"/>
          <w:color w:val="4CCEDE"/>
        </w:rPr>
      </w:pPr>
      <w:r>
        <w:rPr>
          <w:rFonts w:ascii="Arial" w:cs="Arial" w:eastAsia="Arial" w:hAnsi="Arial"/>
          <w:sz w:val="18"/>
          <w:szCs w:val="18"/>
          <w:color w:val="auto"/>
        </w:rPr>
        <w:t>Willfully engaging in gross misconduct materially and demonstrably injurious to Ashland after a written demand to cease such misconduct; or</w:t>
      </w:r>
    </w:p>
    <w:p>
      <w:pPr>
        <w:spacing w:after="0" w:line="4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68"/>
        </w:numPr>
        <w:rPr>
          <w:rFonts w:ascii="Times New Roman" w:cs="Times New Roman" w:eastAsia="Times New Roman" w:hAnsi="Times New Roman"/>
          <w:sz w:val="18"/>
          <w:szCs w:val="18"/>
          <w:color w:val="4CCEDE"/>
        </w:rPr>
      </w:pPr>
      <w:r>
        <w:rPr>
          <w:rFonts w:ascii="Arial" w:cs="Arial" w:eastAsia="Arial" w:hAnsi="Arial"/>
          <w:sz w:val="18"/>
          <w:szCs w:val="18"/>
          <w:color w:val="auto"/>
        </w:rPr>
        <w:t xml:space="preserve">Conviction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for a felony involving moral turpitude.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be terminated for cause, the Board of Directors must pass a resolution by three quarters vote finding that the termination is for cause.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“Good reason” includes any of the following that occurs after a change in control:</w:t>
      </w:r>
    </w:p>
    <w:p>
      <w:pPr>
        <w:spacing w:after="0" w:line="104" w:lineRule="exact"/>
        <w:rPr>
          <w:sz w:val="20"/>
          <w:szCs w:val="20"/>
          <w:color w:val="auto"/>
        </w:rPr>
      </w:pPr>
    </w:p>
    <w:p>
      <w:pPr>
        <w:ind w:left="240" w:hanging="232"/>
        <w:spacing w:after="0"/>
        <w:tabs>
          <w:tab w:leader="none" w:pos="240" w:val="left"/>
        </w:tabs>
        <w:numPr>
          <w:ilvl w:val="0"/>
          <w:numId w:val="69"/>
        </w:numPr>
        <w:rPr>
          <w:rFonts w:ascii="Times New Roman" w:cs="Times New Roman" w:eastAsia="Times New Roman" w:hAnsi="Times New Roman"/>
          <w:sz w:val="18"/>
          <w:szCs w:val="18"/>
          <w:color w:val="4CCEDE"/>
        </w:rPr>
      </w:pPr>
      <w:r>
        <w:rPr>
          <w:rFonts w:ascii="Arial" w:cs="Arial" w:eastAsia="Arial" w:hAnsi="Arial"/>
          <w:sz w:val="18"/>
          <w:szCs w:val="18"/>
          <w:color w:val="auto"/>
        </w:rPr>
        <w:t>Significant diminution of position, duties, responsibilities, or status;</w:t>
      </w:r>
    </w:p>
    <w:p>
      <w:pPr>
        <w:spacing w:after="0" w:line="11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69"/>
        </w:numPr>
        <w:rPr>
          <w:rFonts w:ascii="Times New Roman" w:cs="Times New Roman" w:eastAsia="Times New Roman" w:hAnsi="Times New Roman"/>
          <w:sz w:val="18"/>
          <w:szCs w:val="18"/>
          <w:color w:val="4CCEDE"/>
        </w:rPr>
      </w:pPr>
      <w:r>
        <w:rPr>
          <w:rFonts w:ascii="Arial" w:cs="Arial" w:eastAsia="Arial" w:hAnsi="Arial"/>
          <w:sz w:val="18"/>
          <w:szCs w:val="18"/>
          <w:color w:val="auto"/>
        </w:rPr>
        <w:t>Reduction to base salary of at least 15%;</w:t>
      </w:r>
    </w:p>
    <w:p>
      <w:pPr>
        <w:spacing w:after="0" w:line="11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69"/>
        </w:numPr>
        <w:rPr>
          <w:rFonts w:ascii="Times New Roman" w:cs="Times New Roman" w:eastAsia="Times New Roman" w:hAnsi="Times New Roman"/>
          <w:sz w:val="18"/>
          <w:szCs w:val="18"/>
          <w:color w:val="4CCEDE"/>
        </w:rPr>
      </w:pPr>
      <w:r>
        <w:rPr>
          <w:rFonts w:ascii="Arial" w:cs="Arial" w:eastAsia="Arial" w:hAnsi="Arial"/>
          <w:sz w:val="18"/>
          <w:szCs w:val="18"/>
          <w:color w:val="auto"/>
        </w:rPr>
        <w:t>Relocation exceeding 50 miles;</w:t>
      </w:r>
    </w:p>
    <w:p>
      <w:pPr>
        <w:spacing w:after="0" w:line="116" w:lineRule="exact"/>
        <w:rPr>
          <w:rFonts w:ascii="Times New Roman" w:cs="Times New Roman" w:eastAsia="Times New Roman" w:hAnsi="Times New Roman"/>
          <w:sz w:val="18"/>
          <w:szCs w:val="18"/>
          <w:color w:val="4CCEDE"/>
        </w:rPr>
      </w:pPr>
    </w:p>
    <w:p>
      <w:pPr>
        <w:ind w:left="240" w:right="20" w:hanging="232"/>
        <w:spacing w:after="0" w:line="270" w:lineRule="auto"/>
        <w:tabs>
          <w:tab w:leader="none" w:pos="240" w:val="left"/>
        </w:tabs>
        <w:numPr>
          <w:ilvl w:val="0"/>
          <w:numId w:val="69"/>
        </w:numPr>
        <w:rPr>
          <w:rFonts w:ascii="Times New Roman" w:cs="Times New Roman" w:eastAsia="Times New Roman" w:hAnsi="Times New Roman"/>
          <w:sz w:val="18"/>
          <w:szCs w:val="18"/>
          <w:color w:val="4CCEDE"/>
        </w:rPr>
      </w:pPr>
      <w:r>
        <w:rPr>
          <w:rFonts w:ascii="Arial" w:cs="Arial" w:eastAsia="Arial" w:hAnsi="Arial"/>
          <w:sz w:val="18"/>
          <w:szCs w:val="18"/>
          <w:color w:val="auto"/>
        </w:rPr>
        <w:t>Failure to continue incentive plans, whether cash or equity, or any other plan or arrangement to receive Ashland securities; or</w:t>
      </w:r>
    </w:p>
    <w:p>
      <w:pPr>
        <w:spacing w:after="0" w:line="46"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69"/>
        </w:numPr>
        <w:rPr>
          <w:rFonts w:ascii="Times New Roman" w:cs="Times New Roman" w:eastAsia="Times New Roman" w:hAnsi="Times New Roman"/>
          <w:sz w:val="18"/>
          <w:szCs w:val="18"/>
          <w:color w:val="4CCEDE"/>
        </w:rPr>
      </w:pPr>
      <w:r>
        <w:rPr>
          <w:rFonts w:ascii="Arial" w:cs="Arial" w:eastAsia="Arial" w:hAnsi="Arial"/>
          <w:sz w:val="18"/>
          <w:szCs w:val="18"/>
          <w:color w:val="auto"/>
        </w:rPr>
        <w:t>Material breach by the Company of the executive change in control agreement or a failure by the Company to assume such agreement.</w:t>
      </w:r>
    </w:p>
    <w:p>
      <w:pPr>
        <w:spacing w:after="0" w:line="131"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867F7C"/>
        </w:rPr>
        <w:t>2025 executive compensation tables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is a complex definition, but may be summarized to include any of the following:</w:t>
      </w:r>
    </w:p>
    <w:p>
      <w:pPr>
        <w:spacing w:after="0" w:line="104" w:lineRule="exact"/>
        <w:rPr>
          <w:sz w:val="20"/>
          <w:szCs w:val="20"/>
          <w:color w:val="auto"/>
        </w:rPr>
      </w:pPr>
    </w:p>
    <w:p>
      <w:pPr>
        <w:jc w:val="both"/>
        <w:ind w:left="240" w:hanging="232"/>
        <w:spacing w:after="0" w:line="246" w:lineRule="auto"/>
        <w:tabs>
          <w:tab w:leader="none" w:pos="240" w:val="left"/>
        </w:tabs>
        <w:numPr>
          <w:ilvl w:val="0"/>
          <w:numId w:val="70"/>
        </w:numPr>
        <w:rPr>
          <w:rFonts w:ascii="Times New Roman" w:cs="Times New Roman" w:eastAsia="Times New Roman" w:hAnsi="Times New Roman"/>
          <w:sz w:val="18"/>
          <w:szCs w:val="18"/>
          <w:color w:val="4CCEDE"/>
        </w:rPr>
      </w:pPr>
      <w:r>
        <w:rPr>
          <w:rFonts w:ascii="Arial" w:cs="Arial" w:eastAsia="Arial" w:hAnsi="Arial"/>
          <w:sz w:val="18"/>
          <w:szCs w:val="18"/>
          <w:color w:val="auto"/>
        </w:rPr>
        <w:t>The consolidation or merger of Ashland into an unrelated entity in which the former Ashland stockholders own less than 50% of the outstanding shares of the new entity, except for a merger under which the holders of Ashland’s common stock before the merger have substantially the same proportionate ownership of common stock in the entity immediately after the merger;</w:t>
      </w:r>
    </w:p>
    <w:p>
      <w:pPr>
        <w:spacing w:after="0" w:line="68"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70"/>
        </w:numPr>
        <w:rPr>
          <w:rFonts w:ascii="Times New Roman" w:cs="Times New Roman" w:eastAsia="Times New Roman" w:hAnsi="Times New Roman"/>
          <w:sz w:val="18"/>
          <w:szCs w:val="18"/>
          <w:color w:val="4CCEDE"/>
        </w:rPr>
      </w:pPr>
      <w:r>
        <w:rPr>
          <w:rFonts w:ascii="Arial" w:cs="Arial" w:eastAsia="Arial" w:hAnsi="Arial"/>
          <w:sz w:val="18"/>
          <w:szCs w:val="18"/>
          <w:color w:val="auto"/>
        </w:rPr>
        <w:t>The sale, lease, exchange or other transfer of 80% or more of Ashland’s assets;</w:t>
      </w:r>
    </w:p>
    <w:p>
      <w:pPr>
        <w:spacing w:after="0" w:line="116" w:lineRule="exact"/>
        <w:rPr>
          <w:rFonts w:ascii="Times New Roman" w:cs="Times New Roman" w:eastAsia="Times New Roman" w:hAnsi="Times New Roman"/>
          <w:sz w:val="18"/>
          <w:szCs w:val="18"/>
          <w:color w:val="4CCEDE"/>
        </w:rPr>
      </w:pPr>
    </w:p>
    <w:p>
      <w:pPr>
        <w:ind w:left="240" w:hanging="232"/>
        <w:spacing w:after="0"/>
        <w:tabs>
          <w:tab w:leader="none" w:pos="240" w:val="left"/>
        </w:tabs>
        <w:numPr>
          <w:ilvl w:val="0"/>
          <w:numId w:val="70"/>
        </w:numPr>
        <w:rPr>
          <w:rFonts w:ascii="Times New Roman" w:cs="Times New Roman" w:eastAsia="Times New Roman" w:hAnsi="Times New Roman"/>
          <w:sz w:val="18"/>
          <w:szCs w:val="18"/>
          <w:color w:val="4CCEDE"/>
        </w:rPr>
      </w:pPr>
      <w:r>
        <w:rPr>
          <w:rFonts w:ascii="Arial" w:cs="Arial" w:eastAsia="Arial" w:hAnsi="Arial"/>
          <w:sz w:val="18"/>
          <w:szCs w:val="18"/>
          <w:color w:val="auto"/>
        </w:rPr>
        <w:t>A stockholder approved liquidation or dissolution;</w:t>
      </w:r>
    </w:p>
    <w:p>
      <w:pPr>
        <w:spacing w:after="0" w:line="116"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70"/>
        </w:numPr>
        <w:rPr>
          <w:rFonts w:ascii="Times New Roman" w:cs="Times New Roman" w:eastAsia="Times New Roman" w:hAnsi="Times New Roman"/>
          <w:sz w:val="18"/>
          <w:szCs w:val="18"/>
          <w:color w:val="4CCEDE"/>
        </w:rPr>
      </w:pPr>
      <w:r>
        <w:rPr>
          <w:rFonts w:ascii="Arial" w:cs="Arial" w:eastAsia="Arial" w:hAnsi="Arial"/>
          <w:sz w:val="18"/>
          <w:szCs w:val="18"/>
          <w:color w:val="auto"/>
        </w:rPr>
        <w:t>The acquisition of 20% or more of the outstanding shares of Ashland by an unrelated person without approval of the Board; or</w:t>
      </w:r>
    </w:p>
    <w:p>
      <w:pPr>
        <w:spacing w:after="0" w:line="46" w:lineRule="exact"/>
        <w:rPr>
          <w:rFonts w:ascii="Times New Roman" w:cs="Times New Roman" w:eastAsia="Times New Roman" w:hAnsi="Times New Roman"/>
          <w:sz w:val="18"/>
          <w:szCs w:val="18"/>
          <w:color w:val="4CCEDE"/>
        </w:rPr>
      </w:pPr>
    </w:p>
    <w:p>
      <w:pPr>
        <w:jc w:val="both"/>
        <w:ind w:left="240" w:hanging="232"/>
        <w:spacing w:after="0" w:line="252" w:lineRule="auto"/>
        <w:tabs>
          <w:tab w:leader="none" w:pos="240" w:val="left"/>
        </w:tabs>
        <w:numPr>
          <w:ilvl w:val="0"/>
          <w:numId w:val="70"/>
        </w:numPr>
        <w:rPr>
          <w:rFonts w:ascii="Times New Roman" w:cs="Times New Roman" w:eastAsia="Times New Roman" w:hAnsi="Times New Roman"/>
          <w:sz w:val="18"/>
          <w:szCs w:val="18"/>
          <w:color w:val="4CCEDE"/>
        </w:rPr>
      </w:pPr>
      <w:r>
        <w:rPr>
          <w:rFonts w:ascii="Arial" w:cs="Arial" w:eastAsia="Arial" w:hAnsi="Arial"/>
          <w:sz w:val="18"/>
          <w:szCs w:val="18"/>
          <w:color w:val="auto"/>
        </w:rPr>
        <w:t>Changes to Ashland’s Board during two consecutive years that result in a majority of the Board changing from its membership at the start of such two-consecutive year period, unless two-thirds of the remaining directors at the start of such two consecutive year period voted to approve such changes.</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4CCEDE"/>
        </w:rPr>
        <w:t>incentive compensation, RSU/RSEs and PSUs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15, 2015, the Compensation Committee approved an amendment to the 2015 Incentive Plan, which provides for the Committee to have the option to grant awards under the 2015 Incentive Plan with double-trigger change in control provisions set forth in an award agreement. The default under the 2015 Incentive Plan is a single-trigger change in control provision. In connection with this amendment, the Committee also approved forms of the award agreements generally containing the double-trigger change in control vesting provision in the event of a termination without cause within one year following a change in control, which we refer to as the “2015 Amended Award Agreements”. All awards granted to named executive officers under the 2015 Incentive Plan since this amendment have used the 2015 Amended Award Agreements. Other than this change, the 2015 Amended Award Agreements are substantially similar to the prior award agreements.</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2021 Omnibus Plan, in the event provision is made in connection with the change in control for the assumption or substitution of awards previously granted, the award agreements for the 2021 Omnibus Plan provide for double-trigger vesting provisions for each award type upon termination without cause or a resignation for good reason within one year following a change in control.</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the awards are not assumed or substituted in connection with the change in control, awards previously granted will be treated as follows:</w:t>
      </w:r>
    </w:p>
    <w:p>
      <w:pPr>
        <w:spacing w:after="0" w:line="46" w:lineRule="exact"/>
        <w:rPr>
          <w:sz w:val="20"/>
          <w:szCs w:val="20"/>
          <w:color w:val="auto"/>
        </w:rPr>
      </w:pPr>
    </w:p>
    <w:p>
      <w:pPr>
        <w:jc w:val="both"/>
        <w:ind w:left="240" w:hanging="232"/>
        <w:spacing w:after="0" w:line="239" w:lineRule="auto"/>
        <w:tabs>
          <w:tab w:leader="none" w:pos="240" w:val="left"/>
        </w:tabs>
        <w:numPr>
          <w:ilvl w:val="0"/>
          <w:numId w:val="71"/>
        </w:numPr>
        <w:rPr>
          <w:rFonts w:ascii="Times New Roman" w:cs="Times New Roman" w:eastAsia="Times New Roman" w:hAnsi="Times New Roman"/>
          <w:sz w:val="18"/>
          <w:szCs w:val="18"/>
          <w:color w:val="4CCEDE"/>
        </w:rPr>
      </w:pPr>
      <w:r>
        <w:rPr>
          <w:rFonts w:ascii="Arial" w:cs="Arial" w:eastAsia="Arial" w:hAnsi="Arial"/>
          <w:sz w:val="18"/>
          <w:szCs w:val="18"/>
          <w:color w:val="auto"/>
        </w:rPr>
        <w:t>All PSUs, cash incentive awards and awards designated as performance compensation awards would, in each case as specified in the applicable award agreement or otherwise, either (a) be canceled and terminated without any payment or consideration therefor or (b) automatically vest based on actual achievement of any applicable performance goals through the date of the change in control, as determined by the Compensation Committee in its sole discretion, or achievement of target performance levels (or the greater of actual achievement of any applicable performance goals through the date of the change in control, as determined by the Compensation Committee in its sole discretion, and target performance levels). In the case of vesting based on target performance levels, however, such awards would also be prorated for the portion of the performance period elapsed prior to the change in control.</w:t>
      </w:r>
    </w:p>
    <w:p>
      <w:pPr>
        <w:spacing w:after="0" w:line="74" w:lineRule="exact"/>
        <w:rPr>
          <w:rFonts w:ascii="Times New Roman" w:cs="Times New Roman" w:eastAsia="Times New Roman" w:hAnsi="Times New Roman"/>
          <w:sz w:val="18"/>
          <w:szCs w:val="18"/>
          <w:color w:val="4CCEDE"/>
        </w:rPr>
      </w:pPr>
    </w:p>
    <w:p>
      <w:pPr>
        <w:jc w:val="both"/>
        <w:ind w:left="240" w:hanging="232"/>
        <w:spacing w:after="0" w:line="246" w:lineRule="auto"/>
        <w:tabs>
          <w:tab w:leader="none" w:pos="240" w:val="left"/>
        </w:tabs>
        <w:numPr>
          <w:ilvl w:val="0"/>
          <w:numId w:val="71"/>
        </w:numPr>
        <w:rPr>
          <w:rFonts w:ascii="Times New Roman" w:cs="Times New Roman" w:eastAsia="Times New Roman" w:hAnsi="Times New Roman"/>
          <w:sz w:val="18"/>
          <w:szCs w:val="18"/>
          <w:color w:val="4CCEDE"/>
        </w:rPr>
      </w:pPr>
      <w:r>
        <w:rPr>
          <w:rFonts w:ascii="Arial" w:cs="Arial" w:eastAsia="Arial" w:hAnsi="Arial"/>
          <w:sz w:val="18"/>
          <w:szCs w:val="18"/>
          <w:color w:val="auto"/>
        </w:rPr>
        <w:t>All other outstanding awards would automatically be deemed exercisable or vested and all restrictions and forfeiture provisions related thereto would lapse as of immediately prior to such change in control and will be paid out at the earliest time permitted under the terms of the applicable agreement, plan, or arrangement that will not trigger a tax or penalty under Section 409A of the Code.</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purposes of the above descriptions, the term “change in control” is defined in the applicable plan or, in the case of the 2021 Omnibus Plan, in either the plan or the award agreements, and has substantially the same meaning as it does in the executive change in control agreements. In addition, the award agreements and incentive plans provide for forfeiture and clawbacks in the event the participant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58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867F7C"/>
        </w:rPr>
        <w:t>2025 executive compensation tables</w:t>
      </w: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breaches certain non-compete, non-solicitation and confidentiality (subject to whistleblower protections) covenants.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the above descriptions, the term without “cause” has substantially the same meaning as it does in the executive change in control agreements, and the term “good reason” means the occurrence of either a reduction to base salary of at least 15% or a relocation exceeding 50 miles.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4CCEDE"/>
        </w:rPr>
        <w:t>employees’ deferral plan and non-qualified defined contribution plan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payments and benefits under the Employees’ Deferral Plan and the Non-Qualified Defined Contribution Plan, except in the event of a change in control, see the “Non-Qualified Deferred Compensation” table and the narrative thereunder in this Proxy Statement.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after a change in control</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term “change in control” is defined in the Employees’ Deferral Plan and the Non-Qualified Defined Contribution Plan and has substantially the same meaning as it does in the executive CIC agreements. Under the Employees’ Deferral Plan, a change in control results in an automatic lump sum distribution of the benefit for deferrals made before January 1, 2005. Deferrals made on and after January 1, 2005, will not be automatically distributed upon a change in control, but rather will be distributed pursuant to each employee’s election and valued at the time of the distribution. Under the NQDCP, a participant will become one hundred percent (100%) vested in his or her accounts upon a change in control.</w:t>
      </w:r>
    </w:p>
    <w:p>
      <w:pPr>
        <w:spacing w:after="0" w:line="391"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867F7C"/>
        </w:rPr>
        <w:t>pay versus performance</w:t>
      </w:r>
    </w:p>
    <w:p>
      <w:pPr>
        <w:spacing w:after="0" w:line="79" w:lineRule="exact"/>
        <w:rPr>
          <w:sz w:val="20"/>
          <w:szCs w:val="20"/>
          <w:color w:val="auto"/>
        </w:rPr>
      </w:pPr>
    </w:p>
    <w:p>
      <w:pPr>
        <w:spacing w:after="0"/>
        <w:rPr>
          <w:sz w:val="20"/>
          <w:szCs w:val="20"/>
          <w:color w:val="auto"/>
        </w:rPr>
      </w:pPr>
      <w:r>
        <w:rPr>
          <w:rFonts w:ascii="Arial" w:cs="Arial" w:eastAsia="Arial" w:hAnsi="Arial"/>
          <w:sz w:val="54"/>
          <w:szCs w:val="54"/>
          <w:color w:val="867F7C"/>
        </w:rPr>
        <w:t>CEO pay ratio</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Pursuant to Section 953(b) of the Dodd-Frank Wall Street Reform and Consumer Protection Act, and Item 402(u) of SEC Regulation S-K, we are providing the following information about the relationship of the annual total compensation of our employees and the annual total compensation of Guillermo Novo, our Chair and Chief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fiscal 2025,</w:t>
      </w:r>
    </w:p>
    <w:p>
      <w:pPr>
        <w:spacing w:after="0" w:line="104" w:lineRule="exact"/>
        <w:rPr>
          <w:sz w:val="20"/>
          <w:szCs w:val="20"/>
          <w:color w:val="auto"/>
        </w:rPr>
      </w:pPr>
    </w:p>
    <w:p>
      <w:pPr>
        <w:ind w:left="240" w:right="20" w:hanging="232"/>
        <w:spacing w:after="0" w:line="270" w:lineRule="auto"/>
        <w:tabs>
          <w:tab w:leader="none" w:pos="240" w:val="left"/>
        </w:tabs>
        <w:numPr>
          <w:ilvl w:val="0"/>
          <w:numId w:val="72"/>
        </w:numPr>
        <w:rPr>
          <w:rFonts w:ascii="Times New Roman" w:cs="Times New Roman" w:eastAsia="Times New Roman" w:hAnsi="Times New Roman"/>
          <w:sz w:val="18"/>
          <w:szCs w:val="18"/>
          <w:color w:val="4CCEDE"/>
        </w:rPr>
      </w:pPr>
      <w:r>
        <w:rPr>
          <w:rFonts w:ascii="Arial" w:cs="Arial" w:eastAsia="Arial" w:hAnsi="Arial"/>
          <w:sz w:val="18"/>
          <w:szCs w:val="18"/>
          <w:color w:val="auto"/>
        </w:rPr>
        <w:t>The median of the annual total compensation of all employees of our company (other than our CEO) was $95,293; and</w:t>
      </w:r>
    </w:p>
    <w:p>
      <w:pPr>
        <w:spacing w:after="0" w:line="46"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72"/>
        </w:numPr>
        <w:rPr>
          <w:rFonts w:ascii="Times New Roman" w:cs="Times New Roman" w:eastAsia="Times New Roman" w:hAnsi="Times New Roman"/>
          <w:sz w:val="18"/>
          <w:szCs w:val="18"/>
          <w:color w:val="4CCEDE"/>
        </w:rPr>
      </w:pPr>
      <w:r>
        <w:rPr>
          <w:rFonts w:ascii="Arial" w:cs="Arial" w:eastAsia="Arial" w:hAnsi="Arial"/>
          <w:sz w:val="18"/>
          <w:szCs w:val="18"/>
          <w:color w:val="auto"/>
        </w:rPr>
        <w:t>The annual total compensation of our CEO, as reported in the “Summary Compensation Table” on page 45 of this Proxy Statement was $7,935,446.</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this information for fiscal 2025, the ratio of the annual total compensation of Mr. Novo to the median of the annual total compensation of all employees was 83:1.</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for this purpose, the methodology and the material assumptions, adjustments and estimates that were used were as follows:</w:t>
      </w:r>
    </w:p>
    <w:p>
      <w:pPr>
        <w:spacing w:after="0" w:line="61" w:lineRule="exact"/>
        <w:rPr>
          <w:sz w:val="20"/>
          <w:szCs w:val="20"/>
          <w:color w:val="auto"/>
        </w:rPr>
      </w:pPr>
    </w:p>
    <w:p>
      <w:pPr>
        <w:jc w:val="both"/>
        <w:ind w:left="240" w:hanging="232"/>
        <w:spacing w:after="0" w:line="246" w:lineRule="auto"/>
        <w:tabs>
          <w:tab w:leader="none" w:pos="240" w:val="left"/>
        </w:tabs>
        <w:numPr>
          <w:ilvl w:val="0"/>
          <w:numId w:val="73"/>
        </w:numPr>
        <w:rPr>
          <w:rFonts w:ascii="Times New Roman" w:cs="Times New Roman" w:eastAsia="Times New Roman" w:hAnsi="Times New Roman"/>
          <w:sz w:val="18"/>
          <w:szCs w:val="18"/>
          <w:color w:val="4CCEDE"/>
        </w:rPr>
      </w:pPr>
      <w:r>
        <w:rPr>
          <w:rFonts w:ascii="Arial" w:cs="Arial" w:eastAsia="Arial" w:hAnsi="Arial"/>
          <w:sz w:val="18"/>
          <w:szCs w:val="18"/>
          <w:color w:val="auto"/>
        </w:rPr>
        <w:t>Our employee population and company structure did not significantly change from our determination of CEO pay ratio in July 2024. During our last calculation of this ratio, we selected July 31, 2024 as the date upon which we would identify the “median employee” to allow sufficient time to identify the median employee given the global scope of our operations.</w:t>
      </w:r>
    </w:p>
    <w:p>
      <w:pPr>
        <w:spacing w:after="0" w:line="68" w:lineRule="exact"/>
        <w:rPr>
          <w:rFonts w:ascii="Times New Roman" w:cs="Times New Roman" w:eastAsia="Times New Roman" w:hAnsi="Times New Roman"/>
          <w:sz w:val="18"/>
          <w:szCs w:val="18"/>
          <w:color w:val="4CCEDE"/>
        </w:rPr>
      </w:pPr>
    </w:p>
    <w:p>
      <w:pPr>
        <w:jc w:val="both"/>
        <w:ind w:left="240" w:hanging="232"/>
        <w:spacing w:after="0" w:line="239" w:lineRule="auto"/>
        <w:tabs>
          <w:tab w:leader="none" w:pos="240" w:val="left"/>
        </w:tabs>
        <w:numPr>
          <w:ilvl w:val="0"/>
          <w:numId w:val="73"/>
        </w:numPr>
        <w:rPr>
          <w:rFonts w:ascii="Times New Roman" w:cs="Times New Roman" w:eastAsia="Times New Roman" w:hAnsi="Times New Roman"/>
          <w:sz w:val="18"/>
          <w:szCs w:val="18"/>
          <w:color w:val="4CCEDE"/>
        </w:rPr>
      </w:pPr>
      <w:r>
        <w:rPr>
          <w:rFonts w:ascii="Arial" w:cs="Arial" w:eastAsia="Arial" w:hAnsi="Arial"/>
          <w:sz w:val="18"/>
          <w:szCs w:val="18"/>
          <w:color w:val="auto"/>
        </w:rPr>
        <w:t>We determined that, as of July 31, 2025, our employee population for pay ratio disclosure purposes consisted of approximately 2,950 employees. We applied the 5% exclusion rule to employees in certain jurisdictions outside of the U.S. which eliminated 122 employees in the following countries: Australia – 3, Colombia – 7, Czech Republic – 1, Hungary – 1, Indonesia – 6, Italy – 10, Japan – 13, Malaysia - 1, Mexico - 29, Philippines</w:t>
      </w:r>
    </w:p>
    <w:p>
      <w:pPr>
        <w:spacing w:after="0" w:line="2" w:lineRule="exact"/>
        <w:rPr>
          <w:rFonts w:ascii="Times New Roman" w:cs="Times New Roman" w:eastAsia="Times New Roman" w:hAnsi="Times New Roman"/>
          <w:sz w:val="18"/>
          <w:szCs w:val="18"/>
          <w:color w:val="4CCEDE"/>
        </w:rPr>
      </w:pPr>
    </w:p>
    <w:p>
      <w:pPr>
        <w:ind w:left="240" w:right="20"/>
        <w:spacing w:after="0" w:line="250" w:lineRule="auto"/>
        <w:rPr>
          <w:rFonts w:ascii="Times New Roman" w:cs="Times New Roman" w:eastAsia="Times New Roman" w:hAnsi="Times New Roman"/>
          <w:sz w:val="18"/>
          <w:szCs w:val="18"/>
          <w:color w:val="4CCEDE"/>
        </w:rPr>
      </w:pPr>
      <w:r>
        <w:rPr>
          <w:rFonts w:ascii="Arial" w:cs="Arial" w:eastAsia="Arial" w:hAnsi="Arial"/>
          <w:sz w:val="18"/>
          <w:szCs w:val="18"/>
          <w:color w:val="auto"/>
        </w:rPr>
        <w:t>– 2, Singapore – 5, South Korea – 11, Spain – 5, Sweden – 1, Taiwan – 1, Thailand – 19, United Arab Emirates – 4 and Vietnam – 3. We did not include workers employed and compensated by a third party.</w:t>
      </w:r>
    </w:p>
    <w:p>
      <w:pPr>
        <w:spacing w:after="0" w:line="63" w:lineRule="exact"/>
        <w:rPr>
          <w:rFonts w:ascii="Times New Roman" w:cs="Times New Roman" w:eastAsia="Times New Roman" w:hAnsi="Times New Roman"/>
          <w:sz w:val="18"/>
          <w:szCs w:val="18"/>
          <w:color w:val="4CCEDE"/>
        </w:rPr>
      </w:pPr>
    </w:p>
    <w:p>
      <w:pPr>
        <w:jc w:val="both"/>
        <w:ind w:left="240" w:hanging="232"/>
        <w:spacing w:after="0" w:line="252" w:lineRule="auto"/>
        <w:tabs>
          <w:tab w:leader="none" w:pos="240" w:val="left"/>
        </w:tabs>
        <w:numPr>
          <w:ilvl w:val="0"/>
          <w:numId w:val="73"/>
        </w:numPr>
        <w:rPr>
          <w:rFonts w:ascii="Times New Roman" w:cs="Times New Roman" w:eastAsia="Times New Roman" w:hAnsi="Times New Roman"/>
          <w:sz w:val="18"/>
          <w:szCs w:val="18"/>
          <w:color w:val="4CCEDE"/>
        </w:rPr>
      </w:pPr>
      <w:r>
        <w:rPr>
          <w:rFonts w:ascii="Arial" w:cs="Arial" w:eastAsia="Arial" w:hAnsi="Arial"/>
          <w:sz w:val="18"/>
          <w:szCs w:val="18"/>
          <w:color w:val="auto"/>
        </w:rPr>
        <w:t>To identify the median employee from our employee population, we used compensation consisting of base wages, overtime, shift differentials, lump sum merit payments, designated paid time off, including holiday pay, bereavement pay, vacation pay, and annual cash incentive.</w:t>
      </w:r>
    </w:p>
    <w:p>
      <w:pPr>
        <w:spacing w:after="0" w:line="62" w:lineRule="exact"/>
        <w:rPr>
          <w:rFonts w:ascii="Times New Roman" w:cs="Times New Roman" w:eastAsia="Times New Roman" w:hAnsi="Times New Roman"/>
          <w:sz w:val="18"/>
          <w:szCs w:val="18"/>
          <w:color w:val="4CCEDE"/>
        </w:rPr>
      </w:pPr>
    </w:p>
    <w:p>
      <w:pPr>
        <w:jc w:val="both"/>
        <w:ind w:left="240" w:hanging="232"/>
        <w:spacing w:after="0" w:line="252" w:lineRule="auto"/>
        <w:tabs>
          <w:tab w:leader="none" w:pos="240" w:val="left"/>
        </w:tabs>
        <w:numPr>
          <w:ilvl w:val="0"/>
          <w:numId w:val="73"/>
        </w:numPr>
        <w:rPr>
          <w:rFonts w:ascii="Times New Roman" w:cs="Times New Roman" w:eastAsia="Times New Roman" w:hAnsi="Times New Roman"/>
          <w:sz w:val="18"/>
          <w:szCs w:val="18"/>
          <w:color w:val="4CCEDE"/>
        </w:rPr>
      </w:pPr>
      <w:r>
        <w:rPr>
          <w:rFonts w:ascii="Arial" w:cs="Arial" w:eastAsia="Arial" w:hAnsi="Arial"/>
          <w:sz w:val="18"/>
          <w:szCs w:val="18"/>
          <w:color w:val="auto"/>
        </w:rPr>
        <w:t>In making these determinations, we took actual pay from August 1, 2024 to July 31, 2025 without annualization. We did not utilize any statistical sampling or cost-of-living adjustments when identifying the median employee. We converted all eligible earnings to U.S. dollars.</w:t>
      </w:r>
    </w:p>
    <w:p>
      <w:pPr>
        <w:spacing w:after="0" w:line="62" w:lineRule="exact"/>
        <w:rPr>
          <w:rFonts w:ascii="Times New Roman" w:cs="Times New Roman" w:eastAsia="Times New Roman" w:hAnsi="Times New Roman"/>
          <w:sz w:val="18"/>
          <w:szCs w:val="18"/>
          <w:color w:val="4CCEDE"/>
        </w:rPr>
      </w:pPr>
    </w:p>
    <w:p>
      <w:pPr>
        <w:ind w:left="240" w:hanging="232"/>
        <w:spacing w:after="0" w:line="270" w:lineRule="auto"/>
        <w:tabs>
          <w:tab w:leader="none" w:pos="240" w:val="left"/>
        </w:tabs>
        <w:numPr>
          <w:ilvl w:val="0"/>
          <w:numId w:val="73"/>
        </w:numPr>
        <w:rPr>
          <w:rFonts w:ascii="Times New Roman" w:cs="Times New Roman" w:eastAsia="Times New Roman" w:hAnsi="Times New Roman"/>
          <w:sz w:val="18"/>
          <w:szCs w:val="18"/>
          <w:color w:val="4CCEDE"/>
        </w:rPr>
      </w:pPr>
      <w:r>
        <w:rPr>
          <w:rFonts w:ascii="Arial" w:cs="Arial" w:eastAsia="Arial" w:hAnsi="Arial"/>
          <w:sz w:val="18"/>
          <w:szCs w:val="18"/>
          <w:color w:val="auto"/>
        </w:rPr>
        <w:t>Based on the CEO pay ratio calculated above, we updated our median employee annual total compensation to the $95,293 for July 2025.</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CEO pay ratio reported above is a reasonable estimate calculated in a manner consistent with SEC rules based on the methodologies and assumptions described above, which were chosen from a wide range of permissible methodologies, estimates and assumptions. As a result, the CEO pay ratios reported by other companies, which may have employed other permitted methodologies or assumptions, and which may have a significantly different work force structure from ours, are likely not comparable to our CEO pay ratio.</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66" w:name="page67"/>
    <w:bookmarkEnd w:id="66"/>
    <w:p>
      <w:pPr>
        <w:spacing w:after="0"/>
        <w:rPr>
          <w:sz w:val="20"/>
          <w:szCs w:val="20"/>
          <w:color w:val="auto"/>
        </w:rPr>
      </w:pPr>
      <w:r>
        <w:rPr>
          <w:rFonts w:ascii="Arial" w:cs="Arial" w:eastAsia="Arial" w:hAnsi="Arial"/>
          <w:sz w:val="54"/>
          <w:szCs w:val="54"/>
          <w:color w:val="867F7C"/>
        </w:rPr>
        <w:t>pay versus performance</w:t>
      </w:r>
    </w:p>
    <w:p>
      <w:pPr>
        <w:spacing w:after="0" w:line="200" w:lineRule="exact"/>
        <w:rPr>
          <w:sz w:val="20"/>
          <w:szCs w:val="20"/>
          <w:color w:val="auto"/>
        </w:rPr>
      </w:pP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sets forth the relationship between executive compensation actually paid and the financial performance of the Company in accordance with SEC rules. It includes compensation for our Principal Executive Officer (“PEO”), Mr. Guillermo Novo, and the average compensation for all other NEOs, or the non-PEO NEOs. The Compensation Committee does not necessarily consider these measures or calculations in setting compensation for the named executive officers or for linking executive compensation with Company performance for 2025 or any prior periods disclosed. For a description of the Compensation Committee’s processes, policies, and considerations when setting compensation and evaluating performance, please see the “Compensation Discussion and Analysis” beginning on page 28 of this Proxy Statement.</w:t>
      </w:r>
    </w:p>
    <w:p>
      <w:pPr>
        <w:spacing w:after="0" w:line="278"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pay versus performance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shd w:val="clear" w:color="auto" w:fill="EFEBE9"/>
          </w:tcPr>
          <w:p>
            <w:pPr>
              <w:spacing w:after="0"/>
              <w:rPr>
                <w:sz w:val="10"/>
                <w:szCs w:val="10"/>
                <w:color w:val="auto"/>
              </w:rPr>
            </w:pPr>
          </w:p>
        </w:tc>
        <w:tc>
          <w:tcPr>
            <w:tcW w:w="140" w:type="dxa"/>
            <w:vAlign w:val="bottom"/>
            <w:shd w:val="clear" w:color="auto" w:fill="EFEBE9"/>
          </w:tcPr>
          <w:p>
            <w:pPr>
              <w:spacing w:after="0"/>
              <w:rPr>
                <w:sz w:val="10"/>
                <w:szCs w:val="10"/>
                <w:color w:val="auto"/>
              </w:rPr>
            </w:pPr>
          </w:p>
        </w:tc>
        <w:tc>
          <w:tcPr>
            <w:tcW w:w="220" w:type="dxa"/>
            <w:vAlign w:val="bottom"/>
            <w:shd w:val="clear" w:color="auto" w:fill="EFEBE9"/>
          </w:tcPr>
          <w:p>
            <w:pPr>
              <w:spacing w:after="0"/>
              <w:rPr>
                <w:sz w:val="10"/>
                <w:szCs w:val="10"/>
                <w:color w:val="auto"/>
              </w:rPr>
            </w:pPr>
          </w:p>
        </w:tc>
        <w:tc>
          <w:tcPr>
            <w:tcW w:w="820" w:type="dxa"/>
            <w:vAlign w:val="bottom"/>
            <w:shd w:val="clear" w:color="auto" w:fill="EFEBE9"/>
          </w:tcPr>
          <w:p>
            <w:pPr>
              <w:spacing w:after="0"/>
              <w:rPr>
                <w:sz w:val="10"/>
                <w:szCs w:val="10"/>
                <w:color w:val="auto"/>
              </w:rPr>
            </w:pPr>
          </w:p>
        </w:tc>
        <w:tc>
          <w:tcPr>
            <w:tcW w:w="260" w:type="dxa"/>
            <w:vAlign w:val="bottom"/>
            <w:shd w:val="clear" w:color="auto" w:fill="EFEBE9"/>
          </w:tcPr>
          <w:p>
            <w:pPr>
              <w:spacing w:after="0"/>
              <w:rPr>
                <w:sz w:val="10"/>
                <w:szCs w:val="10"/>
                <w:color w:val="auto"/>
              </w:rPr>
            </w:pPr>
          </w:p>
        </w:tc>
        <w:tc>
          <w:tcPr>
            <w:tcW w:w="900" w:type="dxa"/>
            <w:vAlign w:val="bottom"/>
            <w:shd w:val="clear" w:color="auto" w:fill="EFEBE9"/>
          </w:tcPr>
          <w:p>
            <w:pPr>
              <w:spacing w:after="0"/>
              <w:rPr>
                <w:sz w:val="10"/>
                <w:szCs w:val="10"/>
                <w:color w:val="auto"/>
              </w:rPr>
            </w:pPr>
          </w:p>
        </w:tc>
        <w:tc>
          <w:tcPr>
            <w:tcW w:w="300" w:type="dxa"/>
            <w:vAlign w:val="bottom"/>
            <w:shd w:val="clear" w:color="auto" w:fill="EFEBE9"/>
          </w:tcPr>
          <w:p>
            <w:pPr>
              <w:spacing w:after="0"/>
              <w:rPr>
                <w:sz w:val="10"/>
                <w:szCs w:val="10"/>
                <w:color w:val="auto"/>
              </w:rPr>
            </w:pPr>
          </w:p>
        </w:tc>
        <w:tc>
          <w:tcPr>
            <w:tcW w:w="840" w:type="dxa"/>
            <w:vAlign w:val="bottom"/>
            <w:shd w:val="clear" w:color="auto" w:fill="EFEBE9"/>
          </w:tcPr>
          <w:p>
            <w:pPr>
              <w:spacing w:after="0"/>
              <w:rPr>
                <w:sz w:val="10"/>
                <w:szCs w:val="10"/>
                <w:color w:val="auto"/>
              </w:rPr>
            </w:pPr>
          </w:p>
        </w:tc>
        <w:tc>
          <w:tcPr>
            <w:tcW w:w="280" w:type="dxa"/>
            <w:vAlign w:val="bottom"/>
            <w:shd w:val="clear" w:color="auto" w:fill="EFEBE9"/>
          </w:tcPr>
          <w:p>
            <w:pPr>
              <w:spacing w:after="0"/>
              <w:rPr>
                <w:sz w:val="10"/>
                <w:szCs w:val="10"/>
                <w:color w:val="auto"/>
              </w:rPr>
            </w:pPr>
          </w:p>
        </w:tc>
        <w:tc>
          <w:tcPr>
            <w:tcW w:w="880" w:type="dxa"/>
            <w:vAlign w:val="bottom"/>
            <w:shd w:val="clear" w:color="auto" w:fill="EFEBE9"/>
          </w:tcPr>
          <w:p>
            <w:pPr>
              <w:spacing w:after="0"/>
              <w:rPr>
                <w:sz w:val="10"/>
                <w:szCs w:val="10"/>
                <w:color w:val="auto"/>
              </w:rPr>
            </w:pPr>
          </w:p>
        </w:tc>
        <w:tc>
          <w:tcPr>
            <w:tcW w:w="160" w:type="dxa"/>
            <w:vAlign w:val="bottom"/>
            <w:shd w:val="clear" w:color="auto" w:fill="EFEBE9"/>
          </w:tcPr>
          <w:p>
            <w:pPr>
              <w:spacing w:after="0"/>
              <w:rPr>
                <w:sz w:val="10"/>
                <w:szCs w:val="10"/>
                <w:color w:val="auto"/>
              </w:rPr>
            </w:pPr>
          </w:p>
        </w:tc>
        <w:tc>
          <w:tcPr>
            <w:tcW w:w="1540" w:type="dxa"/>
            <w:vAlign w:val="bottom"/>
            <w:gridSpan w:val="3"/>
            <w:shd w:val="clear" w:color="auto" w:fill="EFEBE9"/>
          </w:tcPr>
          <w:p>
            <w:pPr>
              <w:jc w:val="right"/>
              <w:ind w:right="166"/>
              <w:spacing w:after="0"/>
              <w:rPr>
                <w:sz w:val="20"/>
                <w:szCs w:val="20"/>
                <w:color w:val="auto"/>
              </w:rPr>
            </w:pPr>
            <w:r>
              <w:rPr>
                <w:rFonts w:ascii="Arial" w:cs="Arial" w:eastAsia="Arial" w:hAnsi="Arial"/>
                <w:sz w:val="11"/>
                <w:szCs w:val="11"/>
                <w:b w:val="1"/>
                <w:bCs w:val="1"/>
                <w:color w:val="867F7C"/>
                <w:w w:val="97"/>
              </w:rPr>
              <w:t>Value of Initial Fixed $100</w:t>
            </w:r>
          </w:p>
        </w:tc>
        <w:tc>
          <w:tcPr>
            <w:tcW w:w="240" w:type="dxa"/>
            <w:vAlign w:val="bottom"/>
            <w:shd w:val="clear" w:color="auto" w:fill="EFEBE9"/>
          </w:tcPr>
          <w:p>
            <w:pPr>
              <w:spacing w:after="0"/>
              <w:rPr>
                <w:sz w:val="10"/>
                <w:szCs w:val="10"/>
                <w:color w:val="auto"/>
              </w:rPr>
            </w:pPr>
          </w:p>
        </w:tc>
        <w:tc>
          <w:tcPr>
            <w:tcW w:w="660" w:type="dxa"/>
            <w:vAlign w:val="bottom"/>
            <w:shd w:val="clear" w:color="auto" w:fill="EFEBE9"/>
          </w:tcPr>
          <w:p>
            <w:pPr>
              <w:spacing w:after="0"/>
              <w:rPr>
                <w:sz w:val="10"/>
                <w:szCs w:val="10"/>
                <w:color w:val="auto"/>
              </w:rPr>
            </w:pPr>
          </w:p>
        </w:tc>
        <w:tc>
          <w:tcPr>
            <w:tcW w:w="260" w:type="dxa"/>
            <w:vAlign w:val="bottom"/>
            <w:shd w:val="clear" w:color="auto" w:fill="EFEBE9"/>
          </w:tcPr>
          <w:p>
            <w:pPr>
              <w:spacing w:after="0"/>
              <w:rPr>
                <w:sz w:val="10"/>
                <w:szCs w:val="10"/>
                <w:color w:val="auto"/>
              </w:rPr>
            </w:pPr>
          </w:p>
        </w:tc>
        <w:tc>
          <w:tcPr>
            <w:tcW w:w="780" w:type="dxa"/>
            <w:vAlign w:val="bottom"/>
            <w:shd w:val="clear" w:color="auto" w:fill="EFEBE9"/>
          </w:tcPr>
          <w:p>
            <w:pPr>
              <w:spacing w:after="0"/>
              <w:rPr>
                <w:sz w:val="10"/>
                <w:szCs w:val="10"/>
                <w:color w:val="auto"/>
              </w:rPr>
            </w:pPr>
          </w:p>
        </w:tc>
      </w:tr>
      <w:tr>
        <w:trPr>
          <w:trHeight w:val="135"/>
        </w:trPr>
        <w:tc>
          <w:tcPr>
            <w:tcW w:w="800" w:type="dxa"/>
            <w:vAlign w:val="bottom"/>
            <w:tcBorders>
              <w:bottom w:val="single" w:sz="8" w:color="EFEBE9"/>
            </w:tcBorders>
            <w:shd w:val="clear" w:color="auto" w:fill="EFEBE9"/>
          </w:tcPr>
          <w:p>
            <w:pPr>
              <w:spacing w:after="0"/>
              <w:rPr>
                <w:sz w:val="11"/>
                <w:szCs w:val="11"/>
                <w:color w:val="auto"/>
              </w:rPr>
            </w:pPr>
          </w:p>
        </w:tc>
        <w:tc>
          <w:tcPr>
            <w:tcW w:w="140" w:type="dxa"/>
            <w:vAlign w:val="bottom"/>
            <w:tcBorders>
              <w:bottom w:val="single" w:sz="8" w:color="EFEBE9"/>
            </w:tcBorders>
            <w:shd w:val="clear" w:color="auto" w:fill="EFEBE9"/>
          </w:tcPr>
          <w:p>
            <w:pPr>
              <w:spacing w:after="0"/>
              <w:rPr>
                <w:sz w:val="11"/>
                <w:szCs w:val="11"/>
                <w:color w:val="auto"/>
              </w:rPr>
            </w:pPr>
          </w:p>
        </w:tc>
        <w:tc>
          <w:tcPr>
            <w:tcW w:w="220" w:type="dxa"/>
            <w:vAlign w:val="bottom"/>
            <w:tcBorders>
              <w:bottom w:val="single" w:sz="8" w:color="EFEBE9"/>
            </w:tcBorders>
            <w:shd w:val="clear" w:color="auto" w:fill="EFEBE9"/>
          </w:tcPr>
          <w:p>
            <w:pPr>
              <w:spacing w:after="0"/>
              <w:rPr>
                <w:sz w:val="11"/>
                <w:szCs w:val="11"/>
                <w:color w:val="auto"/>
              </w:rPr>
            </w:pPr>
          </w:p>
        </w:tc>
        <w:tc>
          <w:tcPr>
            <w:tcW w:w="820" w:type="dxa"/>
            <w:vAlign w:val="bottom"/>
            <w:tcBorders>
              <w:bottom w:val="single" w:sz="8" w:color="EFEBE9"/>
            </w:tcBorders>
            <w:shd w:val="clear" w:color="auto" w:fill="EFEBE9"/>
          </w:tcPr>
          <w:p>
            <w:pPr>
              <w:spacing w:after="0"/>
              <w:rPr>
                <w:sz w:val="11"/>
                <w:szCs w:val="11"/>
                <w:color w:val="auto"/>
              </w:rPr>
            </w:pPr>
          </w:p>
        </w:tc>
        <w:tc>
          <w:tcPr>
            <w:tcW w:w="260" w:type="dxa"/>
            <w:vAlign w:val="bottom"/>
            <w:tcBorders>
              <w:bottom w:val="single" w:sz="8" w:color="EFEBE9"/>
            </w:tcBorders>
            <w:shd w:val="clear" w:color="auto" w:fill="EFEBE9"/>
          </w:tcPr>
          <w:p>
            <w:pPr>
              <w:spacing w:after="0"/>
              <w:rPr>
                <w:sz w:val="11"/>
                <w:szCs w:val="11"/>
                <w:color w:val="auto"/>
              </w:rPr>
            </w:pPr>
          </w:p>
        </w:tc>
        <w:tc>
          <w:tcPr>
            <w:tcW w:w="900" w:type="dxa"/>
            <w:vAlign w:val="bottom"/>
            <w:tcBorders>
              <w:bottom w:val="single" w:sz="8" w:color="EFEBE9"/>
            </w:tcBorders>
            <w:shd w:val="clear" w:color="auto" w:fill="EFEBE9"/>
          </w:tcPr>
          <w:p>
            <w:pPr>
              <w:spacing w:after="0"/>
              <w:rPr>
                <w:sz w:val="11"/>
                <w:szCs w:val="11"/>
                <w:color w:val="auto"/>
              </w:rPr>
            </w:pPr>
          </w:p>
        </w:tc>
        <w:tc>
          <w:tcPr>
            <w:tcW w:w="300" w:type="dxa"/>
            <w:vAlign w:val="bottom"/>
            <w:tcBorders>
              <w:bottom w:val="single" w:sz="8" w:color="EFEBE9"/>
            </w:tcBorders>
            <w:shd w:val="clear" w:color="auto" w:fill="EFEBE9"/>
          </w:tcPr>
          <w:p>
            <w:pPr>
              <w:spacing w:after="0"/>
              <w:rPr>
                <w:sz w:val="11"/>
                <w:szCs w:val="11"/>
                <w:color w:val="auto"/>
              </w:rPr>
            </w:pPr>
          </w:p>
        </w:tc>
        <w:tc>
          <w:tcPr>
            <w:tcW w:w="840" w:type="dxa"/>
            <w:vAlign w:val="bottom"/>
            <w:tcBorders>
              <w:bottom w:val="single" w:sz="8" w:color="EFEBE9"/>
            </w:tcBorders>
            <w:shd w:val="clear" w:color="auto" w:fill="EFEBE9"/>
          </w:tcPr>
          <w:p>
            <w:pPr>
              <w:spacing w:after="0"/>
              <w:rPr>
                <w:sz w:val="11"/>
                <w:szCs w:val="11"/>
                <w:color w:val="auto"/>
              </w:rPr>
            </w:pPr>
          </w:p>
        </w:tc>
        <w:tc>
          <w:tcPr>
            <w:tcW w:w="280" w:type="dxa"/>
            <w:vAlign w:val="bottom"/>
            <w:tcBorders>
              <w:bottom w:val="single" w:sz="8" w:color="EFEBE9"/>
            </w:tcBorders>
            <w:shd w:val="clear" w:color="auto" w:fill="EFEBE9"/>
          </w:tcPr>
          <w:p>
            <w:pPr>
              <w:spacing w:after="0"/>
              <w:rPr>
                <w:sz w:val="11"/>
                <w:szCs w:val="11"/>
                <w:color w:val="auto"/>
              </w:rPr>
            </w:pPr>
          </w:p>
        </w:tc>
        <w:tc>
          <w:tcPr>
            <w:tcW w:w="880" w:type="dxa"/>
            <w:vAlign w:val="bottom"/>
            <w:tcBorders>
              <w:bottom w:val="single" w:sz="8" w:color="EFEBE9"/>
            </w:tcBorders>
            <w:shd w:val="clear" w:color="auto" w:fill="EFEBE9"/>
          </w:tcPr>
          <w:p>
            <w:pPr>
              <w:spacing w:after="0"/>
              <w:rPr>
                <w:sz w:val="11"/>
                <w:szCs w:val="11"/>
                <w:color w:val="auto"/>
              </w:rPr>
            </w:pPr>
          </w:p>
        </w:tc>
        <w:tc>
          <w:tcPr>
            <w:tcW w:w="160" w:type="dxa"/>
            <w:vAlign w:val="bottom"/>
            <w:tcBorders>
              <w:bottom w:val="single" w:sz="8" w:color="867F7C"/>
            </w:tcBorders>
            <w:shd w:val="clear" w:color="auto" w:fill="EFEBE9"/>
          </w:tcPr>
          <w:p>
            <w:pPr>
              <w:spacing w:after="0"/>
              <w:rPr>
                <w:sz w:val="11"/>
                <w:szCs w:val="11"/>
                <w:color w:val="auto"/>
              </w:rPr>
            </w:pPr>
          </w:p>
        </w:tc>
        <w:tc>
          <w:tcPr>
            <w:tcW w:w="1540" w:type="dxa"/>
            <w:vAlign w:val="bottom"/>
            <w:tcBorders>
              <w:bottom w:val="single" w:sz="8" w:color="867F7C"/>
            </w:tcBorders>
            <w:gridSpan w:val="3"/>
            <w:shd w:val="clear" w:color="auto" w:fill="EFEBE9"/>
          </w:tcPr>
          <w:p>
            <w:pPr>
              <w:jc w:val="right"/>
              <w:ind w:right="226"/>
              <w:spacing w:after="0"/>
              <w:rPr>
                <w:sz w:val="20"/>
                <w:szCs w:val="20"/>
                <w:color w:val="auto"/>
              </w:rPr>
            </w:pPr>
            <w:r>
              <w:rPr>
                <w:rFonts w:ascii="Arial" w:cs="Arial" w:eastAsia="Arial" w:hAnsi="Arial"/>
                <w:sz w:val="11"/>
                <w:szCs w:val="11"/>
                <w:b w:val="1"/>
                <w:bCs w:val="1"/>
                <w:color w:val="867F7C"/>
              </w:rPr>
              <w:t>Investment Based On:</w:t>
            </w:r>
          </w:p>
        </w:tc>
        <w:tc>
          <w:tcPr>
            <w:tcW w:w="240" w:type="dxa"/>
            <w:vAlign w:val="bottom"/>
            <w:tcBorders>
              <w:bottom w:val="single" w:sz="8" w:color="EFEBE9"/>
            </w:tcBorders>
            <w:shd w:val="clear" w:color="auto" w:fill="EFEBE9"/>
          </w:tcPr>
          <w:p>
            <w:pPr>
              <w:spacing w:after="0"/>
              <w:rPr>
                <w:sz w:val="11"/>
                <w:szCs w:val="11"/>
                <w:color w:val="auto"/>
              </w:rPr>
            </w:pPr>
          </w:p>
        </w:tc>
        <w:tc>
          <w:tcPr>
            <w:tcW w:w="660" w:type="dxa"/>
            <w:vAlign w:val="bottom"/>
            <w:tcBorders>
              <w:bottom w:val="single" w:sz="8" w:color="EFEBE9"/>
            </w:tcBorders>
            <w:shd w:val="clear" w:color="auto" w:fill="EFEBE9"/>
          </w:tcPr>
          <w:p>
            <w:pPr>
              <w:spacing w:after="0"/>
              <w:rPr>
                <w:sz w:val="11"/>
                <w:szCs w:val="11"/>
                <w:color w:val="auto"/>
              </w:rPr>
            </w:pPr>
          </w:p>
        </w:tc>
        <w:tc>
          <w:tcPr>
            <w:tcW w:w="260" w:type="dxa"/>
            <w:vAlign w:val="bottom"/>
            <w:tcBorders>
              <w:bottom w:val="single" w:sz="8" w:color="EFEBE9"/>
            </w:tcBorders>
            <w:shd w:val="clear" w:color="auto" w:fill="EFEBE9"/>
          </w:tcPr>
          <w:p>
            <w:pPr>
              <w:spacing w:after="0"/>
              <w:rPr>
                <w:sz w:val="11"/>
                <w:szCs w:val="11"/>
                <w:color w:val="auto"/>
              </w:rPr>
            </w:pPr>
          </w:p>
        </w:tc>
        <w:tc>
          <w:tcPr>
            <w:tcW w:w="780" w:type="dxa"/>
            <w:vAlign w:val="bottom"/>
            <w:tcBorders>
              <w:bottom w:val="single" w:sz="8" w:color="EFEBE9"/>
            </w:tcBorders>
            <w:shd w:val="clear" w:color="auto" w:fill="EFEBE9"/>
          </w:tcPr>
          <w:p>
            <w:pPr>
              <w:spacing w:after="0"/>
              <w:rPr>
                <w:sz w:val="11"/>
                <w:szCs w:val="11"/>
                <w:color w:val="auto"/>
              </w:rPr>
            </w:pPr>
          </w:p>
        </w:tc>
      </w:tr>
      <w:tr>
        <w:trPr>
          <w:trHeight w:val="102"/>
        </w:trPr>
        <w:tc>
          <w:tcPr>
            <w:tcW w:w="800" w:type="dxa"/>
            <w:vAlign w:val="bottom"/>
            <w:shd w:val="clear" w:color="auto" w:fill="EFEBE9"/>
          </w:tcPr>
          <w:p>
            <w:pPr>
              <w:spacing w:after="0"/>
              <w:rPr>
                <w:sz w:val="8"/>
                <w:szCs w:val="8"/>
                <w:color w:val="auto"/>
              </w:rPr>
            </w:pPr>
          </w:p>
        </w:tc>
        <w:tc>
          <w:tcPr>
            <w:tcW w:w="140" w:type="dxa"/>
            <w:vAlign w:val="bottom"/>
            <w:shd w:val="clear" w:color="auto" w:fill="EFEBE9"/>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jc w:val="center"/>
              <w:ind w:right="226"/>
              <w:spacing w:after="0" w:line="102" w:lineRule="exact"/>
              <w:rPr>
                <w:sz w:val="20"/>
                <w:szCs w:val="20"/>
                <w:color w:val="auto"/>
              </w:rPr>
            </w:pPr>
            <w:r>
              <w:rPr>
                <w:rFonts w:ascii="Arial" w:cs="Arial" w:eastAsia="Arial" w:hAnsi="Arial"/>
                <w:sz w:val="11"/>
                <w:szCs w:val="11"/>
                <w:b w:val="1"/>
                <w:bCs w:val="1"/>
                <w:color w:val="867F7C"/>
              </w:rPr>
              <w:t>Average</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22"/>
        </w:trPr>
        <w:tc>
          <w:tcPr>
            <w:tcW w:w="800" w:type="dxa"/>
            <w:vAlign w:val="bottom"/>
            <w:shd w:val="clear" w:color="auto" w:fill="EFEBE9"/>
          </w:tcPr>
          <w:p>
            <w:pPr>
              <w:spacing w:after="0"/>
              <w:rPr>
                <w:sz w:val="10"/>
                <w:szCs w:val="10"/>
                <w:color w:val="auto"/>
              </w:rPr>
            </w:pPr>
          </w:p>
        </w:tc>
        <w:tc>
          <w:tcPr>
            <w:tcW w:w="140" w:type="dxa"/>
            <w:vAlign w:val="bottom"/>
            <w:shd w:val="clear" w:color="auto" w:fill="EFEBE9"/>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867F7C"/>
                <w:w w:val="99"/>
              </w:rPr>
              <w:t>Summary</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867F7C"/>
                <w:w w:val="95"/>
              </w:rPr>
              <w:t>Summary</w:t>
            </w:r>
          </w:p>
        </w:tc>
        <w:tc>
          <w:tcPr>
            <w:tcW w:w="280" w:type="dxa"/>
            <w:vAlign w:val="bottom"/>
          </w:tcPr>
          <w:p>
            <w:pPr>
              <w:spacing w:after="0"/>
              <w:rPr>
                <w:sz w:val="10"/>
                <w:szCs w:val="10"/>
                <w:color w:val="auto"/>
              </w:rPr>
            </w:pPr>
          </w:p>
        </w:tc>
        <w:tc>
          <w:tcPr>
            <w:tcW w:w="880" w:type="dxa"/>
            <w:vAlign w:val="bottom"/>
          </w:tcPr>
          <w:p>
            <w:pPr>
              <w:jc w:val="center"/>
              <w:ind w:right="289"/>
              <w:spacing w:after="0" w:line="122" w:lineRule="exact"/>
              <w:rPr>
                <w:sz w:val="20"/>
                <w:szCs w:val="20"/>
                <w:color w:val="auto"/>
              </w:rPr>
            </w:pPr>
            <w:r>
              <w:rPr>
                <w:rFonts w:ascii="Arial" w:cs="Arial" w:eastAsia="Arial" w:hAnsi="Arial"/>
                <w:sz w:val="11"/>
                <w:szCs w:val="11"/>
                <w:b w:val="1"/>
                <w:bCs w:val="1"/>
                <w:color w:val="867F7C"/>
                <w:w w:val="96"/>
              </w:rPr>
              <w:t>Average</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867F7C"/>
              </w:rPr>
              <w:t>Peer Group</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800" w:type="dxa"/>
            <w:vAlign w:val="bottom"/>
            <w:shd w:val="clear" w:color="auto" w:fill="EFEBE9"/>
          </w:tcPr>
          <w:p>
            <w:pPr>
              <w:spacing w:after="0"/>
              <w:rPr>
                <w:sz w:val="10"/>
                <w:szCs w:val="10"/>
                <w:color w:val="auto"/>
              </w:rPr>
            </w:pPr>
          </w:p>
        </w:tc>
        <w:tc>
          <w:tcPr>
            <w:tcW w:w="140" w:type="dxa"/>
            <w:vAlign w:val="bottom"/>
            <w:shd w:val="clear" w:color="auto" w:fill="EFEBE9"/>
          </w:tcPr>
          <w:p>
            <w:pPr>
              <w:spacing w:after="0"/>
              <w:rPr>
                <w:sz w:val="10"/>
                <w:szCs w:val="10"/>
                <w:color w:val="auto"/>
              </w:rPr>
            </w:pPr>
          </w:p>
        </w:tc>
        <w:tc>
          <w:tcPr>
            <w:tcW w:w="104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867F7C"/>
              </w:rPr>
              <w:t>Compensation</w:t>
            </w:r>
          </w:p>
        </w:tc>
        <w:tc>
          <w:tcPr>
            <w:tcW w:w="116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867F7C"/>
                <w:w w:val="96"/>
              </w:rPr>
              <w:t>Compensation</w:t>
            </w:r>
          </w:p>
        </w:tc>
        <w:tc>
          <w:tcPr>
            <w:tcW w:w="11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867F7C"/>
                <w:w w:val="99"/>
              </w:rPr>
              <w:t>Compensation</w:t>
            </w:r>
          </w:p>
        </w:tc>
        <w:tc>
          <w:tcPr>
            <w:tcW w:w="1160" w:type="dxa"/>
            <w:vAlign w:val="bottom"/>
            <w:gridSpan w:val="2"/>
          </w:tcPr>
          <w:p>
            <w:pPr>
              <w:jc w:val="center"/>
              <w:ind w:right="9"/>
              <w:spacing w:after="0" w:line="122" w:lineRule="exact"/>
              <w:rPr>
                <w:sz w:val="20"/>
                <w:szCs w:val="20"/>
                <w:color w:val="auto"/>
              </w:rPr>
            </w:pPr>
            <w:r>
              <w:rPr>
                <w:rFonts w:ascii="Arial" w:cs="Arial" w:eastAsia="Arial" w:hAnsi="Arial"/>
                <w:sz w:val="11"/>
                <w:szCs w:val="11"/>
                <w:b w:val="1"/>
                <w:bCs w:val="1"/>
                <w:color w:val="867F7C"/>
                <w:w w:val="96"/>
              </w:rPr>
              <w:t>Compensation</w:t>
            </w:r>
          </w:p>
        </w:tc>
        <w:tc>
          <w:tcPr>
            <w:tcW w:w="160" w:type="dxa"/>
            <w:vAlign w:val="bottom"/>
          </w:tcPr>
          <w:p>
            <w:pPr>
              <w:spacing w:after="0"/>
              <w:rPr>
                <w:sz w:val="10"/>
                <w:szCs w:val="10"/>
                <w:color w:val="auto"/>
              </w:rPr>
            </w:pPr>
          </w:p>
        </w:tc>
        <w:tc>
          <w:tcPr>
            <w:tcW w:w="68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867F7C"/>
                <w:w w:val="91"/>
              </w:rPr>
              <w:t>Total</w:t>
            </w:r>
          </w:p>
        </w:tc>
        <w:tc>
          <w:tcPr>
            <w:tcW w:w="240" w:type="dxa"/>
            <w:vAlign w:val="bottom"/>
          </w:tcPr>
          <w:p>
            <w:pPr>
              <w:spacing w:after="0"/>
              <w:rPr>
                <w:sz w:val="10"/>
                <w:szCs w:val="10"/>
                <w:color w:val="auto"/>
              </w:rPr>
            </w:pPr>
          </w:p>
        </w:tc>
        <w:tc>
          <w:tcPr>
            <w:tcW w:w="62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867F7C"/>
                <w:w w:val="98"/>
              </w:rPr>
              <w:t>Total</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800" w:type="dxa"/>
            <w:vAlign w:val="bottom"/>
            <w:shd w:val="clear" w:color="auto" w:fill="EFEBE9"/>
          </w:tcPr>
          <w:p>
            <w:pPr>
              <w:spacing w:after="0"/>
              <w:rPr>
                <w:sz w:val="10"/>
                <w:szCs w:val="10"/>
                <w:color w:val="auto"/>
              </w:rPr>
            </w:pPr>
          </w:p>
        </w:tc>
        <w:tc>
          <w:tcPr>
            <w:tcW w:w="140" w:type="dxa"/>
            <w:vAlign w:val="bottom"/>
            <w:shd w:val="clear" w:color="auto" w:fill="EFEBE9"/>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867F7C"/>
                <w:w w:val="99"/>
              </w:rPr>
              <w:t>Table Total</w:t>
            </w:r>
          </w:p>
        </w:tc>
        <w:tc>
          <w:tcPr>
            <w:tcW w:w="260" w:type="dxa"/>
            <w:vAlign w:val="bottom"/>
          </w:tcPr>
          <w:p>
            <w:pPr>
              <w:spacing w:after="0"/>
              <w:rPr>
                <w:sz w:val="10"/>
                <w:szCs w:val="10"/>
                <w:color w:val="auto"/>
              </w:rPr>
            </w:pPr>
          </w:p>
        </w:tc>
        <w:tc>
          <w:tcPr>
            <w:tcW w:w="900" w:type="dxa"/>
            <w:vAlign w:val="bottom"/>
          </w:tcPr>
          <w:p>
            <w:pPr>
              <w:jc w:val="center"/>
              <w:ind w:right="129"/>
              <w:spacing w:after="0" w:line="122" w:lineRule="exact"/>
              <w:rPr>
                <w:sz w:val="20"/>
                <w:szCs w:val="20"/>
                <w:color w:val="auto"/>
              </w:rPr>
            </w:pPr>
            <w:r>
              <w:rPr>
                <w:rFonts w:ascii="Arial" w:cs="Arial" w:eastAsia="Arial" w:hAnsi="Arial"/>
                <w:sz w:val="11"/>
                <w:szCs w:val="11"/>
                <w:b w:val="1"/>
                <w:bCs w:val="1"/>
                <w:color w:val="867F7C"/>
                <w:w w:val="98"/>
              </w:rPr>
              <w:t>Actually Paid</w:t>
            </w:r>
          </w:p>
        </w:tc>
        <w:tc>
          <w:tcPr>
            <w:tcW w:w="11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867F7C"/>
              </w:rPr>
              <w:t>Table Total for</w:t>
            </w:r>
          </w:p>
        </w:tc>
        <w:tc>
          <w:tcPr>
            <w:tcW w:w="116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867F7C"/>
              </w:rPr>
              <w:t>Actually Paid to</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867F7C"/>
                <w:w w:val="99"/>
              </w:rPr>
              <w:t>Shareholder</w:t>
            </w:r>
          </w:p>
        </w:tc>
        <w:tc>
          <w:tcPr>
            <w:tcW w:w="86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867F7C"/>
                <w:w w:val="99"/>
              </w:rPr>
              <w:t>Shareholder</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08"/>
        </w:trPr>
        <w:tc>
          <w:tcPr>
            <w:tcW w:w="800" w:type="dxa"/>
            <w:vAlign w:val="bottom"/>
            <w:shd w:val="clear" w:color="auto" w:fill="EFEBE9"/>
          </w:tcPr>
          <w:p>
            <w:pPr>
              <w:spacing w:after="0"/>
              <w:rPr>
                <w:sz w:val="9"/>
                <w:szCs w:val="9"/>
                <w:color w:val="auto"/>
              </w:rPr>
            </w:pPr>
          </w:p>
        </w:tc>
        <w:tc>
          <w:tcPr>
            <w:tcW w:w="140" w:type="dxa"/>
            <w:vAlign w:val="bottom"/>
            <w:shd w:val="clear" w:color="auto" w:fill="EFEBE9"/>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867F7C"/>
                <w:w w:val="97"/>
              </w:rPr>
              <w:t>for PEO</w:t>
            </w:r>
          </w:p>
        </w:tc>
        <w:tc>
          <w:tcPr>
            <w:tcW w:w="260" w:type="dxa"/>
            <w:vAlign w:val="bottom"/>
          </w:tcPr>
          <w:p>
            <w:pPr>
              <w:spacing w:after="0"/>
              <w:rPr>
                <w:sz w:val="9"/>
                <w:szCs w:val="9"/>
                <w:color w:val="auto"/>
              </w:rPr>
            </w:pPr>
          </w:p>
        </w:tc>
        <w:tc>
          <w:tcPr>
            <w:tcW w:w="900" w:type="dxa"/>
            <w:vAlign w:val="bottom"/>
          </w:tcPr>
          <w:p>
            <w:pPr>
              <w:jc w:val="center"/>
              <w:ind w:right="129"/>
              <w:spacing w:after="0" w:line="108" w:lineRule="exact"/>
              <w:rPr>
                <w:sz w:val="20"/>
                <w:szCs w:val="20"/>
                <w:color w:val="auto"/>
              </w:rPr>
            </w:pPr>
            <w:r>
              <w:rPr>
                <w:rFonts w:ascii="Arial" w:cs="Arial" w:eastAsia="Arial" w:hAnsi="Arial"/>
                <w:sz w:val="11"/>
                <w:szCs w:val="11"/>
                <w:b w:val="1"/>
                <w:bCs w:val="1"/>
                <w:color w:val="867F7C"/>
                <w:w w:val="98"/>
              </w:rPr>
              <w:t>to PEO</w:t>
            </w:r>
          </w:p>
        </w:tc>
        <w:tc>
          <w:tcPr>
            <w:tcW w:w="11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867F7C"/>
                <w:w w:val="98"/>
              </w:rPr>
              <w:t>Non-PEO NEOs</w:t>
            </w:r>
          </w:p>
        </w:tc>
        <w:tc>
          <w:tcPr>
            <w:tcW w:w="116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867F7C"/>
              </w:rPr>
              <w:t>Non-PEO NEOs</w:t>
            </w:r>
          </w:p>
        </w:tc>
        <w:tc>
          <w:tcPr>
            <w:tcW w:w="160" w:type="dxa"/>
            <w:vAlign w:val="bottom"/>
          </w:tcPr>
          <w:p>
            <w:pPr>
              <w:spacing w:after="0"/>
              <w:rPr>
                <w:sz w:val="9"/>
                <w:szCs w:val="9"/>
                <w:color w:val="auto"/>
              </w:rPr>
            </w:pPr>
          </w:p>
        </w:tc>
        <w:tc>
          <w:tcPr>
            <w:tcW w:w="680" w:type="dxa"/>
            <w:vAlign w:val="bottom"/>
          </w:tcPr>
          <w:p>
            <w:pPr>
              <w:jc w:val="center"/>
              <w:ind w:right="146"/>
              <w:spacing w:after="0" w:line="108" w:lineRule="exact"/>
              <w:rPr>
                <w:sz w:val="20"/>
                <w:szCs w:val="20"/>
                <w:color w:val="auto"/>
              </w:rPr>
            </w:pPr>
            <w:r>
              <w:rPr>
                <w:rFonts w:ascii="Arial" w:cs="Arial" w:eastAsia="Arial" w:hAnsi="Arial"/>
                <w:sz w:val="11"/>
                <w:szCs w:val="11"/>
                <w:b w:val="1"/>
                <w:bCs w:val="1"/>
                <w:color w:val="867F7C"/>
              </w:rPr>
              <w:t>Return</w:t>
            </w:r>
          </w:p>
        </w:tc>
        <w:tc>
          <w:tcPr>
            <w:tcW w:w="240" w:type="dxa"/>
            <w:vAlign w:val="bottom"/>
          </w:tcPr>
          <w:p>
            <w:pPr>
              <w:spacing w:after="0"/>
              <w:rPr>
                <w:sz w:val="9"/>
                <w:szCs w:val="9"/>
                <w:color w:val="auto"/>
              </w:rPr>
            </w:pPr>
          </w:p>
        </w:tc>
        <w:tc>
          <w:tcPr>
            <w:tcW w:w="620" w:type="dxa"/>
            <w:vAlign w:val="bottom"/>
          </w:tcPr>
          <w:p>
            <w:pPr>
              <w:jc w:val="center"/>
              <w:ind w:right="126"/>
              <w:spacing w:after="0" w:line="108" w:lineRule="exact"/>
              <w:rPr>
                <w:sz w:val="20"/>
                <w:szCs w:val="20"/>
                <w:color w:val="auto"/>
              </w:rPr>
            </w:pPr>
            <w:r>
              <w:rPr>
                <w:rFonts w:ascii="Arial" w:cs="Arial" w:eastAsia="Arial" w:hAnsi="Arial"/>
                <w:sz w:val="11"/>
                <w:szCs w:val="11"/>
                <w:b w:val="1"/>
                <w:bCs w:val="1"/>
                <w:color w:val="867F7C"/>
              </w:rPr>
              <w:t>Return</w:t>
            </w:r>
          </w:p>
        </w:tc>
        <w:tc>
          <w:tcPr>
            <w:tcW w:w="900" w:type="dxa"/>
            <w:vAlign w:val="bottom"/>
            <w:gridSpan w:val="2"/>
          </w:tcPr>
          <w:p>
            <w:pPr>
              <w:ind w:left="200"/>
              <w:spacing w:after="0" w:line="108" w:lineRule="exact"/>
              <w:rPr>
                <w:sz w:val="20"/>
                <w:szCs w:val="20"/>
                <w:color w:val="auto"/>
              </w:rPr>
            </w:pPr>
            <w:r>
              <w:rPr>
                <w:rFonts w:ascii="Arial" w:cs="Arial" w:eastAsia="Arial" w:hAnsi="Arial"/>
                <w:sz w:val="11"/>
                <w:szCs w:val="11"/>
                <w:b w:val="1"/>
                <w:bCs w:val="1"/>
                <w:color w:val="867F7C"/>
              </w:rPr>
              <w:t>Net Income</w:t>
            </w:r>
          </w:p>
        </w:tc>
        <w:tc>
          <w:tcPr>
            <w:tcW w:w="1040" w:type="dxa"/>
            <w:vAlign w:val="bottom"/>
            <w:gridSpan w:val="2"/>
          </w:tcPr>
          <w:p>
            <w:pPr>
              <w:jc w:val="center"/>
              <w:ind w:left="6"/>
              <w:spacing w:after="0" w:line="108" w:lineRule="exact"/>
              <w:rPr>
                <w:sz w:val="20"/>
                <w:szCs w:val="20"/>
                <w:color w:val="auto"/>
              </w:rPr>
            </w:pPr>
            <w:r>
              <w:rPr>
                <w:rFonts w:ascii="Arial" w:cs="Arial" w:eastAsia="Arial" w:hAnsi="Arial"/>
                <w:sz w:val="11"/>
                <w:szCs w:val="11"/>
                <w:b w:val="1"/>
                <w:bCs w:val="1"/>
                <w:color w:val="867F7C"/>
                <w:w w:val="98"/>
              </w:rPr>
              <w:t>Adjusted EBITDA</w:t>
            </w:r>
          </w:p>
        </w:tc>
      </w:tr>
      <w:tr>
        <w:trPr>
          <w:trHeight w:val="135"/>
        </w:trPr>
        <w:tc>
          <w:tcPr>
            <w:tcW w:w="800" w:type="dxa"/>
            <w:vAlign w:val="bottom"/>
            <w:shd w:val="clear" w:color="auto" w:fill="EFEBE9"/>
          </w:tcPr>
          <w:p>
            <w:pPr>
              <w:ind w:left="80"/>
              <w:spacing w:after="0"/>
              <w:rPr>
                <w:sz w:val="20"/>
                <w:szCs w:val="20"/>
                <w:color w:val="auto"/>
              </w:rPr>
            </w:pPr>
            <w:r>
              <w:rPr>
                <w:rFonts w:ascii="Arial" w:cs="Arial" w:eastAsia="Arial" w:hAnsi="Arial"/>
                <w:sz w:val="11"/>
                <w:szCs w:val="11"/>
                <w:b w:val="1"/>
                <w:bCs w:val="1"/>
                <w:color w:val="867F7C"/>
              </w:rPr>
              <w:t>Fiscal Year</w:t>
            </w:r>
          </w:p>
        </w:tc>
        <w:tc>
          <w:tcPr>
            <w:tcW w:w="140" w:type="dxa"/>
            <w:vAlign w:val="bottom"/>
            <w:shd w:val="clear" w:color="auto" w:fill="EFEBE9"/>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86"/>
              <w:spacing w:after="0" w:line="135" w:lineRule="exact"/>
              <w:rPr>
                <w:sz w:val="20"/>
                <w:szCs w:val="20"/>
                <w:color w:val="auto"/>
              </w:rPr>
            </w:pPr>
            <w:r>
              <w:rPr>
                <w:rFonts w:ascii="Arial" w:cs="Arial" w:eastAsia="Arial" w:hAnsi="Arial"/>
                <w:sz w:val="11"/>
                <w:szCs w:val="11"/>
                <w:b w:val="1"/>
                <w:bCs w:val="1"/>
                <w:color w:val="867F7C"/>
                <w:w w:val="88"/>
              </w:rPr>
              <w:t>($)</w:t>
            </w:r>
            <w:r>
              <w:rPr>
                <w:rFonts w:ascii="Arial" w:cs="Arial" w:eastAsia="Arial" w:hAnsi="Arial"/>
                <w:sz w:val="14"/>
                <w:szCs w:val="14"/>
                <w:b w:val="1"/>
                <w:bCs w:val="1"/>
                <w:color w:val="867F7C"/>
                <w:w w:val="88"/>
                <w:vertAlign w:val="superscript"/>
              </w:rPr>
              <w:t>(1)</w:t>
            </w:r>
          </w:p>
        </w:tc>
        <w:tc>
          <w:tcPr>
            <w:tcW w:w="260" w:type="dxa"/>
            <w:vAlign w:val="bottom"/>
          </w:tcPr>
          <w:p>
            <w:pPr>
              <w:spacing w:after="0"/>
              <w:rPr>
                <w:sz w:val="11"/>
                <w:szCs w:val="11"/>
                <w:color w:val="auto"/>
              </w:rPr>
            </w:pPr>
          </w:p>
        </w:tc>
        <w:tc>
          <w:tcPr>
            <w:tcW w:w="900" w:type="dxa"/>
            <w:vAlign w:val="bottom"/>
          </w:tcPr>
          <w:p>
            <w:pPr>
              <w:jc w:val="center"/>
              <w:ind w:right="149"/>
              <w:spacing w:after="0" w:line="136" w:lineRule="exact"/>
              <w:rPr>
                <w:sz w:val="20"/>
                <w:szCs w:val="20"/>
                <w:color w:val="auto"/>
              </w:rPr>
            </w:pPr>
            <w:r>
              <w:rPr>
                <w:rFonts w:ascii="Arial" w:cs="Arial" w:eastAsia="Arial" w:hAnsi="Arial"/>
                <w:sz w:val="15"/>
                <w:szCs w:val="15"/>
                <w:b w:val="1"/>
                <w:bCs w:val="1"/>
                <w:color w:val="867F7C"/>
                <w:vertAlign w:val="subscript"/>
              </w:rPr>
              <w:t>($)</w:t>
            </w:r>
            <w:r>
              <w:rPr>
                <w:rFonts w:ascii="Arial" w:cs="Arial" w:eastAsia="Arial" w:hAnsi="Arial"/>
                <w:sz w:val="6"/>
                <w:szCs w:val="6"/>
                <w:b w:val="1"/>
                <w:bCs w:val="1"/>
                <w:color w:val="867F7C"/>
              </w:rPr>
              <w:t>(1)(2)</w:t>
            </w:r>
          </w:p>
        </w:tc>
        <w:tc>
          <w:tcPr>
            <w:tcW w:w="300" w:type="dxa"/>
            <w:vAlign w:val="bottom"/>
          </w:tcPr>
          <w:p>
            <w:pPr>
              <w:spacing w:after="0"/>
              <w:rPr>
                <w:sz w:val="11"/>
                <w:szCs w:val="11"/>
                <w:color w:val="auto"/>
              </w:rPr>
            </w:pPr>
          </w:p>
        </w:tc>
        <w:tc>
          <w:tcPr>
            <w:tcW w:w="840" w:type="dxa"/>
            <w:vAlign w:val="bottom"/>
          </w:tcPr>
          <w:p>
            <w:pPr>
              <w:jc w:val="center"/>
              <w:ind w:right="206"/>
              <w:spacing w:after="0" w:line="135" w:lineRule="exact"/>
              <w:rPr>
                <w:sz w:val="20"/>
                <w:szCs w:val="20"/>
                <w:color w:val="auto"/>
              </w:rPr>
            </w:pPr>
            <w:r>
              <w:rPr>
                <w:rFonts w:ascii="Arial" w:cs="Arial" w:eastAsia="Arial" w:hAnsi="Arial"/>
                <w:sz w:val="11"/>
                <w:szCs w:val="11"/>
                <w:b w:val="1"/>
                <w:bCs w:val="1"/>
                <w:color w:val="867F7C"/>
                <w:w w:val="88"/>
              </w:rPr>
              <w:t>($)</w:t>
            </w:r>
            <w:r>
              <w:rPr>
                <w:rFonts w:ascii="Arial" w:cs="Arial" w:eastAsia="Arial" w:hAnsi="Arial"/>
                <w:sz w:val="14"/>
                <w:szCs w:val="14"/>
                <w:b w:val="1"/>
                <w:bCs w:val="1"/>
                <w:color w:val="867F7C"/>
                <w:w w:val="88"/>
                <w:vertAlign w:val="superscript"/>
              </w:rPr>
              <w:t>(1)</w:t>
            </w:r>
          </w:p>
        </w:tc>
        <w:tc>
          <w:tcPr>
            <w:tcW w:w="280" w:type="dxa"/>
            <w:vAlign w:val="bottom"/>
          </w:tcPr>
          <w:p>
            <w:pPr>
              <w:spacing w:after="0"/>
              <w:rPr>
                <w:sz w:val="11"/>
                <w:szCs w:val="11"/>
                <w:color w:val="auto"/>
              </w:rPr>
            </w:pPr>
          </w:p>
        </w:tc>
        <w:tc>
          <w:tcPr>
            <w:tcW w:w="880" w:type="dxa"/>
            <w:vAlign w:val="bottom"/>
          </w:tcPr>
          <w:p>
            <w:pPr>
              <w:jc w:val="center"/>
              <w:ind w:right="289"/>
              <w:spacing w:after="0" w:line="136" w:lineRule="exact"/>
              <w:rPr>
                <w:sz w:val="20"/>
                <w:szCs w:val="20"/>
                <w:color w:val="auto"/>
              </w:rPr>
            </w:pPr>
            <w:r>
              <w:rPr>
                <w:rFonts w:ascii="Arial" w:cs="Arial" w:eastAsia="Arial" w:hAnsi="Arial"/>
                <w:sz w:val="15"/>
                <w:szCs w:val="15"/>
                <w:b w:val="1"/>
                <w:bCs w:val="1"/>
                <w:color w:val="867F7C"/>
                <w:vertAlign w:val="subscript"/>
              </w:rPr>
              <w:t>($)</w:t>
            </w:r>
            <w:r>
              <w:rPr>
                <w:rFonts w:ascii="Arial" w:cs="Arial" w:eastAsia="Arial" w:hAnsi="Arial"/>
                <w:sz w:val="6"/>
                <w:szCs w:val="6"/>
                <w:b w:val="1"/>
                <w:bCs w:val="1"/>
                <w:color w:val="867F7C"/>
              </w:rPr>
              <w:t>(1)(2)</w:t>
            </w:r>
          </w:p>
        </w:tc>
        <w:tc>
          <w:tcPr>
            <w:tcW w:w="160" w:type="dxa"/>
            <w:vAlign w:val="bottom"/>
          </w:tcPr>
          <w:p>
            <w:pPr>
              <w:spacing w:after="0"/>
              <w:rPr>
                <w:sz w:val="11"/>
                <w:szCs w:val="11"/>
                <w:color w:val="auto"/>
              </w:rPr>
            </w:pPr>
          </w:p>
        </w:tc>
        <w:tc>
          <w:tcPr>
            <w:tcW w:w="680" w:type="dxa"/>
            <w:vAlign w:val="bottom"/>
          </w:tcPr>
          <w:p>
            <w:pPr>
              <w:jc w:val="center"/>
              <w:ind w:right="126"/>
              <w:spacing w:after="0" w:line="135" w:lineRule="exact"/>
              <w:rPr>
                <w:sz w:val="20"/>
                <w:szCs w:val="20"/>
                <w:color w:val="auto"/>
              </w:rPr>
            </w:pPr>
            <w:r>
              <w:rPr>
                <w:rFonts w:ascii="Arial" w:cs="Arial" w:eastAsia="Arial" w:hAnsi="Arial"/>
                <w:sz w:val="11"/>
                <w:szCs w:val="11"/>
                <w:b w:val="1"/>
                <w:bCs w:val="1"/>
                <w:color w:val="867F7C"/>
                <w:w w:val="88"/>
              </w:rPr>
              <w:t>($)</w:t>
            </w:r>
            <w:r>
              <w:rPr>
                <w:rFonts w:ascii="Arial" w:cs="Arial" w:eastAsia="Arial" w:hAnsi="Arial"/>
                <w:sz w:val="14"/>
                <w:szCs w:val="14"/>
                <w:b w:val="1"/>
                <w:bCs w:val="1"/>
                <w:color w:val="867F7C"/>
                <w:w w:val="88"/>
                <w:vertAlign w:val="superscript"/>
              </w:rPr>
              <w:t>(3)</w:t>
            </w:r>
          </w:p>
        </w:tc>
        <w:tc>
          <w:tcPr>
            <w:tcW w:w="240" w:type="dxa"/>
            <w:vAlign w:val="bottom"/>
          </w:tcPr>
          <w:p>
            <w:pPr>
              <w:spacing w:after="0"/>
              <w:rPr>
                <w:sz w:val="11"/>
                <w:szCs w:val="11"/>
                <w:color w:val="auto"/>
              </w:rPr>
            </w:pPr>
          </w:p>
        </w:tc>
        <w:tc>
          <w:tcPr>
            <w:tcW w:w="620" w:type="dxa"/>
            <w:vAlign w:val="bottom"/>
          </w:tcPr>
          <w:p>
            <w:pPr>
              <w:jc w:val="center"/>
              <w:ind w:right="146"/>
              <w:spacing w:after="0" w:line="135" w:lineRule="exact"/>
              <w:rPr>
                <w:sz w:val="20"/>
                <w:szCs w:val="20"/>
                <w:color w:val="auto"/>
              </w:rPr>
            </w:pPr>
            <w:r>
              <w:rPr>
                <w:rFonts w:ascii="Arial" w:cs="Arial" w:eastAsia="Arial" w:hAnsi="Arial"/>
                <w:sz w:val="11"/>
                <w:szCs w:val="11"/>
                <w:b w:val="1"/>
                <w:bCs w:val="1"/>
                <w:color w:val="867F7C"/>
                <w:w w:val="88"/>
              </w:rPr>
              <w:t>($)</w:t>
            </w:r>
            <w:r>
              <w:rPr>
                <w:rFonts w:ascii="Arial" w:cs="Arial" w:eastAsia="Arial" w:hAnsi="Arial"/>
                <w:sz w:val="14"/>
                <w:szCs w:val="14"/>
                <w:b w:val="1"/>
                <w:bCs w:val="1"/>
                <w:color w:val="867F7C"/>
                <w:w w:val="88"/>
                <w:vertAlign w:val="superscript"/>
              </w:rPr>
              <w:t>(3)</w:t>
            </w:r>
          </w:p>
        </w:tc>
        <w:tc>
          <w:tcPr>
            <w:tcW w:w="240" w:type="dxa"/>
            <w:vAlign w:val="bottom"/>
          </w:tcPr>
          <w:p>
            <w:pPr>
              <w:spacing w:after="0"/>
              <w:rPr>
                <w:sz w:val="11"/>
                <w:szCs w:val="11"/>
                <w:color w:val="auto"/>
              </w:rPr>
            </w:pP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867F7C"/>
                <w:w w:val="93"/>
              </w:rPr>
              <w:t>(millions)</w:t>
            </w:r>
          </w:p>
        </w:tc>
        <w:tc>
          <w:tcPr>
            <w:tcW w:w="260" w:type="dxa"/>
            <w:vAlign w:val="bottom"/>
          </w:tcPr>
          <w:p>
            <w:pPr>
              <w:spacing w:after="0"/>
              <w:rPr>
                <w:sz w:val="11"/>
                <w:szCs w:val="11"/>
                <w:color w:val="auto"/>
              </w:rPr>
            </w:pPr>
          </w:p>
        </w:tc>
        <w:tc>
          <w:tcPr>
            <w:tcW w:w="780" w:type="dxa"/>
            <w:vAlign w:val="bottom"/>
          </w:tcPr>
          <w:p>
            <w:pPr>
              <w:jc w:val="center"/>
              <w:ind w:right="126"/>
              <w:spacing w:after="0" w:line="135" w:lineRule="exact"/>
              <w:rPr>
                <w:sz w:val="20"/>
                <w:szCs w:val="20"/>
                <w:color w:val="auto"/>
              </w:rPr>
            </w:pPr>
            <w:r>
              <w:rPr>
                <w:rFonts w:ascii="Arial" w:cs="Arial" w:eastAsia="Arial" w:hAnsi="Arial"/>
                <w:sz w:val="11"/>
                <w:szCs w:val="11"/>
                <w:b w:val="1"/>
                <w:bCs w:val="1"/>
                <w:color w:val="867F7C"/>
                <w:w w:val="92"/>
              </w:rPr>
              <w:t>(millions)</w:t>
            </w:r>
            <w:r>
              <w:rPr>
                <w:rFonts w:ascii="Arial" w:cs="Arial" w:eastAsia="Arial" w:hAnsi="Arial"/>
                <w:sz w:val="14"/>
                <w:szCs w:val="14"/>
                <w:b w:val="1"/>
                <w:bCs w:val="1"/>
                <w:color w:val="867F7C"/>
                <w:w w:val="92"/>
                <w:vertAlign w:val="superscript"/>
              </w:rPr>
              <w:t>(4)</w:t>
            </w:r>
          </w:p>
        </w:tc>
      </w:tr>
      <w:tr>
        <w:trPr>
          <w:trHeight w:val="135"/>
        </w:trPr>
        <w:tc>
          <w:tcPr>
            <w:tcW w:w="800" w:type="dxa"/>
            <w:vAlign w:val="bottom"/>
            <w:shd w:val="clear" w:color="auto" w:fill="EFEBE9"/>
          </w:tcPr>
          <w:p>
            <w:pPr>
              <w:ind w:left="80"/>
              <w:spacing w:after="0" w:line="122" w:lineRule="exact"/>
              <w:rPr>
                <w:sz w:val="20"/>
                <w:szCs w:val="20"/>
                <w:color w:val="auto"/>
              </w:rPr>
            </w:pPr>
            <w:r>
              <w:rPr>
                <w:rFonts w:ascii="Arial" w:cs="Arial" w:eastAsia="Arial" w:hAnsi="Arial"/>
                <w:sz w:val="11"/>
                <w:szCs w:val="11"/>
                <w:b w:val="1"/>
                <w:bCs w:val="1"/>
                <w:color w:val="867F7C"/>
              </w:rPr>
              <w:t>(a)</w:t>
            </w:r>
          </w:p>
        </w:tc>
        <w:tc>
          <w:tcPr>
            <w:tcW w:w="140" w:type="dxa"/>
            <w:vAlign w:val="bottom"/>
            <w:shd w:val="clear" w:color="auto" w:fill="EFEBE9"/>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867F7C"/>
                <w:w w:val="99"/>
              </w:rPr>
              <w:t>(b)</w:t>
            </w:r>
          </w:p>
        </w:tc>
        <w:tc>
          <w:tcPr>
            <w:tcW w:w="260" w:type="dxa"/>
            <w:vAlign w:val="bottom"/>
            <w:shd w:val="clear" w:color="auto" w:fill="EFEBE9"/>
          </w:tcPr>
          <w:p>
            <w:pPr>
              <w:spacing w:after="0"/>
              <w:rPr>
                <w:sz w:val="11"/>
                <w:szCs w:val="11"/>
                <w:color w:val="auto"/>
              </w:rPr>
            </w:pPr>
          </w:p>
        </w:tc>
        <w:tc>
          <w:tcPr>
            <w:tcW w:w="900" w:type="dxa"/>
            <w:vAlign w:val="bottom"/>
            <w:shd w:val="clear" w:color="auto" w:fill="EFEBE9"/>
          </w:tcPr>
          <w:p>
            <w:pPr>
              <w:jc w:val="center"/>
              <w:ind w:right="149"/>
              <w:spacing w:after="0" w:line="122" w:lineRule="exact"/>
              <w:rPr>
                <w:sz w:val="20"/>
                <w:szCs w:val="20"/>
                <w:color w:val="auto"/>
              </w:rPr>
            </w:pPr>
            <w:r>
              <w:rPr>
                <w:rFonts w:ascii="Arial" w:cs="Arial" w:eastAsia="Arial" w:hAnsi="Arial"/>
                <w:sz w:val="11"/>
                <w:szCs w:val="11"/>
                <w:b w:val="1"/>
                <w:bCs w:val="1"/>
                <w:color w:val="867F7C"/>
              </w:rPr>
              <w:t>(c)</w:t>
            </w:r>
          </w:p>
        </w:tc>
        <w:tc>
          <w:tcPr>
            <w:tcW w:w="300" w:type="dxa"/>
            <w:vAlign w:val="bottom"/>
            <w:shd w:val="clear" w:color="auto" w:fill="EFEBE9"/>
          </w:tcPr>
          <w:p>
            <w:pPr>
              <w:spacing w:after="0"/>
              <w:rPr>
                <w:sz w:val="11"/>
                <w:szCs w:val="11"/>
                <w:color w:val="auto"/>
              </w:rPr>
            </w:pPr>
          </w:p>
        </w:tc>
        <w:tc>
          <w:tcPr>
            <w:tcW w:w="840" w:type="dxa"/>
            <w:vAlign w:val="bottom"/>
            <w:shd w:val="clear" w:color="auto" w:fill="EFEBE9"/>
          </w:tcPr>
          <w:p>
            <w:pPr>
              <w:jc w:val="center"/>
              <w:ind w:right="226"/>
              <w:spacing w:after="0" w:line="122" w:lineRule="exact"/>
              <w:rPr>
                <w:sz w:val="20"/>
                <w:szCs w:val="20"/>
                <w:color w:val="auto"/>
              </w:rPr>
            </w:pPr>
            <w:r>
              <w:rPr>
                <w:rFonts w:ascii="Arial" w:cs="Arial" w:eastAsia="Arial" w:hAnsi="Arial"/>
                <w:sz w:val="11"/>
                <w:szCs w:val="11"/>
                <w:b w:val="1"/>
                <w:bCs w:val="1"/>
                <w:color w:val="867F7C"/>
                <w:w w:val="85"/>
              </w:rPr>
              <w:t>(d)</w:t>
            </w:r>
          </w:p>
        </w:tc>
        <w:tc>
          <w:tcPr>
            <w:tcW w:w="280" w:type="dxa"/>
            <w:vAlign w:val="bottom"/>
            <w:shd w:val="clear" w:color="auto" w:fill="EFEBE9"/>
          </w:tcPr>
          <w:p>
            <w:pPr>
              <w:spacing w:after="0"/>
              <w:rPr>
                <w:sz w:val="11"/>
                <w:szCs w:val="11"/>
                <w:color w:val="auto"/>
              </w:rPr>
            </w:pPr>
          </w:p>
        </w:tc>
        <w:tc>
          <w:tcPr>
            <w:tcW w:w="880" w:type="dxa"/>
            <w:vAlign w:val="bottom"/>
            <w:shd w:val="clear" w:color="auto" w:fill="EFEBE9"/>
          </w:tcPr>
          <w:p>
            <w:pPr>
              <w:jc w:val="center"/>
              <w:ind w:right="289"/>
              <w:spacing w:after="0" w:line="122" w:lineRule="exact"/>
              <w:rPr>
                <w:sz w:val="20"/>
                <w:szCs w:val="20"/>
                <w:color w:val="auto"/>
              </w:rPr>
            </w:pPr>
            <w:r>
              <w:rPr>
                <w:rFonts w:ascii="Arial" w:cs="Arial" w:eastAsia="Arial" w:hAnsi="Arial"/>
                <w:sz w:val="11"/>
                <w:szCs w:val="11"/>
                <w:b w:val="1"/>
                <w:bCs w:val="1"/>
                <w:color w:val="867F7C"/>
              </w:rPr>
              <w:t>(e)</w:t>
            </w:r>
          </w:p>
        </w:tc>
        <w:tc>
          <w:tcPr>
            <w:tcW w:w="160" w:type="dxa"/>
            <w:vAlign w:val="bottom"/>
            <w:shd w:val="clear" w:color="auto" w:fill="EFEBE9"/>
          </w:tcPr>
          <w:p>
            <w:pPr>
              <w:spacing w:after="0"/>
              <w:rPr>
                <w:sz w:val="11"/>
                <w:szCs w:val="11"/>
                <w:color w:val="auto"/>
              </w:rPr>
            </w:pPr>
          </w:p>
        </w:tc>
        <w:tc>
          <w:tcPr>
            <w:tcW w:w="680" w:type="dxa"/>
            <w:vAlign w:val="bottom"/>
            <w:shd w:val="clear" w:color="auto" w:fill="EFEBE9"/>
          </w:tcPr>
          <w:p>
            <w:pPr>
              <w:jc w:val="center"/>
              <w:ind w:right="146"/>
              <w:spacing w:after="0" w:line="122" w:lineRule="exact"/>
              <w:rPr>
                <w:sz w:val="20"/>
                <w:szCs w:val="20"/>
                <w:color w:val="auto"/>
              </w:rPr>
            </w:pPr>
            <w:r>
              <w:rPr>
                <w:rFonts w:ascii="Arial" w:cs="Arial" w:eastAsia="Arial" w:hAnsi="Arial"/>
                <w:sz w:val="11"/>
                <w:szCs w:val="11"/>
                <w:b w:val="1"/>
                <w:bCs w:val="1"/>
                <w:color w:val="867F7C"/>
              </w:rPr>
              <w:t>(f)</w:t>
            </w:r>
          </w:p>
        </w:tc>
        <w:tc>
          <w:tcPr>
            <w:tcW w:w="240" w:type="dxa"/>
            <w:vAlign w:val="bottom"/>
            <w:shd w:val="clear" w:color="auto" w:fill="EFEBE9"/>
          </w:tcPr>
          <w:p>
            <w:pPr>
              <w:spacing w:after="0"/>
              <w:rPr>
                <w:sz w:val="11"/>
                <w:szCs w:val="11"/>
                <w:color w:val="auto"/>
              </w:rPr>
            </w:pPr>
          </w:p>
        </w:tc>
        <w:tc>
          <w:tcPr>
            <w:tcW w:w="620" w:type="dxa"/>
            <w:vAlign w:val="bottom"/>
            <w:shd w:val="clear" w:color="auto" w:fill="EFEBE9"/>
          </w:tcPr>
          <w:p>
            <w:pPr>
              <w:jc w:val="center"/>
              <w:ind w:right="146"/>
              <w:spacing w:after="0" w:line="122" w:lineRule="exact"/>
              <w:rPr>
                <w:sz w:val="20"/>
                <w:szCs w:val="20"/>
                <w:color w:val="auto"/>
              </w:rPr>
            </w:pPr>
            <w:r>
              <w:rPr>
                <w:rFonts w:ascii="Arial" w:cs="Arial" w:eastAsia="Arial" w:hAnsi="Arial"/>
                <w:sz w:val="11"/>
                <w:szCs w:val="11"/>
                <w:b w:val="1"/>
                <w:bCs w:val="1"/>
                <w:color w:val="867F7C"/>
                <w:w w:val="99"/>
              </w:rPr>
              <w:t>(g)</w:t>
            </w:r>
          </w:p>
        </w:tc>
        <w:tc>
          <w:tcPr>
            <w:tcW w:w="240" w:type="dxa"/>
            <w:vAlign w:val="bottom"/>
            <w:shd w:val="clear" w:color="auto" w:fill="EFEBE9"/>
          </w:tcPr>
          <w:p>
            <w:pPr>
              <w:spacing w:after="0"/>
              <w:rPr>
                <w:sz w:val="11"/>
                <w:szCs w:val="11"/>
                <w:color w:val="auto"/>
              </w:rPr>
            </w:pPr>
          </w:p>
        </w:tc>
        <w:tc>
          <w:tcPr>
            <w:tcW w:w="660" w:type="dxa"/>
            <w:vAlign w:val="bottom"/>
            <w:shd w:val="clear" w:color="auto" w:fill="EFEBE9"/>
          </w:tcPr>
          <w:p>
            <w:pPr>
              <w:jc w:val="right"/>
              <w:ind w:right="286"/>
              <w:spacing w:after="0" w:line="122" w:lineRule="exact"/>
              <w:rPr>
                <w:sz w:val="20"/>
                <w:szCs w:val="20"/>
                <w:color w:val="auto"/>
              </w:rPr>
            </w:pPr>
            <w:r>
              <w:rPr>
                <w:rFonts w:ascii="Arial" w:cs="Arial" w:eastAsia="Arial" w:hAnsi="Arial"/>
                <w:sz w:val="11"/>
                <w:szCs w:val="11"/>
                <w:b w:val="1"/>
                <w:bCs w:val="1"/>
                <w:color w:val="867F7C"/>
              </w:rPr>
              <w:t>(h)</w:t>
            </w:r>
          </w:p>
        </w:tc>
        <w:tc>
          <w:tcPr>
            <w:tcW w:w="260" w:type="dxa"/>
            <w:vAlign w:val="bottom"/>
            <w:shd w:val="clear" w:color="auto" w:fill="EFEBE9"/>
          </w:tcPr>
          <w:p>
            <w:pPr>
              <w:spacing w:after="0"/>
              <w:rPr>
                <w:sz w:val="11"/>
                <w:szCs w:val="11"/>
                <w:color w:val="auto"/>
              </w:rPr>
            </w:pPr>
          </w:p>
        </w:tc>
        <w:tc>
          <w:tcPr>
            <w:tcW w:w="780" w:type="dxa"/>
            <w:vAlign w:val="bottom"/>
            <w:shd w:val="clear" w:color="auto" w:fill="EFEBE9"/>
          </w:tcPr>
          <w:p>
            <w:pPr>
              <w:jc w:val="center"/>
              <w:ind w:right="146"/>
              <w:spacing w:after="0" w:line="122" w:lineRule="exact"/>
              <w:rPr>
                <w:sz w:val="20"/>
                <w:szCs w:val="20"/>
                <w:color w:val="auto"/>
              </w:rPr>
            </w:pPr>
            <w:r>
              <w:rPr>
                <w:rFonts w:ascii="Arial" w:cs="Arial" w:eastAsia="Arial" w:hAnsi="Arial"/>
                <w:sz w:val="11"/>
                <w:szCs w:val="11"/>
                <w:b w:val="1"/>
                <w:bCs w:val="1"/>
                <w:color w:val="867F7C"/>
                <w:w w:val="95"/>
              </w:rPr>
              <w:t>(i)</w:t>
            </w:r>
          </w:p>
        </w:tc>
      </w:tr>
      <w:tr>
        <w:trPr>
          <w:trHeight w:val="122"/>
        </w:trPr>
        <w:tc>
          <w:tcPr>
            <w:tcW w:w="800" w:type="dxa"/>
            <w:vAlign w:val="bottom"/>
            <w:tcBorders>
              <w:bottom w:val="single" w:sz="8" w:color="867F7C"/>
            </w:tcBorders>
          </w:tcPr>
          <w:p>
            <w:pPr>
              <w:ind w:left="80"/>
              <w:spacing w:after="0" w:line="122" w:lineRule="exact"/>
              <w:rPr>
                <w:sz w:val="20"/>
                <w:szCs w:val="20"/>
                <w:color w:val="auto"/>
              </w:rPr>
            </w:pPr>
            <w:r>
              <w:rPr>
                <w:rFonts w:ascii="Arial" w:cs="Arial" w:eastAsia="Arial" w:hAnsi="Arial"/>
                <w:sz w:val="11"/>
                <w:szCs w:val="11"/>
                <w:color w:val="auto"/>
              </w:rPr>
              <w:t>2025</w:t>
            </w:r>
          </w:p>
        </w:tc>
        <w:tc>
          <w:tcPr>
            <w:tcW w:w="140" w:type="dxa"/>
            <w:vAlign w:val="bottom"/>
            <w:tcBorders>
              <w:bottom w:val="single" w:sz="8" w:color="867F7C"/>
            </w:tcBorders>
          </w:tcPr>
          <w:p>
            <w:pPr>
              <w:spacing w:after="0"/>
              <w:rPr>
                <w:sz w:val="10"/>
                <w:szCs w:val="10"/>
                <w:color w:val="auto"/>
              </w:rPr>
            </w:pPr>
          </w:p>
        </w:tc>
        <w:tc>
          <w:tcPr>
            <w:tcW w:w="220" w:type="dxa"/>
            <w:vAlign w:val="bottom"/>
            <w:tcBorders>
              <w:bottom w:val="single" w:sz="8" w:color="867F7C"/>
            </w:tcBorders>
          </w:tcPr>
          <w:p>
            <w:pPr>
              <w:ind w:left="140"/>
              <w:spacing w:after="0" w:line="122" w:lineRule="exact"/>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867F7C"/>
            </w:tcBorders>
          </w:tcPr>
          <w:p>
            <w:pPr>
              <w:jc w:val="right"/>
              <w:ind w:right="146"/>
              <w:spacing w:after="0" w:line="122" w:lineRule="exact"/>
              <w:rPr>
                <w:sz w:val="20"/>
                <w:szCs w:val="20"/>
                <w:color w:val="auto"/>
              </w:rPr>
            </w:pPr>
            <w:r>
              <w:rPr>
                <w:rFonts w:ascii="Arial" w:cs="Arial" w:eastAsia="Arial" w:hAnsi="Arial"/>
                <w:sz w:val="11"/>
                <w:szCs w:val="11"/>
                <w:color w:val="auto"/>
              </w:rPr>
              <w:t>7,868,591</w:t>
            </w:r>
          </w:p>
        </w:tc>
        <w:tc>
          <w:tcPr>
            <w:tcW w:w="260" w:type="dxa"/>
            <w:vAlign w:val="bottom"/>
            <w:tcBorders>
              <w:bottom w:val="single" w:sz="8" w:color="867F7C"/>
            </w:tcBorders>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867F7C"/>
            </w:tcBorders>
          </w:tcPr>
          <w:p>
            <w:pPr>
              <w:jc w:val="right"/>
              <w:ind w:right="109"/>
              <w:spacing w:after="0" w:line="122" w:lineRule="exact"/>
              <w:rPr>
                <w:sz w:val="20"/>
                <w:szCs w:val="20"/>
                <w:color w:val="auto"/>
              </w:rPr>
            </w:pPr>
            <w:r>
              <w:rPr>
                <w:rFonts w:ascii="Arial" w:cs="Arial" w:eastAsia="Arial" w:hAnsi="Arial"/>
                <w:sz w:val="11"/>
                <w:szCs w:val="11"/>
                <w:color w:val="auto"/>
              </w:rPr>
              <w:t>(2,860,095)</w:t>
            </w:r>
          </w:p>
        </w:tc>
        <w:tc>
          <w:tcPr>
            <w:tcW w:w="300" w:type="dxa"/>
            <w:vAlign w:val="bottom"/>
            <w:tcBorders>
              <w:bottom w:val="single" w:sz="8" w:color="867F7C"/>
            </w:tcBorders>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867F7C"/>
            </w:tcBorders>
          </w:tcPr>
          <w:p>
            <w:pPr>
              <w:jc w:val="right"/>
              <w:ind w:right="186"/>
              <w:spacing w:after="0" w:line="122" w:lineRule="exact"/>
              <w:rPr>
                <w:sz w:val="20"/>
                <w:szCs w:val="20"/>
                <w:color w:val="auto"/>
              </w:rPr>
            </w:pPr>
            <w:r>
              <w:rPr>
                <w:rFonts w:ascii="Arial" w:cs="Arial" w:eastAsia="Arial" w:hAnsi="Arial"/>
                <w:sz w:val="11"/>
                <w:szCs w:val="11"/>
                <w:color w:val="auto"/>
              </w:rPr>
              <w:t>2,268,816</w:t>
            </w:r>
          </w:p>
        </w:tc>
        <w:tc>
          <w:tcPr>
            <w:tcW w:w="280" w:type="dxa"/>
            <w:vAlign w:val="bottom"/>
            <w:tcBorders>
              <w:bottom w:val="single" w:sz="8" w:color="867F7C"/>
            </w:tcBorders>
          </w:tcPr>
          <w:p>
            <w:pPr>
              <w:ind w:left="160"/>
              <w:spacing w:after="0" w:line="122"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867F7C"/>
            </w:tcBorders>
          </w:tcPr>
          <w:p>
            <w:pPr>
              <w:jc w:val="right"/>
              <w:ind w:right="249"/>
              <w:spacing w:after="0" w:line="122" w:lineRule="exact"/>
              <w:rPr>
                <w:sz w:val="20"/>
                <w:szCs w:val="20"/>
                <w:color w:val="auto"/>
              </w:rPr>
            </w:pPr>
            <w:r>
              <w:rPr>
                <w:rFonts w:ascii="Arial" w:cs="Arial" w:eastAsia="Arial" w:hAnsi="Arial"/>
                <w:sz w:val="11"/>
                <w:szCs w:val="11"/>
                <w:color w:val="auto"/>
              </w:rPr>
              <w:t>1,008,531</w:t>
            </w:r>
          </w:p>
        </w:tc>
        <w:tc>
          <w:tcPr>
            <w:tcW w:w="160" w:type="dxa"/>
            <w:vAlign w:val="bottom"/>
            <w:tcBorders>
              <w:bottom w:val="single" w:sz="8" w:color="867F7C"/>
            </w:tcBorders>
          </w:tcPr>
          <w:p>
            <w:pPr>
              <w:jc w:val="right"/>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867F7C"/>
            </w:tcBorders>
          </w:tcPr>
          <w:p>
            <w:pPr>
              <w:jc w:val="right"/>
              <w:ind w:right="146"/>
              <w:spacing w:after="0" w:line="122" w:lineRule="exact"/>
              <w:rPr>
                <w:sz w:val="20"/>
                <w:szCs w:val="20"/>
                <w:color w:val="auto"/>
              </w:rPr>
            </w:pPr>
            <w:r>
              <w:rPr>
                <w:rFonts w:ascii="Arial" w:cs="Arial" w:eastAsia="Arial" w:hAnsi="Arial"/>
                <w:sz w:val="11"/>
                <w:szCs w:val="11"/>
                <w:color w:val="auto"/>
              </w:rPr>
              <w:t>74</w:t>
            </w:r>
          </w:p>
        </w:tc>
        <w:tc>
          <w:tcPr>
            <w:tcW w:w="240" w:type="dxa"/>
            <w:vAlign w:val="bottom"/>
            <w:tcBorders>
              <w:bottom w:val="single" w:sz="8" w:color="867F7C"/>
            </w:tcBorders>
          </w:tcPr>
          <w:p>
            <w:pPr>
              <w:ind w:left="160"/>
              <w:spacing w:after="0" w:line="122" w:lineRule="exact"/>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867F7C"/>
            </w:tcBorders>
          </w:tcPr>
          <w:p>
            <w:pPr>
              <w:jc w:val="right"/>
              <w:ind w:right="106"/>
              <w:spacing w:after="0" w:line="122" w:lineRule="exact"/>
              <w:rPr>
                <w:sz w:val="20"/>
                <w:szCs w:val="20"/>
                <w:color w:val="auto"/>
              </w:rPr>
            </w:pPr>
            <w:r>
              <w:rPr>
                <w:rFonts w:ascii="Arial" w:cs="Arial" w:eastAsia="Arial" w:hAnsi="Arial"/>
                <w:sz w:val="11"/>
                <w:szCs w:val="11"/>
                <w:color w:val="auto"/>
              </w:rPr>
              <w:t>129</w:t>
            </w:r>
          </w:p>
        </w:tc>
        <w:tc>
          <w:tcPr>
            <w:tcW w:w="240" w:type="dxa"/>
            <w:vAlign w:val="bottom"/>
            <w:tcBorders>
              <w:bottom w:val="single" w:sz="8" w:color="867F7C"/>
            </w:tcBorders>
          </w:tcPr>
          <w:p>
            <w:pPr>
              <w:ind w:left="18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867F7C"/>
            </w:tcBorders>
          </w:tcPr>
          <w:p>
            <w:pPr>
              <w:jc w:val="right"/>
              <w:ind w:right="66"/>
              <w:spacing w:after="0" w:line="122" w:lineRule="exact"/>
              <w:rPr>
                <w:sz w:val="20"/>
                <w:szCs w:val="20"/>
                <w:color w:val="auto"/>
              </w:rPr>
            </w:pPr>
            <w:r>
              <w:rPr>
                <w:rFonts w:ascii="Arial" w:cs="Arial" w:eastAsia="Arial" w:hAnsi="Arial"/>
                <w:sz w:val="11"/>
                <w:szCs w:val="11"/>
                <w:color w:val="auto"/>
              </w:rPr>
              <w:t>(845)</w:t>
            </w:r>
          </w:p>
        </w:tc>
        <w:tc>
          <w:tcPr>
            <w:tcW w:w="260" w:type="dxa"/>
            <w:vAlign w:val="bottom"/>
            <w:tcBorders>
              <w:bottom w:val="single" w:sz="8" w:color="867F7C"/>
            </w:tcBorders>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867F7C"/>
            </w:tcBorders>
          </w:tcPr>
          <w:p>
            <w:pPr>
              <w:jc w:val="right"/>
              <w:ind w:right="206"/>
              <w:spacing w:after="0" w:line="122" w:lineRule="exact"/>
              <w:rPr>
                <w:sz w:val="20"/>
                <w:szCs w:val="20"/>
                <w:color w:val="auto"/>
              </w:rPr>
            </w:pPr>
            <w:r>
              <w:rPr>
                <w:rFonts w:ascii="Arial" w:cs="Arial" w:eastAsia="Arial" w:hAnsi="Arial"/>
                <w:sz w:val="11"/>
                <w:szCs w:val="11"/>
                <w:color w:val="auto"/>
              </w:rPr>
              <w:t>398</w:t>
            </w:r>
          </w:p>
        </w:tc>
      </w:tr>
      <w:tr>
        <w:trPr>
          <w:trHeight w:val="115"/>
        </w:trPr>
        <w:tc>
          <w:tcPr>
            <w:tcW w:w="800" w:type="dxa"/>
            <w:vAlign w:val="bottom"/>
            <w:tcBorders>
              <w:bottom w:val="single" w:sz="8" w:color="867F7C"/>
            </w:tcBorders>
          </w:tcPr>
          <w:p>
            <w:pPr>
              <w:ind w:left="80"/>
              <w:spacing w:after="0" w:line="115" w:lineRule="exact"/>
              <w:rPr>
                <w:sz w:val="20"/>
                <w:szCs w:val="20"/>
                <w:color w:val="auto"/>
              </w:rPr>
            </w:pPr>
            <w:r>
              <w:rPr>
                <w:rFonts w:ascii="Arial" w:cs="Arial" w:eastAsia="Arial" w:hAnsi="Arial"/>
                <w:sz w:val="11"/>
                <w:szCs w:val="11"/>
                <w:color w:val="auto"/>
              </w:rPr>
              <w:t>2024</w:t>
            </w:r>
          </w:p>
        </w:tc>
        <w:tc>
          <w:tcPr>
            <w:tcW w:w="360" w:type="dxa"/>
            <w:vAlign w:val="bottom"/>
            <w:tcBorders>
              <w:bottom w:val="single" w:sz="8" w:color="867F7C"/>
            </w:tcBorders>
            <w:gridSpan w:val="2"/>
          </w:tcPr>
          <w:p>
            <w:pPr>
              <w:ind w:left="280"/>
              <w:spacing w:after="0" w:line="115" w:lineRule="exact"/>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8,730,361</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867F7C"/>
            </w:tcBorders>
          </w:tcPr>
          <w:p>
            <w:pPr>
              <w:jc w:val="right"/>
              <w:ind w:right="169"/>
              <w:spacing w:after="0" w:line="115" w:lineRule="exact"/>
              <w:rPr>
                <w:sz w:val="20"/>
                <w:szCs w:val="20"/>
                <w:color w:val="auto"/>
              </w:rPr>
            </w:pPr>
            <w:r>
              <w:rPr>
                <w:rFonts w:ascii="Arial" w:cs="Arial" w:eastAsia="Arial" w:hAnsi="Arial"/>
                <w:sz w:val="11"/>
                <w:szCs w:val="11"/>
                <w:color w:val="auto"/>
              </w:rPr>
              <w:t>12,245,391</w:t>
            </w:r>
          </w:p>
        </w:tc>
        <w:tc>
          <w:tcPr>
            <w:tcW w:w="300" w:type="dxa"/>
            <w:vAlign w:val="bottom"/>
            <w:tcBorders>
              <w:bottom w:val="single" w:sz="8" w:color="867F7C"/>
            </w:tcBorders>
          </w:tcPr>
          <w:p>
            <w:pPr>
              <w:jc w:val="right"/>
              <w:ind w:right="6"/>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867F7C"/>
            </w:tcBorders>
          </w:tcPr>
          <w:p>
            <w:pPr>
              <w:jc w:val="right"/>
              <w:ind w:right="186"/>
              <w:spacing w:after="0" w:line="115" w:lineRule="exact"/>
              <w:rPr>
                <w:sz w:val="20"/>
                <w:szCs w:val="20"/>
                <w:color w:val="auto"/>
              </w:rPr>
            </w:pPr>
            <w:r>
              <w:rPr>
                <w:rFonts w:ascii="Arial" w:cs="Arial" w:eastAsia="Arial" w:hAnsi="Arial"/>
                <w:sz w:val="11"/>
                <w:szCs w:val="11"/>
                <w:color w:val="auto"/>
              </w:rPr>
              <w:t>2,737,290</w:t>
            </w:r>
          </w:p>
        </w:tc>
        <w:tc>
          <w:tcPr>
            <w:tcW w:w="28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867F7C"/>
            </w:tcBorders>
          </w:tcPr>
          <w:p>
            <w:pPr>
              <w:jc w:val="right"/>
              <w:ind w:right="249"/>
              <w:spacing w:after="0" w:line="115" w:lineRule="exact"/>
              <w:rPr>
                <w:sz w:val="20"/>
                <w:szCs w:val="20"/>
                <w:color w:val="auto"/>
              </w:rPr>
            </w:pPr>
            <w:r>
              <w:rPr>
                <w:rFonts w:ascii="Arial" w:cs="Arial" w:eastAsia="Arial" w:hAnsi="Arial"/>
                <w:sz w:val="11"/>
                <w:szCs w:val="11"/>
                <w:color w:val="auto"/>
              </w:rPr>
              <w:t>2,931,498</w:t>
            </w:r>
          </w:p>
        </w:tc>
        <w:tc>
          <w:tcPr>
            <w:tcW w:w="1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130</w:t>
            </w:r>
          </w:p>
        </w:tc>
        <w:tc>
          <w:tcPr>
            <w:tcW w:w="24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867F7C"/>
            </w:tcBorders>
          </w:tcPr>
          <w:p>
            <w:pPr>
              <w:jc w:val="right"/>
              <w:ind w:right="106"/>
              <w:spacing w:after="0" w:line="115" w:lineRule="exact"/>
              <w:rPr>
                <w:sz w:val="20"/>
                <w:szCs w:val="20"/>
                <w:color w:val="auto"/>
              </w:rPr>
            </w:pPr>
            <w:r>
              <w:rPr>
                <w:rFonts w:ascii="Arial" w:cs="Arial" w:eastAsia="Arial" w:hAnsi="Arial"/>
                <w:sz w:val="11"/>
                <w:szCs w:val="11"/>
                <w:color w:val="auto"/>
              </w:rPr>
              <w:t>154</w:t>
            </w:r>
          </w:p>
        </w:tc>
        <w:tc>
          <w:tcPr>
            <w:tcW w:w="240" w:type="dxa"/>
            <w:vAlign w:val="bottom"/>
            <w:tcBorders>
              <w:bottom w:val="single" w:sz="8" w:color="867F7C"/>
            </w:tcBorders>
          </w:tcPr>
          <w:p>
            <w:pPr>
              <w:ind w:left="18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867F7C"/>
            </w:tcBorders>
          </w:tcPr>
          <w:p>
            <w:pPr>
              <w:jc w:val="right"/>
              <w:ind w:right="126"/>
              <w:spacing w:after="0" w:line="115" w:lineRule="exact"/>
              <w:rPr>
                <w:sz w:val="20"/>
                <w:szCs w:val="20"/>
                <w:color w:val="auto"/>
              </w:rPr>
            </w:pPr>
            <w:r>
              <w:rPr>
                <w:rFonts w:ascii="Arial" w:cs="Arial" w:eastAsia="Arial" w:hAnsi="Arial"/>
                <w:sz w:val="11"/>
                <w:szCs w:val="11"/>
                <w:color w:val="auto"/>
              </w:rPr>
              <w:t>247</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867F7C"/>
            </w:tcBorders>
          </w:tcPr>
          <w:p>
            <w:pPr>
              <w:jc w:val="right"/>
              <w:ind w:right="206"/>
              <w:spacing w:after="0" w:line="115" w:lineRule="exact"/>
              <w:rPr>
                <w:sz w:val="20"/>
                <w:szCs w:val="20"/>
                <w:color w:val="auto"/>
              </w:rPr>
            </w:pPr>
            <w:r>
              <w:rPr>
                <w:rFonts w:ascii="Arial" w:cs="Arial" w:eastAsia="Arial" w:hAnsi="Arial"/>
                <w:sz w:val="11"/>
                <w:szCs w:val="11"/>
                <w:color w:val="auto"/>
              </w:rPr>
              <w:t>454</w:t>
            </w:r>
          </w:p>
        </w:tc>
      </w:tr>
      <w:tr>
        <w:trPr>
          <w:trHeight w:val="115"/>
        </w:trPr>
        <w:tc>
          <w:tcPr>
            <w:tcW w:w="800" w:type="dxa"/>
            <w:vAlign w:val="bottom"/>
            <w:tcBorders>
              <w:bottom w:val="single" w:sz="8" w:color="867F7C"/>
            </w:tcBorders>
          </w:tcPr>
          <w:p>
            <w:pPr>
              <w:ind w:left="80"/>
              <w:spacing w:after="0" w:line="115" w:lineRule="exact"/>
              <w:rPr>
                <w:sz w:val="20"/>
                <w:szCs w:val="20"/>
                <w:color w:val="auto"/>
              </w:rPr>
            </w:pPr>
            <w:r>
              <w:rPr>
                <w:rFonts w:ascii="Arial" w:cs="Arial" w:eastAsia="Arial" w:hAnsi="Arial"/>
                <w:sz w:val="11"/>
                <w:szCs w:val="11"/>
                <w:color w:val="auto"/>
              </w:rPr>
              <w:t>2023</w:t>
            </w:r>
          </w:p>
        </w:tc>
        <w:tc>
          <w:tcPr>
            <w:tcW w:w="360" w:type="dxa"/>
            <w:vAlign w:val="bottom"/>
            <w:tcBorders>
              <w:bottom w:val="single" w:sz="8" w:color="867F7C"/>
            </w:tcBorders>
            <w:gridSpan w:val="2"/>
          </w:tcPr>
          <w:p>
            <w:pPr>
              <w:ind w:left="280"/>
              <w:spacing w:after="0" w:line="115" w:lineRule="exact"/>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6,971,609</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867F7C"/>
            </w:tcBorders>
          </w:tcPr>
          <w:p>
            <w:pPr>
              <w:jc w:val="right"/>
              <w:ind w:right="169"/>
              <w:spacing w:after="0" w:line="115" w:lineRule="exact"/>
              <w:rPr>
                <w:sz w:val="20"/>
                <w:szCs w:val="20"/>
                <w:color w:val="auto"/>
              </w:rPr>
            </w:pPr>
            <w:r>
              <w:rPr>
                <w:rFonts w:ascii="Arial" w:cs="Arial" w:eastAsia="Arial" w:hAnsi="Arial"/>
                <w:sz w:val="11"/>
                <w:szCs w:val="11"/>
                <w:color w:val="auto"/>
              </w:rPr>
              <w:t>239,756</w:t>
            </w:r>
          </w:p>
        </w:tc>
        <w:tc>
          <w:tcPr>
            <w:tcW w:w="300" w:type="dxa"/>
            <w:vAlign w:val="bottom"/>
            <w:tcBorders>
              <w:bottom w:val="single" w:sz="8" w:color="867F7C"/>
            </w:tcBorders>
          </w:tcPr>
          <w:p>
            <w:pPr>
              <w:jc w:val="right"/>
              <w:ind w:right="6"/>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867F7C"/>
            </w:tcBorders>
          </w:tcPr>
          <w:p>
            <w:pPr>
              <w:jc w:val="right"/>
              <w:ind w:right="186"/>
              <w:spacing w:after="0" w:line="115" w:lineRule="exact"/>
              <w:rPr>
                <w:sz w:val="20"/>
                <w:szCs w:val="20"/>
                <w:color w:val="auto"/>
              </w:rPr>
            </w:pPr>
            <w:r>
              <w:rPr>
                <w:rFonts w:ascii="Arial" w:cs="Arial" w:eastAsia="Arial" w:hAnsi="Arial"/>
                <w:sz w:val="11"/>
                <w:szCs w:val="11"/>
                <w:color w:val="auto"/>
              </w:rPr>
              <w:t>2,180,569</w:t>
            </w:r>
          </w:p>
        </w:tc>
        <w:tc>
          <w:tcPr>
            <w:tcW w:w="28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867F7C"/>
            </w:tcBorders>
          </w:tcPr>
          <w:p>
            <w:pPr>
              <w:jc w:val="right"/>
              <w:ind w:right="249"/>
              <w:spacing w:after="0" w:line="115" w:lineRule="exact"/>
              <w:rPr>
                <w:sz w:val="20"/>
                <w:szCs w:val="20"/>
                <w:color w:val="auto"/>
              </w:rPr>
            </w:pPr>
            <w:r>
              <w:rPr>
                <w:rFonts w:ascii="Arial" w:cs="Arial" w:eastAsia="Arial" w:hAnsi="Arial"/>
                <w:sz w:val="11"/>
                <w:szCs w:val="11"/>
                <w:color w:val="auto"/>
              </w:rPr>
              <w:t>607,649</w:t>
            </w:r>
          </w:p>
        </w:tc>
        <w:tc>
          <w:tcPr>
            <w:tcW w:w="1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120</w:t>
            </w:r>
          </w:p>
        </w:tc>
        <w:tc>
          <w:tcPr>
            <w:tcW w:w="24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867F7C"/>
            </w:tcBorders>
          </w:tcPr>
          <w:p>
            <w:pPr>
              <w:jc w:val="right"/>
              <w:ind w:right="106"/>
              <w:spacing w:after="0" w:line="115" w:lineRule="exact"/>
              <w:rPr>
                <w:sz w:val="20"/>
                <w:szCs w:val="20"/>
                <w:color w:val="auto"/>
              </w:rPr>
            </w:pPr>
            <w:r>
              <w:rPr>
                <w:rFonts w:ascii="Arial" w:cs="Arial" w:eastAsia="Arial" w:hAnsi="Arial"/>
                <w:sz w:val="11"/>
                <w:szCs w:val="11"/>
                <w:color w:val="auto"/>
              </w:rPr>
              <w:t>135</w:t>
            </w:r>
          </w:p>
        </w:tc>
        <w:tc>
          <w:tcPr>
            <w:tcW w:w="240" w:type="dxa"/>
            <w:vAlign w:val="bottom"/>
            <w:tcBorders>
              <w:bottom w:val="single" w:sz="8" w:color="867F7C"/>
            </w:tcBorders>
          </w:tcPr>
          <w:p>
            <w:pPr>
              <w:ind w:left="18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867F7C"/>
            </w:tcBorders>
          </w:tcPr>
          <w:p>
            <w:pPr>
              <w:jc w:val="right"/>
              <w:ind w:right="126"/>
              <w:spacing w:after="0" w:line="115" w:lineRule="exact"/>
              <w:rPr>
                <w:sz w:val="20"/>
                <w:szCs w:val="20"/>
                <w:color w:val="auto"/>
              </w:rPr>
            </w:pPr>
            <w:r>
              <w:rPr>
                <w:rFonts w:ascii="Arial" w:cs="Arial" w:eastAsia="Arial" w:hAnsi="Arial"/>
                <w:sz w:val="11"/>
                <w:szCs w:val="11"/>
                <w:color w:val="auto"/>
              </w:rPr>
              <w:t>178</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867F7C"/>
            </w:tcBorders>
          </w:tcPr>
          <w:p>
            <w:pPr>
              <w:jc w:val="right"/>
              <w:ind w:right="206"/>
              <w:spacing w:after="0" w:line="115" w:lineRule="exact"/>
              <w:rPr>
                <w:sz w:val="20"/>
                <w:szCs w:val="20"/>
                <w:color w:val="auto"/>
              </w:rPr>
            </w:pPr>
            <w:r>
              <w:rPr>
                <w:rFonts w:ascii="Arial" w:cs="Arial" w:eastAsia="Arial" w:hAnsi="Arial"/>
                <w:sz w:val="11"/>
                <w:szCs w:val="11"/>
                <w:color w:val="auto"/>
              </w:rPr>
              <w:t>452</w:t>
            </w:r>
          </w:p>
        </w:tc>
      </w:tr>
      <w:tr>
        <w:trPr>
          <w:trHeight w:val="115"/>
        </w:trPr>
        <w:tc>
          <w:tcPr>
            <w:tcW w:w="800" w:type="dxa"/>
            <w:vAlign w:val="bottom"/>
            <w:tcBorders>
              <w:bottom w:val="single" w:sz="8" w:color="867F7C"/>
            </w:tcBorders>
          </w:tcPr>
          <w:p>
            <w:pPr>
              <w:ind w:left="80"/>
              <w:spacing w:after="0" w:line="115" w:lineRule="exact"/>
              <w:rPr>
                <w:sz w:val="20"/>
                <w:szCs w:val="20"/>
                <w:color w:val="auto"/>
              </w:rPr>
            </w:pPr>
            <w:r>
              <w:rPr>
                <w:rFonts w:ascii="Arial" w:cs="Arial" w:eastAsia="Arial" w:hAnsi="Arial"/>
                <w:sz w:val="11"/>
                <w:szCs w:val="11"/>
                <w:color w:val="auto"/>
              </w:rPr>
              <w:t>2022</w:t>
            </w:r>
          </w:p>
        </w:tc>
        <w:tc>
          <w:tcPr>
            <w:tcW w:w="360" w:type="dxa"/>
            <w:vAlign w:val="bottom"/>
            <w:tcBorders>
              <w:bottom w:val="single" w:sz="8" w:color="867F7C"/>
            </w:tcBorders>
            <w:gridSpan w:val="2"/>
          </w:tcPr>
          <w:p>
            <w:pPr>
              <w:ind w:left="280"/>
              <w:spacing w:after="0" w:line="115" w:lineRule="exact"/>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9,317,202</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867F7C"/>
            </w:tcBorders>
          </w:tcPr>
          <w:p>
            <w:pPr>
              <w:jc w:val="right"/>
              <w:ind w:right="169"/>
              <w:spacing w:after="0" w:line="115" w:lineRule="exact"/>
              <w:rPr>
                <w:sz w:val="20"/>
                <w:szCs w:val="20"/>
                <w:color w:val="auto"/>
              </w:rPr>
            </w:pPr>
            <w:r>
              <w:rPr>
                <w:rFonts w:ascii="Arial" w:cs="Arial" w:eastAsia="Arial" w:hAnsi="Arial"/>
                <w:sz w:val="11"/>
                <w:szCs w:val="11"/>
                <w:color w:val="auto"/>
              </w:rPr>
              <w:t>12,896,115</w:t>
            </w:r>
          </w:p>
        </w:tc>
        <w:tc>
          <w:tcPr>
            <w:tcW w:w="300" w:type="dxa"/>
            <w:vAlign w:val="bottom"/>
            <w:tcBorders>
              <w:bottom w:val="single" w:sz="8" w:color="867F7C"/>
            </w:tcBorders>
          </w:tcPr>
          <w:p>
            <w:pPr>
              <w:jc w:val="right"/>
              <w:ind w:right="6"/>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867F7C"/>
            </w:tcBorders>
          </w:tcPr>
          <w:p>
            <w:pPr>
              <w:jc w:val="right"/>
              <w:ind w:right="186"/>
              <w:spacing w:after="0" w:line="115" w:lineRule="exact"/>
              <w:rPr>
                <w:sz w:val="20"/>
                <w:szCs w:val="20"/>
                <w:color w:val="auto"/>
              </w:rPr>
            </w:pPr>
            <w:r>
              <w:rPr>
                <w:rFonts w:ascii="Arial" w:cs="Arial" w:eastAsia="Arial" w:hAnsi="Arial"/>
                <w:sz w:val="11"/>
                <w:szCs w:val="11"/>
                <w:color w:val="auto"/>
              </w:rPr>
              <w:t>2,070,778</w:t>
            </w:r>
          </w:p>
        </w:tc>
        <w:tc>
          <w:tcPr>
            <w:tcW w:w="28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867F7C"/>
            </w:tcBorders>
          </w:tcPr>
          <w:p>
            <w:pPr>
              <w:jc w:val="right"/>
              <w:ind w:right="249"/>
              <w:spacing w:after="0" w:line="115" w:lineRule="exact"/>
              <w:rPr>
                <w:sz w:val="20"/>
                <w:szCs w:val="20"/>
                <w:color w:val="auto"/>
              </w:rPr>
            </w:pPr>
            <w:r>
              <w:rPr>
                <w:rFonts w:ascii="Arial" w:cs="Arial" w:eastAsia="Arial" w:hAnsi="Arial"/>
                <w:sz w:val="11"/>
                <w:szCs w:val="11"/>
                <w:color w:val="auto"/>
              </w:rPr>
              <w:t>2,629,583</w:t>
            </w:r>
          </w:p>
        </w:tc>
        <w:tc>
          <w:tcPr>
            <w:tcW w:w="1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137</w:t>
            </w:r>
          </w:p>
        </w:tc>
        <w:tc>
          <w:tcPr>
            <w:tcW w:w="24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867F7C"/>
            </w:tcBorders>
          </w:tcPr>
          <w:p>
            <w:pPr>
              <w:jc w:val="right"/>
              <w:ind w:right="106"/>
              <w:spacing w:after="0" w:line="115" w:lineRule="exact"/>
              <w:rPr>
                <w:sz w:val="20"/>
                <w:szCs w:val="20"/>
                <w:color w:val="auto"/>
              </w:rPr>
            </w:pPr>
            <w:r>
              <w:rPr>
                <w:rFonts w:ascii="Arial" w:cs="Arial" w:eastAsia="Arial" w:hAnsi="Arial"/>
                <w:sz w:val="11"/>
                <w:szCs w:val="11"/>
                <w:color w:val="auto"/>
              </w:rPr>
              <w:t>114</w:t>
            </w:r>
          </w:p>
        </w:tc>
        <w:tc>
          <w:tcPr>
            <w:tcW w:w="240" w:type="dxa"/>
            <w:vAlign w:val="bottom"/>
            <w:tcBorders>
              <w:bottom w:val="single" w:sz="8" w:color="867F7C"/>
            </w:tcBorders>
          </w:tcPr>
          <w:p>
            <w:pPr>
              <w:ind w:left="18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867F7C"/>
            </w:tcBorders>
          </w:tcPr>
          <w:p>
            <w:pPr>
              <w:jc w:val="right"/>
              <w:ind w:right="126"/>
              <w:spacing w:after="0" w:line="115" w:lineRule="exact"/>
              <w:rPr>
                <w:sz w:val="20"/>
                <w:szCs w:val="20"/>
                <w:color w:val="auto"/>
              </w:rPr>
            </w:pPr>
            <w:r>
              <w:rPr>
                <w:rFonts w:ascii="Arial" w:cs="Arial" w:eastAsia="Arial" w:hAnsi="Arial"/>
                <w:sz w:val="11"/>
                <w:szCs w:val="11"/>
                <w:color w:val="auto"/>
              </w:rPr>
              <w:t>927</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867F7C"/>
            </w:tcBorders>
          </w:tcPr>
          <w:p>
            <w:pPr>
              <w:jc w:val="right"/>
              <w:ind w:right="206"/>
              <w:spacing w:after="0" w:line="115" w:lineRule="exact"/>
              <w:rPr>
                <w:sz w:val="20"/>
                <w:szCs w:val="20"/>
                <w:color w:val="auto"/>
              </w:rPr>
            </w:pPr>
            <w:r>
              <w:rPr>
                <w:rFonts w:ascii="Arial" w:cs="Arial" w:eastAsia="Arial" w:hAnsi="Arial"/>
                <w:sz w:val="11"/>
                <w:szCs w:val="11"/>
                <w:color w:val="auto"/>
              </w:rPr>
              <w:t>625</w:t>
            </w:r>
          </w:p>
        </w:tc>
      </w:tr>
      <w:tr>
        <w:trPr>
          <w:trHeight w:val="115"/>
        </w:trPr>
        <w:tc>
          <w:tcPr>
            <w:tcW w:w="800" w:type="dxa"/>
            <w:vAlign w:val="bottom"/>
            <w:tcBorders>
              <w:bottom w:val="single" w:sz="8" w:color="867F7C"/>
            </w:tcBorders>
          </w:tcPr>
          <w:p>
            <w:pPr>
              <w:ind w:left="80"/>
              <w:spacing w:after="0" w:line="115" w:lineRule="exact"/>
              <w:rPr>
                <w:sz w:val="20"/>
                <w:szCs w:val="20"/>
                <w:color w:val="auto"/>
              </w:rPr>
            </w:pPr>
            <w:r>
              <w:rPr>
                <w:rFonts w:ascii="Arial" w:cs="Arial" w:eastAsia="Arial" w:hAnsi="Arial"/>
                <w:sz w:val="11"/>
                <w:szCs w:val="11"/>
                <w:color w:val="auto"/>
              </w:rPr>
              <w:t>2021</w:t>
            </w:r>
          </w:p>
        </w:tc>
        <w:tc>
          <w:tcPr>
            <w:tcW w:w="360" w:type="dxa"/>
            <w:vAlign w:val="bottom"/>
            <w:tcBorders>
              <w:bottom w:val="single" w:sz="8" w:color="867F7C"/>
            </w:tcBorders>
            <w:gridSpan w:val="2"/>
          </w:tcPr>
          <w:p>
            <w:pPr>
              <w:ind w:left="280"/>
              <w:spacing w:after="0" w:line="115" w:lineRule="exact"/>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7,597,903</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867F7C"/>
            </w:tcBorders>
          </w:tcPr>
          <w:p>
            <w:pPr>
              <w:jc w:val="right"/>
              <w:ind w:right="169"/>
              <w:spacing w:after="0" w:line="115" w:lineRule="exact"/>
              <w:rPr>
                <w:sz w:val="20"/>
                <w:szCs w:val="20"/>
                <w:color w:val="auto"/>
              </w:rPr>
            </w:pPr>
            <w:r>
              <w:rPr>
                <w:rFonts w:ascii="Arial" w:cs="Arial" w:eastAsia="Arial" w:hAnsi="Arial"/>
                <w:sz w:val="11"/>
                <w:szCs w:val="11"/>
                <w:color w:val="auto"/>
              </w:rPr>
              <w:t>9,133,390</w:t>
            </w:r>
          </w:p>
        </w:tc>
        <w:tc>
          <w:tcPr>
            <w:tcW w:w="300" w:type="dxa"/>
            <w:vAlign w:val="bottom"/>
            <w:tcBorders>
              <w:bottom w:val="single" w:sz="8" w:color="867F7C"/>
            </w:tcBorders>
          </w:tcPr>
          <w:p>
            <w:pPr>
              <w:jc w:val="right"/>
              <w:ind w:right="6"/>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867F7C"/>
            </w:tcBorders>
          </w:tcPr>
          <w:p>
            <w:pPr>
              <w:jc w:val="right"/>
              <w:ind w:right="186"/>
              <w:spacing w:after="0" w:line="115" w:lineRule="exact"/>
              <w:rPr>
                <w:sz w:val="20"/>
                <w:szCs w:val="20"/>
                <w:color w:val="auto"/>
              </w:rPr>
            </w:pPr>
            <w:r>
              <w:rPr>
                <w:rFonts w:ascii="Arial" w:cs="Arial" w:eastAsia="Arial" w:hAnsi="Arial"/>
                <w:sz w:val="11"/>
                <w:szCs w:val="11"/>
                <w:color w:val="auto"/>
              </w:rPr>
              <w:t>1,718,056</w:t>
            </w:r>
          </w:p>
        </w:tc>
        <w:tc>
          <w:tcPr>
            <w:tcW w:w="28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867F7C"/>
            </w:tcBorders>
          </w:tcPr>
          <w:p>
            <w:pPr>
              <w:jc w:val="right"/>
              <w:ind w:right="249"/>
              <w:spacing w:after="0" w:line="115" w:lineRule="exact"/>
              <w:rPr>
                <w:sz w:val="20"/>
                <w:szCs w:val="20"/>
                <w:color w:val="auto"/>
              </w:rPr>
            </w:pPr>
            <w:r>
              <w:rPr>
                <w:rFonts w:ascii="Arial" w:cs="Arial" w:eastAsia="Arial" w:hAnsi="Arial"/>
                <w:sz w:val="11"/>
                <w:szCs w:val="11"/>
                <w:color w:val="auto"/>
              </w:rPr>
              <w:t>1,937,347</w:t>
            </w:r>
          </w:p>
        </w:tc>
        <w:tc>
          <w:tcPr>
            <w:tcW w:w="1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867F7C"/>
            </w:tcBorders>
          </w:tcPr>
          <w:p>
            <w:pPr>
              <w:jc w:val="right"/>
              <w:ind w:right="146"/>
              <w:spacing w:after="0" w:line="115" w:lineRule="exact"/>
              <w:rPr>
                <w:sz w:val="20"/>
                <w:szCs w:val="20"/>
                <w:color w:val="auto"/>
              </w:rPr>
            </w:pPr>
            <w:r>
              <w:rPr>
                <w:rFonts w:ascii="Arial" w:cs="Arial" w:eastAsia="Arial" w:hAnsi="Arial"/>
                <w:sz w:val="11"/>
                <w:szCs w:val="11"/>
                <w:color w:val="auto"/>
              </w:rPr>
              <w:t>127</w:t>
            </w:r>
          </w:p>
        </w:tc>
        <w:tc>
          <w:tcPr>
            <w:tcW w:w="240" w:type="dxa"/>
            <w:vAlign w:val="bottom"/>
            <w:tcBorders>
              <w:bottom w:val="single" w:sz="8" w:color="867F7C"/>
            </w:tcBorders>
          </w:tcPr>
          <w:p>
            <w:pPr>
              <w:ind w:left="160"/>
              <w:spacing w:after="0" w:line="115" w:lineRule="exact"/>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867F7C"/>
            </w:tcBorders>
          </w:tcPr>
          <w:p>
            <w:pPr>
              <w:jc w:val="right"/>
              <w:ind w:right="106"/>
              <w:spacing w:after="0" w:line="115" w:lineRule="exact"/>
              <w:rPr>
                <w:sz w:val="20"/>
                <w:szCs w:val="20"/>
                <w:color w:val="auto"/>
              </w:rPr>
            </w:pPr>
            <w:r>
              <w:rPr>
                <w:rFonts w:ascii="Arial" w:cs="Arial" w:eastAsia="Arial" w:hAnsi="Arial"/>
                <w:sz w:val="11"/>
                <w:szCs w:val="11"/>
                <w:color w:val="auto"/>
              </w:rPr>
              <w:t>128</w:t>
            </w:r>
          </w:p>
        </w:tc>
        <w:tc>
          <w:tcPr>
            <w:tcW w:w="240" w:type="dxa"/>
            <w:vAlign w:val="bottom"/>
            <w:tcBorders>
              <w:bottom w:val="single" w:sz="8" w:color="867F7C"/>
            </w:tcBorders>
          </w:tcPr>
          <w:p>
            <w:pPr>
              <w:ind w:left="18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867F7C"/>
            </w:tcBorders>
          </w:tcPr>
          <w:p>
            <w:pPr>
              <w:jc w:val="right"/>
              <w:ind w:right="126"/>
              <w:spacing w:after="0" w:line="115" w:lineRule="exact"/>
              <w:rPr>
                <w:sz w:val="20"/>
                <w:szCs w:val="20"/>
                <w:color w:val="auto"/>
              </w:rPr>
            </w:pPr>
            <w:r>
              <w:rPr>
                <w:rFonts w:ascii="Arial" w:cs="Arial" w:eastAsia="Arial" w:hAnsi="Arial"/>
                <w:sz w:val="11"/>
                <w:szCs w:val="11"/>
                <w:color w:val="auto"/>
              </w:rPr>
              <w:t>220</w:t>
            </w:r>
          </w:p>
        </w:tc>
        <w:tc>
          <w:tcPr>
            <w:tcW w:w="260" w:type="dxa"/>
            <w:vAlign w:val="bottom"/>
            <w:tcBorders>
              <w:bottom w:val="single" w:sz="8" w:color="867F7C"/>
            </w:tcBorders>
          </w:tcPr>
          <w:p>
            <w:pPr>
              <w:jc w:val="right"/>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867F7C"/>
            </w:tcBorders>
          </w:tcPr>
          <w:p>
            <w:pPr>
              <w:jc w:val="right"/>
              <w:ind w:right="206"/>
              <w:spacing w:after="0" w:line="115" w:lineRule="exact"/>
              <w:rPr>
                <w:sz w:val="20"/>
                <w:szCs w:val="20"/>
                <w:color w:val="auto"/>
              </w:rPr>
            </w:pPr>
            <w:r>
              <w:rPr>
                <w:rFonts w:ascii="Arial" w:cs="Arial" w:eastAsia="Arial" w:hAnsi="Arial"/>
                <w:sz w:val="11"/>
                <w:szCs w:val="11"/>
                <w:color w:val="auto"/>
              </w:rPr>
              <w:t>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-976630</wp:posOffset>
            </wp:positionV>
            <wp:extent cx="5254625" cy="548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254625" cy="548640"/>
                    </a:xfrm>
                    <a:prstGeom prst="rect">
                      <a:avLst/>
                    </a:prstGeom>
                    <a:noFill/>
                  </pic:spPr>
                </pic:pic>
              </a:graphicData>
            </a:graphic>
          </wp:anchor>
        </w:drawing>
      </w:r>
    </w:p>
    <w:p>
      <w:pPr>
        <w:spacing w:after="0" w:line="106" w:lineRule="exact"/>
        <w:rPr>
          <w:sz w:val="20"/>
          <w:szCs w:val="20"/>
          <w:color w:val="auto"/>
        </w:rPr>
      </w:pPr>
    </w:p>
    <w:p>
      <w:pPr>
        <w:ind w:left="220" w:hanging="212"/>
        <w:spacing w:after="0"/>
        <w:tabs>
          <w:tab w:leader="none" w:pos="220" w:val="left"/>
        </w:tabs>
        <w:numPr>
          <w:ilvl w:val="0"/>
          <w:numId w:val="74"/>
        </w:numPr>
        <w:rPr>
          <w:rFonts w:ascii="Times New Roman" w:cs="Times New Roman" w:eastAsia="Times New Roman" w:hAnsi="Times New Roman"/>
          <w:sz w:val="8"/>
          <w:szCs w:val="8"/>
          <w:color w:val="auto"/>
        </w:rPr>
      </w:pPr>
      <w:r>
        <w:rPr>
          <w:rFonts w:ascii="Arial" w:cs="Arial" w:eastAsia="Arial" w:hAnsi="Arial"/>
          <w:sz w:val="14"/>
          <w:szCs w:val="14"/>
          <w:color w:val="auto"/>
        </w:rPr>
        <w:t>The following individuals are our PEO and other NEOs for each fiscal year: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Borders>
              <w:bottom w:val="single" w:sz="8" w:color="867F7C"/>
            </w:tcBorders>
            <w:shd w:val="clear" w:color="auto" w:fill="EFEBE9"/>
          </w:tcPr>
          <w:p>
            <w:pPr>
              <w:ind w:left="100"/>
              <w:spacing w:after="0"/>
              <w:rPr>
                <w:sz w:val="20"/>
                <w:szCs w:val="20"/>
                <w:color w:val="auto"/>
              </w:rPr>
            </w:pPr>
            <w:r>
              <w:rPr>
                <w:rFonts w:ascii="Arial" w:cs="Arial" w:eastAsia="Arial" w:hAnsi="Arial"/>
                <w:sz w:val="13"/>
                <w:szCs w:val="13"/>
                <w:b w:val="1"/>
                <w:bCs w:val="1"/>
                <w:color w:val="867F7C"/>
              </w:rPr>
              <w:t>Fiscal Year</w:t>
            </w:r>
          </w:p>
        </w:tc>
        <w:tc>
          <w:tcPr>
            <w:tcW w:w="1340" w:type="dxa"/>
            <w:vAlign w:val="bottom"/>
            <w:tcBorders>
              <w:bottom w:val="single" w:sz="8" w:color="867F7C"/>
            </w:tcBorders>
            <w:shd w:val="clear" w:color="auto" w:fill="EFEBE9"/>
          </w:tcPr>
          <w:p>
            <w:pPr>
              <w:ind w:left="620"/>
              <w:spacing w:after="0"/>
              <w:rPr>
                <w:sz w:val="20"/>
                <w:szCs w:val="20"/>
                <w:color w:val="auto"/>
              </w:rPr>
            </w:pPr>
            <w:r>
              <w:rPr>
                <w:rFonts w:ascii="Arial" w:cs="Arial" w:eastAsia="Arial" w:hAnsi="Arial"/>
                <w:sz w:val="13"/>
                <w:szCs w:val="13"/>
                <w:b w:val="1"/>
                <w:bCs w:val="1"/>
                <w:color w:val="867F7C"/>
              </w:rPr>
              <w:t>PEO(s)</w:t>
            </w:r>
          </w:p>
        </w:tc>
        <w:tc>
          <w:tcPr>
            <w:tcW w:w="6700" w:type="dxa"/>
            <w:vAlign w:val="bottom"/>
            <w:tcBorders>
              <w:bottom w:val="single" w:sz="8" w:color="867F7C"/>
            </w:tcBorders>
            <w:shd w:val="clear" w:color="auto" w:fill="EFEBE9"/>
          </w:tcPr>
          <w:p>
            <w:pPr>
              <w:ind w:left="2980"/>
              <w:spacing w:after="0"/>
              <w:rPr>
                <w:sz w:val="20"/>
                <w:szCs w:val="20"/>
                <w:color w:val="auto"/>
              </w:rPr>
            </w:pPr>
            <w:r>
              <w:rPr>
                <w:rFonts w:ascii="Arial" w:cs="Arial" w:eastAsia="Arial" w:hAnsi="Arial"/>
                <w:sz w:val="13"/>
                <w:szCs w:val="13"/>
                <w:b w:val="1"/>
                <w:bCs w:val="1"/>
                <w:color w:val="867F7C"/>
              </w:rPr>
              <w:t>Non-PEO NEOs</w:t>
            </w:r>
          </w:p>
        </w:tc>
      </w:tr>
      <w:tr>
        <w:trPr>
          <w:trHeight w:val="129"/>
        </w:trPr>
        <w:tc>
          <w:tcPr>
            <w:tcW w:w="1040" w:type="dxa"/>
            <w:vAlign w:val="bottom"/>
            <w:tcBorders>
              <w:bottom w:val="single" w:sz="8" w:color="867F7C"/>
            </w:tcBorders>
          </w:tcPr>
          <w:p>
            <w:pPr>
              <w:ind w:left="80"/>
              <w:spacing w:after="0" w:line="129" w:lineRule="exact"/>
              <w:rPr>
                <w:sz w:val="20"/>
                <w:szCs w:val="20"/>
                <w:color w:val="auto"/>
              </w:rPr>
            </w:pPr>
            <w:r>
              <w:rPr>
                <w:rFonts w:ascii="Arial" w:cs="Arial" w:eastAsia="Arial" w:hAnsi="Arial"/>
                <w:sz w:val="13"/>
                <w:szCs w:val="13"/>
                <w:color w:val="auto"/>
              </w:rPr>
              <w:t>2025</w:t>
            </w:r>
          </w:p>
        </w:tc>
        <w:tc>
          <w:tcPr>
            <w:tcW w:w="1340" w:type="dxa"/>
            <w:vAlign w:val="bottom"/>
            <w:tcBorders>
              <w:bottom w:val="single" w:sz="8" w:color="867F7C"/>
            </w:tcBorders>
          </w:tcPr>
          <w:p>
            <w:pPr>
              <w:ind w:left="260"/>
              <w:spacing w:after="0" w:line="129" w:lineRule="exact"/>
              <w:rPr>
                <w:sz w:val="20"/>
                <w:szCs w:val="20"/>
                <w:color w:val="auto"/>
              </w:rPr>
            </w:pPr>
            <w:r>
              <w:rPr>
                <w:rFonts w:ascii="Arial" w:cs="Arial" w:eastAsia="Arial" w:hAnsi="Arial"/>
                <w:sz w:val="13"/>
                <w:szCs w:val="13"/>
                <w:color w:val="auto"/>
              </w:rPr>
              <w:t>Guillermo Novo</w:t>
            </w:r>
          </w:p>
        </w:tc>
        <w:tc>
          <w:tcPr>
            <w:tcW w:w="6700" w:type="dxa"/>
            <w:vAlign w:val="bottom"/>
            <w:tcBorders>
              <w:bottom w:val="single" w:sz="8" w:color="867F7C"/>
            </w:tcBorders>
          </w:tcPr>
          <w:p>
            <w:pPr>
              <w:ind w:left="220"/>
              <w:spacing w:after="0" w:line="129" w:lineRule="exact"/>
              <w:rPr>
                <w:sz w:val="20"/>
                <w:szCs w:val="20"/>
                <w:color w:val="auto"/>
              </w:rPr>
            </w:pPr>
            <w:r>
              <w:rPr>
                <w:rFonts w:ascii="Arial" w:cs="Arial" w:eastAsia="Arial" w:hAnsi="Arial"/>
                <w:sz w:val="13"/>
                <w:szCs w:val="13"/>
                <w:color w:val="auto"/>
              </w:rPr>
              <w:t>William Whitaker, Alessandra Faccin Assis, Osama M. Musa, James Minicucci, Karl Bostaph, J. Kevin Willis</w:t>
            </w:r>
          </w:p>
        </w:tc>
      </w:tr>
      <w:tr>
        <w:trPr>
          <w:trHeight w:val="128"/>
        </w:trPr>
        <w:tc>
          <w:tcPr>
            <w:tcW w:w="1040" w:type="dxa"/>
            <w:vAlign w:val="bottom"/>
            <w:tcBorders>
              <w:bottom w:val="single" w:sz="8" w:color="867F7C"/>
            </w:tcBorders>
          </w:tcPr>
          <w:p>
            <w:pPr>
              <w:ind w:left="80"/>
              <w:spacing w:after="0" w:line="129" w:lineRule="exact"/>
              <w:rPr>
                <w:sz w:val="20"/>
                <w:szCs w:val="20"/>
                <w:color w:val="auto"/>
              </w:rPr>
            </w:pPr>
            <w:r>
              <w:rPr>
                <w:rFonts w:ascii="Arial" w:cs="Arial" w:eastAsia="Arial" w:hAnsi="Arial"/>
                <w:sz w:val="13"/>
                <w:szCs w:val="13"/>
                <w:color w:val="auto"/>
              </w:rPr>
              <w:t>2024</w:t>
            </w:r>
          </w:p>
        </w:tc>
        <w:tc>
          <w:tcPr>
            <w:tcW w:w="1340" w:type="dxa"/>
            <w:vAlign w:val="bottom"/>
            <w:tcBorders>
              <w:bottom w:val="single" w:sz="8" w:color="867F7C"/>
            </w:tcBorders>
          </w:tcPr>
          <w:p>
            <w:pPr>
              <w:ind w:left="260"/>
              <w:spacing w:after="0" w:line="129" w:lineRule="exact"/>
              <w:rPr>
                <w:sz w:val="20"/>
                <w:szCs w:val="20"/>
                <w:color w:val="auto"/>
              </w:rPr>
            </w:pPr>
            <w:r>
              <w:rPr>
                <w:rFonts w:ascii="Arial" w:cs="Arial" w:eastAsia="Arial" w:hAnsi="Arial"/>
                <w:sz w:val="13"/>
                <w:szCs w:val="13"/>
                <w:color w:val="auto"/>
              </w:rPr>
              <w:t>Guillermo Novo</w:t>
            </w:r>
          </w:p>
        </w:tc>
        <w:tc>
          <w:tcPr>
            <w:tcW w:w="6700" w:type="dxa"/>
            <w:vAlign w:val="bottom"/>
            <w:tcBorders>
              <w:bottom w:val="single" w:sz="8" w:color="867F7C"/>
            </w:tcBorders>
          </w:tcPr>
          <w:p>
            <w:pPr>
              <w:ind w:left="220"/>
              <w:spacing w:after="0" w:line="129" w:lineRule="exact"/>
              <w:rPr>
                <w:sz w:val="20"/>
                <w:szCs w:val="20"/>
                <w:color w:val="auto"/>
              </w:rPr>
            </w:pPr>
            <w:r>
              <w:rPr>
                <w:rFonts w:ascii="Arial" w:cs="Arial" w:eastAsia="Arial" w:hAnsi="Arial"/>
                <w:sz w:val="13"/>
                <w:szCs w:val="13"/>
                <w:color w:val="auto"/>
              </w:rPr>
              <w:t>J. Kevin Willis, Alessandra Faccin Assis, Osama M. Musa, Karl Bostaph, Min S. Chong</w:t>
            </w:r>
          </w:p>
        </w:tc>
      </w:tr>
      <w:tr>
        <w:trPr>
          <w:trHeight w:val="129"/>
        </w:trPr>
        <w:tc>
          <w:tcPr>
            <w:tcW w:w="1040" w:type="dxa"/>
            <w:vAlign w:val="bottom"/>
            <w:tcBorders>
              <w:bottom w:val="single" w:sz="8" w:color="867F7C"/>
            </w:tcBorders>
          </w:tcPr>
          <w:p>
            <w:pPr>
              <w:ind w:left="80"/>
              <w:spacing w:after="0" w:line="129" w:lineRule="exact"/>
              <w:rPr>
                <w:sz w:val="20"/>
                <w:szCs w:val="20"/>
                <w:color w:val="auto"/>
              </w:rPr>
            </w:pPr>
            <w:r>
              <w:rPr>
                <w:rFonts w:ascii="Arial" w:cs="Arial" w:eastAsia="Arial" w:hAnsi="Arial"/>
                <w:sz w:val="13"/>
                <w:szCs w:val="13"/>
                <w:color w:val="auto"/>
              </w:rPr>
              <w:t>2023</w:t>
            </w:r>
          </w:p>
        </w:tc>
        <w:tc>
          <w:tcPr>
            <w:tcW w:w="1340" w:type="dxa"/>
            <w:vAlign w:val="bottom"/>
            <w:tcBorders>
              <w:bottom w:val="single" w:sz="8" w:color="867F7C"/>
            </w:tcBorders>
          </w:tcPr>
          <w:p>
            <w:pPr>
              <w:ind w:left="260"/>
              <w:spacing w:after="0" w:line="129" w:lineRule="exact"/>
              <w:rPr>
                <w:sz w:val="20"/>
                <w:szCs w:val="20"/>
                <w:color w:val="auto"/>
              </w:rPr>
            </w:pPr>
            <w:r>
              <w:rPr>
                <w:rFonts w:ascii="Arial" w:cs="Arial" w:eastAsia="Arial" w:hAnsi="Arial"/>
                <w:sz w:val="13"/>
                <w:szCs w:val="13"/>
                <w:color w:val="auto"/>
              </w:rPr>
              <w:t>Guillermo Novo</w:t>
            </w:r>
          </w:p>
        </w:tc>
        <w:tc>
          <w:tcPr>
            <w:tcW w:w="6700" w:type="dxa"/>
            <w:vAlign w:val="bottom"/>
            <w:tcBorders>
              <w:bottom w:val="single" w:sz="8" w:color="867F7C"/>
            </w:tcBorders>
          </w:tcPr>
          <w:p>
            <w:pPr>
              <w:ind w:left="220"/>
              <w:spacing w:after="0" w:line="129" w:lineRule="exact"/>
              <w:rPr>
                <w:sz w:val="20"/>
                <w:szCs w:val="20"/>
                <w:color w:val="auto"/>
              </w:rPr>
            </w:pPr>
            <w:r>
              <w:rPr>
                <w:rFonts w:ascii="Arial" w:cs="Arial" w:eastAsia="Arial" w:hAnsi="Arial"/>
                <w:sz w:val="13"/>
                <w:szCs w:val="13"/>
                <w:color w:val="auto"/>
              </w:rPr>
              <w:t>J. Kevin Willis, Osama M. Musa, Min S. Chong, Ashok Kalyana, Xiao L. Wang</w:t>
            </w:r>
          </w:p>
        </w:tc>
      </w:tr>
      <w:tr>
        <w:trPr>
          <w:trHeight w:val="128"/>
        </w:trPr>
        <w:tc>
          <w:tcPr>
            <w:tcW w:w="1040" w:type="dxa"/>
            <w:vAlign w:val="bottom"/>
            <w:tcBorders>
              <w:bottom w:val="single" w:sz="8" w:color="867F7C"/>
            </w:tcBorders>
          </w:tcPr>
          <w:p>
            <w:pPr>
              <w:ind w:left="80"/>
              <w:spacing w:after="0" w:line="129" w:lineRule="exact"/>
              <w:rPr>
                <w:sz w:val="20"/>
                <w:szCs w:val="20"/>
                <w:color w:val="auto"/>
              </w:rPr>
            </w:pPr>
            <w:r>
              <w:rPr>
                <w:rFonts w:ascii="Arial" w:cs="Arial" w:eastAsia="Arial" w:hAnsi="Arial"/>
                <w:sz w:val="13"/>
                <w:szCs w:val="13"/>
                <w:color w:val="auto"/>
              </w:rPr>
              <w:t>2022</w:t>
            </w:r>
          </w:p>
        </w:tc>
        <w:tc>
          <w:tcPr>
            <w:tcW w:w="1340" w:type="dxa"/>
            <w:vAlign w:val="bottom"/>
            <w:tcBorders>
              <w:bottom w:val="single" w:sz="8" w:color="867F7C"/>
            </w:tcBorders>
          </w:tcPr>
          <w:p>
            <w:pPr>
              <w:ind w:left="260"/>
              <w:spacing w:after="0" w:line="129" w:lineRule="exact"/>
              <w:rPr>
                <w:sz w:val="20"/>
                <w:szCs w:val="20"/>
                <w:color w:val="auto"/>
              </w:rPr>
            </w:pPr>
            <w:r>
              <w:rPr>
                <w:rFonts w:ascii="Arial" w:cs="Arial" w:eastAsia="Arial" w:hAnsi="Arial"/>
                <w:sz w:val="13"/>
                <w:szCs w:val="13"/>
                <w:color w:val="auto"/>
              </w:rPr>
              <w:t>Guillermo Novo</w:t>
            </w:r>
          </w:p>
        </w:tc>
        <w:tc>
          <w:tcPr>
            <w:tcW w:w="6700" w:type="dxa"/>
            <w:vAlign w:val="bottom"/>
            <w:tcBorders>
              <w:bottom w:val="single" w:sz="8" w:color="867F7C"/>
            </w:tcBorders>
          </w:tcPr>
          <w:p>
            <w:pPr>
              <w:ind w:left="220"/>
              <w:spacing w:after="0" w:line="129" w:lineRule="exact"/>
              <w:rPr>
                <w:sz w:val="20"/>
                <w:szCs w:val="20"/>
                <w:color w:val="auto"/>
              </w:rPr>
            </w:pPr>
            <w:r>
              <w:rPr>
                <w:rFonts w:ascii="Arial" w:cs="Arial" w:eastAsia="Arial" w:hAnsi="Arial"/>
                <w:sz w:val="13"/>
                <w:szCs w:val="13"/>
                <w:color w:val="auto"/>
              </w:rPr>
              <w:t>J. Kevin Willis, Osama M. Musa, Min S. Chong, Ashok Kalyana</w:t>
            </w:r>
          </w:p>
        </w:tc>
      </w:tr>
      <w:tr>
        <w:trPr>
          <w:trHeight w:val="128"/>
        </w:trPr>
        <w:tc>
          <w:tcPr>
            <w:tcW w:w="1040" w:type="dxa"/>
            <w:vAlign w:val="bottom"/>
            <w:tcBorders>
              <w:bottom w:val="single" w:sz="8" w:color="867F7C"/>
            </w:tcBorders>
          </w:tcPr>
          <w:p>
            <w:pPr>
              <w:ind w:left="80"/>
              <w:spacing w:after="0" w:line="129" w:lineRule="exact"/>
              <w:rPr>
                <w:sz w:val="20"/>
                <w:szCs w:val="20"/>
                <w:color w:val="auto"/>
              </w:rPr>
            </w:pPr>
            <w:r>
              <w:rPr>
                <w:rFonts w:ascii="Arial" w:cs="Arial" w:eastAsia="Arial" w:hAnsi="Arial"/>
                <w:sz w:val="13"/>
                <w:szCs w:val="13"/>
                <w:color w:val="auto"/>
              </w:rPr>
              <w:t>2021</w:t>
            </w:r>
          </w:p>
        </w:tc>
        <w:tc>
          <w:tcPr>
            <w:tcW w:w="1340" w:type="dxa"/>
            <w:vAlign w:val="bottom"/>
            <w:tcBorders>
              <w:bottom w:val="single" w:sz="8" w:color="867F7C"/>
            </w:tcBorders>
          </w:tcPr>
          <w:p>
            <w:pPr>
              <w:ind w:left="260"/>
              <w:spacing w:after="0" w:line="129" w:lineRule="exact"/>
              <w:rPr>
                <w:sz w:val="20"/>
                <w:szCs w:val="20"/>
                <w:color w:val="auto"/>
              </w:rPr>
            </w:pPr>
            <w:r>
              <w:rPr>
                <w:rFonts w:ascii="Arial" w:cs="Arial" w:eastAsia="Arial" w:hAnsi="Arial"/>
                <w:sz w:val="13"/>
                <w:szCs w:val="13"/>
                <w:color w:val="auto"/>
              </w:rPr>
              <w:t>Guillermo Novo</w:t>
            </w:r>
          </w:p>
        </w:tc>
        <w:tc>
          <w:tcPr>
            <w:tcW w:w="6700" w:type="dxa"/>
            <w:vAlign w:val="bottom"/>
            <w:tcBorders>
              <w:bottom w:val="single" w:sz="8" w:color="867F7C"/>
            </w:tcBorders>
          </w:tcPr>
          <w:p>
            <w:pPr>
              <w:ind w:left="220"/>
              <w:spacing w:after="0" w:line="129" w:lineRule="exact"/>
              <w:rPr>
                <w:sz w:val="20"/>
                <w:szCs w:val="20"/>
                <w:color w:val="auto"/>
              </w:rPr>
            </w:pPr>
            <w:r>
              <w:rPr>
                <w:rFonts w:ascii="Arial" w:cs="Arial" w:eastAsia="Arial" w:hAnsi="Arial"/>
                <w:sz w:val="13"/>
                <w:szCs w:val="13"/>
                <w:color w:val="auto"/>
              </w:rPr>
              <w:t>J. Kevin Willis, Osama M. Musa, Min S. Chong, Eric N. Boni, Peter J. Ganz, Keith C. Silverman</w:t>
            </w:r>
          </w:p>
        </w:tc>
      </w:tr>
    </w:tbl>
    <w:p>
      <w:pPr>
        <w:spacing w:after="0" w:line="288" w:lineRule="exact"/>
        <w:rPr>
          <w:sz w:val="20"/>
          <w:szCs w:val="20"/>
          <w:color w:val="auto"/>
        </w:rPr>
      </w:pPr>
    </w:p>
    <w:p>
      <w:pPr>
        <w:ind w:left="220" w:hanging="212"/>
        <w:spacing w:after="0" w:line="285" w:lineRule="auto"/>
        <w:tabs>
          <w:tab w:leader="none" w:pos="220" w:val="left"/>
        </w:tabs>
        <w:numPr>
          <w:ilvl w:val="0"/>
          <w:numId w:val="75"/>
        </w:numPr>
        <w:rPr>
          <w:rFonts w:ascii="Times New Roman" w:cs="Times New Roman" w:eastAsia="Times New Roman" w:hAnsi="Times New Roman"/>
          <w:sz w:val="8"/>
          <w:szCs w:val="8"/>
          <w:color w:val="auto"/>
        </w:rPr>
      </w:pPr>
      <w:r>
        <w:rPr>
          <w:rFonts w:ascii="Arial" w:cs="Arial" w:eastAsia="Arial" w:hAnsi="Arial"/>
          <w:sz w:val="14"/>
          <w:szCs w:val="14"/>
          <w:color w:val="auto"/>
        </w:rPr>
        <w:t>Compensation actually paid to our NEOs represents the “Total” compensation reported in the Summary Compensation Table for the applicable fiscal year, adjusted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61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055" w:right="14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867F7C"/>
        </w:rPr>
        <w:t>pay versus performance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00" w:type="dxa"/>
            <w:vAlign w:val="bottom"/>
            <w:tcBorders>
              <w:bottom w:val="single" w:sz="8" w:color="EFEBE9"/>
            </w:tcBorders>
            <w:shd w:val="clear" w:color="auto" w:fill="EFEBE9"/>
          </w:tcPr>
          <w:p>
            <w:pPr>
              <w:spacing w:after="0"/>
              <w:rPr>
                <w:sz w:val="8"/>
                <w:szCs w:val="8"/>
                <w:color w:val="auto"/>
              </w:rPr>
            </w:pPr>
          </w:p>
        </w:tc>
        <w:tc>
          <w:tcPr>
            <w:tcW w:w="140" w:type="dxa"/>
            <w:vAlign w:val="bottom"/>
            <w:tcBorders>
              <w:bottom w:val="single" w:sz="8" w:color="EFEBE9"/>
            </w:tcBorders>
            <w:shd w:val="clear" w:color="auto" w:fill="EFEBE9"/>
          </w:tcPr>
          <w:p>
            <w:pPr>
              <w:spacing w:after="0"/>
              <w:rPr>
                <w:sz w:val="8"/>
                <w:szCs w:val="8"/>
                <w:color w:val="auto"/>
              </w:rPr>
            </w:pPr>
          </w:p>
        </w:tc>
        <w:tc>
          <w:tcPr>
            <w:tcW w:w="100" w:type="dxa"/>
            <w:vAlign w:val="bottom"/>
            <w:tcBorders>
              <w:bottom w:val="single" w:sz="8" w:color="867F7C"/>
            </w:tcBorders>
            <w:shd w:val="clear" w:color="auto" w:fill="EFEBE9"/>
          </w:tcPr>
          <w:p>
            <w:pPr>
              <w:spacing w:after="0"/>
              <w:rPr>
                <w:sz w:val="8"/>
                <w:szCs w:val="8"/>
                <w:color w:val="auto"/>
              </w:rPr>
            </w:pPr>
          </w:p>
        </w:tc>
        <w:tc>
          <w:tcPr>
            <w:tcW w:w="1240" w:type="dxa"/>
            <w:vAlign w:val="bottom"/>
            <w:tcBorders>
              <w:bottom w:val="single" w:sz="8" w:color="867F7C"/>
            </w:tcBorders>
            <w:gridSpan w:val="3"/>
            <w:shd w:val="clear" w:color="auto" w:fill="EFEBE9"/>
          </w:tcPr>
          <w:p>
            <w:pPr>
              <w:jc w:val="right"/>
              <w:ind w:right="515"/>
              <w:spacing w:after="0"/>
              <w:rPr>
                <w:sz w:val="20"/>
                <w:szCs w:val="20"/>
                <w:color w:val="auto"/>
              </w:rPr>
            </w:pPr>
            <w:r>
              <w:rPr>
                <w:rFonts w:ascii="Arial" w:cs="Arial" w:eastAsia="Arial" w:hAnsi="Arial"/>
                <w:sz w:val="9"/>
                <w:szCs w:val="9"/>
                <w:b w:val="1"/>
                <w:bCs w:val="1"/>
                <w:color w:val="867F7C"/>
              </w:rPr>
              <w:t>FY 2021</w:t>
            </w:r>
          </w:p>
        </w:tc>
        <w:tc>
          <w:tcPr>
            <w:tcW w:w="100" w:type="dxa"/>
            <w:vAlign w:val="bottom"/>
            <w:tcBorders>
              <w:bottom w:val="single" w:sz="8" w:color="EFEBE9"/>
            </w:tcBorders>
            <w:shd w:val="clear" w:color="auto" w:fill="EFEBE9"/>
          </w:tcPr>
          <w:p>
            <w:pPr>
              <w:spacing w:after="0"/>
              <w:rPr>
                <w:sz w:val="8"/>
                <w:szCs w:val="8"/>
                <w:color w:val="auto"/>
              </w:rPr>
            </w:pPr>
          </w:p>
        </w:tc>
        <w:tc>
          <w:tcPr>
            <w:tcW w:w="80" w:type="dxa"/>
            <w:vAlign w:val="bottom"/>
            <w:tcBorders>
              <w:bottom w:val="single" w:sz="8" w:color="867F7C"/>
            </w:tcBorders>
            <w:shd w:val="clear" w:color="auto" w:fill="EFEBE9"/>
          </w:tcPr>
          <w:p>
            <w:pPr>
              <w:spacing w:after="0"/>
              <w:rPr>
                <w:sz w:val="8"/>
                <w:szCs w:val="8"/>
                <w:color w:val="auto"/>
              </w:rPr>
            </w:pPr>
          </w:p>
        </w:tc>
        <w:tc>
          <w:tcPr>
            <w:tcW w:w="1300" w:type="dxa"/>
            <w:vAlign w:val="bottom"/>
            <w:tcBorders>
              <w:bottom w:val="single" w:sz="8" w:color="867F7C"/>
            </w:tcBorders>
            <w:gridSpan w:val="3"/>
            <w:shd w:val="clear" w:color="auto" w:fill="EFEBE9"/>
          </w:tcPr>
          <w:p>
            <w:pPr>
              <w:jc w:val="right"/>
              <w:ind w:right="535"/>
              <w:spacing w:after="0"/>
              <w:rPr>
                <w:sz w:val="20"/>
                <w:szCs w:val="20"/>
                <w:color w:val="auto"/>
              </w:rPr>
            </w:pPr>
            <w:r>
              <w:rPr>
                <w:rFonts w:ascii="Arial" w:cs="Arial" w:eastAsia="Arial" w:hAnsi="Arial"/>
                <w:sz w:val="9"/>
                <w:szCs w:val="9"/>
                <w:b w:val="1"/>
                <w:bCs w:val="1"/>
                <w:color w:val="867F7C"/>
              </w:rPr>
              <w:t>FY 2022</w:t>
            </w:r>
          </w:p>
        </w:tc>
        <w:tc>
          <w:tcPr>
            <w:tcW w:w="100" w:type="dxa"/>
            <w:vAlign w:val="bottom"/>
            <w:tcBorders>
              <w:bottom w:val="single" w:sz="8" w:color="EFEBE9"/>
            </w:tcBorders>
            <w:shd w:val="clear" w:color="auto" w:fill="EFEBE9"/>
          </w:tcPr>
          <w:p>
            <w:pPr>
              <w:spacing w:after="0"/>
              <w:rPr>
                <w:sz w:val="8"/>
                <w:szCs w:val="8"/>
                <w:color w:val="auto"/>
              </w:rPr>
            </w:pPr>
          </w:p>
        </w:tc>
        <w:tc>
          <w:tcPr>
            <w:tcW w:w="80" w:type="dxa"/>
            <w:vAlign w:val="bottom"/>
            <w:tcBorders>
              <w:bottom w:val="single" w:sz="8" w:color="867F7C"/>
            </w:tcBorders>
            <w:shd w:val="clear" w:color="auto" w:fill="EFEBE9"/>
          </w:tcPr>
          <w:p>
            <w:pPr>
              <w:spacing w:after="0"/>
              <w:rPr>
                <w:sz w:val="8"/>
                <w:szCs w:val="8"/>
                <w:color w:val="auto"/>
              </w:rPr>
            </w:pPr>
          </w:p>
        </w:tc>
        <w:tc>
          <w:tcPr>
            <w:tcW w:w="1320" w:type="dxa"/>
            <w:vAlign w:val="bottom"/>
            <w:tcBorders>
              <w:bottom w:val="single" w:sz="8" w:color="867F7C"/>
            </w:tcBorders>
            <w:gridSpan w:val="3"/>
            <w:shd w:val="clear" w:color="auto" w:fill="EFEBE9"/>
          </w:tcPr>
          <w:p>
            <w:pPr>
              <w:jc w:val="right"/>
              <w:ind w:right="535"/>
              <w:spacing w:after="0"/>
              <w:rPr>
                <w:sz w:val="20"/>
                <w:szCs w:val="20"/>
                <w:color w:val="auto"/>
              </w:rPr>
            </w:pPr>
            <w:r>
              <w:rPr>
                <w:rFonts w:ascii="Arial" w:cs="Arial" w:eastAsia="Arial" w:hAnsi="Arial"/>
                <w:sz w:val="9"/>
                <w:szCs w:val="9"/>
                <w:b w:val="1"/>
                <w:bCs w:val="1"/>
                <w:color w:val="867F7C"/>
              </w:rPr>
              <w:t>FY 2023</w:t>
            </w:r>
          </w:p>
        </w:tc>
        <w:tc>
          <w:tcPr>
            <w:tcW w:w="80" w:type="dxa"/>
            <w:vAlign w:val="bottom"/>
            <w:tcBorders>
              <w:bottom w:val="single" w:sz="8" w:color="EFEBE9"/>
            </w:tcBorders>
            <w:shd w:val="clear" w:color="auto" w:fill="EFEBE9"/>
          </w:tcPr>
          <w:p>
            <w:pPr>
              <w:spacing w:after="0"/>
              <w:rPr>
                <w:sz w:val="8"/>
                <w:szCs w:val="8"/>
                <w:color w:val="auto"/>
              </w:rPr>
            </w:pPr>
          </w:p>
        </w:tc>
        <w:tc>
          <w:tcPr>
            <w:tcW w:w="80" w:type="dxa"/>
            <w:vAlign w:val="bottom"/>
            <w:tcBorders>
              <w:bottom w:val="single" w:sz="8" w:color="867F7C"/>
            </w:tcBorders>
            <w:shd w:val="clear" w:color="auto" w:fill="EFEBE9"/>
          </w:tcPr>
          <w:p>
            <w:pPr>
              <w:spacing w:after="0"/>
              <w:rPr>
                <w:sz w:val="8"/>
                <w:szCs w:val="8"/>
                <w:color w:val="auto"/>
              </w:rPr>
            </w:pPr>
          </w:p>
        </w:tc>
        <w:tc>
          <w:tcPr>
            <w:tcW w:w="720" w:type="dxa"/>
            <w:vAlign w:val="bottom"/>
            <w:tcBorders>
              <w:bottom w:val="single" w:sz="8" w:color="867F7C"/>
            </w:tcBorders>
            <w:gridSpan w:val="2"/>
            <w:shd w:val="clear" w:color="auto" w:fill="EFEBE9"/>
          </w:tcPr>
          <w:p>
            <w:pPr>
              <w:jc w:val="right"/>
              <w:spacing w:after="0"/>
              <w:rPr>
                <w:sz w:val="20"/>
                <w:szCs w:val="20"/>
                <w:color w:val="auto"/>
              </w:rPr>
            </w:pPr>
            <w:r>
              <w:rPr>
                <w:rFonts w:ascii="Arial" w:cs="Arial" w:eastAsia="Arial" w:hAnsi="Arial"/>
                <w:sz w:val="9"/>
                <w:szCs w:val="9"/>
                <w:b w:val="1"/>
                <w:bCs w:val="1"/>
                <w:color w:val="867F7C"/>
              </w:rPr>
              <w:t>FY 2024</w:t>
            </w:r>
          </w:p>
        </w:tc>
        <w:tc>
          <w:tcPr>
            <w:tcW w:w="500" w:type="dxa"/>
            <w:vAlign w:val="bottom"/>
            <w:tcBorders>
              <w:bottom w:val="single" w:sz="8" w:color="867F7C"/>
            </w:tcBorders>
            <w:shd w:val="clear" w:color="auto" w:fill="EFEBE9"/>
          </w:tcPr>
          <w:p>
            <w:pPr>
              <w:spacing w:after="0"/>
              <w:rPr>
                <w:sz w:val="8"/>
                <w:szCs w:val="8"/>
                <w:color w:val="auto"/>
              </w:rPr>
            </w:pPr>
          </w:p>
        </w:tc>
        <w:tc>
          <w:tcPr>
            <w:tcW w:w="160" w:type="dxa"/>
            <w:vAlign w:val="bottom"/>
            <w:tcBorders>
              <w:bottom w:val="single" w:sz="8" w:color="EFEBE9"/>
              <w:right w:val="single" w:sz="8" w:color="EFEBE9"/>
            </w:tcBorders>
            <w:shd w:val="clear" w:color="auto" w:fill="EFEBE9"/>
          </w:tcPr>
          <w:p>
            <w:pPr>
              <w:spacing w:after="0"/>
              <w:rPr>
                <w:sz w:val="8"/>
                <w:szCs w:val="8"/>
                <w:color w:val="auto"/>
              </w:rPr>
            </w:pPr>
          </w:p>
        </w:tc>
        <w:tc>
          <w:tcPr>
            <w:tcW w:w="80" w:type="dxa"/>
            <w:vAlign w:val="bottom"/>
            <w:tcBorders>
              <w:bottom w:val="single" w:sz="8" w:color="867F7C"/>
            </w:tcBorders>
            <w:shd w:val="clear" w:color="auto" w:fill="EFEBE9"/>
          </w:tcPr>
          <w:p>
            <w:pPr>
              <w:spacing w:after="0"/>
              <w:rPr>
                <w:sz w:val="8"/>
                <w:szCs w:val="8"/>
                <w:color w:val="auto"/>
              </w:rPr>
            </w:pPr>
          </w:p>
        </w:tc>
        <w:tc>
          <w:tcPr>
            <w:tcW w:w="1300" w:type="dxa"/>
            <w:vAlign w:val="bottom"/>
            <w:tcBorders>
              <w:bottom w:val="single" w:sz="8" w:color="867F7C"/>
              <w:right w:val="single" w:sz="8" w:color="EFEBE9"/>
            </w:tcBorders>
            <w:gridSpan w:val="4"/>
            <w:shd w:val="clear" w:color="auto" w:fill="EFEBE9"/>
          </w:tcPr>
          <w:p>
            <w:pPr>
              <w:jc w:val="right"/>
              <w:ind w:right="515"/>
              <w:spacing w:after="0"/>
              <w:rPr>
                <w:sz w:val="20"/>
                <w:szCs w:val="20"/>
                <w:color w:val="auto"/>
              </w:rPr>
            </w:pPr>
            <w:r>
              <w:rPr>
                <w:rFonts w:ascii="Arial" w:cs="Arial" w:eastAsia="Arial" w:hAnsi="Arial"/>
                <w:sz w:val="9"/>
                <w:szCs w:val="9"/>
                <w:b w:val="1"/>
                <w:bCs w:val="1"/>
                <w:color w:val="867F7C"/>
              </w:rPr>
              <w:t>FY 2025</w:t>
            </w:r>
          </w:p>
        </w:tc>
        <w:tc>
          <w:tcPr>
            <w:tcW w:w="0" w:type="dxa"/>
            <w:vAlign w:val="bottom"/>
          </w:tcPr>
          <w:p>
            <w:pPr>
              <w:spacing w:after="0"/>
              <w:rPr>
                <w:sz w:val="1"/>
                <w:szCs w:val="1"/>
                <w:color w:val="auto"/>
              </w:rPr>
            </w:pPr>
          </w:p>
        </w:tc>
      </w:tr>
      <w:tr>
        <w:trPr>
          <w:trHeight w:val="88"/>
        </w:trPr>
        <w:tc>
          <w:tcPr>
            <w:tcW w:w="1700" w:type="dxa"/>
            <w:vAlign w:val="bottom"/>
            <w:vMerge w:val="restart"/>
            <w:shd w:val="clear" w:color="auto" w:fill="EFEBE9"/>
          </w:tcPr>
          <w:p>
            <w:pPr>
              <w:ind w:left="80"/>
              <w:spacing w:after="0"/>
              <w:rPr>
                <w:sz w:val="20"/>
                <w:szCs w:val="20"/>
                <w:color w:val="auto"/>
              </w:rPr>
            </w:pPr>
            <w:r>
              <w:rPr>
                <w:rFonts w:ascii="Arial" w:cs="Arial" w:eastAsia="Arial" w:hAnsi="Arial"/>
                <w:sz w:val="9"/>
                <w:szCs w:val="9"/>
                <w:b w:val="1"/>
                <w:bCs w:val="1"/>
                <w:color w:val="867F7C"/>
              </w:rPr>
              <w:t>Adjustments</w:t>
            </w:r>
          </w:p>
        </w:tc>
        <w:tc>
          <w:tcPr>
            <w:tcW w:w="140" w:type="dxa"/>
            <w:vAlign w:val="bottom"/>
            <w:shd w:val="clear" w:color="auto" w:fill="EFEBE9"/>
          </w:tcPr>
          <w:p>
            <w:pPr>
              <w:spacing w:after="0"/>
              <w:rPr>
                <w:sz w:val="7"/>
                <w:szCs w:val="7"/>
                <w:color w:val="auto"/>
              </w:rPr>
            </w:pPr>
          </w:p>
        </w:tc>
        <w:tc>
          <w:tcPr>
            <w:tcW w:w="100" w:type="dxa"/>
            <w:vAlign w:val="bottom"/>
            <w:shd w:val="clear" w:color="auto" w:fill="EFEBE9"/>
          </w:tcPr>
          <w:p>
            <w:pPr>
              <w:spacing w:after="0"/>
              <w:rPr>
                <w:sz w:val="7"/>
                <w:szCs w:val="7"/>
                <w:color w:val="auto"/>
              </w:rPr>
            </w:pPr>
          </w:p>
        </w:tc>
        <w:tc>
          <w:tcPr>
            <w:tcW w:w="560" w:type="dxa"/>
            <w:vAlign w:val="bottom"/>
            <w:vMerge w:val="restart"/>
            <w:shd w:val="clear" w:color="auto" w:fill="EFEBE9"/>
          </w:tcPr>
          <w:p>
            <w:pPr>
              <w:jc w:val="right"/>
              <w:ind w:right="235"/>
              <w:spacing w:after="0"/>
              <w:rPr>
                <w:sz w:val="20"/>
                <w:szCs w:val="20"/>
                <w:color w:val="auto"/>
              </w:rPr>
            </w:pPr>
            <w:r>
              <w:rPr>
                <w:rFonts w:ascii="Arial" w:cs="Arial" w:eastAsia="Arial" w:hAnsi="Arial"/>
                <w:sz w:val="9"/>
                <w:szCs w:val="9"/>
                <w:b w:val="1"/>
                <w:bCs w:val="1"/>
                <w:color w:val="867F7C"/>
              </w:rPr>
              <w:t>PEO</w:t>
            </w:r>
          </w:p>
        </w:tc>
        <w:tc>
          <w:tcPr>
            <w:tcW w:w="80" w:type="dxa"/>
            <w:vAlign w:val="bottom"/>
            <w:shd w:val="clear" w:color="auto" w:fill="EFEBE9"/>
          </w:tcPr>
          <w:p>
            <w:pPr>
              <w:spacing w:after="0"/>
              <w:rPr>
                <w:sz w:val="7"/>
                <w:szCs w:val="7"/>
                <w:color w:val="auto"/>
              </w:rPr>
            </w:pPr>
          </w:p>
        </w:tc>
        <w:tc>
          <w:tcPr>
            <w:tcW w:w="600" w:type="dxa"/>
            <w:vAlign w:val="bottom"/>
            <w:shd w:val="clear" w:color="auto" w:fill="EFEBE9"/>
          </w:tcPr>
          <w:p>
            <w:pPr>
              <w:jc w:val="right"/>
              <w:ind w:right="135"/>
              <w:spacing w:after="0" w:line="88" w:lineRule="exact"/>
              <w:rPr>
                <w:sz w:val="20"/>
                <w:szCs w:val="20"/>
                <w:color w:val="auto"/>
              </w:rPr>
            </w:pPr>
            <w:r>
              <w:rPr>
                <w:rFonts w:ascii="Arial" w:cs="Arial" w:eastAsia="Arial" w:hAnsi="Arial"/>
                <w:sz w:val="9"/>
                <w:szCs w:val="9"/>
                <w:b w:val="1"/>
                <w:bCs w:val="1"/>
                <w:color w:val="867F7C"/>
                <w:w w:val="96"/>
              </w:rPr>
              <w:t>Avg. non-</w:t>
            </w:r>
          </w:p>
        </w:tc>
        <w:tc>
          <w:tcPr>
            <w:tcW w:w="100" w:type="dxa"/>
            <w:vAlign w:val="bottom"/>
            <w:shd w:val="clear" w:color="auto" w:fill="EFEBE9"/>
          </w:tcPr>
          <w:p>
            <w:pPr>
              <w:spacing w:after="0"/>
              <w:rPr>
                <w:sz w:val="7"/>
                <w:szCs w:val="7"/>
                <w:color w:val="auto"/>
              </w:rPr>
            </w:pPr>
          </w:p>
        </w:tc>
        <w:tc>
          <w:tcPr>
            <w:tcW w:w="80" w:type="dxa"/>
            <w:vAlign w:val="bottom"/>
            <w:shd w:val="clear" w:color="auto" w:fill="EFEBE9"/>
          </w:tcPr>
          <w:p>
            <w:pPr>
              <w:spacing w:after="0"/>
              <w:rPr>
                <w:sz w:val="7"/>
                <w:szCs w:val="7"/>
                <w:color w:val="auto"/>
              </w:rPr>
            </w:pPr>
          </w:p>
        </w:tc>
        <w:tc>
          <w:tcPr>
            <w:tcW w:w="580" w:type="dxa"/>
            <w:vAlign w:val="bottom"/>
            <w:vMerge w:val="restart"/>
            <w:shd w:val="clear" w:color="auto" w:fill="EFEBE9"/>
          </w:tcPr>
          <w:p>
            <w:pPr>
              <w:jc w:val="right"/>
              <w:ind w:right="255"/>
              <w:spacing w:after="0"/>
              <w:rPr>
                <w:sz w:val="20"/>
                <w:szCs w:val="20"/>
                <w:color w:val="auto"/>
              </w:rPr>
            </w:pPr>
            <w:r>
              <w:rPr>
                <w:rFonts w:ascii="Arial" w:cs="Arial" w:eastAsia="Arial" w:hAnsi="Arial"/>
                <w:sz w:val="9"/>
                <w:szCs w:val="9"/>
                <w:b w:val="1"/>
                <w:bCs w:val="1"/>
                <w:color w:val="867F7C"/>
              </w:rPr>
              <w:t>PEO</w:t>
            </w:r>
          </w:p>
        </w:tc>
        <w:tc>
          <w:tcPr>
            <w:tcW w:w="140" w:type="dxa"/>
            <w:vAlign w:val="bottom"/>
            <w:shd w:val="clear" w:color="auto" w:fill="EFEBE9"/>
          </w:tcPr>
          <w:p>
            <w:pPr>
              <w:spacing w:after="0"/>
              <w:rPr>
                <w:sz w:val="7"/>
                <w:szCs w:val="7"/>
                <w:color w:val="auto"/>
              </w:rPr>
            </w:pPr>
          </w:p>
        </w:tc>
        <w:tc>
          <w:tcPr>
            <w:tcW w:w="580" w:type="dxa"/>
            <w:vAlign w:val="bottom"/>
            <w:shd w:val="clear" w:color="auto" w:fill="EFEBE9"/>
          </w:tcPr>
          <w:p>
            <w:pPr>
              <w:jc w:val="right"/>
              <w:ind w:right="115"/>
              <w:spacing w:after="0" w:line="88" w:lineRule="exact"/>
              <w:rPr>
                <w:sz w:val="20"/>
                <w:szCs w:val="20"/>
                <w:color w:val="auto"/>
              </w:rPr>
            </w:pPr>
            <w:r>
              <w:rPr>
                <w:rFonts w:ascii="Arial" w:cs="Arial" w:eastAsia="Arial" w:hAnsi="Arial"/>
                <w:sz w:val="9"/>
                <w:szCs w:val="9"/>
                <w:b w:val="1"/>
                <w:bCs w:val="1"/>
                <w:color w:val="867F7C"/>
                <w:w w:val="96"/>
              </w:rPr>
              <w:t>Avg. non-</w:t>
            </w:r>
          </w:p>
        </w:tc>
        <w:tc>
          <w:tcPr>
            <w:tcW w:w="100" w:type="dxa"/>
            <w:vAlign w:val="bottom"/>
            <w:shd w:val="clear" w:color="auto" w:fill="EFEBE9"/>
          </w:tcPr>
          <w:p>
            <w:pPr>
              <w:spacing w:after="0"/>
              <w:rPr>
                <w:sz w:val="7"/>
                <w:szCs w:val="7"/>
                <w:color w:val="auto"/>
              </w:rPr>
            </w:pPr>
          </w:p>
        </w:tc>
        <w:tc>
          <w:tcPr>
            <w:tcW w:w="80" w:type="dxa"/>
            <w:vAlign w:val="bottom"/>
            <w:shd w:val="clear" w:color="auto" w:fill="EFEBE9"/>
          </w:tcPr>
          <w:p>
            <w:pPr>
              <w:spacing w:after="0"/>
              <w:rPr>
                <w:sz w:val="7"/>
                <w:szCs w:val="7"/>
                <w:color w:val="auto"/>
              </w:rPr>
            </w:pPr>
          </w:p>
        </w:tc>
        <w:tc>
          <w:tcPr>
            <w:tcW w:w="580" w:type="dxa"/>
            <w:vAlign w:val="bottom"/>
            <w:vMerge w:val="restart"/>
            <w:shd w:val="clear" w:color="auto" w:fill="EFEBE9"/>
          </w:tcPr>
          <w:p>
            <w:pPr>
              <w:jc w:val="right"/>
              <w:ind w:right="255"/>
              <w:spacing w:after="0"/>
              <w:rPr>
                <w:sz w:val="20"/>
                <w:szCs w:val="20"/>
                <w:color w:val="auto"/>
              </w:rPr>
            </w:pPr>
            <w:r>
              <w:rPr>
                <w:rFonts w:ascii="Arial" w:cs="Arial" w:eastAsia="Arial" w:hAnsi="Arial"/>
                <w:sz w:val="9"/>
                <w:szCs w:val="9"/>
                <w:b w:val="1"/>
                <w:bCs w:val="1"/>
                <w:color w:val="867F7C"/>
              </w:rPr>
              <w:t>PEO</w:t>
            </w:r>
          </w:p>
        </w:tc>
        <w:tc>
          <w:tcPr>
            <w:tcW w:w="140" w:type="dxa"/>
            <w:vAlign w:val="bottom"/>
            <w:shd w:val="clear" w:color="auto" w:fill="EFEBE9"/>
          </w:tcPr>
          <w:p>
            <w:pPr>
              <w:spacing w:after="0"/>
              <w:rPr>
                <w:sz w:val="7"/>
                <w:szCs w:val="7"/>
                <w:color w:val="auto"/>
              </w:rPr>
            </w:pPr>
          </w:p>
        </w:tc>
        <w:tc>
          <w:tcPr>
            <w:tcW w:w="600" w:type="dxa"/>
            <w:vAlign w:val="bottom"/>
            <w:shd w:val="clear" w:color="auto" w:fill="EFEBE9"/>
          </w:tcPr>
          <w:p>
            <w:pPr>
              <w:jc w:val="right"/>
              <w:ind w:right="115"/>
              <w:spacing w:after="0" w:line="88" w:lineRule="exact"/>
              <w:rPr>
                <w:sz w:val="20"/>
                <w:szCs w:val="20"/>
                <w:color w:val="auto"/>
              </w:rPr>
            </w:pPr>
            <w:r>
              <w:rPr>
                <w:rFonts w:ascii="Arial" w:cs="Arial" w:eastAsia="Arial" w:hAnsi="Arial"/>
                <w:sz w:val="9"/>
                <w:szCs w:val="9"/>
                <w:b w:val="1"/>
                <w:bCs w:val="1"/>
                <w:color w:val="867F7C"/>
              </w:rPr>
              <w:t>Avg. non-</w:t>
            </w:r>
          </w:p>
        </w:tc>
        <w:tc>
          <w:tcPr>
            <w:tcW w:w="80" w:type="dxa"/>
            <w:vAlign w:val="bottom"/>
            <w:shd w:val="clear" w:color="auto" w:fill="EFEBE9"/>
          </w:tcPr>
          <w:p>
            <w:pPr>
              <w:spacing w:after="0"/>
              <w:rPr>
                <w:sz w:val="7"/>
                <w:szCs w:val="7"/>
                <w:color w:val="auto"/>
              </w:rPr>
            </w:pPr>
          </w:p>
        </w:tc>
        <w:tc>
          <w:tcPr>
            <w:tcW w:w="80" w:type="dxa"/>
            <w:vAlign w:val="bottom"/>
            <w:shd w:val="clear" w:color="auto" w:fill="EFEBE9"/>
          </w:tcPr>
          <w:p>
            <w:pPr>
              <w:spacing w:after="0"/>
              <w:rPr>
                <w:sz w:val="7"/>
                <w:szCs w:val="7"/>
                <w:color w:val="auto"/>
              </w:rPr>
            </w:pPr>
          </w:p>
        </w:tc>
        <w:tc>
          <w:tcPr>
            <w:tcW w:w="580" w:type="dxa"/>
            <w:vAlign w:val="bottom"/>
            <w:vMerge w:val="restart"/>
            <w:shd w:val="clear" w:color="auto" w:fill="EFEBE9"/>
          </w:tcPr>
          <w:p>
            <w:pPr>
              <w:jc w:val="right"/>
              <w:ind w:right="235"/>
              <w:spacing w:after="0"/>
              <w:rPr>
                <w:sz w:val="20"/>
                <w:szCs w:val="20"/>
                <w:color w:val="auto"/>
              </w:rPr>
            </w:pPr>
            <w:r>
              <w:rPr>
                <w:rFonts w:ascii="Arial" w:cs="Arial" w:eastAsia="Arial" w:hAnsi="Arial"/>
                <w:sz w:val="9"/>
                <w:szCs w:val="9"/>
                <w:b w:val="1"/>
                <w:bCs w:val="1"/>
                <w:color w:val="867F7C"/>
              </w:rPr>
              <w:t>PEO</w:t>
            </w:r>
          </w:p>
        </w:tc>
        <w:tc>
          <w:tcPr>
            <w:tcW w:w="640" w:type="dxa"/>
            <w:vAlign w:val="bottom"/>
            <w:gridSpan w:val="2"/>
            <w:shd w:val="clear" w:color="auto" w:fill="EFEBE9"/>
          </w:tcPr>
          <w:p>
            <w:pPr>
              <w:jc w:val="right"/>
              <w:ind w:right="75"/>
              <w:spacing w:after="0" w:line="88" w:lineRule="exact"/>
              <w:rPr>
                <w:sz w:val="20"/>
                <w:szCs w:val="20"/>
                <w:color w:val="auto"/>
              </w:rPr>
            </w:pPr>
            <w:r>
              <w:rPr>
                <w:rFonts w:ascii="Arial" w:cs="Arial" w:eastAsia="Arial" w:hAnsi="Arial"/>
                <w:sz w:val="9"/>
                <w:szCs w:val="9"/>
                <w:b w:val="1"/>
                <w:bCs w:val="1"/>
                <w:color w:val="867F7C"/>
              </w:rPr>
              <w:t>Avg. non-</w:t>
            </w:r>
          </w:p>
        </w:tc>
        <w:tc>
          <w:tcPr>
            <w:tcW w:w="160" w:type="dxa"/>
            <w:vAlign w:val="bottom"/>
            <w:tcBorders>
              <w:right w:val="single" w:sz="8" w:color="EFEBE9"/>
            </w:tcBorders>
            <w:shd w:val="clear" w:color="auto" w:fill="EFEBE9"/>
          </w:tcPr>
          <w:p>
            <w:pPr>
              <w:spacing w:after="0"/>
              <w:rPr>
                <w:sz w:val="7"/>
                <w:szCs w:val="7"/>
                <w:color w:val="auto"/>
              </w:rPr>
            </w:pPr>
          </w:p>
        </w:tc>
        <w:tc>
          <w:tcPr>
            <w:tcW w:w="80" w:type="dxa"/>
            <w:vAlign w:val="bottom"/>
            <w:shd w:val="clear" w:color="auto" w:fill="EFEBE9"/>
          </w:tcPr>
          <w:p>
            <w:pPr>
              <w:spacing w:after="0"/>
              <w:rPr>
                <w:sz w:val="7"/>
                <w:szCs w:val="7"/>
                <w:color w:val="auto"/>
              </w:rPr>
            </w:pPr>
          </w:p>
        </w:tc>
        <w:tc>
          <w:tcPr>
            <w:tcW w:w="540" w:type="dxa"/>
            <w:vAlign w:val="bottom"/>
            <w:vMerge w:val="restart"/>
            <w:shd w:val="clear" w:color="auto" w:fill="EFEBE9"/>
          </w:tcPr>
          <w:p>
            <w:pPr>
              <w:jc w:val="right"/>
              <w:ind w:right="215"/>
              <w:spacing w:after="0"/>
              <w:rPr>
                <w:sz w:val="20"/>
                <w:szCs w:val="20"/>
                <w:color w:val="auto"/>
              </w:rPr>
            </w:pPr>
            <w:r>
              <w:rPr>
                <w:rFonts w:ascii="Arial" w:cs="Arial" w:eastAsia="Arial" w:hAnsi="Arial"/>
                <w:sz w:val="9"/>
                <w:szCs w:val="9"/>
                <w:b w:val="1"/>
                <w:bCs w:val="1"/>
                <w:color w:val="867F7C"/>
              </w:rPr>
              <w:t>PEO</w:t>
            </w:r>
          </w:p>
        </w:tc>
        <w:tc>
          <w:tcPr>
            <w:tcW w:w="80" w:type="dxa"/>
            <w:vAlign w:val="bottom"/>
            <w:shd w:val="clear" w:color="auto" w:fill="EFEBE9"/>
          </w:tcPr>
          <w:p>
            <w:pPr>
              <w:spacing w:after="0"/>
              <w:rPr>
                <w:sz w:val="7"/>
                <w:szCs w:val="7"/>
                <w:color w:val="auto"/>
              </w:rPr>
            </w:pPr>
          </w:p>
        </w:tc>
        <w:tc>
          <w:tcPr>
            <w:tcW w:w="60" w:type="dxa"/>
            <w:vAlign w:val="bottom"/>
            <w:shd w:val="clear" w:color="auto" w:fill="EFEBE9"/>
          </w:tcPr>
          <w:p>
            <w:pPr>
              <w:spacing w:after="0"/>
              <w:rPr>
                <w:sz w:val="7"/>
                <w:szCs w:val="7"/>
                <w:color w:val="auto"/>
              </w:rPr>
            </w:pPr>
          </w:p>
        </w:tc>
        <w:tc>
          <w:tcPr>
            <w:tcW w:w="620" w:type="dxa"/>
            <w:vAlign w:val="bottom"/>
            <w:tcBorders>
              <w:right w:val="single" w:sz="8" w:color="EFEBE9"/>
            </w:tcBorders>
            <w:shd w:val="clear" w:color="auto" w:fill="EFEBE9"/>
          </w:tcPr>
          <w:p>
            <w:pPr>
              <w:jc w:val="right"/>
              <w:ind w:right="135"/>
              <w:spacing w:after="0" w:line="88" w:lineRule="exact"/>
              <w:rPr>
                <w:sz w:val="20"/>
                <w:szCs w:val="20"/>
                <w:color w:val="auto"/>
              </w:rPr>
            </w:pPr>
            <w:r>
              <w:rPr>
                <w:rFonts w:ascii="Arial" w:cs="Arial" w:eastAsia="Arial" w:hAnsi="Arial"/>
                <w:sz w:val="9"/>
                <w:szCs w:val="9"/>
                <w:b w:val="1"/>
                <w:bCs w:val="1"/>
                <w:color w:val="867F7C"/>
              </w:rPr>
              <w:t>Avg. non-</w:t>
            </w:r>
          </w:p>
        </w:tc>
        <w:tc>
          <w:tcPr>
            <w:tcW w:w="0" w:type="dxa"/>
            <w:vAlign w:val="bottom"/>
          </w:tcPr>
          <w:p>
            <w:pPr>
              <w:spacing w:after="0"/>
              <w:rPr>
                <w:sz w:val="1"/>
                <w:szCs w:val="1"/>
                <w:color w:val="auto"/>
              </w:rPr>
            </w:pPr>
          </w:p>
        </w:tc>
      </w:tr>
      <w:tr>
        <w:trPr>
          <w:trHeight w:val="94"/>
        </w:trPr>
        <w:tc>
          <w:tcPr>
            <w:tcW w:w="1700" w:type="dxa"/>
            <w:vAlign w:val="bottom"/>
            <w:tcBorders>
              <w:bottom w:val="single" w:sz="8" w:color="EFEBE9"/>
            </w:tcBorders>
            <w:vMerge w:val="continue"/>
            <w:shd w:val="clear" w:color="auto" w:fill="EFEBE9"/>
          </w:tcPr>
          <w:p>
            <w:pPr>
              <w:spacing w:after="0"/>
              <w:rPr>
                <w:sz w:val="8"/>
                <w:szCs w:val="8"/>
                <w:color w:val="auto"/>
              </w:rPr>
            </w:pPr>
          </w:p>
        </w:tc>
        <w:tc>
          <w:tcPr>
            <w:tcW w:w="140" w:type="dxa"/>
            <w:vAlign w:val="bottom"/>
            <w:tcBorders>
              <w:bottom w:val="single" w:sz="8" w:color="EFEBE9"/>
            </w:tcBorders>
            <w:shd w:val="clear" w:color="auto" w:fill="EFEBE9"/>
          </w:tcPr>
          <w:p>
            <w:pPr>
              <w:spacing w:after="0"/>
              <w:rPr>
                <w:sz w:val="8"/>
                <w:szCs w:val="8"/>
                <w:color w:val="auto"/>
              </w:rPr>
            </w:pPr>
          </w:p>
        </w:tc>
        <w:tc>
          <w:tcPr>
            <w:tcW w:w="100" w:type="dxa"/>
            <w:vAlign w:val="bottom"/>
            <w:tcBorders>
              <w:bottom w:val="single" w:sz="8" w:color="EFEBE9"/>
            </w:tcBorders>
            <w:shd w:val="clear" w:color="auto" w:fill="EFEBE9"/>
          </w:tcPr>
          <w:p>
            <w:pPr>
              <w:spacing w:after="0"/>
              <w:rPr>
                <w:sz w:val="8"/>
                <w:szCs w:val="8"/>
                <w:color w:val="auto"/>
              </w:rPr>
            </w:pPr>
          </w:p>
        </w:tc>
        <w:tc>
          <w:tcPr>
            <w:tcW w:w="560" w:type="dxa"/>
            <w:vAlign w:val="bottom"/>
            <w:tcBorders>
              <w:bottom w:val="single" w:sz="8" w:color="EFEBE9"/>
            </w:tcBorders>
            <w:vMerge w:val="continue"/>
            <w:shd w:val="clear" w:color="auto" w:fill="EFEBE9"/>
          </w:tcPr>
          <w:p>
            <w:pPr>
              <w:spacing w:after="0"/>
              <w:rPr>
                <w:sz w:val="8"/>
                <w:szCs w:val="8"/>
                <w:color w:val="auto"/>
              </w:rPr>
            </w:pPr>
          </w:p>
        </w:tc>
        <w:tc>
          <w:tcPr>
            <w:tcW w:w="80" w:type="dxa"/>
            <w:vAlign w:val="bottom"/>
            <w:tcBorders>
              <w:bottom w:val="single" w:sz="8" w:color="EFEBE9"/>
            </w:tcBorders>
            <w:shd w:val="clear" w:color="auto" w:fill="EFEBE9"/>
          </w:tcPr>
          <w:p>
            <w:pPr>
              <w:spacing w:after="0"/>
              <w:rPr>
                <w:sz w:val="8"/>
                <w:szCs w:val="8"/>
                <w:color w:val="auto"/>
              </w:rPr>
            </w:pPr>
          </w:p>
        </w:tc>
        <w:tc>
          <w:tcPr>
            <w:tcW w:w="600" w:type="dxa"/>
            <w:vAlign w:val="bottom"/>
            <w:tcBorders>
              <w:bottom w:val="single" w:sz="8" w:color="EFEBE9"/>
            </w:tcBorders>
            <w:shd w:val="clear" w:color="auto" w:fill="EFEBE9"/>
          </w:tcPr>
          <w:p>
            <w:pPr>
              <w:jc w:val="right"/>
              <w:ind w:right="135"/>
              <w:spacing w:after="0" w:line="75" w:lineRule="exact"/>
              <w:rPr>
                <w:sz w:val="20"/>
                <w:szCs w:val="20"/>
                <w:color w:val="auto"/>
              </w:rPr>
            </w:pPr>
            <w:r>
              <w:rPr>
                <w:rFonts w:ascii="Arial" w:cs="Arial" w:eastAsia="Arial" w:hAnsi="Arial"/>
                <w:sz w:val="8"/>
                <w:szCs w:val="8"/>
                <w:b w:val="1"/>
                <w:bCs w:val="1"/>
                <w:color w:val="867F7C"/>
              </w:rPr>
              <w:t>PEO NEO</w:t>
            </w:r>
          </w:p>
        </w:tc>
        <w:tc>
          <w:tcPr>
            <w:tcW w:w="100" w:type="dxa"/>
            <w:vAlign w:val="bottom"/>
            <w:tcBorders>
              <w:bottom w:val="single" w:sz="8" w:color="EFEBE9"/>
            </w:tcBorders>
            <w:shd w:val="clear" w:color="auto" w:fill="EFEBE9"/>
          </w:tcPr>
          <w:p>
            <w:pPr>
              <w:spacing w:after="0"/>
              <w:rPr>
                <w:sz w:val="8"/>
                <w:szCs w:val="8"/>
                <w:color w:val="auto"/>
              </w:rPr>
            </w:pPr>
          </w:p>
        </w:tc>
        <w:tc>
          <w:tcPr>
            <w:tcW w:w="80" w:type="dxa"/>
            <w:vAlign w:val="bottom"/>
            <w:tcBorders>
              <w:bottom w:val="single" w:sz="8" w:color="EFEBE9"/>
            </w:tcBorders>
            <w:shd w:val="clear" w:color="auto" w:fill="EFEBE9"/>
          </w:tcPr>
          <w:p>
            <w:pPr>
              <w:spacing w:after="0"/>
              <w:rPr>
                <w:sz w:val="8"/>
                <w:szCs w:val="8"/>
                <w:color w:val="auto"/>
              </w:rPr>
            </w:pPr>
          </w:p>
        </w:tc>
        <w:tc>
          <w:tcPr>
            <w:tcW w:w="580" w:type="dxa"/>
            <w:vAlign w:val="bottom"/>
            <w:tcBorders>
              <w:bottom w:val="single" w:sz="8" w:color="EFEBE9"/>
            </w:tcBorders>
            <w:vMerge w:val="continue"/>
            <w:shd w:val="clear" w:color="auto" w:fill="EFEBE9"/>
          </w:tcPr>
          <w:p>
            <w:pPr>
              <w:spacing w:after="0"/>
              <w:rPr>
                <w:sz w:val="8"/>
                <w:szCs w:val="8"/>
                <w:color w:val="auto"/>
              </w:rPr>
            </w:pPr>
          </w:p>
        </w:tc>
        <w:tc>
          <w:tcPr>
            <w:tcW w:w="140" w:type="dxa"/>
            <w:vAlign w:val="bottom"/>
            <w:tcBorders>
              <w:bottom w:val="single" w:sz="8" w:color="EFEBE9"/>
            </w:tcBorders>
            <w:shd w:val="clear" w:color="auto" w:fill="EFEBE9"/>
          </w:tcPr>
          <w:p>
            <w:pPr>
              <w:spacing w:after="0"/>
              <w:rPr>
                <w:sz w:val="8"/>
                <w:szCs w:val="8"/>
                <w:color w:val="auto"/>
              </w:rPr>
            </w:pPr>
          </w:p>
        </w:tc>
        <w:tc>
          <w:tcPr>
            <w:tcW w:w="580" w:type="dxa"/>
            <w:vAlign w:val="bottom"/>
            <w:tcBorders>
              <w:bottom w:val="single" w:sz="8" w:color="EFEBE9"/>
            </w:tcBorders>
            <w:shd w:val="clear" w:color="auto" w:fill="EFEBE9"/>
          </w:tcPr>
          <w:p>
            <w:pPr>
              <w:jc w:val="right"/>
              <w:ind w:right="115"/>
              <w:spacing w:after="0" w:line="75" w:lineRule="exact"/>
              <w:rPr>
                <w:sz w:val="20"/>
                <w:szCs w:val="20"/>
                <w:color w:val="auto"/>
              </w:rPr>
            </w:pPr>
            <w:r>
              <w:rPr>
                <w:rFonts w:ascii="Arial" w:cs="Arial" w:eastAsia="Arial" w:hAnsi="Arial"/>
                <w:sz w:val="8"/>
                <w:szCs w:val="8"/>
                <w:b w:val="1"/>
                <w:bCs w:val="1"/>
                <w:color w:val="867F7C"/>
              </w:rPr>
              <w:t>PEO NEO</w:t>
            </w:r>
          </w:p>
        </w:tc>
        <w:tc>
          <w:tcPr>
            <w:tcW w:w="100" w:type="dxa"/>
            <w:vAlign w:val="bottom"/>
            <w:tcBorders>
              <w:bottom w:val="single" w:sz="8" w:color="EFEBE9"/>
            </w:tcBorders>
            <w:shd w:val="clear" w:color="auto" w:fill="EFEBE9"/>
          </w:tcPr>
          <w:p>
            <w:pPr>
              <w:spacing w:after="0"/>
              <w:rPr>
                <w:sz w:val="8"/>
                <w:szCs w:val="8"/>
                <w:color w:val="auto"/>
              </w:rPr>
            </w:pPr>
          </w:p>
        </w:tc>
        <w:tc>
          <w:tcPr>
            <w:tcW w:w="80" w:type="dxa"/>
            <w:vAlign w:val="bottom"/>
            <w:tcBorders>
              <w:bottom w:val="single" w:sz="8" w:color="EFEBE9"/>
            </w:tcBorders>
            <w:shd w:val="clear" w:color="auto" w:fill="EFEBE9"/>
          </w:tcPr>
          <w:p>
            <w:pPr>
              <w:spacing w:after="0"/>
              <w:rPr>
                <w:sz w:val="8"/>
                <w:szCs w:val="8"/>
                <w:color w:val="auto"/>
              </w:rPr>
            </w:pPr>
          </w:p>
        </w:tc>
        <w:tc>
          <w:tcPr>
            <w:tcW w:w="580" w:type="dxa"/>
            <w:vAlign w:val="bottom"/>
            <w:tcBorders>
              <w:bottom w:val="single" w:sz="8" w:color="EFEBE9"/>
            </w:tcBorders>
            <w:vMerge w:val="continue"/>
            <w:shd w:val="clear" w:color="auto" w:fill="EFEBE9"/>
          </w:tcPr>
          <w:p>
            <w:pPr>
              <w:spacing w:after="0"/>
              <w:rPr>
                <w:sz w:val="8"/>
                <w:szCs w:val="8"/>
                <w:color w:val="auto"/>
              </w:rPr>
            </w:pPr>
          </w:p>
        </w:tc>
        <w:tc>
          <w:tcPr>
            <w:tcW w:w="140" w:type="dxa"/>
            <w:vAlign w:val="bottom"/>
            <w:tcBorders>
              <w:bottom w:val="single" w:sz="8" w:color="EFEBE9"/>
            </w:tcBorders>
            <w:shd w:val="clear" w:color="auto" w:fill="EFEBE9"/>
          </w:tcPr>
          <w:p>
            <w:pPr>
              <w:spacing w:after="0"/>
              <w:rPr>
                <w:sz w:val="8"/>
                <w:szCs w:val="8"/>
                <w:color w:val="auto"/>
              </w:rPr>
            </w:pPr>
          </w:p>
        </w:tc>
        <w:tc>
          <w:tcPr>
            <w:tcW w:w="600" w:type="dxa"/>
            <w:vAlign w:val="bottom"/>
            <w:tcBorders>
              <w:bottom w:val="single" w:sz="8" w:color="EFEBE9"/>
            </w:tcBorders>
            <w:shd w:val="clear" w:color="auto" w:fill="EFEBE9"/>
          </w:tcPr>
          <w:p>
            <w:pPr>
              <w:jc w:val="right"/>
              <w:ind w:right="115"/>
              <w:spacing w:after="0" w:line="75" w:lineRule="exact"/>
              <w:rPr>
                <w:sz w:val="20"/>
                <w:szCs w:val="20"/>
                <w:color w:val="auto"/>
              </w:rPr>
            </w:pPr>
            <w:r>
              <w:rPr>
                <w:rFonts w:ascii="Arial" w:cs="Arial" w:eastAsia="Arial" w:hAnsi="Arial"/>
                <w:sz w:val="8"/>
                <w:szCs w:val="8"/>
                <w:b w:val="1"/>
                <w:bCs w:val="1"/>
                <w:color w:val="867F7C"/>
              </w:rPr>
              <w:t>PEO NEO</w:t>
            </w:r>
          </w:p>
        </w:tc>
        <w:tc>
          <w:tcPr>
            <w:tcW w:w="80" w:type="dxa"/>
            <w:vAlign w:val="bottom"/>
            <w:tcBorders>
              <w:bottom w:val="single" w:sz="8" w:color="EFEBE9"/>
            </w:tcBorders>
            <w:shd w:val="clear" w:color="auto" w:fill="EFEBE9"/>
          </w:tcPr>
          <w:p>
            <w:pPr>
              <w:spacing w:after="0"/>
              <w:rPr>
                <w:sz w:val="8"/>
                <w:szCs w:val="8"/>
                <w:color w:val="auto"/>
              </w:rPr>
            </w:pPr>
          </w:p>
        </w:tc>
        <w:tc>
          <w:tcPr>
            <w:tcW w:w="80" w:type="dxa"/>
            <w:vAlign w:val="bottom"/>
            <w:tcBorders>
              <w:bottom w:val="single" w:sz="8" w:color="EFEBE9"/>
            </w:tcBorders>
            <w:shd w:val="clear" w:color="auto" w:fill="EFEBE9"/>
          </w:tcPr>
          <w:p>
            <w:pPr>
              <w:spacing w:after="0"/>
              <w:rPr>
                <w:sz w:val="8"/>
                <w:szCs w:val="8"/>
                <w:color w:val="auto"/>
              </w:rPr>
            </w:pPr>
          </w:p>
        </w:tc>
        <w:tc>
          <w:tcPr>
            <w:tcW w:w="580" w:type="dxa"/>
            <w:vAlign w:val="bottom"/>
            <w:tcBorders>
              <w:bottom w:val="single" w:sz="8" w:color="EFEBE9"/>
            </w:tcBorders>
            <w:vMerge w:val="continue"/>
            <w:shd w:val="clear" w:color="auto" w:fill="EFEBE9"/>
          </w:tcPr>
          <w:p>
            <w:pPr>
              <w:spacing w:after="0"/>
              <w:rPr>
                <w:sz w:val="8"/>
                <w:szCs w:val="8"/>
                <w:color w:val="auto"/>
              </w:rPr>
            </w:pPr>
          </w:p>
        </w:tc>
        <w:tc>
          <w:tcPr>
            <w:tcW w:w="640" w:type="dxa"/>
            <w:vAlign w:val="bottom"/>
            <w:tcBorders>
              <w:bottom w:val="single" w:sz="8" w:color="EFEBE9"/>
            </w:tcBorders>
            <w:gridSpan w:val="2"/>
            <w:shd w:val="clear" w:color="auto" w:fill="EFEBE9"/>
          </w:tcPr>
          <w:p>
            <w:pPr>
              <w:jc w:val="right"/>
              <w:ind w:right="95"/>
              <w:spacing w:after="0" w:line="75" w:lineRule="exact"/>
              <w:rPr>
                <w:sz w:val="20"/>
                <w:szCs w:val="20"/>
                <w:color w:val="auto"/>
              </w:rPr>
            </w:pPr>
            <w:r>
              <w:rPr>
                <w:rFonts w:ascii="Arial" w:cs="Arial" w:eastAsia="Arial" w:hAnsi="Arial"/>
                <w:sz w:val="8"/>
                <w:szCs w:val="8"/>
                <w:b w:val="1"/>
                <w:bCs w:val="1"/>
                <w:color w:val="867F7C"/>
              </w:rPr>
              <w:t>PEO NEO</w:t>
            </w:r>
          </w:p>
        </w:tc>
        <w:tc>
          <w:tcPr>
            <w:tcW w:w="160" w:type="dxa"/>
            <w:vAlign w:val="bottom"/>
            <w:tcBorders>
              <w:bottom w:val="single" w:sz="8" w:color="EFEBE9"/>
              <w:right w:val="single" w:sz="8" w:color="EFEBE9"/>
            </w:tcBorders>
            <w:shd w:val="clear" w:color="auto" w:fill="EFEBE9"/>
          </w:tcPr>
          <w:p>
            <w:pPr>
              <w:spacing w:after="0"/>
              <w:rPr>
                <w:sz w:val="8"/>
                <w:szCs w:val="8"/>
                <w:color w:val="auto"/>
              </w:rPr>
            </w:pPr>
          </w:p>
        </w:tc>
        <w:tc>
          <w:tcPr>
            <w:tcW w:w="80" w:type="dxa"/>
            <w:vAlign w:val="bottom"/>
            <w:tcBorders>
              <w:bottom w:val="single" w:sz="8" w:color="867F7C"/>
            </w:tcBorders>
            <w:shd w:val="clear" w:color="auto" w:fill="EFEBE9"/>
          </w:tcPr>
          <w:p>
            <w:pPr>
              <w:spacing w:after="0"/>
              <w:rPr>
                <w:sz w:val="8"/>
                <w:szCs w:val="8"/>
                <w:color w:val="auto"/>
              </w:rPr>
            </w:pPr>
          </w:p>
        </w:tc>
        <w:tc>
          <w:tcPr>
            <w:tcW w:w="540" w:type="dxa"/>
            <w:vAlign w:val="bottom"/>
            <w:tcBorders>
              <w:bottom w:val="single" w:sz="8" w:color="867F7C"/>
            </w:tcBorders>
            <w:vMerge w:val="continue"/>
            <w:shd w:val="clear" w:color="auto" w:fill="EFEBE9"/>
          </w:tcPr>
          <w:p>
            <w:pPr>
              <w:spacing w:after="0"/>
              <w:rPr>
                <w:sz w:val="8"/>
                <w:szCs w:val="8"/>
                <w:color w:val="auto"/>
              </w:rPr>
            </w:pPr>
          </w:p>
        </w:tc>
        <w:tc>
          <w:tcPr>
            <w:tcW w:w="80" w:type="dxa"/>
            <w:vAlign w:val="bottom"/>
            <w:tcBorders>
              <w:bottom w:val="single" w:sz="8" w:color="EFEBE9"/>
            </w:tcBorders>
            <w:shd w:val="clear" w:color="auto" w:fill="EFEBE9"/>
          </w:tcPr>
          <w:p>
            <w:pPr>
              <w:spacing w:after="0"/>
              <w:rPr>
                <w:sz w:val="8"/>
                <w:szCs w:val="8"/>
                <w:color w:val="auto"/>
              </w:rPr>
            </w:pPr>
          </w:p>
        </w:tc>
        <w:tc>
          <w:tcPr>
            <w:tcW w:w="60" w:type="dxa"/>
            <w:vAlign w:val="bottom"/>
            <w:tcBorders>
              <w:bottom w:val="single" w:sz="8" w:color="867F7C"/>
            </w:tcBorders>
            <w:shd w:val="clear" w:color="auto" w:fill="EFEBE9"/>
          </w:tcPr>
          <w:p>
            <w:pPr>
              <w:spacing w:after="0"/>
              <w:rPr>
                <w:sz w:val="8"/>
                <w:szCs w:val="8"/>
                <w:color w:val="auto"/>
              </w:rPr>
            </w:pPr>
          </w:p>
        </w:tc>
        <w:tc>
          <w:tcPr>
            <w:tcW w:w="620" w:type="dxa"/>
            <w:vAlign w:val="bottom"/>
            <w:tcBorders>
              <w:bottom w:val="single" w:sz="8" w:color="867F7C"/>
              <w:right w:val="single" w:sz="8" w:color="EFEBE9"/>
            </w:tcBorders>
            <w:shd w:val="clear" w:color="auto" w:fill="EFEBE9"/>
          </w:tcPr>
          <w:p>
            <w:pPr>
              <w:jc w:val="right"/>
              <w:ind w:right="135"/>
              <w:spacing w:after="0" w:line="75" w:lineRule="exact"/>
              <w:rPr>
                <w:sz w:val="20"/>
                <w:szCs w:val="20"/>
                <w:color w:val="auto"/>
              </w:rPr>
            </w:pPr>
            <w:r>
              <w:rPr>
                <w:rFonts w:ascii="Arial" w:cs="Arial" w:eastAsia="Arial" w:hAnsi="Arial"/>
                <w:sz w:val="8"/>
                <w:szCs w:val="8"/>
                <w:b w:val="1"/>
                <w:bCs w:val="1"/>
                <w:color w:val="867F7C"/>
              </w:rPr>
              <w:t>PEO NEO</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Summary Compensation table total for</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Borders>
              <w:right w:val="single" w:sz="8" w:color="867F7C"/>
            </w:tcBorders>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vMerge w:val="restart"/>
          </w:tcPr>
          <w:p>
            <w:pPr>
              <w:jc w:val="right"/>
              <w:ind w:right="55"/>
              <w:spacing w:after="0"/>
              <w:rPr>
                <w:sz w:val="20"/>
                <w:szCs w:val="20"/>
                <w:color w:val="auto"/>
              </w:rPr>
            </w:pPr>
            <w:r>
              <w:rPr>
                <w:rFonts w:ascii="Arial" w:cs="Arial" w:eastAsia="Arial" w:hAnsi="Arial"/>
                <w:sz w:val="9"/>
                <w:szCs w:val="9"/>
                <w:color w:val="auto"/>
              </w:rPr>
              <w:t>7,868,591</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right w:val="single" w:sz="8" w:color="867F7C"/>
            </w:tcBorders>
            <w:vMerge w:val="restart"/>
          </w:tcPr>
          <w:p>
            <w:pPr>
              <w:jc w:val="right"/>
              <w:ind w:right="55"/>
              <w:spacing w:after="0"/>
              <w:rPr>
                <w:sz w:val="20"/>
                <w:szCs w:val="20"/>
                <w:color w:val="auto"/>
              </w:rPr>
            </w:pPr>
            <w:r>
              <w:rPr>
                <w:rFonts w:ascii="Arial" w:cs="Arial" w:eastAsia="Arial" w:hAnsi="Arial"/>
                <w:sz w:val="9"/>
                <w:szCs w:val="9"/>
                <w:color w:val="auto"/>
              </w:rPr>
              <w:t>2,268,816</w:t>
            </w:r>
          </w:p>
        </w:tc>
        <w:tc>
          <w:tcPr>
            <w:tcW w:w="0" w:type="dxa"/>
            <w:vAlign w:val="bottom"/>
          </w:tcPr>
          <w:p>
            <w:pPr>
              <w:spacing w:after="0"/>
              <w:rPr>
                <w:sz w:val="1"/>
                <w:szCs w:val="1"/>
                <w:color w:val="auto"/>
              </w:rPr>
            </w:pPr>
          </w:p>
        </w:tc>
      </w:tr>
      <w:tr>
        <w:trPr>
          <w:trHeight w:val="63"/>
        </w:trPr>
        <w:tc>
          <w:tcPr>
            <w:tcW w:w="1700" w:type="dxa"/>
            <w:vAlign w:val="bottom"/>
            <w:vMerge w:val="restart"/>
          </w:tcPr>
          <w:p>
            <w:pPr>
              <w:ind w:left="80"/>
              <w:spacing w:after="0"/>
              <w:rPr>
                <w:sz w:val="20"/>
                <w:szCs w:val="20"/>
                <w:color w:val="auto"/>
              </w:rPr>
            </w:pPr>
            <w:r>
              <w:rPr>
                <w:rFonts w:ascii="Arial" w:cs="Arial" w:eastAsia="Arial" w:hAnsi="Arial"/>
                <w:sz w:val="9"/>
                <w:szCs w:val="9"/>
                <w:color w:val="auto"/>
              </w:rPr>
              <w:t>applicable year.</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right"/>
              <w:ind w:right="35"/>
              <w:spacing w:after="0"/>
              <w:rPr>
                <w:sz w:val="20"/>
                <w:szCs w:val="20"/>
                <w:color w:val="auto"/>
              </w:rPr>
            </w:pPr>
            <w:r>
              <w:rPr>
                <w:rFonts w:ascii="Arial" w:cs="Arial" w:eastAsia="Arial" w:hAnsi="Arial"/>
                <w:sz w:val="9"/>
                <w:szCs w:val="9"/>
                <w:color w:val="auto"/>
              </w:rPr>
              <w:t>7,597,903</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ind w:right="55"/>
              <w:spacing w:after="0"/>
              <w:rPr>
                <w:sz w:val="20"/>
                <w:szCs w:val="20"/>
                <w:color w:val="auto"/>
              </w:rPr>
            </w:pPr>
            <w:r>
              <w:rPr>
                <w:rFonts w:ascii="Arial" w:cs="Arial" w:eastAsia="Arial" w:hAnsi="Arial"/>
                <w:sz w:val="9"/>
                <w:szCs w:val="9"/>
                <w:color w:val="auto"/>
              </w:rPr>
              <w:t>1,718,056</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75"/>
              <w:spacing w:after="0"/>
              <w:rPr>
                <w:sz w:val="20"/>
                <w:szCs w:val="20"/>
                <w:color w:val="auto"/>
              </w:rPr>
            </w:pPr>
            <w:r>
              <w:rPr>
                <w:rFonts w:ascii="Arial" w:cs="Arial" w:eastAsia="Arial" w:hAnsi="Arial"/>
                <w:sz w:val="9"/>
                <w:szCs w:val="9"/>
                <w:color w:val="auto"/>
              </w:rPr>
              <w:t>9,317,202</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55"/>
              <w:spacing w:after="0"/>
              <w:rPr>
                <w:sz w:val="20"/>
                <w:szCs w:val="20"/>
                <w:color w:val="auto"/>
              </w:rPr>
            </w:pPr>
            <w:r>
              <w:rPr>
                <w:rFonts w:ascii="Arial" w:cs="Arial" w:eastAsia="Arial" w:hAnsi="Arial"/>
                <w:sz w:val="9"/>
                <w:szCs w:val="9"/>
                <w:color w:val="auto"/>
              </w:rPr>
              <w:t>2,070,778</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75"/>
              <w:spacing w:after="0"/>
              <w:rPr>
                <w:sz w:val="20"/>
                <w:szCs w:val="20"/>
                <w:color w:val="auto"/>
              </w:rPr>
            </w:pPr>
            <w:r>
              <w:rPr>
                <w:rFonts w:ascii="Arial" w:cs="Arial" w:eastAsia="Arial" w:hAnsi="Arial"/>
                <w:sz w:val="9"/>
                <w:szCs w:val="9"/>
                <w:color w:val="auto"/>
              </w:rPr>
              <w:t>6,971,609</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ind w:right="35"/>
              <w:spacing w:after="0"/>
              <w:rPr>
                <w:sz w:val="20"/>
                <w:szCs w:val="20"/>
                <w:color w:val="auto"/>
              </w:rPr>
            </w:pPr>
            <w:r>
              <w:rPr>
                <w:rFonts w:ascii="Arial" w:cs="Arial" w:eastAsia="Arial" w:hAnsi="Arial"/>
                <w:sz w:val="9"/>
                <w:szCs w:val="9"/>
                <w:color w:val="auto"/>
              </w:rPr>
              <w:t>2,180,569</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75"/>
              <w:spacing w:after="0"/>
              <w:rPr>
                <w:sz w:val="20"/>
                <w:szCs w:val="20"/>
                <w:color w:val="auto"/>
              </w:rPr>
            </w:pPr>
            <w:r>
              <w:rPr>
                <w:rFonts w:ascii="Arial" w:cs="Arial" w:eastAsia="Arial" w:hAnsi="Arial"/>
                <w:sz w:val="9"/>
                <w:szCs w:val="9"/>
                <w:color w:val="auto"/>
              </w:rPr>
              <w:t>8,730,361</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ind w:right="55"/>
              <w:spacing w:after="0"/>
              <w:rPr>
                <w:sz w:val="20"/>
                <w:szCs w:val="20"/>
                <w:color w:val="auto"/>
              </w:rPr>
            </w:pPr>
            <w:r>
              <w:rPr>
                <w:rFonts w:ascii="Arial" w:cs="Arial" w:eastAsia="Arial" w:hAnsi="Arial"/>
                <w:sz w:val="9"/>
                <w:szCs w:val="9"/>
                <w:color w:val="auto"/>
                <w:w w:val="94"/>
              </w:rPr>
              <w:t>2,737,290</w:t>
            </w:r>
          </w:p>
        </w:tc>
        <w:tc>
          <w:tcPr>
            <w:tcW w:w="160" w:type="dxa"/>
            <w:vAlign w:val="bottom"/>
            <w:tcBorders>
              <w:right w:val="single" w:sz="8" w:color="867F7C"/>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20" w:type="dxa"/>
            <w:vAlign w:val="bottom"/>
            <w:tcBorders>
              <w:right w:val="single" w:sz="8" w:color="867F7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1700" w:type="dxa"/>
            <w:vAlign w:val="bottom"/>
            <w:tcBorders>
              <w:bottom w:val="single" w:sz="8" w:color="867F7C"/>
            </w:tcBorders>
            <w:vMerge w:val="continue"/>
          </w:tcPr>
          <w:p>
            <w:pPr>
              <w:spacing w:after="0"/>
              <w:rPr>
                <w:sz w:val="3"/>
                <w:szCs w:val="3"/>
                <w:color w:val="auto"/>
              </w:rPr>
            </w:pPr>
          </w:p>
        </w:tc>
        <w:tc>
          <w:tcPr>
            <w:tcW w:w="240" w:type="dxa"/>
            <w:vAlign w:val="bottom"/>
            <w:tcBorders>
              <w:bottom w:val="single" w:sz="8" w:color="867F7C"/>
            </w:tcBorders>
            <w:gridSpan w:val="2"/>
            <w:vMerge w:val="continue"/>
          </w:tcPr>
          <w:p>
            <w:pPr>
              <w:spacing w:after="0"/>
              <w:rPr>
                <w:sz w:val="3"/>
                <w:szCs w:val="3"/>
                <w:color w:val="auto"/>
              </w:rPr>
            </w:pPr>
          </w:p>
        </w:tc>
        <w:tc>
          <w:tcPr>
            <w:tcW w:w="560" w:type="dxa"/>
            <w:vAlign w:val="bottom"/>
            <w:tcBorders>
              <w:bottom w:val="single" w:sz="8" w:color="867F7C"/>
            </w:tcBorders>
            <w:vMerge w:val="continue"/>
          </w:tcPr>
          <w:p>
            <w:pPr>
              <w:spacing w:after="0"/>
              <w:rPr>
                <w:sz w:val="3"/>
                <w:szCs w:val="3"/>
                <w:color w:val="auto"/>
              </w:rPr>
            </w:pPr>
          </w:p>
        </w:tc>
        <w:tc>
          <w:tcPr>
            <w:tcW w:w="80" w:type="dxa"/>
            <w:vAlign w:val="bottom"/>
            <w:tcBorders>
              <w:bottom w:val="single" w:sz="8" w:color="867F7C"/>
            </w:tcBorders>
            <w:vMerge w:val="continue"/>
          </w:tcPr>
          <w:p>
            <w:pPr>
              <w:spacing w:after="0"/>
              <w:rPr>
                <w:sz w:val="3"/>
                <w:szCs w:val="3"/>
                <w:color w:val="auto"/>
              </w:rPr>
            </w:pPr>
          </w:p>
        </w:tc>
        <w:tc>
          <w:tcPr>
            <w:tcW w:w="600" w:type="dxa"/>
            <w:vAlign w:val="bottom"/>
            <w:tcBorders>
              <w:bottom w:val="single" w:sz="8" w:color="867F7C"/>
            </w:tcBorders>
            <w:vMerge w:val="continue"/>
          </w:tcPr>
          <w:p>
            <w:pPr>
              <w:spacing w:after="0"/>
              <w:rPr>
                <w:sz w:val="3"/>
                <w:szCs w:val="3"/>
                <w:color w:val="auto"/>
              </w:rPr>
            </w:pPr>
          </w:p>
        </w:tc>
        <w:tc>
          <w:tcPr>
            <w:tcW w:w="180" w:type="dxa"/>
            <w:vAlign w:val="bottom"/>
            <w:tcBorders>
              <w:bottom w:val="single" w:sz="8" w:color="867F7C"/>
            </w:tcBorders>
            <w:gridSpan w:val="2"/>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40" w:type="dxa"/>
            <w:vAlign w:val="bottom"/>
            <w:tcBorders>
              <w:bottom w:val="single" w:sz="8" w:color="867F7C"/>
            </w:tcBorders>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80" w:type="dxa"/>
            <w:vAlign w:val="bottom"/>
            <w:tcBorders>
              <w:bottom w:val="single" w:sz="8" w:color="867F7C"/>
            </w:tcBorders>
            <w:gridSpan w:val="2"/>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40" w:type="dxa"/>
            <w:vAlign w:val="bottom"/>
            <w:tcBorders>
              <w:bottom w:val="single" w:sz="8" w:color="867F7C"/>
            </w:tcBorders>
            <w:vMerge w:val="continue"/>
          </w:tcPr>
          <w:p>
            <w:pPr>
              <w:spacing w:after="0"/>
              <w:rPr>
                <w:sz w:val="3"/>
                <w:szCs w:val="3"/>
                <w:color w:val="auto"/>
              </w:rPr>
            </w:pPr>
          </w:p>
        </w:tc>
        <w:tc>
          <w:tcPr>
            <w:tcW w:w="600" w:type="dxa"/>
            <w:vAlign w:val="bottom"/>
            <w:tcBorders>
              <w:bottom w:val="single" w:sz="8" w:color="867F7C"/>
            </w:tcBorders>
            <w:vMerge w:val="continue"/>
          </w:tcPr>
          <w:p>
            <w:pPr>
              <w:spacing w:after="0"/>
              <w:rPr>
                <w:sz w:val="3"/>
                <w:szCs w:val="3"/>
                <w:color w:val="auto"/>
              </w:rPr>
            </w:pPr>
          </w:p>
        </w:tc>
        <w:tc>
          <w:tcPr>
            <w:tcW w:w="160" w:type="dxa"/>
            <w:vAlign w:val="bottom"/>
            <w:tcBorders>
              <w:bottom w:val="single" w:sz="8" w:color="867F7C"/>
            </w:tcBorders>
            <w:gridSpan w:val="2"/>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40" w:type="dxa"/>
            <w:vAlign w:val="bottom"/>
            <w:tcBorders>
              <w:bottom w:val="single" w:sz="8" w:color="867F7C"/>
            </w:tcBorders>
            <w:vMerge w:val="continue"/>
          </w:tcPr>
          <w:p>
            <w:pPr>
              <w:spacing w:after="0"/>
              <w:rPr>
                <w:sz w:val="3"/>
                <w:szCs w:val="3"/>
                <w:color w:val="auto"/>
              </w:rPr>
            </w:pPr>
          </w:p>
        </w:tc>
        <w:tc>
          <w:tcPr>
            <w:tcW w:w="500" w:type="dxa"/>
            <w:vAlign w:val="bottom"/>
            <w:tcBorders>
              <w:bottom w:val="single" w:sz="8" w:color="867F7C"/>
            </w:tcBorders>
            <w:vMerge w:val="continue"/>
          </w:tcPr>
          <w:p>
            <w:pPr>
              <w:spacing w:after="0"/>
              <w:rPr>
                <w:sz w:val="3"/>
                <w:szCs w:val="3"/>
                <w:color w:val="auto"/>
              </w:rPr>
            </w:pPr>
          </w:p>
        </w:tc>
        <w:tc>
          <w:tcPr>
            <w:tcW w:w="160" w:type="dxa"/>
            <w:vAlign w:val="bottom"/>
            <w:tcBorders>
              <w:bottom w:val="single" w:sz="8" w:color="867F7C"/>
              <w:right w:val="single" w:sz="8" w:color="867F7C"/>
            </w:tcBorders>
          </w:tcPr>
          <w:p>
            <w:pPr>
              <w:spacing w:after="0"/>
              <w:rPr>
                <w:sz w:val="3"/>
                <w:szCs w:val="3"/>
                <w:color w:val="auto"/>
              </w:rPr>
            </w:pPr>
          </w:p>
        </w:tc>
        <w:tc>
          <w:tcPr>
            <w:tcW w:w="80" w:type="dxa"/>
            <w:vAlign w:val="bottom"/>
            <w:tcBorders>
              <w:bottom w:val="single" w:sz="8" w:color="867F7C"/>
            </w:tcBorders>
          </w:tcPr>
          <w:p>
            <w:pPr>
              <w:spacing w:after="0"/>
              <w:rPr>
                <w:sz w:val="3"/>
                <w:szCs w:val="3"/>
                <w:color w:val="auto"/>
              </w:rPr>
            </w:pPr>
          </w:p>
        </w:tc>
        <w:tc>
          <w:tcPr>
            <w:tcW w:w="540" w:type="dxa"/>
            <w:vAlign w:val="bottom"/>
            <w:tcBorders>
              <w:bottom w:val="single" w:sz="8" w:color="867F7C"/>
            </w:tcBorders>
          </w:tcPr>
          <w:p>
            <w:pPr>
              <w:spacing w:after="0"/>
              <w:rPr>
                <w:sz w:val="3"/>
                <w:szCs w:val="3"/>
                <w:color w:val="auto"/>
              </w:rPr>
            </w:pPr>
          </w:p>
        </w:tc>
        <w:tc>
          <w:tcPr>
            <w:tcW w:w="80" w:type="dxa"/>
            <w:vAlign w:val="bottom"/>
            <w:tcBorders>
              <w:bottom w:val="single" w:sz="8" w:color="867F7C"/>
            </w:tcBorders>
          </w:tcPr>
          <w:p>
            <w:pPr>
              <w:spacing w:after="0"/>
              <w:rPr>
                <w:sz w:val="3"/>
                <w:szCs w:val="3"/>
                <w:color w:val="auto"/>
              </w:rPr>
            </w:pPr>
          </w:p>
        </w:tc>
        <w:tc>
          <w:tcPr>
            <w:tcW w:w="60" w:type="dxa"/>
            <w:vAlign w:val="bottom"/>
            <w:tcBorders>
              <w:bottom w:val="single" w:sz="8" w:color="867F7C"/>
            </w:tcBorders>
          </w:tcPr>
          <w:p>
            <w:pPr>
              <w:spacing w:after="0"/>
              <w:rPr>
                <w:sz w:val="3"/>
                <w:szCs w:val="3"/>
                <w:color w:val="auto"/>
              </w:rPr>
            </w:pPr>
          </w:p>
        </w:tc>
        <w:tc>
          <w:tcPr>
            <w:tcW w:w="620" w:type="dxa"/>
            <w:vAlign w:val="bottom"/>
            <w:tcBorders>
              <w:bottom w:val="single" w:sz="8" w:color="867F7C"/>
              <w:right w:val="single" w:sz="8" w:color="867F7C"/>
            </w:tcBorders>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Decrease for Amounts Reported under</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the “Stock Awards” and “Option</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Awards” Columns in the Summary</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ind w:right="55"/>
              <w:spacing w:after="0" w:line="95" w:lineRule="exact"/>
              <w:rPr>
                <w:sz w:val="20"/>
                <w:szCs w:val="20"/>
                <w:color w:val="auto"/>
              </w:rPr>
            </w:pPr>
            <w:r>
              <w:rPr>
                <w:rFonts w:ascii="Arial" w:cs="Arial" w:eastAsia="Arial" w:hAnsi="Arial"/>
                <w:sz w:val="9"/>
                <w:szCs w:val="9"/>
                <w:color w:val="auto"/>
                <w:w w:val="99"/>
              </w:rPr>
              <w:t>(1,383,70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Compensation Table for Applicable FY</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(5,070,529 )</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rPr>
              <w:t>(689,800 )</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w w:val="98"/>
              </w:rPr>
              <w:t>(5,813,052 )</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rPr>
              <w:t>(1,091,034 )</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w w:val="98"/>
              </w:rPr>
              <w:t>(5,454,895 )</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(1,266,710 )</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w w:val="98"/>
              </w:rPr>
              <w:t>(5,999,782 )</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6 )</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w w:val="94"/>
              </w:rPr>
              <w:t>(5,251,642 )</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rPr>
              <w:t>(998,906 )</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Increase based on ASC 718 Fair Value</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of Awards Granted during Applicable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FY that Remain Unvested as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Applicable FY End, determined as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Applicable FY End. RSU values include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RSUs attributable to reinvested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Dividend Equivalents</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5,552,278</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763,999</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5,496,450</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1,031,613</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2,480,910</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434,862</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6,960,978</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w w:val="94"/>
              </w:rPr>
              <w:t>1,318,085</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2,536,914</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516,287</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Increase based on ASC 718 Fair Value</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of Awards Granted during Applicable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FY that Vested during Applicable FY,</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determined as of Vesting Date</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29,299</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687</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853</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Increase (decrease) for Awards</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Granted during Prior FY that were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Outstanding and Unvested as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Applicable FY End, determined based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on change in ASC 718 Fair Value from</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Prior FY End to Applicable FY End</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613,358</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75,953</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3,309,374</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368,466</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w w:val="98"/>
              </w:rPr>
              <w:t>(5,624,508 )</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(809,270 )</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(52,832 )</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10,870</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w w:val="94"/>
              </w:rPr>
              <w:t>(5,957,538 )</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rPr>
              <w:t>(555,495 )</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Increase (decrease) for Awards</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Granted during Prior FY that Vested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During Applicable FY, determined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based on change in ASC 718 Fair</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Value from Prior FY End to Vesting</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Date</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440,380</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87,417</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586,141</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78,210</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1,619,255</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76,486</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2,606,666</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371,634</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1,469,672</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rPr>
              <w:t>(100,915 )</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Decrease of ASC 718 Fair Value of</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Awards Granted during Prior FY that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were Forfeited during Applicable FY,</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determined as of Prior FY End</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rPr>
              <w:t>(26,335 )</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(56,609 )</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(123,362 )</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w w:val="94"/>
              </w:rPr>
              <w:t>(3,526,093 )</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15"/>
              <w:spacing w:after="0"/>
              <w:rPr>
                <w:sz w:val="20"/>
                <w:szCs w:val="20"/>
                <w:color w:val="auto"/>
              </w:rPr>
            </w:pPr>
            <w:r>
              <w:rPr>
                <w:rFonts w:ascii="Arial" w:cs="Arial" w:eastAsia="Arial" w:hAnsi="Arial"/>
                <w:sz w:val="9"/>
                <w:szCs w:val="9"/>
                <w:color w:val="auto"/>
              </w:rPr>
              <w:t>(122,109 )</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Increase based on Dividends or Other</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Earnings Paid during Applicable FY</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prior to Vesting Date</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247,385</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19,022</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Increase (decrease) for Change in the</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w w:val="99"/>
              </w:rPr>
              <w:t>Actuarial Present Values reported under</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the “Change in Pension Value and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Nonqualified Deferred Compensation</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Earnings” Column of the Summary</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Compensation Table for Applicable FY</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8,057</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171,550</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0"/>
        </w:trPr>
        <w:tc>
          <w:tcPr>
            <w:tcW w:w="1700" w:type="dxa"/>
            <w:vAlign w:val="bottom"/>
          </w:tcPr>
          <w:p>
            <w:pPr>
              <w:ind w:left="80"/>
              <w:spacing w:after="0" w:line="80" w:lineRule="exact"/>
              <w:rPr>
                <w:sz w:val="20"/>
                <w:szCs w:val="20"/>
                <w:color w:val="auto"/>
              </w:rPr>
            </w:pPr>
            <w:r>
              <w:rPr>
                <w:rFonts w:ascii="Arial" w:cs="Arial" w:eastAsia="Arial" w:hAnsi="Arial"/>
                <w:sz w:val="9"/>
                <w:szCs w:val="9"/>
                <w:color w:val="auto"/>
              </w:rPr>
              <w:t>Increase for Service Cost and, if</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700" w:type="dxa"/>
            <w:vAlign w:val="bottom"/>
          </w:tcPr>
          <w:p>
            <w:pPr>
              <w:ind w:left="80"/>
              <w:spacing w:after="0" w:line="95" w:lineRule="exact"/>
              <w:rPr>
                <w:sz w:val="20"/>
                <w:szCs w:val="20"/>
                <w:color w:val="auto"/>
              </w:rPr>
            </w:pPr>
            <w:r>
              <w:rPr>
                <w:rFonts w:ascii="Arial" w:cs="Arial" w:eastAsia="Arial" w:hAnsi="Arial"/>
                <w:sz w:val="9"/>
                <w:szCs w:val="9"/>
                <w:color w:val="auto"/>
              </w:rPr>
              <w:t>applicable, Prior Service Cost for</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tcBorders>
              <w:bottom w:val="single" w:sz="8" w:color="867F7C"/>
            </w:tcBorders>
          </w:tcPr>
          <w:p>
            <w:pPr>
              <w:ind w:left="80"/>
              <w:spacing w:after="0"/>
              <w:rPr>
                <w:sz w:val="20"/>
                <w:szCs w:val="20"/>
                <w:color w:val="auto"/>
              </w:rPr>
            </w:pPr>
            <w:r>
              <w:rPr>
                <w:rFonts w:ascii="Arial" w:cs="Arial" w:eastAsia="Arial" w:hAnsi="Arial"/>
                <w:sz w:val="9"/>
                <w:szCs w:val="9"/>
                <w:color w:val="auto"/>
              </w:rPr>
              <w:t>Pension Plans</w:t>
            </w:r>
          </w:p>
        </w:tc>
        <w:tc>
          <w:tcPr>
            <w:tcW w:w="240" w:type="dxa"/>
            <w:vAlign w:val="bottom"/>
            <w:tcBorders>
              <w:bottom w:val="single" w:sz="8" w:color="867F7C"/>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867F7C"/>
            </w:tcBorders>
            <w:gridSpan w:val="2"/>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867F7C"/>
            </w:tcBorders>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867F7C"/>
            </w:tcBorders>
          </w:tcPr>
          <w:p>
            <w:pPr>
              <w:jc w:val="right"/>
              <w:ind w:right="7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867F7C"/>
            </w:tcBorders>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867F7C"/>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867F7C"/>
            </w:tcBorders>
          </w:tcPr>
          <w:p>
            <w:pPr>
              <w:jc w:val="right"/>
              <w:ind w:right="5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0"/>
        </w:trPr>
        <w:tc>
          <w:tcPr>
            <w:tcW w:w="1700" w:type="dxa"/>
            <w:vAlign w:val="bottom"/>
            <w:vMerge w:val="restart"/>
          </w:tcPr>
          <w:p>
            <w:pPr>
              <w:ind w:left="80"/>
              <w:spacing w:after="0"/>
              <w:rPr>
                <w:sz w:val="20"/>
                <w:szCs w:val="20"/>
                <w:color w:val="auto"/>
              </w:rPr>
            </w:pPr>
            <w:r>
              <w:rPr>
                <w:rFonts w:ascii="Arial" w:cs="Arial" w:eastAsia="Arial" w:hAnsi="Arial"/>
                <w:sz w:val="9"/>
                <w:szCs w:val="9"/>
                <w:color w:val="auto"/>
              </w:rPr>
              <w:t>Compensation Actually Paid</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jc w:val="right"/>
              <w:ind w:right="75"/>
              <w:spacing w:after="0" w:line="80" w:lineRule="exact"/>
              <w:rPr>
                <w:sz w:val="20"/>
                <w:szCs w:val="20"/>
                <w:color w:val="auto"/>
              </w:rPr>
            </w:pPr>
            <w:r>
              <w:rPr>
                <w:rFonts w:ascii="Arial" w:cs="Arial" w:eastAsia="Arial" w:hAnsi="Arial"/>
                <w:sz w:val="9"/>
                <w:szCs w:val="9"/>
                <w:color w:val="auto"/>
              </w:rPr>
              <w:t>12,896,11</w:t>
            </w: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right"/>
              <w:ind w:right="35"/>
              <w:spacing w:after="0"/>
              <w:rPr>
                <w:sz w:val="20"/>
                <w:szCs w:val="20"/>
                <w:color w:val="auto"/>
              </w:rPr>
            </w:pPr>
            <w:r>
              <w:rPr>
                <w:rFonts w:ascii="Arial" w:cs="Arial" w:eastAsia="Arial" w:hAnsi="Arial"/>
                <w:sz w:val="9"/>
                <w:szCs w:val="9"/>
                <w:color w:val="auto"/>
              </w:rPr>
              <w:t>9,133,390</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ind w:right="55"/>
              <w:spacing w:after="0"/>
              <w:rPr>
                <w:sz w:val="20"/>
                <w:szCs w:val="20"/>
                <w:color w:val="auto"/>
              </w:rPr>
            </w:pPr>
            <w:r>
              <w:rPr>
                <w:rFonts w:ascii="Arial" w:cs="Arial" w:eastAsia="Arial" w:hAnsi="Arial"/>
                <w:sz w:val="9"/>
                <w:szCs w:val="9"/>
                <w:color w:val="auto"/>
              </w:rPr>
              <w:t>1,937,347</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75"/>
              <w:spacing w:after="0"/>
              <w:rPr>
                <w:sz w:val="20"/>
                <w:szCs w:val="20"/>
                <w:color w:val="auto"/>
              </w:rPr>
            </w:pPr>
            <w:r>
              <w:rPr>
                <w:rFonts w:ascii="Arial" w:cs="Arial" w:eastAsia="Arial" w:hAnsi="Arial"/>
                <w:sz w:val="9"/>
                <w:szCs w:val="9"/>
                <w:color w:val="auto"/>
              </w:rPr>
              <w:t>5</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55"/>
              <w:spacing w:after="0"/>
              <w:rPr>
                <w:sz w:val="20"/>
                <w:szCs w:val="20"/>
                <w:color w:val="auto"/>
              </w:rPr>
            </w:pPr>
            <w:r>
              <w:rPr>
                <w:rFonts w:ascii="Arial" w:cs="Arial" w:eastAsia="Arial" w:hAnsi="Arial"/>
                <w:sz w:val="9"/>
                <w:szCs w:val="9"/>
                <w:color w:val="auto"/>
              </w:rPr>
              <w:t>2,629,583</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75"/>
              <w:spacing w:after="0"/>
              <w:rPr>
                <w:sz w:val="20"/>
                <w:szCs w:val="20"/>
                <w:color w:val="auto"/>
              </w:rPr>
            </w:pPr>
            <w:r>
              <w:rPr>
                <w:rFonts w:ascii="Arial" w:cs="Arial" w:eastAsia="Arial" w:hAnsi="Arial"/>
                <w:sz w:val="9"/>
                <w:szCs w:val="9"/>
                <w:color w:val="auto"/>
              </w:rPr>
              <w:t>239,756</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ind w:right="35"/>
              <w:spacing w:after="0"/>
              <w:rPr>
                <w:sz w:val="20"/>
                <w:szCs w:val="20"/>
                <w:color w:val="auto"/>
              </w:rPr>
            </w:pPr>
            <w:r>
              <w:rPr>
                <w:rFonts w:ascii="Arial" w:cs="Arial" w:eastAsia="Arial" w:hAnsi="Arial"/>
                <w:sz w:val="9"/>
                <w:szCs w:val="9"/>
                <w:color w:val="auto"/>
              </w:rPr>
              <w:t>607,649</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75"/>
              <w:spacing w:after="0"/>
              <w:rPr>
                <w:sz w:val="20"/>
                <w:szCs w:val="20"/>
                <w:color w:val="auto"/>
              </w:rPr>
            </w:pPr>
            <w:r>
              <w:rPr>
                <w:rFonts w:ascii="Arial" w:cs="Arial" w:eastAsia="Arial" w:hAnsi="Arial"/>
                <w:sz w:val="9"/>
                <w:szCs w:val="9"/>
                <w:color w:val="auto"/>
                <w:w w:val="97"/>
              </w:rPr>
              <w:t>12,245,391</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ind w:right="55"/>
              <w:spacing w:after="0"/>
              <w:rPr>
                <w:sz w:val="20"/>
                <w:szCs w:val="20"/>
                <w:color w:val="auto"/>
              </w:rPr>
            </w:pPr>
            <w:r>
              <w:rPr>
                <w:rFonts w:ascii="Arial" w:cs="Arial" w:eastAsia="Arial" w:hAnsi="Arial"/>
                <w:sz w:val="9"/>
                <w:szCs w:val="9"/>
                <w:color w:val="auto"/>
                <w:w w:val="94"/>
              </w:rPr>
              <w:t>2,931,498</w:t>
            </w:r>
          </w:p>
        </w:tc>
        <w:tc>
          <w:tcPr>
            <w:tcW w:w="24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ind w:right="15"/>
              <w:spacing w:after="0"/>
              <w:rPr>
                <w:sz w:val="20"/>
                <w:szCs w:val="20"/>
                <w:color w:val="auto"/>
              </w:rPr>
            </w:pPr>
            <w:r>
              <w:rPr>
                <w:rFonts w:ascii="Arial" w:cs="Arial" w:eastAsia="Arial" w:hAnsi="Arial"/>
                <w:sz w:val="9"/>
                <w:szCs w:val="9"/>
                <w:color w:val="auto"/>
                <w:w w:val="94"/>
              </w:rPr>
              <w:t>(2,860,095 )</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55"/>
              <w:spacing w:after="0"/>
              <w:rPr>
                <w:sz w:val="20"/>
                <w:szCs w:val="20"/>
                <w:color w:val="auto"/>
              </w:rPr>
            </w:pPr>
            <w:r>
              <w:rPr>
                <w:rFonts w:ascii="Arial" w:cs="Arial" w:eastAsia="Arial" w:hAnsi="Arial"/>
                <w:sz w:val="9"/>
                <w:szCs w:val="9"/>
                <w:color w:val="auto"/>
              </w:rPr>
              <w:t>1,008,531</w:t>
            </w:r>
          </w:p>
        </w:tc>
        <w:tc>
          <w:tcPr>
            <w:tcW w:w="0" w:type="dxa"/>
            <w:vAlign w:val="bottom"/>
          </w:tcPr>
          <w:p>
            <w:pPr>
              <w:spacing w:after="0"/>
              <w:rPr>
                <w:sz w:val="1"/>
                <w:szCs w:val="1"/>
                <w:color w:val="auto"/>
              </w:rPr>
            </w:pPr>
          </w:p>
        </w:tc>
      </w:tr>
      <w:tr>
        <w:trPr>
          <w:trHeight w:val="39"/>
        </w:trPr>
        <w:tc>
          <w:tcPr>
            <w:tcW w:w="1700" w:type="dxa"/>
            <w:vAlign w:val="bottom"/>
            <w:tcBorders>
              <w:bottom w:val="single" w:sz="8" w:color="867F7C"/>
            </w:tcBorders>
          </w:tcPr>
          <w:p>
            <w:pPr>
              <w:spacing w:after="0"/>
              <w:rPr>
                <w:sz w:val="3"/>
                <w:szCs w:val="3"/>
                <w:color w:val="auto"/>
              </w:rPr>
            </w:pPr>
          </w:p>
        </w:tc>
        <w:tc>
          <w:tcPr>
            <w:tcW w:w="240" w:type="dxa"/>
            <w:vAlign w:val="bottom"/>
            <w:tcBorders>
              <w:bottom w:val="single" w:sz="8" w:color="867F7C"/>
            </w:tcBorders>
            <w:gridSpan w:val="2"/>
            <w:vMerge w:val="continue"/>
          </w:tcPr>
          <w:p>
            <w:pPr>
              <w:spacing w:after="0"/>
              <w:rPr>
                <w:sz w:val="3"/>
                <w:szCs w:val="3"/>
                <w:color w:val="auto"/>
              </w:rPr>
            </w:pPr>
          </w:p>
        </w:tc>
        <w:tc>
          <w:tcPr>
            <w:tcW w:w="560" w:type="dxa"/>
            <w:vAlign w:val="bottom"/>
            <w:tcBorders>
              <w:bottom w:val="single" w:sz="8" w:color="867F7C"/>
            </w:tcBorders>
            <w:vMerge w:val="continue"/>
          </w:tcPr>
          <w:p>
            <w:pPr>
              <w:spacing w:after="0"/>
              <w:rPr>
                <w:sz w:val="3"/>
                <w:szCs w:val="3"/>
                <w:color w:val="auto"/>
              </w:rPr>
            </w:pPr>
          </w:p>
        </w:tc>
        <w:tc>
          <w:tcPr>
            <w:tcW w:w="80" w:type="dxa"/>
            <w:vAlign w:val="bottom"/>
            <w:tcBorders>
              <w:bottom w:val="single" w:sz="8" w:color="867F7C"/>
            </w:tcBorders>
            <w:vMerge w:val="continue"/>
          </w:tcPr>
          <w:p>
            <w:pPr>
              <w:spacing w:after="0"/>
              <w:rPr>
                <w:sz w:val="3"/>
                <w:szCs w:val="3"/>
                <w:color w:val="auto"/>
              </w:rPr>
            </w:pPr>
          </w:p>
        </w:tc>
        <w:tc>
          <w:tcPr>
            <w:tcW w:w="600" w:type="dxa"/>
            <w:vAlign w:val="bottom"/>
            <w:tcBorders>
              <w:bottom w:val="single" w:sz="8" w:color="867F7C"/>
            </w:tcBorders>
            <w:vMerge w:val="continue"/>
          </w:tcPr>
          <w:p>
            <w:pPr>
              <w:spacing w:after="0"/>
              <w:rPr>
                <w:sz w:val="3"/>
                <w:szCs w:val="3"/>
                <w:color w:val="auto"/>
              </w:rPr>
            </w:pPr>
          </w:p>
        </w:tc>
        <w:tc>
          <w:tcPr>
            <w:tcW w:w="180" w:type="dxa"/>
            <w:vAlign w:val="bottom"/>
            <w:tcBorders>
              <w:bottom w:val="single" w:sz="8" w:color="867F7C"/>
            </w:tcBorders>
            <w:gridSpan w:val="2"/>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40" w:type="dxa"/>
            <w:vAlign w:val="bottom"/>
            <w:tcBorders>
              <w:bottom w:val="single" w:sz="8" w:color="867F7C"/>
            </w:tcBorders>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80" w:type="dxa"/>
            <w:vAlign w:val="bottom"/>
            <w:tcBorders>
              <w:bottom w:val="single" w:sz="8" w:color="867F7C"/>
            </w:tcBorders>
            <w:gridSpan w:val="2"/>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40" w:type="dxa"/>
            <w:vAlign w:val="bottom"/>
            <w:tcBorders>
              <w:bottom w:val="single" w:sz="8" w:color="867F7C"/>
            </w:tcBorders>
            <w:vMerge w:val="continue"/>
          </w:tcPr>
          <w:p>
            <w:pPr>
              <w:spacing w:after="0"/>
              <w:rPr>
                <w:sz w:val="3"/>
                <w:szCs w:val="3"/>
                <w:color w:val="auto"/>
              </w:rPr>
            </w:pPr>
          </w:p>
        </w:tc>
        <w:tc>
          <w:tcPr>
            <w:tcW w:w="600" w:type="dxa"/>
            <w:vAlign w:val="bottom"/>
            <w:tcBorders>
              <w:bottom w:val="single" w:sz="8" w:color="867F7C"/>
            </w:tcBorders>
            <w:vMerge w:val="continue"/>
          </w:tcPr>
          <w:p>
            <w:pPr>
              <w:spacing w:after="0"/>
              <w:rPr>
                <w:sz w:val="3"/>
                <w:szCs w:val="3"/>
                <w:color w:val="auto"/>
              </w:rPr>
            </w:pPr>
          </w:p>
        </w:tc>
        <w:tc>
          <w:tcPr>
            <w:tcW w:w="160" w:type="dxa"/>
            <w:vAlign w:val="bottom"/>
            <w:tcBorders>
              <w:bottom w:val="single" w:sz="8" w:color="867F7C"/>
            </w:tcBorders>
            <w:gridSpan w:val="2"/>
            <w:vMerge w:val="continue"/>
          </w:tcPr>
          <w:p>
            <w:pPr>
              <w:spacing w:after="0"/>
              <w:rPr>
                <w:sz w:val="3"/>
                <w:szCs w:val="3"/>
                <w:color w:val="auto"/>
              </w:rPr>
            </w:pPr>
          </w:p>
        </w:tc>
        <w:tc>
          <w:tcPr>
            <w:tcW w:w="580" w:type="dxa"/>
            <w:vAlign w:val="bottom"/>
            <w:tcBorders>
              <w:bottom w:val="single" w:sz="8" w:color="867F7C"/>
            </w:tcBorders>
            <w:vMerge w:val="continue"/>
          </w:tcPr>
          <w:p>
            <w:pPr>
              <w:spacing w:after="0"/>
              <w:rPr>
                <w:sz w:val="3"/>
                <w:szCs w:val="3"/>
                <w:color w:val="auto"/>
              </w:rPr>
            </w:pPr>
          </w:p>
        </w:tc>
        <w:tc>
          <w:tcPr>
            <w:tcW w:w="140" w:type="dxa"/>
            <w:vAlign w:val="bottom"/>
            <w:tcBorders>
              <w:bottom w:val="single" w:sz="8" w:color="867F7C"/>
            </w:tcBorders>
            <w:vMerge w:val="continue"/>
          </w:tcPr>
          <w:p>
            <w:pPr>
              <w:spacing w:after="0"/>
              <w:rPr>
                <w:sz w:val="3"/>
                <w:szCs w:val="3"/>
                <w:color w:val="auto"/>
              </w:rPr>
            </w:pPr>
          </w:p>
        </w:tc>
        <w:tc>
          <w:tcPr>
            <w:tcW w:w="500" w:type="dxa"/>
            <w:vAlign w:val="bottom"/>
            <w:tcBorders>
              <w:bottom w:val="single" w:sz="8" w:color="867F7C"/>
            </w:tcBorders>
            <w:vMerge w:val="continue"/>
          </w:tcPr>
          <w:p>
            <w:pPr>
              <w:spacing w:after="0"/>
              <w:rPr>
                <w:sz w:val="3"/>
                <w:szCs w:val="3"/>
                <w:color w:val="auto"/>
              </w:rPr>
            </w:pPr>
          </w:p>
        </w:tc>
        <w:tc>
          <w:tcPr>
            <w:tcW w:w="240" w:type="dxa"/>
            <w:vAlign w:val="bottom"/>
            <w:tcBorders>
              <w:bottom w:val="single" w:sz="8" w:color="867F7C"/>
            </w:tcBorders>
            <w:gridSpan w:val="2"/>
            <w:vMerge w:val="continue"/>
          </w:tcPr>
          <w:p>
            <w:pPr>
              <w:spacing w:after="0"/>
              <w:rPr>
                <w:sz w:val="3"/>
                <w:szCs w:val="3"/>
                <w:color w:val="auto"/>
              </w:rPr>
            </w:pPr>
          </w:p>
        </w:tc>
        <w:tc>
          <w:tcPr>
            <w:tcW w:w="540" w:type="dxa"/>
            <w:vAlign w:val="bottom"/>
            <w:tcBorders>
              <w:bottom w:val="single" w:sz="8" w:color="867F7C"/>
            </w:tcBorders>
            <w:vMerge w:val="continue"/>
          </w:tcPr>
          <w:p>
            <w:pPr>
              <w:spacing w:after="0"/>
              <w:rPr>
                <w:sz w:val="3"/>
                <w:szCs w:val="3"/>
                <w:color w:val="auto"/>
              </w:rPr>
            </w:pPr>
          </w:p>
        </w:tc>
        <w:tc>
          <w:tcPr>
            <w:tcW w:w="140" w:type="dxa"/>
            <w:vAlign w:val="bottom"/>
            <w:tcBorders>
              <w:bottom w:val="single" w:sz="8" w:color="867F7C"/>
            </w:tcBorders>
            <w:gridSpan w:val="2"/>
            <w:vMerge w:val="continue"/>
          </w:tcPr>
          <w:p>
            <w:pPr>
              <w:spacing w:after="0"/>
              <w:rPr>
                <w:sz w:val="3"/>
                <w:szCs w:val="3"/>
                <w:color w:val="auto"/>
              </w:rPr>
            </w:pPr>
          </w:p>
        </w:tc>
        <w:tc>
          <w:tcPr>
            <w:tcW w:w="620" w:type="dxa"/>
            <w:vAlign w:val="bottom"/>
            <w:tcBorders>
              <w:bottom w:val="single" w:sz="8" w:color="867F7C"/>
            </w:tcBorders>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-3051175</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-3051175</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-3051175</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-3051175</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-2922270</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6" w:lineRule="exact"/>
        <w:rPr>
          <w:sz w:val="20"/>
          <w:szCs w:val="20"/>
          <w:color w:val="auto"/>
        </w:rPr>
      </w:pPr>
    </w:p>
    <w:p>
      <w:pPr>
        <w:jc w:val="both"/>
        <w:ind w:left="220" w:hanging="212"/>
        <w:spacing w:after="0" w:line="256" w:lineRule="auto"/>
        <w:tabs>
          <w:tab w:leader="none" w:pos="220" w:val="left"/>
        </w:tabs>
        <w:numPr>
          <w:ilvl w:val="0"/>
          <w:numId w:val="76"/>
        </w:numPr>
        <w:rPr>
          <w:rFonts w:ascii="Times New Roman" w:cs="Times New Roman" w:eastAsia="Times New Roman" w:hAnsi="Times New Roman"/>
          <w:sz w:val="8"/>
          <w:szCs w:val="8"/>
          <w:color w:val="auto"/>
        </w:rPr>
      </w:pPr>
      <w:r>
        <w:rPr>
          <w:rFonts w:ascii="Arial" w:cs="Arial" w:eastAsia="Arial" w:hAnsi="Arial"/>
          <w:sz w:val="14"/>
          <w:szCs w:val="14"/>
          <w:color w:val="auto"/>
        </w:rPr>
        <w:t>rTSR is cumulative for the measurement periods beginning and ending based on the fiscal year of the award (October through September), calculated in accordance with Item 201(e) of Regulation S-K. The Peer Group rTSR column consists of 57 companies within the S&amp;P 500 Materials (large-cap) and the S&amp;P MidCap 400 Materials (our “Peer Group – Materials”), which is the industry specific peer group in our Annual Report on Form 10-K for the fiscal year ended September 30, 2025.</w:t>
      </w:r>
    </w:p>
    <w:p>
      <w:pPr>
        <w:spacing w:after="0" w:line="69" w:lineRule="exact"/>
        <w:rPr>
          <w:rFonts w:ascii="Times New Roman" w:cs="Times New Roman" w:eastAsia="Times New Roman" w:hAnsi="Times New Roman"/>
          <w:sz w:val="8"/>
          <w:szCs w:val="8"/>
          <w:color w:val="auto"/>
        </w:rPr>
      </w:pPr>
    </w:p>
    <w:p>
      <w:pPr>
        <w:ind w:left="220" w:hanging="212"/>
        <w:spacing w:after="0" w:line="285" w:lineRule="auto"/>
        <w:tabs>
          <w:tab w:leader="none" w:pos="220" w:val="left"/>
        </w:tabs>
        <w:numPr>
          <w:ilvl w:val="0"/>
          <w:numId w:val="76"/>
        </w:numPr>
        <w:rPr>
          <w:rFonts w:ascii="Times New Roman" w:cs="Times New Roman" w:eastAsia="Times New Roman" w:hAnsi="Times New Roman"/>
          <w:sz w:val="8"/>
          <w:szCs w:val="8"/>
          <w:color w:val="auto"/>
        </w:rPr>
      </w:pPr>
      <w:r>
        <w:rPr>
          <w:rFonts w:ascii="Arial" w:cs="Arial" w:eastAsia="Arial" w:hAnsi="Arial"/>
          <w:sz w:val="14"/>
          <w:szCs w:val="14"/>
          <w:color w:val="auto"/>
        </w:rPr>
        <w:t>“Adjusted EBITDA” is a non-GAAP measure used for purposes of our Annual Incentive Plan. A reconciliation of this non-GAAP financial measure to results in accordance with GAAP can be found in Appendix A to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867F7C"/>
        </w:rPr>
        <w:t>pay versus performance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4CCEDE"/>
        </w:rPr>
        <w:t>pay versus performance relationship</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chart below provides a comparison between (i) the total stockholder return of Ashland and our Peer Group – Materials assuming a fixed $100 initial investment on October 1, 2020 and reinvestment of dividends, and (ii) the compensation actually paid to our PEO and the average compensation actually paid to our non-PEO NEOs for the fiscal years ended September 30, 2021, September 30, 2022, September 30, 2023, September 30, 2024, and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115570</wp:posOffset>
            </wp:positionV>
            <wp:extent cx="5177790" cy="30086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7779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shd w:val="clear" w:color="auto" w:fill="EFEBE9"/>
          </w:tcPr>
          <w:p>
            <w:pPr>
              <w:spacing w:after="0"/>
              <w:rPr>
                <w:sz w:val="12"/>
                <w:szCs w:val="12"/>
                <w:color w:val="auto"/>
              </w:rPr>
            </w:pPr>
          </w:p>
        </w:tc>
        <w:tc>
          <w:tcPr>
            <w:tcW w:w="880" w:type="dxa"/>
            <w:vAlign w:val="bottom"/>
            <w:gridSpan w:val="2"/>
            <w:shd w:val="clear" w:color="auto" w:fill="EFEBE9"/>
          </w:tcPr>
          <w:p>
            <w:pPr>
              <w:jc w:val="right"/>
              <w:ind w:right="117"/>
              <w:spacing w:after="0"/>
              <w:rPr>
                <w:sz w:val="20"/>
                <w:szCs w:val="20"/>
                <w:color w:val="auto"/>
              </w:rPr>
            </w:pPr>
            <w:r>
              <w:rPr>
                <w:rFonts w:ascii="Arial" w:cs="Arial" w:eastAsia="Arial" w:hAnsi="Arial"/>
                <w:sz w:val="13"/>
                <w:szCs w:val="13"/>
                <w:b w:val="1"/>
                <w:bCs w:val="1"/>
                <w:color w:val="867F7C"/>
              </w:rPr>
              <w:t>FY 2020</w:t>
            </w:r>
          </w:p>
        </w:tc>
        <w:tc>
          <w:tcPr>
            <w:tcW w:w="300" w:type="dxa"/>
            <w:vAlign w:val="bottom"/>
            <w:shd w:val="clear" w:color="auto" w:fill="EFEBE9"/>
          </w:tcPr>
          <w:p>
            <w:pPr>
              <w:spacing w:after="0"/>
              <w:rPr>
                <w:sz w:val="12"/>
                <w:szCs w:val="12"/>
                <w:color w:val="auto"/>
              </w:rPr>
            </w:pPr>
          </w:p>
        </w:tc>
        <w:tc>
          <w:tcPr>
            <w:tcW w:w="800" w:type="dxa"/>
            <w:vAlign w:val="bottom"/>
            <w:shd w:val="clear" w:color="auto" w:fill="EFEBE9"/>
          </w:tcPr>
          <w:p>
            <w:pPr>
              <w:jc w:val="right"/>
              <w:ind w:right="217"/>
              <w:spacing w:after="0"/>
              <w:rPr>
                <w:sz w:val="20"/>
                <w:szCs w:val="20"/>
                <w:color w:val="auto"/>
              </w:rPr>
            </w:pPr>
            <w:r>
              <w:rPr>
                <w:rFonts w:ascii="Arial" w:cs="Arial" w:eastAsia="Arial" w:hAnsi="Arial"/>
                <w:sz w:val="13"/>
                <w:szCs w:val="13"/>
                <w:b w:val="1"/>
                <w:bCs w:val="1"/>
                <w:color w:val="867F7C"/>
              </w:rPr>
              <w:t>FY 2021</w:t>
            </w:r>
          </w:p>
        </w:tc>
        <w:tc>
          <w:tcPr>
            <w:tcW w:w="320" w:type="dxa"/>
            <w:vAlign w:val="bottom"/>
            <w:shd w:val="clear" w:color="auto" w:fill="EFEBE9"/>
          </w:tcPr>
          <w:p>
            <w:pPr>
              <w:spacing w:after="0"/>
              <w:rPr>
                <w:sz w:val="12"/>
                <w:szCs w:val="12"/>
                <w:color w:val="auto"/>
              </w:rPr>
            </w:pPr>
          </w:p>
        </w:tc>
        <w:tc>
          <w:tcPr>
            <w:tcW w:w="780" w:type="dxa"/>
            <w:vAlign w:val="bottom"/>
            <w:shd w:val="clear" w:color="auto" w:fill="EFEBE9"/>
          </w:tcPr>
          <w:p>
            <w:pPr>
              <w:jc w:val="right"/>
              <w:ind w:right="199"/>
              <w:spacing w:after="0"/>
              <w:rPr>
                <w:sz w:val="20"/>
                <w:szCs w:val="20"/>
                <w:color w:val="auto"/>
              </w:rPr>
            </w:pPr>
            <w:r>
              <w:rPr>
                <w:rFonts w:ascii="Arial" w:cs="Arial" w:eastAsia="Arial" w:hAnsi="Arial"/>
                <w:sz w:val="13"/>
                <w:szCs w:val="13"/>
                <w:b w:val="1"/>
                <w:bCs w:val="1"/>
                <w:color w:val="867F7C"/>
              </w:rPr>
              <w:t>FY 2022</w:t>
            </w:r>
          </w:p>
        </w:tc>
        <w:tc>
          <w:tcPr>
            <w:tcW w:w="300" w:type="dxa"/>
            <w:vAlign w:val="bottom"/>
            <w:shd w:val="clear" w:color="auto" w:fill="EFEBE9"/>
          </w:tcPr>
          <w:p>
            <w:pPr>
              <w:spacing w:after="0"/>
              <w:rPr>
                <w:sz w:val="12"/>
                <w:szCs w:val="12"/>
                <w:color w:val="auto"/>
              </w:rPr>
            </w:pPr>
          </w:p>
        </w:tc>
        <w:tc>
          <w:tcPr>
            <w:tcW w:w="740" w:type="dxa"/>
            <w:vAlign w:val="bottom"/>
            <w:shd w:val="clear" w:color="auto" w:fill="EFEBE9"/>
          </w:tcPr>
          <w:p>
            <w:pPr>
              <w:jc w:val="right"/>
              <w:ind w:right="157"/>
              <w:spacing w:after="0"/>
              <w:rPr>
                <w:sz w:val="20"/>
                <w:szCs w:val="20"/>
                <w:color w:val="auto"/>
              </w:rPr>
            </w:pPr>
            <w:r>
              <w:rPr>
                <w:rFonts w:ascii="Arial" w:cs="Arial" w:eastAsia="Arial" w:hAnsi="Arial"/>
                <w:sz w:val="13"/>
                <w:szCs w:val="13"/>
                <w:b w:val="1"/>
                <w:bCs w:val="1"/>
                <w:color w:val="867F7C"/>
              </w:rPr>
              <w:t>FY 2023</w:t>
            </w:r>
          </w:p>
        </w:tc>
        <w:tc>
          <w:tcPr>
            <w:tcW w:w="940" w:type="dxa"/>
            <w:vAlign w:val="bottom"/>
            <w:gridSpan w:val="2"/>
            <w:shd w:val="clear" w:color="auto" w:fill="EFEBE9"/>
          </w:tcPr>
          <w:p>
            <w:pPr>
              <w:jc w:val="right"/>
              <w:ind w:right="219"/>
              <w:spacing w:after="0"/>
              <w:rPr>
                <w:sz w:val="20"/>
                <w:szCs w:val="20"/>
                <w:color w:val="auto"/>
              </w:rPr>
            </w:pPr>
            <w:r>
              <w:rPr>
                <w:rFonts w:ascii="Arial" w:cs="Arial" w:eastAsia="Arial" w:hAnsi="Arial"/>
                <w:sz w:val="13"/>
                <w:szCs w:val="13"/>
                <w:b w:val="1"/>
                <w:bCs w:val="1"/>
                <w:color w:val="867F7C"/>
              </w:rPr>
              <w:t>FY 2024</w:t>
            </w:r>
          </w:p>
        </w:tc>
        <w:tc>
          <w:tcPr>
            <w:tcW w:w="220" w:type="dxa"/>
            <w:vAlign w:val="bottom"/>
            <w:shd w:val="clear" w:color="auto" w:fill="EFEBE9"/>
          </w:tcPr>
          <w:p>
            <w:pPr>
              <w:spacing w:after="0"/>
              <w:rPr>
                <w:sz w:val="12"/>
                <w:szCs w:val="12"/>
                <w:color w:val="auto"/>
              </w:rPr>
            </w:pPr>
          </w:p>
        </w:tc>
        <w:tc>
          <w:tcPr>
            <w:tcW w:w="840" w:type="dxa"/>
            <w:vAlign w:val="bottom"/>
            <w:shd w:val="clear" w:color="auto" w:fill="EFEBE9"/>
          </w:tcPr>
          <w:p>
            <w:pPr>
              <w:jc w:val="right"/>
              <w:ind w:right="237"/>
              <w:spacing w:after="0"/>
              <w:rPr>
                <w:sz w:val="20"/>
                <w:szCs w:val="20"/>
                <w:color w:val="auto"/>
              </w:rPr>
            </w:pPr>
            <w:r>
              <w:rPr>
                <w:rFonts w:ascii="Arial" w:cs="Arial" w:eastAsia="Arial" w:hAnsi="Arial"/>
                <w:sz w:val="13"/>
                <w:szCs w:val="13"/>
                <w:b w:val="1"/>
                <w:bCs w:val="1"/>
                <w:color w:val="867F7C"/>
              </w:rPr>
              <w:t>FY2025</w:t>
            </w:r>
          </w:p>
        </w:tc>
      </w:tr>
      <w:tr>
        <w:trPr>
          <w:trHeight w:val="135"/>
        </w:trPr>
        <w:tc>
          <w:tcPr>
            <w:tcW w:w="2960" w:type="dxa"/>
            <w:vAlign w:val="bottom"/>
            <w:tcBorders>
              <w:bottom w:val="single" w:sz="8" w:color="867F7C"/>
            </w:tcBorders>
          </w:tcPr>
          <w:p>
            <w:pPr>
              <w:ind w:left="100"/>
              <w:spacing w:after="0" w:line="135" w:lineRule="exact"/>
              <w:rPr>
                <w:sz w:val="20"/>
                <w:szCs w:val="20"/>
                <w:color w:val="auto"/>
              </w:rPr>
            </w:pPr>
            <w:r>
              <w:rPr>
                <w:rFonts w:ascii="Arial" w:cs="Arial" w:eastAsia="Arial" w:hAnsi="Arial"/>
                <w:sz w:val="13"/>
                <w:szCs w:val="13"/>
                <w:b w:val="1"/>
                <w:bCs w:val="1"/>
                <w:color w:val="4CCEDE"/>
              </w:rPr>
              <w:t>Ashland TSR</w:t>
            </w:r>
          </w:p>
        </w:tc>
        <w:tc>
          <w:tcPr>
            <w:tcW w:w="360" w:type="dxa"/>
            <w:vAlign w:val="bottom"/>
            <w:tcBorders>
              <w:bottom w:val="single" w:sz="8" w:color="867F7C"/>
            </w:tcBorders>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867F7C"/>
            </w:tcBorders>
          </w:tcPr>
          <w:p>
            <w:pPr>
              <w:jc w:val="right"/>
              <w:ind w:right="157"/>
              <w:spacing w:after="0" w:line="135" w:lineRule="exact"/>
              <w:rPr>
                <w:sz w:val="20"/>
                <w:szCs w:val="20"/>
                <w:color w:val="auto"/>
              </w:rPr>
            </w:pPr>
            <w:r>
              <w:rPr>
                <w:rFonts w:ascii="Arial" w:cs="Arial" w:eastAsia="Arial" w:hAnsi="Arial"/>
                <w:sz w:val="13"/>
                <w:szCs w:val="13"/>
                <w:color w:val="auto"/>
              </w:rPr>
              <w:t>100</w:t>
            </w:r>
          </w:p>
        </w:tc>
        <w:tc>
          <w:tcPr>
            <w:tcW w:w="300" w:type="dxa"/>
            <w:vAlign w:val="bottom"/>
            <w:tcBorders>
              <w:bottom w:val="single" w:sz="8" w:color="867F7C"/>
            </w:tcBorders>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867F7C"/>
            </w:tcBorders>
          </w:tcPr>
          <w:p>
            <w:pPr>
              <w:jc w:val="right"/>
              <w:ind w:right="137"/>
              <w:spacing w:after="0" w:line="135" w:lineRule="exact"/>
              <w:rPr>
                <w:sz w:val="20"/>
                <w:szCs w:val="20"/>
                <w:color w:val="auto"/>
              </w:rPr>
            </w:pPr>
            <w:r>
              <w:rPr>
                <w:rFonts w:ascii="Arial" w:cs="Arial" w:eastAsia="Arial" w:hAnsi="Arial"/>
                <w:sz w:val="13"/>
                <w:szCs w:val="13"/>
                <w:color w:val="auto"/>
              </w:rPr>
              <w:t>127</w:t>
            </w:r>
          </w:p>
        </w:tc>
        <w:tc>
          <w:tcPr>
            <w:tcW w:w="320" w:type="dxa"/>
            <w:vAlign w:val="bottom"/>
            <w:tcBorders>
              <w:bottom w:val="single" w:sz="8" w:color="867F7C"/>
            </w:tcBorders>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67F7C"/>
            </w:tcBorders>
          </w:tcPr>
          <w:p>
            <w:pPr>
              <w:jc w:val="right"/>
              <w:ind w:right="119"/>
              <w:spacing w:after="0" w:line="135" w:lineRule="exact"/>
              <w:rPr>
                <w:sz w:val="20"/>
                <w:szCs w:val="20"/>
                <w:color w:val="auto"/>
              </w:rPr>
            </w:pPr>
            <w:r>
              <w:rPr>
                <w:rFonts w:ascii="Arial" w:cs="Arial" w:eastAsia="Arial" w:hAnsi="Arial"/>
                <w:sz w:val="13"/>
                <w:szCs w:val="13"/>
                <w:color w:val="auto"/>
              </w:rPr>
              <w:t>137</w:t>
            </w:r>
          </w:p>
        </w:tc>
        <w:tc>
          <w:tcPr>
            <w:tcW w:w="300" w:type="dxa"/>
            <w:vAlign w:val="bottom"/>
            <w:tcBorders>
              <w:bottom w:val="single" w:sz="8" w:color="867F7C"/>
            </w:tcBorders>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67F7C"/>
            </w:tcBorders>
          </w:tcPr>
          <w:p>
            <w:pPr>
              <w:jc w:val="right"/>
              <w:ind w:right="77"/>
              <w:spacing w:after="0" w:line="135" w:lineRule="exact"/>
              <w:rPr>
                <w:sz w:val="20"/>
                <w:szCs w:val="20"/>
                <w:color w:val="auto"/>
              </w:rPr>
            </w:pPr>
            <w:r>
              <w:rPr>
                <w:rFonts w:ascii="Arial" w:cs="Arial" w:eastAsia="Arial" w:hAnsi="Arial"/>
                <w:sz w:val="13"/>
                <w:szCs w:val="13"/>
                <w:color w:val="auto"/>
              </w:rPr>
              <w:t>120</w:t>
            </w:r>
          </w:p>
        </w:tc>
        <w:tc>
          <w:tcPr>
            <w:tcW w:w="240" w:type="dxa"/>
            <w:vAlign w:val="bottom"/>
            <w:tcBorders>
              <w:bottom w:val="single" w:sz="8" w:color="867F7C"/>
            </w:tcBorders>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67F7C"/>
            </w:tcBorders>
          </w:tcPr>
          <w:p>
            <w:pPr>
              <w:jc w:val="right"/>
              <w:ind w:right="59"/>
              <w:spacing w:after="0" w:line="135" w:lineRule="exact"/>
              <w:rPr>
                <w:sz w:val="20"/>
                <w:szCs w:val="20"/>
                <w:color w:val="auto"/>
              </w:rPr>
            </w:pPr>
            <w:r>
              <w:rPr>
                <w:rFonts w:ascii="Arial" w:cs="Arial" w:eastAsia="Arial" w:hAnsi="Arial"/>
                <w:sz w:val="13"/>
                <w:szCs w:val="13"/>
                <w:color w:val="auto"/>
              </w:rPr>
              <w:t>130</w:t>
            </w:r>
          </w:p>
        </w:tc>
        <w:tc>
          <w:tcPr>
            <w:tcW w:w="220" w:type="dxa"/>
            <w:vAlign w:val="bottom"/>
            <w:tcBorders>
              <w:bottom w:val="single" w:sz="8" w:color="867F7C"/>
            </w:tcBorders>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57"/>
              <w:spacing w:after="0" w:line="135" w:lineRule="exact"/>
              <w:rPr>
                <w:sz w:val="20"/>
                <w:szCs w:val="20"/>
                <w:color w:val="auto"/>
              </w:rPr>
            </w:pPr>
            <w:r>
              <w:rPr>
                <w:rFonts w:ascii="Arial" w:cs="Arial" w:eastAsia="Arial" w:hAnsi="Arial"/>
                <w:sz w:val="13"/>
                <w:szCs w:val="13"/>
                <w:color w:val="auto"/>
              </w:rPr>
              <w:t>74</w:t>
            </w:r>
          </w:p>
        </w:tc>
      </w:tr>
      <w:tr>
        <w:trPr>
          <w:trHeight w:val="129"/>
        </w:trPr>
        <w:tc>
          <w:tcPr>
            <w:tcW w:w="2960" w:type="dxa"/>
            <w:vAlign w:val="bottom"/>
            <w:tcBorders>
              <w:bottom w:val="single" w:sz="8" w:color="867F7C"/>
            </w:tcBorders>
          </w:tcPr>
          <w:p>
            <w:pPr>
              <w:ind w:left="80"/>
              <w:spacing w:after="0" w:line="129" w:lineRule="exact"/>
              <w:rPr>
                <w:sz w:val="20"/>
                <w:szCs w:val="20"/>
                <w:color w:val="auto"/>
              </w:rPr>
            </w:pPr>
            <w:r>
              <w:rPr>
                <w:rFonts w:ascii="Arial" w:cs="Arial" w:eastAsia="Arial" w:hAnsi="Arial"/>
                <w:sz w:val="13"/>
                <w:szCs w:val="13"/>
                <w:color w:val="auto"/>
              </w:rPr>
              <w:t>Peer Group - Materials TSR</w:t>
            </w:r>
          </w:p>
        </w:tc>
        <w:tc>
          <w:tcPr>
            <w:tcW w:w="360" w:type="dxa"/>
            <w:vAlign w:val="bottom"/>
            <w:tcBorders>
              <w:bottom w:val="single" w:sz="8" w:color="867F7C"/>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867F7C"/>
            </w:tcBorders>
          </w:tcPr>
          <w:p>
            <w:pPr>
              <w:jc w:val="right"/>
              <w:ind w:right="157"/>
              <w:spacing w:after="0" w:line="129" w:lineRule="exact"/>
              <w:rPr>
                <w:sz w:val="20"/>
                <w:szCs w:val="20"/>
                <w:color w:val="auto"/>
              </w:rPr>
            </w:pPr>
            <w:r>
              <w:rPr>
                <w:rFonts w:ascii="Arial" w:cs="Arial" w:eastAsia="Arial" w:hAnsi="Arial"/>
                <w:sz w:val="13"/>
                <w:szCs w:val="13"/>
                <w:color w:val="auto"/>
              </w:rPr>
              <w:t>100</w:t>
            </w:r>
          </w:p>
        </w:tc>
        <w:tc>
          <w:tcPr>
            <w:tcW w:w="30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867F7C"/>
            </w:tcBorders>
          </w:tcPr>
          <w:p>
            <w:pPr>
              <w:jc w:val="right"/>
              <w:ind w:right="137"/>
              <w:spacing w:after="0" w:line="129" w:lineRule="exact"/>
              <w:rPr>
                <w:sz w:val="20"/>
                <w:szCs w:val="20"/>
                <w:color w:val="auto"/>
              </w:rPr>
            </w:pPr>
            <w:r>
              <w:rPr>
                <w:rFonts w:ascii="Arial" w:cs="Arial" w:eastAsia="Arial" w:hAnsi="Arial"/>
                <w:sz w:val="13"/>
                <w:szCs w:val="13"/>
                <w:color w:val="auto"/>
              </w:rPr>
              <w:t>128</w:t>
            </w:r>
          </w:p>
        </w:tc>
        <w:tc>
          <w:tcPr>
            <w:tcW w:w="32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67F7C"/>
            </w:tcBorders>
          </w:tcPr>
          <w:p>
            <w:pPr>
              <w:jc w:val="right"/>
              <w:ind w:right="119"/>
              <w:spacing w:after="0" w:line="129" w:lineRule="exact"/>
              <w:rPr>
                <w:sz w:val="20"/>
                <w:szCs w:val="20"/>
                <w:color w:val="auto"/>
              </w:rPr>
            </w:pPr>
            <w:r>
              <w:rPr>
                <w:rFonts w:ascii="Arial" w:cs="Arial" w:eastAsia="Arial" w:hAnsi="Arial"/>
                <w:sz w:val="13"/>
                <w:szCs w:val="13"/>
                <w:color w:val="auto"/>
              </w:rPr>
              <w:t>114</w:t>
            </w:r>
          </w:p>
        </w:tc>
        <w:tc>
          <w:tcPr>
            <w:tcW w:w="30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67F7C"/>
            </w:tcBorders>
          </w:tcPr>
          <w:p>
            <w:pPr>
              <w:jc w:val="right"/>
              <w:ind w:right="77"/>
              <w:spacing w:after="0" w:line="129" w:lineRule="exact"/>
              <w:rPr>
                <w:sz w:val="20"/>
                <w:szCs w:val="20"/>
                <w:color w:val="auto"/>
              </w:rPr>
            </w:pPr>
            <w:r>
              <w:rPr>
                <w:rFonts w:ascii="Arial" w:cs="Arial" w:eastAsia="Arial" w:hAnsi="Arial"/>
                <w:sz w:val="13"/>
                <w:szCs w:val="13"/>
                <w:color w:val="auto"/>
              </w:rPr>
              <w:t>135</w:t>
            </w:r>
          </w:p>
        </w:tc>
        <w:tc>
          <w:tcPr>
            <w:tcW w:w="24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67F7C"/>
            </w:tcBorders>
          </w:tcPr>
          <w:p>
            <w:pPr>
              <w:jc w:val="right"/>
              <w:ind w:right="59"/>
              <w:spacing w:after="0" w:line="129" w:lineRule="exact"/>
              <w:rPr>
                <w:sz w:val="20"/>
                <w:szCs w:val="20"/>
                <w:color w:val="auto"/>
              </w:rPr>
            </w:pPr>
            <w:r>
              <w:rPr>
                <w:rFonts w:ascii="Arial" w:cs="Arial" w:eastAsia="Arial" w:hAnsi="Arial"/>
                <w:sz w:val="13"/>
                <w:szCs w:val="13"/>
                <w:color w:val="auto"/>
              </w:rPr>
              <w:t>154</w:t>
            </w:r>
          </w:p>
        </w:tc>
        <w:tc>
          <w:tcPr>
            <w:tcW w:w="22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57"/>
              <w:spacing w:after="0" w:line="129" w:lineRule="exact"/>
              <w:rPr>
                <w:sz w:val="20"/>
                <w:szCs w:val="20"/>
                <w:color w:val="auto"/>
              </w:rPr>
            </w:pPr>
            <w:r>
              <w:rPr>
                <w:rFonts w:ascii="Arial" w:cs="Arial" w:eastAsia="Arial" w:hAnsi="Arial"/>
                <w:sz w:val="13"/>
                <w:szCs w:val="13"/>
                <w:color w:val="auto"/>
              </w:rPr>
              <w:t>129</w:t>
            </w:r>
          </w:p>
        </w:tc>
      </w:tr>
      <w:tr>
        <w:trPr>
          <w:trHeight w:val="169"/>
        </w:trPr>
        <w:tc>
          <w:tcPr>
            <w:tcW w:w="2960" w:type="dxa"/>
            <w:vAlign w:val="bottom"/>
          </w:tcPr>
          <w:p>
            <w:pPr>
              <w:ind w:left="80"/>
              <w:spacing w:after="0"/>
              <w:rPr>
                <w:sz w:val="20"/>
                <w:szCs w:val="20"/>
                <w:color w:val="auto"/>
              </w:rPr>
            </w:pPr>
            <w:r>
              <w:rPr>
                <w:rFonts w:ascii="Arial" w:cs="Arial" w:eastAsia="Arial" w:hAnsi="Arial"/>
                <w:sz w:val="13"/>
                <w:szCs w:val="13"/>
                <w:color w:val="auto"/>
              </w:rPr>
              <w:t>PEO Compensation Actually Paid</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9,133,390</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9"/>
              <w:spacing w:after="0"/>
              <w:rPr>
                <w:sz w:val="20"/>
                <w:szCs w:val="20"/>
                <w:color w:val="auto"/>
              </w:rPr>
            </w:pPr>
            <w:r>
              <w:rPr>
                <w:rFonts w:ascii="Arial" w:cs="Arial" w:eastAsia="Arial" w:hAnsi="Arial"/>
                <w:sz w:val="13"/>
                <w:szCs w:val="13"/>
                <w:color w:val="auto"/>
              </w:rPr>
              <w:t>12,896,11</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239,756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9"/>
              <w:spacing w:after="0"/>
              <w:rPr>
                <w:sz w:val="20"/>
                <w:szCs w:val="20"/>
                <w:color w:val="auto"/>
              </w:rPr>
            </w:pPr>
            <w:r>
              <w:rPr>
                <w:rFonts w:ascii="Arial" w:cs="Arial" w:eastAsia="Arial" w:hAnsi="Arial"/>
                <w:sz w:val="13"/>
                <w:szCs w:val="13"/>
                <w:color w:val="auto"/>
                <w:w w:val="96"/>
              </w:rPr>
              <w:t>12,245,39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w w:val="99"/>
              </w:rPr>
              <w:t>(2,860,095)</w:t>
            </w:r>
          </w:p>
        </w:tc>
      </w:tr>
      <w:tr>
        <w:trPr>
          <w:trHeight w:val="95"/>
        </w:trPr>
        <w:tc>
          <w:tcPr>
            <w:tcW w:w="2960" w:type="dxa"/>
            <w:vAlign w:val="bottom"/>
            <w:tcBorders>
              <w:bottom w:val="single" w:sz="8" w:color="867F7C"/>
            </w:tcBorders>
          </w:tcPr>
          <w:p>
            <w:pPr>
              <w:spacing w:after="0"/>
              <w:rPr>
                <w:sz w:val="8"/>
                <w:szCs w:val="8"/>
                <w:color w:val="auto"/>
              </w:rPr>
            </w:pPr>
          </w:p>
        </w:tc>
        <w:tc>
          <w:tcPr>
            <w:tcW w:w="360" w:type="dxa"/>
            <w:vAlign w:val="bottom"/>
            <w:tcBorders>
              <w:bottom w:val="single" w:sz="8" w:color="867F7C"/>
            </w:tcBorders>
          </w:tcPr>
          <w:p>
            <w:pPr>
              <w:spacing w:after="0"/>
              <w:rPr>
                <w:sz w:val="8"/>
                <w:szCs w:val="8"/>
                <w:color w:val="auto"/>
              </w:rPr>
            </w:pPr>
          </w:p>
        </w:tc>
        <w:tc>
          <w:tcPr>
            <w:tcW w:w="520" w:type="dxa"/>
            <w:vAlign w:val="bottom"/>
            <w:tcBorders>
              <w:bottom w:val="single" w:sz="8" w:color="867F7C"/>
            </w:tcBorders>
          </w:tcPr>
          <w:p>
            <w:pPr>
              <w:spacing w:after="0"/>
              <w:rPr>
                <w:sz w:val="8"/>
                <w:szCs w:val="8"/>
                <w:color w:val="auto"/>
              </w:rPr>
            </w:pPr>
          </w:p>
        </w:tc>
        <w:tc>
          <w:tcPr>
            <w:tcW w:w="300" w:type="dxa"/>
            <w:vAlign w:val="bottom"/>
            <w:tcBorders>
              <w:bottom w:val="single" w:sz="8" w:color="867F7C"/>
            </w:tcBorders>
          </w:tcPr>
          <w:p>
            <w:pPr>
              <w:spacing w:after="0"/>
              <w:rPr>
                <w:sz w:val="8"/>
                <w:szCs w:val="8"/>
                <w:color w:val="auto"/>
              </w:rPr>
            </w:pPr>
          </w:p>
        </w:tc>
        <w:tc>
          <w:tcPr>
            <w:tcW w:w="800" w:type="dxa"/>
            <w:vAlign w:val="bottom"/>
            <w:tcBorders>
              <w:bottom w:val="single" w:sz="8" w:color="867F7C"/>
            </w:tcBorders>
          </w:tcPr>
          <w:p>
            <w:pPr>
              <w:spacing w:after="0"/>
              <w:rPr>
                <w:sz w:val="8"/>
                <w:szCs w:val="8"/>
                <w:color w:val="auto"/>
              </w:rPr>
            </w:pPr>
          </w:p>
        </w:tc>
        <w:tc>
          <w:tcPr>
            <w:tcW w:w="320" w:type="dxa"/>
            <w:vAlign w:val="bottom"/>
            <w:tcBorders>
              <w:bottom w:val="single" w:sz="8" w:color="867F7C"/>
            </w:tcBorders>
          </w:tcPr>
          <w:p>
            <w:pPr>
              <w:spacing w:after="0"/>
              <w:rPr>
                <w:sz w:val="8"/>
                <w:szCs w:val="8"/>
                <w:color w:val="auto"/>
              </w:rPr>
            </w:pPr>
          </w:p>
        </w:tc>
        <w:tc>
          <w:tcPr>
            <w:tcW w:w="780" w:type="dxa"/>
            <w:vAlign w:val="bottom"/>
            <w:tcBorders>
              <w:bottom w:val="single" w:sz="8" w:color="867F7C"/>
            </w:tcBorders>
          </w:tcPr>
          <w:p>
            <w:pPr>
              <w:jc w:val="right"/>
              <w:ind w:right="119"/>
              <w:spacing w:after="0" w:line="95" w:lineRule="exact"/>
              <w:rPr>
                <w:sz w:val="20"/>
                <w:szCs w:val="20"/>
                <w:color w:val="auto"/>
              </w:rPr>
            </w:pPr>
            <w:r>
              <w:rPr>
                <w:rFonts w:ascii="Arial" w:cs="Arial" w:eastAsia="Arial" w:hAnsi="Arial"/>
                <w:sz w:val="10"/>
                <w:szCs w:val="10"/>
                <w:color w:val="auto"/>
              </w:rPr>
              <w:t>5</w:t>
            </w:r>
          </w:p>
        </w:tc>
        <w:tc>
          <w:tcPr>
            <w:tcW w:w="300" w:type="dxa"/>
            <w:vAlign w:val="bottom"/>
            <w:tcBorders>
              <w:bottom w:val="single" w:sz="8" w:color="867F7C"/>
            </w:tcBorders>
          </w:tcPr>
          <w:p>
            <w:pPr>
              <w:spacing w:after="0"/>
              <w:rPr>
                <w:sz w:val="8"/>
                <w:szCs w:val="8"/>
                <w:color w:val="auto"/>
              </w:rPr>
            </w:pPr>
          </w:p>
        </w:tc>
        <w:tc>
          <w:tcPr>
            <w:tcW w:w="740" w:type="dxa"/>
            <w:vAlign w:val="bottom"/>
            <w:tcBorders>
              <w:bottom w:val="single" w:sz="8" w:color="867F7C"/>
            </w:tcBorders>
          </w:tcPr>
          <w:p>
            <w:pPr>
              <w:spacing w:after="0"/>
              <w:rPr>
                <w:sz w:val="8"/>
                <w:szCs w:val="8"/>
                <w:color w:val="auto"/>
              </w:rPr>
            </w:pPr>
          </w:p>
        </w:tc>
        <w:tc>
          <w:tcPr>
            <w:tcW w:w="240" w:type="dxa"/>
            <w:vAlign w:val="bottom"/>
            <w:tcBorders>
              <w:bottom w:val="single" w:sz="8" w:color="867F7C"/>
            </w:tcBorders>
          </w:tcPr>
          <w:p>
            <w:pPr>
              <w:spacing w:after="0"/>
              <w:rPr>
                <w:sz w:val="8"/>
                <w:szCs w:val="8"/>
                <w:color w:val="auto"/>
              </w:rPr>
            </w:pPr>
          </w:p>
        </w:tc>
        <w:tc>
          <w:tcPr>
            <w:tcW w:w="700" w:type="dxa"/>
            <w:vAlign w:val="bottom"/>
            <w:tcBorders>
              <w:bottom w:val="single" w:sz="8" w:color="867F7C"/>
            </w:tcBorders>
          </w:tcPr>
          <w:p>
            <w:pPr>
              <w:jc w:val="right"/>
              <w:ind w:right="59"/>
              <w:spacing w:after="0" w:line="95" w:lineRule="exact"/>
              <w:rPr>
                <w:sz w:val="20"/>
                <w:szCs w:val="20"/>
                <w:color w:val="auto"/>
              </w:rPr>
            </w:pPr>
            <w:r>
              <w:rPr>
                <w:rFonts w:ascii="Arial" w:cs="Arial" w:eastAsia="Arial" w:hAnsi="Arial"/>
                <w:sz w:val="10"/>
                <w:szCs w:val="10"/>
                <w:color w:val="auto"/>
              </w:rPr>
              <w:t>1</w:t>
            </w:r>
          </w:p>
        </w:tc>
        <w:tc>
          <w:tcPr>
            <w:tcW w:w="220" w:type="dxa"/>
            <w:vAlign w:val="bottom"/>
            <w:tcBorders>
              <w:bottom w:val="single" w:sz="8" w:color="867F7C"/>
            </w:tcBorders>
          </w:tcPr>
          <w:p>
            <w:pPr>
              <w:spacing w:after="0"/>
              <w:rPr>
                <w:sz w:val="8"/>
                <w:szCs w:val="8"/>
                <w:color w:val="auto"/>
              </w:rPr>
            </w:pPr>
          </w:p>
        </w:tc>
        <w:tc>
          <w:tcPr>
            <w:tcW w:w="840" w:type="dxa"/>
            <w:vAlign w:val="bottom"/>
            <w:tcBorders>
              <w:bottom w:val="single" w:sz="8" w:color="867F7C"/>
            </w:tcBorders>
          </w:tcPr>
          <w:p>
            <w:pPr>
              <w:spacing w:after="0"/>
              <w:rPr>
                <w:sz w:val="8"/>
                <w:szCs w:val="8"/>
                <w:color w:val="auto"/>
              </w:rPr>
            </w:pPr>
          </w:p>
        </w:tc>
      </w:tr>
      <w:tr>
        <w:trPr>
          <w:trHeight w:val="128"/>
        </w:trPr>
        <w:tc>
          <w:tcPr>
            <w:tcW w:w="2960" w:type="dxa"/>
            <w:vAlign w:val="bottom"/>
            <w:tcBorders>
              <w:bottom w:val="single" w:sz="8" w:color="867F7C"/>
            </w:tcBorders>
          </w:tcPr>
          <w:p>
            <w:pPr>
              <w:ind w:left="80"/>
              <w:spacing w:after="0" w:line="129" w:lineRule="exact"/>
              <w:rPr>
                <w:sz w:val="20"/>
                <w:szCs w:val="20"/>
                <w:color w:val="auto"/>
              </w:rPr>
            </w:pPr>
            <w:r>
              <w:rPr>
                <w:rFonts w:ascii="Arial" w:cs="Arial" w:eastAsia="Arial" w:hAnsi="Arial"/>
                <w:sz w:val="13"/>
                <w:szCs w:val="13"/>
                <w:color w:val="auto"/>
              </w:rPr>
              <w:t>Avg non-PEO NEO Compensation Actually Paid</w:t>
            </w:r>
          </w:p>
        </w:tc>
        <w:tc>
          <w:tcPr>
            <w:tcW w:w="360" w:type="dxa"/>
            <w:vAlign w:val="bottom"/>
            <w:tcBorders>
              <w:bottom w:val="single" w:sz="8" w:color="867F7C"/>
            </w:tcBorders>
          </w:tcPr>
          <w:p>
            <w:pPr>
              <w:spacing w:after="0"/>
              <w:rPr>
                <w:sz w:val="11"/>
                <w:szCs w:val="11"/>
                <w:color w:val="auto"/>
              </w:rPr>
            </w:pPr>
          </w:p>
        </w:tc>
        <w:tc>
          <w:tcPr>
            <w:tcW w:w="520" w:type="dxa"/>
            <w:vAlign w:val="bottom"/>
            <w:tcBorders>
              <w:bottom w:val="single" w:sz="8" w:color="867F7C"/>
            </w:tcBorders>
          </w:tcPr>
          <w:p>
            <w:pPr>
              <w:spacing w:after="0"/>
              <w:rPr>
                <w:sz w:val="11"/>
                <w:szCs w:val="11"/>
                <w:color w:val="auto"/>
              </w:rPr>
            </w:pPr>
          </w:p>
        </w:tc>
        <w:tc>
          <w:tcPr>
            <w:tcW w:w="30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867F7C"/>
            </w:tcBorders>
          </w:tcPr>
          <w:p>
            <w:pPr>
              <w:jc w:val="right"/>
              <w:ind w:right="137"/>
              <w:spacing w:after="0" w:line="129" w:lineRule="exact"/>
              <w:rPr>
                <w:sz w:val="20"/>
                <w:szCs w:val="20"/>
                <w:color w:val="auto"/>
              </w:rPr>
            </w:pPr>
            <w:r>
              <w:rPr>
                <w:rFonts w:ascii="Arial" w:cs="Arial" w:eastAsia="Arial" w:hAnsi="Arial"/>
                <w:sz w:val="13"/>
                <w:szCs w:val="13"/>
                <w:color w:val="auto"/>
              </w:rPr>
              <w:t>1,937,347</w:t>
            </w:r>
          </w:p>
        </w:tc>
        <w:tc>
          <w:tcPr>
            <w:tcW w:w="32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867F7C"/>
            </w:tcBorders>
          </w:tcPr>
          <w:p>
            <w:pPr>
              <w:jc w:val="right"/>
              <w:ind w:right="119"/>
              <w:spacing w:after="0" w:line="129" w:lineRule="exact"/>
              <w:rPr>
                <w:sz w:val="20"/>
                <w:szCs w:val="20"/>
                <w:color w:val="auto"/>
              </w:rPr>
            </w:pPr>
            <w:r>
              <w:rPr>
                <w:rFonts w:ascii="Arial" w:cs="Arial" w:eastAsia="Arial" w:hAnsi="Arial"/>
                <w:sz w:val="13"/>
                <w:szCs w:val="13"/>
                <w:color w:val="auto"/>
              </w:rPr>
              <w:t>2,629,583</w:t>
            </w:r>
          </w:p>
        </w:tc>
        <w:tc>
          <w:tcPr>
            <w:tcW w:w="30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867F7C"/>
            </w:tcBorders>
          </w:tcPr>
          <w:p>
            <w:pPr>
              <w:jc w:val="right"/>
              <w:ind w:right="77"/>
              <w:spacing w:after="0" w:line="129" w:lineRule="exact"/>
              <w:rPr>
                <w:sz w:val="20"/>
                <w:szCs w:val="20"/>
                <w:color w:val="auto"/>
              </w:rPr>
            </w:pPr>
            <w:r>
              <w:rPr>
                <w:rFonts w:ascii="Arial" w:cs="Arial" w:eastAsia="Arial" w:hAnsi="Arial"/>
                <w:sz w:val="13"/>
                <w:szCs w:val="13"/>
                <w:color w:val="auto"/>
              </w:rPr>
              <w:t>607,649</w:t>
            </w:r>
          </w:p>
        </w:tc>
        <w:tc>
          <w:tcPr>
            <w:tcW w:w="24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67F7C"/>
            </w:tcBorders>
          </w:tcPr>
          <w:p>
            <w:pPr>
              <w:jc w:val="right"/>
              <w:ind w:right="59"/>
              <w:spacing w:after="0" w:line="129" w:lineRule="exact"/>
              <w:rPr>
                <w:sz w:val="20"/>
                <w:szCs w:val="20"/>
                <w:color w:val="auto"/>
              </w:rPr>
            </w:pPr>
            <w:r>
              <w:rPr>
                <w:rFonts w:ascii="Arial" w:cs="Arial" w:eastAsia="Arial" w:hAnsi="Arial"/>
                <w:sz w:val="13"/>
                <w:szCs w:val="13"/>
                <w:color w:val="auto"/>
                <w:w w:val="96"/>
              </w:rPr>
              <w:t>2,931,498</w:t>
            </w:r>
          </w:p>
        </w:tc>
        <w:tc>
          <w:tcPr>
            <w:tcW w:w="220" w:type="dxa"/>
            <w:vAlign w:val="bottom"/>
            <w:tcBorders>
              <w:bottom w:val="single" w:sz="8" w:color="867F7C"/>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57"/>
              <w:spacing w:after="0" w:line="129" w:lineRule="exact"/>
              <w:rPr>
                <w:sz w:val="20"/>
                <w:szCs w:val="20"/>
                <w:color w:val="auto"/>
              </w:rPr>
            </w:pPr>
            <w:r>
              <w:rPr>
                <w:rFonts w:ascii="Arial" w:cs="Arial" w:eastAsia="Arial" w:hAnsi="Arial"/>
                <w:sz w:val="13"/>
                <w:szCs w:val="13"/>
                <w:color w:val="auto"/>
              </w:rPr>
              <w:t>1,008,531</w:t>
            </w:r>
          </w:p>
        </w:tc>
      </w:tr>
    </w:tbl>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chart below provides a comparison between (i) Ashland’s Adjusted EBITDA and (ii) compensation actually paid to our PEO and average compensation actually paid to our non-PEO NEOs for the fiscal</w:t>
      </w:r>
    </w:p>
    <w:p>
      <w:pPr>
        <w:spacing w:after="0" w:line="157"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867F7C"/>
        </w:rPr>
        <w:t>pay versus performance</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years ended September 30, 2021, September 30, 2022, September 30, 2023, September 30, 2024, and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5760720" cy="27006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6072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shd w:val="clear" w:color="auto" w:fill="EFEBE9"/>
          </w:tcPr>
          <w:p>
            <w:pPr>
              <w:spacing w:after="0"/>
              <w:rPr>
                <w:sz w:val="13"/>
                <w:szCs w:val="13"/>
                <w:color w:val="auto"/>
              </w:rPr>
            </w:pPr>
          </w:p>
        </w:tc>
        <w:tc>
          <w:tcPr>
            <w:tcW w:w="320" w:type="dxa"/>
            <w:vAlign w:val="bottom"/>
            <w:shd w:val="clear" w:color="auto" w:fill="EFEBE9"/>
          </w:tcPr>
          <w:p>
            <w:pPr>
              <w:spacing w:after="0"/>
              <w:rPr>
                <w:sz w:val="13"/>
                <w:szCs w:val="13"/>
                <w:color w:val="auto"/>
              </w:rPr>
            </w:pPr>
          </w:p>
        </w:tc>
        <w:tc>
          <w:tcPr>
            <w:tcW w:w="880" w:type="dxa"/>
            <w:vAlign w:val="bottom"/>
            <w:shd w:val="clear" w:color="auto" w:fill="EFEBE9"/>
          </w:tcPr>
          <w:p>
            <w:pPr>
              <w:jc w:val="right"/>
              <w:ind w:right="233"/>
              <w:spacing w:after="0"/>
              <w:rPr>
                <w:sz w:val="20"/>
                <w:szCs w:val="20"/>
                <w:color w:val="auto"/>
              </w:rPr>
            </w:pPr>
            <w:r>
              <w:rPr>
                <w:rFonts w:ascii="Arial" w:cs="Arial" w:eastAsia="Arial" w:hAnsi="Arial"/>
                <w:sz w:val="13"/>
                <w:szCs w:val="13"/>
                <w:b w:val="1"/>
                <w:bCs w:val="1"/>
                <w:color w:val="867F7C"/>
              </w:rPr>
              <w:t>FY 2021</w:t>
            </w:r>
          </w:p>
        </w:tc>
        <w:tc>
          <w:tcPr>
            <w:tcW w:w="320" w:type="dxa"/>
            <w:vAlign w:val="bottom"/>
            <w:shd w:val="clear" w:color="auto" w:fill="EFEBE9"/>
          </w:tcPr>
          <w:p>
            <w:pPr>
              <w:spacing w:after="0"/>
              <w:rPr>
                <w:sz w:val="13"/>
                <w:szCs w:val="13"/>
                <w:color w:val="auto"/>
              </w:rPr>
            </w:pPr>
          </w:p>
        </w:tc>
        <w:tc>
          <w:tcPr>
            <w:tcW w:w="920" w:type="dxa"/>
            <w:vAlign w:val="bottom"/>
            <w:shd w:val="clear" w:color="auto" w:fill="EFEBE9"/>
          </w:tcPr>
          <w:p>
            <w:pPr>
              <w:jc w:val="right"/>
              <w:ind w:right="253"/>
              <w:spacing w:after="0"/>
              <w:rPr>
                <w:sz w:val="20"/>
                <w:szCs w:val="20"/>
                <w:color w:val="auto"/>
              </w:rPr>
            </w:pPr>
            <w:r>
              <w:rPr>
                <w:rFonts w:ascii="Arial" w:cs="Arial" w:eastAsia="Arial" w:hAnsi="Arial"/>
                <w:sz w:val="13"/>
                <w:szCs w:val="13"/>
                <w:b w:val="1"/>
                <w:bCs w:val="1"/>
                <w:color w:val="867F7C"/>
              </w:rPr>
              <w:t>FY 2022</w:t>
            </w:r>
          </w:p>
        </w:tc>
        <w:tc>
          <w:tcPr>
            <w:tcW w:w="320" w:type="dxa"/>
            <w:vAlign w:val="bottom"/>
            <w:shd w:val="clear" w:color="auto" w:fill="EFEBE9"/>
          </w:tcPr>
          <w:p>
            <w:pPr>
              <w:spacing w:after="0"/>
              <w:rPr>
                <w:sz w:val="13"/>
                <w:szCs w:val="13"/>
                <w:color w:val="auto"/>
              </w:rPr>
            </w:pPr>
          </w:p>
        </w:tc>
        <w:tc>
          <w:tcPr>
            <w:tcW w:w="860" w:type="dxa"/>
            <w:vAlign w:val="bottom"/>
            <w:shd w:val="clear" w:color="auto" w:fill="EFEBE9"/>
          </w:tcPr>
          <w:p>
            <w:pPr>
              <w:jc w:val="right"/>
              <w:ind w:right="233"/>
              <w:spacing w:after="0"/>
              <w:rPr>
                <w:sz w:val="20"/>
                <w:szCs w:val="20"/>
                <w:color w:val="auto"/>
              </w:rPr>
            </w:pPr>
            <w:r>
              <w:rPr>
                <w:rFonts w:ascii="Arial" w:cs="Arial" w:eastAsia="Arial" w:hAnsi="Arial"/>
                <w:sz w:val="13"/>
                <w:szCs w:val="13"/>
                <w:b w:val="1"/>
                <w:bCs w:val="1"/>
                <w:color w:val="867F7C"/>
              </w:rPr>
              <w:t>FY 2023</w:t>
            </w:r>
          </w:p>
        </w:tc>
        <w:tc>
          <w:tcPr>
            <w:tcW w:w="280" w:type="dxa"/>
            <w:vAlign w:val="bottom"/>
            <w:shd w:val="clear" w:color="auto" w:fill="EFEBE9"/>
          </w:tcPr>
          <w:p>
            <w:pPr>
              <w:spacing w:after="0"/>
              <w:rPr>
                <w:sz w:val="13"/>
                <w:szCs w:val="13"/>
                <w:color w:val="auto"/>
              </w:rPr>
            </w:pPr>
          </w:p>
        </w:tc>
        <w:tc>
          <w:tcPr>
            <w:tcW w:w="880" w:type="dxa"/>
            <w:vAlign w:val="bottom"/>
            <w:shd w:val="clear" w:color="auto" w:fill="EFEBE9"/>
          </w:tcPr>
          <w:p>
            <w:pPr>
              <w:jc w:val="right"/>
              <w:ind w:right="133"/>
              <w:spacing w:after="0"/>
              <w:rPr>
                <w:sz w:val="20"/>
                <w:szCs w:val="20"/>
                <w:color w:val="auto"/>
              </w:rPr>
            </w:pPr>
            <w:r>
              <w:rPr>
                <w:rFonts w:ascii="Arial" w:cs="Arial" w:eastAsia="Arial" w:hAnsi="Arial"/>
                <w:sz w:val="13"/>
                <w:szCs w:val="13"/>
                <w:b w:val="1"/>
                <w:bCs w:val="1"/>
                <w:color w:val="867F7C"/>
              </w:rPr>
              <w:t>FY 2024</w:t>
            </w:r>
          </w:p>
        </w:tc>
        <w:tc>
          <w:tcPr>
            <w:tcW w:w="300" w:type="dxa"/>
            <w:vAlign w:val="bottom"/>
            <w:shd w:val="clear" w:color="auto" w:fill="EFEBE9"/>
          </w:tcPr>
          <w:p>
            <w:pPr>
              <w:spacing w:after="0"/>
              <w:rPr>
                <w:sz w:val="13"/>
                <w:szCs w:val="13"/>
                <w:color w:val="auto"/>
              </w:rPr>
            </w:pPr>
          </w:p>
        </w:tc>
        <w:tc>
          <w:tcPr>
            <w:tcW w:w="840" w:type="dxa"/>
            <w:vAlign w:val="bottom"/>
            <w:shd w:val="clear" w:color="auto" w:fill="EFEBE9"/>
          </w:tcPr>
          <w:p>
            <w:pPr>
              <w:jc w:val="right"/>
              <w:ind w:right="213"/>
              <w:spacing w:after="0"/>
              <w:rPr>
                <w:sz w:val="20"/>
                <w:szCs w:val="20"/>
                <w:color w:val="auto"/>
              </w:rPr>
            </w:pPr>
            <w:r>
              <w:rPr>
                <w:rFonts w:ascii="Arial" w:cs="Arial" w:eastAsia="Arial" w:hAnsi="Arial"/>
                <w:sz w:val="13"/>
                <w:szCs w:val="13"/>
                <w:b w:val="1"/>
                <w:bCs w:val="1"/>
                <w:color w:val="867F7C"/>
              </w:rPr>
              <w:t>FY 2025</w:t>
            </w:r>
          </w:p>
        </w:tc>
      </w:tr>
      <w:tr>
        <w:trPr>
          <w:trHeight w:val="148"/>
        </w:trPr>
        <w:tc>
          <w:tcPr>
            <w:tcW w:w="3160" w:type="dxa"/>
            <w:vAlign w:val="bottom"/>
            <w:tcBorders>
              <w:bottom w:val="single" w:sz="8" w:color="867F7C"/>
            </w:tcBorders>
          </w:tcPr>
          <w:p>
            <w:pPr>
              <w:ind w:left="100"/>
              <w:spacing w:after="0"/>
              <w:rPr>
                <w:sz w:val="20"/>
                <w:szCs w:val="20"/>
                <w:color w:val="auto"/>
              </w:rPr>
            </w:pPr>
            <w:r>
              <w:rPr>
                <w:rFonts w:ascii="Arial" w:cs="Arial" w:eastAsia="Arial" w:hAnsi="Arial"/>
                <w:sz w:val="13"/>
                <w:szCs w:val="13"/>
                <w:color w:val="4CCEDE"/>
              </w:rPr>
              <w:t>Adj. EBITDA (in millions)</w:t>
            </w:r>
          </w:p>
        </w:tc>
        <w:tc>
          <w:tcPr>
            <w:tcW w:w="32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867F7C"/>
            </w:tcBorders>
          </w:tcPr>
          <w:p>
            <w:pPr>
              <w:jc w:val="right"/>
              <w:ind w:right="133"/>
              <w:spacing w:after="0"/>
              <w:rPr>
                <w:sz w:val="20"/>
                <w:szCs w:val="20"/>
                <w:color w:val="auto"/>
              </w:rPr>
            </w:pPr>
            <w:r>
              <w:rPr>
                <w:rFonts w:ascii="Arial" w:cs="Arial" w:eastAsia="Arial" w:hAnsi="Arial"/>
                <w:sz w:val="13"/>
                <w:szCs w:val="13"/>
                <w:color w:val="auto"/>
              </w:rPr>
              <w:t>568</w:t>
            </w:r>
          </w:p>
        </w:tc>
        <w:tc>
          <w:tcPr>
            <w:tcW w:w="32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867F7C"/>
            </w:tcBorders>
          </w:tcPr>
          <w:p>
            <w:pPr>
              <w:jc w:val="right"/>
              <w:ind w:right="153"/>
              <w:spacing w:after="0"/>
              <w:rPr>
                <w:sz w:val="20"/>
                <w:szCs w:val="20"/>
                <w:color w:val="auto"/>
              </w:rPr>
            </w:pPr>
            <w:r>
              <w:rPr>
                <w:rFonts w:ascii="Arial" w:cs="Arial" w:eastAsia="Arial" w:hAnsi="Arial"/>
                <w:sz w:val="13"/>
                <w:szCs w:val="13"/>
                <w:color w:val="auto"/>
              </w:rPr>
              <w:t>625</w:t>
            </w:r>
          </w:p>
        </w:tc>
        <w:tc>
          <w:tcPr>
            <w:tcW w:w="32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67F7C"/>
            </w:tcBorders>
          </w:tcPr>
          <w:p>
            <w:pPr>
              <w:jc w:val="right"/>
              <w:ind w:right="153"/>
              <w:spacing w:after="0"/>
              <w:rPr>
                <w:sz w:val="20"/>
                <w:szCs w:val="20"/>
                <w:color w:val="auto"/>
              </w:rPr>
            </w:pPr>
            <w:r>
              <w:rPr>
                <w:rFonts w:ascii="Arial" w:cs="Arial" w:eastAsia="Arial" w:hAnsi="Arial"/>
                <w:sz w:val="13"/>
                <w:szCs w:val="13"/>
                <w:color w:val="auto"/>
              </w:rPr>
              <w:t>452</w:t>
            </w:r>
          </w:p>
        </w:tc>
        <w:tc>
          <w:tcPr>
            <w:tcW w:w="28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867F7C"/>
            </w:tcBorders>
          </w:tcPr>
          <w:p>
            <w:pPr>
              <w:jc w:val="right"/>
              <w:ind w:right="133"/>
              <w:spacing w:after="0"/>
              <w:rPr>
                <w:sz w:val="20"/>
                <w:szCs w:val="20"/>
                <w:color w:val="auto"/>
              </w:rPr>
            </w:pPr>
            <w:r>
              <w:rPr>
                <w:rFonts w:ascii="Arial" w:cs="Arial" w:eastAsia="Arial" w:hAnsi="Arial"/>
                <w:sz w:val="13"/>
                <w:szCs w:val="13"/>
                <w:color w:val="auto"/>
              </w:rPr>
              <w:t>454</w:t>
            </w:r>
          </w:p>
        </w:tc>
        <w:tc>
          <w:tcPr>
            <w:tcW w:w="30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13"/>
              <w:spacing w:after="0"/>
              <w:rPr>
                <w:sz w:val="20"/>
                <w:szCs w:val="20"/>
                <w:color w:val="auto"/>
              </w:rPr>
            </w:pPr>
            <w:r>
              <w:rPr>
                <w:rFonts w:ascii="Arial" w:cs="Arial" w:eastAsia="Arial" w:hAnsi="Arial"/>
                <w:sz w:val="13"/>
                <w:szCs w:val="13"/>
                <w:color w:val="auto"/>
              </w:rPr>
              <w:t>398</w:t>
            </w:r>
          </w:p>
        </w:tc>
      </w:tr>
      <w:tr>
        <w:trPr>
          <w:trHeight w:val="142"/>
        </w:trPr>
        <w:tc>
          <w:tcPr>
            <w:tcW w:w="3160" w:type="dxa"/>
            <w:vAlign w:val="bottom"/>
            <w:tcBorders>
              <w:bottom w:val="single" w:sz="8" w:color="867F7C"/>
            </w:tcBorders>
          </w:tcPr>
          <w:p>
            <w:pPr>
              <w:ind w:left="100"/>
              <w:spacing w:after="0" w:line="142" w:lineRule="exact"/>
              <w:rPr>
                <w:sz w:val="20"/>
                <w:szCs w:val="20"/>
                <w:color w:val="auto"/>
              </w:rPr>
            </w:pPr>
            <w:r>
              <w:rPr>
                <w:rFonts w:ascii="Arial" w:cs="Arial" w:eastAsia="Arial" w:hAnsi="Arial"/>
                <w:sz w:val="13"/>
                <w:szCs w:val="13"/>
                <w:color w:val="auto"/>
              </w:rPr>
              <w:t>PEO Compensation Actually Paid</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867F7C"/>
            </w:tcBorders>
          </w:tcPr>
          <w:p>
            <w:pPr>
              <w:jc w:val="right"/>
              <w:ind w:right="133"/>
              <w:spacing w:after="0" w:line="142" w:lineRule="exact"/>
              <w:rPr>
                <w:sz w:val="20"/>
                <w:szCs w:val="20"/>
                <w:color w:val="auto"/>
              </w:rPr>
            </w:pPr>
            <w:r>
              <w:rPr>
                <w:rFonts w:ascii="Arial" w:cs="Arial" w:eastAsia="Arial" w:hAnsi="Arial"/>
                <w:sz w:val="13"/>
                <w:szCs w:val="13"/>
                <w:color w:val="auto"/>
              </w:rPr>
              <w:t>9,133,390</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867F7C"/>
            </w:tcBorders>
          </w:tcPr>
          <w:p>
            <w:pPr>
              <w:jc w:val="right"/>
              <w:ind w:right="153"/>
              <w:spacing w:after="0" w:line="142" w:lineRule="exact"/>
              <w:rPr>
                <w:sz w:val="20"/>
                <w:szCs w:val="20"/>
                <w:color w:val="auto"/>
              </w:rPr>
            </w:pPr>
            <w:r>
              <w:rPr>
                <w:rFonts w:ascii="Arial" w:cs="Arial" w:eastAsia="Arial" w:hAnsi="Arial"/>
                <w:sz w:val="13"/>
                <w:szCs w:val="13"/>
                <w:color w:val="auto"/>
              </w:rPr>
              <w:t>12,896,115</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867F7C"/>
            </w:tcBorders>
          </w:tcPr>
          <w:p>
            <w:pPr>
              <w:jc w:val="right"/>
              <w:ind w:right="153"/>
              <w:spacing w:after="0" w:line="142" w:lineRule="exact"/>
              <w:rPr>
                <w:sz w:val="20"/>
                <w:szCs w:val="20"/>
                <w:color w:val="auto"/>
              </w:rPr>
            </w:pPr>
            <w:r>
              <w:rPr>
                <w:rFonts w:ascii="Arial" w:cs="Arial" w:eastAsia="Arial" w:hAnsi="Arial"/>
                <w:sz w:val="13"/>
                <w:szCs w:val="13"/>
                <w:color w:val="auto"/>
              </w:rPr>
              <w:t>239,756</w:t>
            </w:r>
          </w:p>
        </w:tc>
        <w:tc>
          <w:tcPr>
            <w:tcW w:w="28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867F7C"/>
            </w:tcBorders>
          </w:tcPr>
          <w:p>
            <w:pPr>
              <w:jc w:val="right"/>
              <w:ind w:right="133"/>
              <w:spacing w:after="0" w:line="142" w:lineRule="exact"/>
              <w:rPr>
                <w:sz w:val="20"/>
                <w:szCs w:val="20"/>
                <w:color w:val="auto"/>
              </w:rPr>
            </w:pPr>
            <w:r>
              <w:rPr>
                <w:rFonts w:ascii="Arial" w:cs="Arial" w:eastAsia="Arial" w:hAnsi="Arial"/>
                <w:sz w:val="13"/>
                <w:szCs w:val="13"/>
                <w:color w:val="auto"/>
              </w:rPr>
              <w:t>12,245,391</w:t>
            </w:r>
          </w:p>
        </w:tc>
        <w:tc>
          <w:tcPr>
            <w:tcW w:w="30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53"/>
              <w:spacing w:after="0" w:line="142" w:lineRule="exact"/>
              <w:rPr>
                <w:sz w:val="20"/>
                <w:szCs w:val="20"/>
                <w:color w:val="auto"/>
              </w:rPr>
            </w:pPr>
            <w:r>
              <w:rPr>
                <w:rFonts w:ascii="Arial" w:cs="Arial" w:eastAsia="Arial" w:hAnsi="Arial"/>
                <w:sz w:val="13"/>
                <w:szCs w:val="13"/>
                <w:color w:val="auto"/>
              </w:rPr>
              <w:t>(2,860,095)</w:t>
            </w:r>
          </w:p>
        </w:tc>
      </w:tr>
      <w:tr>
        <w:trPr>
          <w:trHeight w:val="142"/>
        </w:trPr>
        <w:tc>
          <w:tcPr>
            <w:tcW w:w="3160" w:type="dxa"/>
            <w:vAlign w:val="bottom"/>
            <w:tcBorders>
              <w:bottom w:val="single" w:sz="8" w:color="867F7C"/>
            </w:tcBorders>
          </w:tcPr>
          <w:p>
            <w:pPr>
              <w:ind w:left="100"/>
              <w:spacing w:after="0" w:line="142" w:lineRule="exact"/>
              <w:rPr>
                <w:sz w:val="20"/>
                <w:szCs w:val="20"/>
                <w:color w:val="auto"/>
              </w:rPr>
            </w:pPr>
            <w:r>
              <w:rPr>
                <w:rFonts w:ascii="Arial" w:cs="Arial" w:eastAsia="Arial" w:hAnsi="Arial"/>
                <w:sz w:val="13"/>
                <w:szCs w:val="13"/>
                <w:color w:val="auto"/>
              </w:rPr>
              <w:t>Avg non-PEO NEO Compensation Actually Paid</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867F7C"/>
            </w:tcBorders>
          </w:tcPr>
          <w:p>
            <w:pPr>
              <w:jc w:val="right"/>
              <w:ind w:right="133"/>
              <w:spacing w:after="0" w:line="142" w:lineRule="exact"/>
              <w:rPr>
                <w:sz w:val="20"/>
                <w:szCs w:val="20"/>
                <w:color w:val="auto"/>
              </w:rPr>
            </w:pPr>
            <w:r>
              <w:rPr>
                <w:rFonts w:ascii="Arial" w:cs="Arial" w:eastAsia="Arial" w:hAnsi="Arial"/>
                <w:sz w:val="13"/>
                <w:szCs w:val="13"/>
                <w:color w:val="auto"/>
              </w:rPr>
              <w:t>1,937,347</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867F7C"/>
            </w:tcBorders>
          </w:tcPr>
          <w:p>
            <w:pPr>
              <w:jc w:val="right"/>
              <w:ind w:right="153"/>
              <w:spacing w:after="0" w:line="142" w:lineRule="exact"/>
              <w:rPr>
                <w:sz w:val="20"/>
                <w:szCs w:val="20"/>
                <w:color w:val="auto"/>
              </w:rPr>
            </w:pPr>
            <w:r>
              <w:rPr>
                <w:rFonts w:ascii="Arial" w:cs="Arial" w:eastAsia="Arial" w:hAnsi="Arial"/>
                <w:sz w:val="13"/>
                <w:szCs w:val="13"/>
                <w:color w:val="auto"/>
              </w:rPr>
              <w:t>2,629,583</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867F7C"/>
            </w:tcBorders>
          </w:tcPr>
          <w:p>
            <w:pPr>
              <w:jc w:val="right"/>
              <w:ind w:right="153"/>
              <w:spacing w:after="0" w:line="142" w:lineRule="exact"/>
              <w:rPr>
                <w:sz w:val="20"/>
                <w:szCs w:val="20"/>
                <w:color w:val="auto"/>
              </w:rPr>
            </w:pPr>
            <w:r>
              <w:rPr>
                <w:rFonts w:ascii="Arial" w:cs="Arial" w:eastAsia="Arial" w:hAnsi="Arial"/>
                <w:sz w:val="13"/>
                <w:szCs w:val="13"/>
                <w:color w:val="auto"/>
              </w:rPr>
              <w:t>607,649</w:t>
            </w:r>
          </w:p>
        </w:tc>
        <w:tc>
          <w:tcPr>
            <w:tcW w:w="28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867F7C"/>
            </w:tcBorders>
          </w:tcPr>
          <w:p>
            <w:pPr>
              <w:jc w:val="right"/>
              <w:ind w:right="133"/>
              <w:spacing w:after="0" w:line="142" w:lineRule="exact"/>
              <w:rPr>
                <w:sz w:val="20"/>
                <w:szCs w:val="20"/>
                <w:color w:val="auto"/>
              </w:rPr>
            </w:pPr>
            <w:r>
              <w:rPr>
                <w:rFonts w:ascii="Arial" w:cs="Arial" w:eastAsia="Arial" w:hAnsi="Arial"/>
                <w:sz w:val="13"/>
                <w:szCs w:val="13"/>
                <w:color w:val="auto"/>
              </w:rPr>
              <w:t>2,931,498</w:t>
            </w:r>
          </w:p>
        </w:tc>
        <w:tc>
          <w:tcPr>
            <w:tcW w:w="30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13"/>
              <w:spacing w:after="0" w:line="142" w:lineRule="exact"/>
              <w:rPr>
                <w:sz w:val="20"/>
                <w:szCs w:val="20"/>
                <w:color w:val="auto"/>
              </w:rPr>
            </w:pPr>
            <w:r>
              <w:rPr>
                <w:rFonts w:ascii="Arial" w:cs="Arial" w:eastAsia="Arial" w:hAnsi="Arial"/>
                <w:sz w:val="13"/>
                <w:szCs w:val="13"/>
                <w:color w:val="auto"/>
              </w:rPr>
              <w:t>1,008,531</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chart below provides a comparison between (i) Ashland’s Net Income and (ii) compensation actually paid to our PEO and average compensation actually paid to our non-PEO NEOs for the fiscal years ended September 30, 2021, September 30, 2022, September 30, 2023, September 30, 2024, and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5760720" cy="27432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6072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867F7C"/>
        </w:rPr>
        <w:t>pay versus performance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shd w:val="clear" w:color="auto" w:fill="EFEBE9"/>
          </w:tcPr>
          <w:p>
            <w:pPr>
              <w:spacing w:after="0"/>
              <w:rPr>
                <w:sz w:val="13"/>
                <w:szCs w:val="13"/>
                <w:color w:val="auto"/>
              </w:rPr>
            </w:pPr>
          </w:p>
        </w:tc>
        <w:tc>
          <w:tcPr>
            <w:tcW w:w="360" w:type="dxa"/>
            <w:vAlign w:val="bottom"/>
            <w:shd w:val="clear" w:color="auto" w:fill="EFEBE9"/>
          </w:tcPr>
          <w:p>
            <w:pPr>
              <w:spacing w:after="0"/>
              <w:rPr>
                <w:sz w:val="13"/>
                <w:szCs w:val="13"/>
                <w:color w:val="auto"/>
              </w:rPr>
            </w:pPr>
          </w:p>
        </w:tc>
        <w:tc>
          <w:tcPr>
            <w:tcW w:w="840" w:type="dxa"/>
            <w:vAlign w:val="bottom"/>
            <w:shd w:val="clear" w:color="auto" w:fill="EFEBE9"/>
          </w:tcPr>
          <w:p>
            <w:pPr>
              <w:jc w:val="right"/>
              <w:ind w:right="213"/>
              <w:spacing w:after="0"/>
              <w:rPr>
                <w:sz w:val="20"/>
                <w:szCs w:val="20"/>
                <w:color w:val="auto"/>
              </w:rPr>
            </w:pPr>
            <w:r>
              <w:rPr>
                <w:rFonts w:ascii="Arial" w:cs="Arial" w:eastAsia="Arial" w:hAnsi="Arial"/>
                <w:sz w:val="13"/>
                <w:szCs w:val="13"/>
                <w:b w:val="1"/>
                <w:bCs w:val="1"/>
                <w:color w:val="867F7C"/>
              </w:rPr>
              <w:t>FY 2021</w:t>
            </w:r>
          </w:p>
        </w:tc>
        <w:tc>
          <w:tcPr>
            <w:tcW w:w="280" w:type="dxa"/>
            <w:vAlign w:val="bottom"/>
            <w:shd w:val="clear" w:color="auto" w:fill="EFEBE9"/>
          </w:tcPr>
          <w:p>
            <w:pPr>
              <w:spacing w:after="0"/>
              <w:rPr>
                <w:sz w:val="13"/>
                <w:szCs w:val="13"/>
                <w:color w:val="auto"/>
              </w:rPr>
            </w:pPr>
          </w:p>
        </w:tc>
        <w:tc>
          <w:tcPr>
            <w:tcW w:w="900" w:type="dxa"/>
            <w:vAlign w:val="bottom"/>
            <w:shd w:val="clear" w:color="auto" w:fill="EFEBE9"/>
          </w:tcPr>
          <w:p>
            <w:pPr>
              <w:jc w:val="right"/>
              <w:ind w:right="233"/>
              <w:spacing w:after="0"/>
              <w:rPr>
                <w:sz w:val="20"/>
                <w:szCs w:val="20"/>
                <w:color w:val="auto"/>
              </w:rPr>
            </w:pPr>
            <w:r>
              <w:rPr>
                <w:rFonts w:ascii="Arial" w:cs="Arial" w:eastAsia="Arial" w:hAnsi="Arial"/>
                <w:sz w:val="13"/>
                <w:szCs w:val="13"/>
                <w:b w:val="1"/>
                <w:bCs w:val="1"/>
                <w:color w:val="867F7C"/>
              </w:rPr>
              <w:t>FY 2022</w:t>
            </w:r>
          </w:p>
        </w:tc>
        <w:tc>
          <w:tcPr>
            <w:tcW w:w="300" w:type="dxa"/>
            <w:vAlign w:val="bottom"/>
            <w:shd w:val="clear" w:color="auto" w:fill="EFEBE9"/>
          </w:tcPr>
          <w:p>
            <w:pPr>
              <w:spacing w:after="0"/>
              <w:rPr>
                <w:sz w:val="13"/>
                <w:szCs w:val="13"/>
                <w:color w:val="auto"/>
              </w:rPr>
            </w:pPr>
          </w:p>
        </w:tc>
        <w:tc>
          <w:tcPr>
            <w:tcW w:w="800" w:type="dxa"/>
            <w:vAlign w:val="bottom"/>
            <w:shd w:val="clear" w:color="auto" w:fill="EFEBE9"/>
          </w:tcPr>
          <w:p>
            <w:pPr>
              <w:jc w:val="right"/>
              <w:ind w:right="173"/>
              <w:spacing w:after="0"/>
              <w:rPr>
                <w:sz w:val="20"/>
                <w:szCs w:val="20"/>
                <w:color w:val="auto"/>
              </w:rPr>
            </w:pPr>
            <w:r>
              <w:rPr>
                <w:rFonts w:ascii="Arial" w:cs="Arial" w:eastAsia="Arial" w:hAnsi="Arial"/>
                <w:sz w:val="13"/>
                <w:szCs w:val="13"/>
                <w:b w:val="1"/>
                <w:bCs w:val="1"/>
                <w:color w:val="867F7C"/>
              </w:rPr>
              <w:t>FY 2023</w:t>
            </w:r>
          </w:p>
        </w:tc>
        <w:tc>
          <w:tcPr>
            <w:tcW w:w="240" w:type="dxa"/>
            <w:vAlign w:val="bottom"/>
            <w:shd w:val="clear" w:color="auto" w:fill="EFEBE9"/>
          </w:tcPr>
          <w:p>
            <w:pPr>
              <w:spacing w:after="0"/>
              <w:rPr>
                <w:sz w:val="13"/>
                <w:szCs w:val="13"/>
                <w:color w:val="auto"/>
              </w:rPr>
            </w:pPr>
          </w:p>
        </w:tc>
        <w:tc>
          <w:tcPr>
            <w:tcW w:w="900" w:type="dxa"/>
            <w:vAlign w:val="bottom"/>
            <w:shd w:val="clear" w:color="auto" w:fill="EFEBE9"/>
          </w:tcPr>
          <w:p>
            <w:pPr>
              <w:jc w:val="right"/>
              <w:ind w:right="313"/>
              <w:spacing w:after="0"/>
              <w:rPr>
                <w:sz w:val="20"/>
                <w:szCs w:val="20"/>
                <w:color w:val="auto"/>
              </w:rPr>
            </w:pPr>
            <w:r>
              <w:rPr>
                <w:rFonts w:ascii="Arial" w:cs="Arial" w:eastAsia="Arial" w:hAnsi="Arial"/>
                <w:sz w:val="13"/>
                <w:szCs w:val="13"/>
                <w:b w:val="1"/>
                <w:bCs w:val="1"/>
                <w:color w:val="867F7C"/>
              </w:rPr>
              <w:t>FY2024</w:t>
            </w:r>
          </w:p>
        </w:tc>
        <w:tc>
          <w:tcPr>
            <w:tcW w:w="320" w:type="dxa"/>
            <w:vAlign w:val="bottom"/>
            <w:shd w:val="clear" w:color="auto" w:fill="EFEBE9"/>
          </w:tcPr>
          <w:p>
            <w:pPr>
              <w:spacing w:after="0"/>
              <w:rPr>
                <w:sz w:val="13"/>
                <w:szCs w:val="13"/>
                <w:color w:val="auto"/>
              </w:rPr>
            </w:pPr>
          </w:p>
        </w:tc>
        <w:tc>
          <w:tcPr>
            <w:tcW w:w="940" w:type="dxa"/>
            <w:vAlign w:val="bottom"/>
            <w:shd w:val="clear" w:color="auto" w:fill="EFEBE9"/>
          </w:tcPr>
          <w:p>
            <w:pPr>
              <w:jc w:val="right"/>
              <w:ind w:right="213"/>
              <w:spacing w:after="0"/>
              <w:rPr>
                <w:sz w:val="20"/>
                <w:szCs w:val="20"/>
                <w:color w:val="auto"/>
              </w:rPr>
            </w:pPr>
            <w:r>
              <w:rPr>
                <w:rFonts w:ascii="Arial" w:cs="Arial" w:eastAsia="Arial" w:hAnsi="Arial"/>
                <w:sz w:val="13"/>
                <w:szCs w:val="13"/>
                <w:b w:val="1"/>
                <w:bCs w:val="1"/>
                <w:color w:val="867F7C"/>
              </w:rPr>
              <w:t>FY 2025</w:t>
            </w:r>
          </w:p>
        </w:tc>
      </w:tr>
      <w:tr>
        <w:trPr>
          <w:trHeight w:val="148"/>
        </w:trPr>
        <w:tc>
          <w:tcPr>
            <w:tcW w:w="3200" w:type="dxa"/>
            <w:vAlign w:val="bottom"/>
            <w:tcBorders>
              <w:bottom w:val="single" w:sz="8" w:color="867F7C"/>
            </w:tcBorders>
          </w:tcPr>
          <w:p>
            <w:pPr>
              <w:ind w:left="100"/>
              <w:spacing w:after="0"/>
              <w:rPr>
                <w:sz w:val="20"/>
                <w:szCs w:val="20"/>
                <w:color w:val="auto"/>
              </w:rPr>
            </w:pPr>
            <w:r>
              <w:rPr>
                <w:rFonts w:ascii="Arial" w:cs="Arial" w:eastAsia="Arial" w:hAnsi="Arial"/>
                <w:sz w:val="13"/>
                <w:szCs w:val="13"/>
                <w:b w:val="1"/>
                <w:bCs w:val="1"/>
                <w:color w:val="4CCEDE"/>
              </w:rPr>
              <w:t xml:space="preserve">Net Income </w:t>
            </w:r>
            <w:r>
              <w:rPr>
                <w:rFonts w:ascii="Arial" w:cs="Arial" w:eastAsia="Arial" w:hAnsi="Arial"/>
                <w:sz w:val="13"/>
                <w:szCs w:val="13"/>
                <w:color w:val="4CCEDE"/>
              </w:rPr>
              <w:t>(in millions)</w:t>
            </w:r>
          </w:p>
        </w:tc>
        <w:tc>
          <w:tcPr>
            <w:tcW w:w="36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13"/>
              <w:spacing w:after="0"/>
              <w:rPr>
                <w:sz w:val="20"/>
                <w:szCs w:val="20"/>
                <w:color w:val="auto"/>
              </w:rPr>
            </w:pPr>
            <w:r>
              <w:rPr>
                <w:rFonts w:ascii="Arial" w:cs="Arial" w:eastAsia="Arial" w:hAnsi="Arial"/>
                <w:sz w:val="13"/>
                <w:szCs w:val="13"/>
                <w:color w:val="auto"/>
              </w:rPr>
              <w:t>220</w:t>
            </w:r>
          </w:p>
        </w:tc>
        <w:tc>
          <w:tcPr>
            <w:tcW w:w="28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867F7C"/>
            </w:tcBorders>
          </w:tcPr>
          <w:p>
            <w:pPr>
              <w:jc w:val="right"/>
              <w:ind w:right="133"/>
              <w:spacing w:after="0"/>
              <w:rPr>
                <w:sz w:val="20"/>
                <w:szCs w:val="20"/>
                <w:color w:val="auto"/>
              </w:rPr>
            </w:pPr>
            <w:r>
              <w:rPr>
                <w:rFonts w:ascii="Arial" w:cs="Arial" w:eastAsia="Arial" w:hAnsi="Arial"/>
                <w:sz w:val="13"/>
                <w:szCs w:val="13"/>
                <w:color w:val="auto"/>
              </w:rPr>
              <w:t>927</w:t>
            </w:r>
          </w:p>
        </w:tc>
        <w:tc>
          <w:tcPr>
            <w:tcW w:w="30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67F7C"/>
            </w:tcBorders>
          </w:tcPr>
          <w:p>
            <w:pPr>
              <w:jc w:val="right"/>
              <w:ind w:right="73"/>
              <w:spacing w:after="0"/>
              <w:rPr>
                <w:sz w:val="20"/>
                <w:szCs w:val="20"/>
                <w:color w:val="auto"/>
              </w:rPr>
            </w:pPr>
            <w:r>
              <w:rPr>
                <w:rFonts w:ascii="Arial" w:cs="Arial" w:eastAsia="Arial" w:hAnsi="Arial"/>
                <w:sz w:val="13"/>
                <w:szCs w:val="13"/>
                <w:color w:val="auto"/>
              </w:rPr>
              <w:t>178</w:t>
            </w:r>
          </w:p>
        </w:tc>
        <w:tc>
          <w:tcPr>
            <w:tcW w:w="24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867F7C"/>
            </w:tcBorders>
          </w:tcPr>
          <w:p>
            <w:pPr>
              <w:jc w:val="right"/>
              <w:ind w:right="153"/>
              <w:spacing w:after="0"/>
              <w:rPr>
                <w:sz w:val="20"/>
                <w:szCs w:val="20"/>
                <w:color w:val="auto"/>
              </w:rPr>
            </w:pPr>
            <w:r>
              <w:rPr>
                <w:rFonts w:ascii="Arial" w:cs="Arial" w:eastAsia="Arial" w:hAnsi="Arial"/>
                <w:sz w:val="13"/>
                <w:szCs w:val="13"/>
                <w:color w:val="auto"/>
              </w:rPr>
              <w:t>247</w:t>
            </w:r>
          </w:p>
        </w:tc>
        <w:tc>
          <w:tcPr>
            <w:tcW w:w="320" w:type="dxa"/>
            <w:vAlign w:val="bottom"/>
            <w:tcBorders>
              <w:bottom w:val="single" w:sz="8" w:color="867F7C"/>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867F7C"/>
            </w:tcBorders>
          </w:tcPr>
          <w:p>
            <w:pPr>
              <w:jc w:val="right"/>
              <w:ind w:right="113"/>
              <w:spacing w:after="0"/>
              <w:rPr>
                <w:sz w:val="20"/>
                <w:szCs w:val="20"/>
                <w:color w:val="auto"/>
              </w:rPr>
            </w:pPr>
            <w:r>
              <w:rPr>
                <w:rFonts w:ascii="Arial" w:cs="Arial" w:eastAsia="Arial" w:hAnsi="Arial"/>
                <w:sz w:val="13"/>
                <w:szCs w:val="13"/>
                <w:color w:val="auto"/>
              </w:rPr>
              <w:t>(845)</w:t>
            </w:r>
          </w:p>
        </w:tc>
      </w:tr>
      <w:tr>
        <w:trPr>
          <w:trHeight w:val="142"/>
        </w:trPr>
        <w:tc>
          <w:tcPr>
            <w:tcW w:w="3200" w:type="dxa"/>
            <w:vAlign w:val="bottom"/>
            <w:tcBorders>
              <w:bottom w:val="single" w:sz="8" w:color="867F7C"/>
            </w:tcBorders>
          </w:tcPr>
          <w:p>
            <w:pPr>
              <w:ind w:left="100"/>
              <w:spacing w:after="0" w:line="142" w:lineRule="exact"/>
              <w:rPr>
                <w:sz w:val="20"/>
                <w:szCs w:val="20"/>
                <w:color w:val="auto"/>
              </w:rPr>
            </w:pPr>
            <w:r>
              <w:rPr>
                <w:rFonts w:ascii="Arial" w:cs="Arial" w:eastAsia="Arial" w:hAnsi="Arial"/>
                <w:sz w:val="13"/>
                <w:szCs w:val="13"/>
                <w:color w:val="auto"/>
              </w:rPr>
              <w:t>PEO Compensation Actually Paid</w:t>
            </w:r>
          </w:p>
        </w:tc>
        <w:tc>
          <w:tcPr>
            <w:tcW w:w="36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13"/>
              <w:spacing w:after="0" w:line="142" w:lineRule="exact"/>
              <w:rPr>
                <w:sz w:val="20"/>
                <w:szCs w:val="20"/>
                <w:color w:val="auto"/>
              </w:rPr>
            </w:pPr>
            <w:r>
              <w:rPr>
                <w:rFonts w:ascii="Arial" w:cs="Arial" w:eastAsia="Arial" w:hAnsi="Arial"/>
                <w:sz w:val="13"/>
                <w:szCs w:val="13"/>
                <w:color w:val="auto"/>
              </w:rPr>
              <w:t>9,133,390</w:t>
            </w:r>
          </w:p>
        </w:tc>
        <w:tc>
          <w:tcPr>
            <w:tcW w:w="28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867F7C"/>
            </w:tcBorders>
          </w:tcPr>
          <w:p>
            <w:pPr>
              <w:jc w:val="right"/>
              <w:ind w:right="133"/>
              <w:spacing w:after="0" w:line="142" w:lineRule="exact"/>
              <w:rPr>
                <w:sz w:val="20"/>
                <w:szCs w:val="20"/>
                <w:color w:val="auto"/>
              </w:rPr>
            </w:pPr>
            <w:r>
              <w:rPr>
                <w:rFonts w:ascii="Arial" w:cs="Arial" w:eastAsia="Arial" w:hAnsi="Arial"/>
                <w:sz w:val="13"/>
                <w:szCs w:val="13"/>
                <w:color w:val="auto"/>
              </w:rPr>
              <w:t>12,896,115</w:t>
            </w:r>
          </w:p>
        </w:tc>
        <w:tc>
          <w:tcPr>
            <w:tcW w:w="30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867F7C"/>
            </w:tcBorders>
          </w:tcPr>
          <w:p>
            <w:pPr>
              <w:jc w:val="right"/>
              <w:ind w:right="73"/>
              <w:spacing w:after="0" w:line="142" w:lineRule="exact"/>
              <w:rPr>
                <w:sz w:val="20"/>
                <w:szCs w:val="20"/>
                <w:color w:val="auto"/>
              </w:rPr>
            </w:pPr>
            <w:r>
              <w:rPr>
                <w:rFonts w:ascii="Arial" w:cs="Arial" w:eastAsia="Arial" w:hAnsi="Arial"/>
                <w:sz w:val="13"/>
                <w:szCs w:val="13"/>
                <w:color w:val="auto"/>
              </w:rPr>
              <w:t>239,756</w:t>
            </w:r>
          </w:p>
        </w:tc>
        <w:tc>
          <w:tcPr>
            <w:tcW w:w="24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867F7C"/>
            </w:tcBorders>
          </w:tcPr>
          <w:p>
            <w:pPr>
              <w:jc w:val="right"/>
              <w:ind w:right="153"/>
              <w:spacing w:after="0" w:line="142" w:lineRule="exact"/>
              <w:rPr>
                <w:sz w:val="20"/>
                <w:szCs w:val="20"/>
                <w:color w:val="auto"/>
              </w:rPr>
            </w:pPr>
            <w:r>
              <w:rPr>
                <w:rFonts w:ascii="Arial" w:cs="Arial" w:eastAsia="Arial" w:hAnsi="Arial"/>
                <w:sz w:val="13"/>
                <w:szCs w:val="13"/>
                <w:color w:val="auto"/>
              </w:rPr>
              <w:t>12,245,391</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867F7C"/>
            </w:tcBorders>
          </w:tcPr>
          <w:p>
            <w:pPr>
              <w:jc w:val="right"/>
              <w:ind w:right="113"/>
              <w:spacing w:after="0" w:line="142" w:lineRule="exact"/>
              <w:rPr>
                <w:sz w:val="20"/>
                <w:szCs w:val="20"/>
                <w:color w:val="auto"/>
              </w:rPr>
            </w:pPr>
            <w:r>
              <w:rPr>
                <w:rFonts w:ascii="Arial" w:cs="Arial" w:eastAsia="Arial" w:hAnsi="Arial"/>
                <w:sz w:val="13"/>
                <w:szCs w:val="13"/>
                <w:color w:val="auto"/>
              </w:rPr>
              <w:t>(2,860,095)</w:t>
            </w:r>
          </w:p>
        </w:tc>
      </w:tr>
      <w:tr>
        <w:trPr>
          <w:trHeight w:val="142"/>
        </w:trPr>
        <w:tc>
          <w:tcPr>
            <w:tcW w:w="3200" w:type="dxa"/>
            <w:vAlign w:val="bottom"/>
            <w:tcBorders>
              <w:bottom w:val="single" w:sz="8" w:color="867F7C"/>
            </w:tcBorders>
          </w:tcPr>
          <w:p>
            <w:pPr>
              <w:ind w:left="100"/>
              <w:spacing w:after="0" w:line="142" w:lineRule="exact"/>
              <w:rPr>
                <w:sz w:val="20"/>
                <w:szCs w:val="20"/>
                <w:color w:val="auto"/>
              </w:rPr>
            </w:pPr>
            <w:r>
              <w:rPr>
                <w:rFonts w:ascii="Arial" w:cs="Arial" w:eastAsia="Arial" w:hAnsi="Arial"/>
                <w:sz w:val="13"/>
                <w:szCs w:val="13"/>
                <w:color w:val="auto"/>
              </w:rPr>
              <w:t>Avg non-PEO NEO Compensation Actually Paid</w:t>
            </w:r>
          </w:p>
        </w:tc>
        <w:tc>
          <w:tcPr>
            <w:tcW w:w="36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867F7C"/>
            </w:tcBorders>
          </w:tcPr>
          <w:p>
            <w:pPr>
              <w:jc w:val="right"/>
              <w:ind w:right="113"/>
              <w:spacing w:after="0" w:line="142" w:lineRule="exact"/>
              <w:rPr>
                <w:sz w:val="20"/>
                <w:szCs w:val="20"/>
                <w:color w:val="auto"/>
              </w:rPr>
            </w:pPr>
            <w:r>
              <w:rPr>
                <w:rFonts w:ascii="Arial" w:cs="Arial" w:eastAsia="Arial" w:hAnsi="Arial"/>
                <w:sz w:val="13"/>
                <w:szCs w:val="13"/>
                <w:color w:val="auto"/>
              </w:rPr>
              <w:t>1,937,347</w:t>
            </w:r>
          </w:p>
        </w:tc>
        <w:tc>
          <w:tcPr>
            <w:tcW w:w="28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867F7C"/>
            </w:tcBorders>
          </w:tcPr>
          <w:p>
            <w:pPr>
              <w:jc w:val="right"/>
              <w:ind w:right="133"/>
              <w:spacing w:after="0" w:line="142" w:lineRule="exact"/>
              <w:rPr>
                <w:sz w:val="20"/>
                <w:szCs w:val="20"/>
                <w:color w:val="auto"/>
              </w:rPr>
            </w:pPr>
            <w:r>
              <w:rPr>
                <w:rFonts w:ascii="Arial" w:cs="Arial" w:eastAsia="Arial" w:hAnsi="Arial"/>
                <w:sz w:val="13"/>
                <w:szCs w:val="13"/>
                <w:color w:val="auto"/>
              </w:rPr>
              <w:t>2,629,583</w:t>
            </w:r>
          </w:p>
        </w:tc>
        <w:tc>
          <w:tcPr>
            <w:tcW w:w="30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867F7C"/>
            </w:tcBorders>
          </w:tcPr>
          <w:p>
            <w:pPr>
              <w:jc w:val="right"/>
              <w:ind w:right="73"/>
              <w:spacing w:after="0" w:line="142" w:lineRule="exact"/>
              <w:rPr>
                <w:sz w:val="20"/>
                <w:szCs w:val="20"/>
                <w:color w:val="auto"/>
              </w:rPr>
            </w:pPr>
            <w:r>
              <w:rPr>
                <w:rFonts w:ascii="Arial" w:cs="Arial" w:eastAsia="Arial" w:hAnsi="Arial"/>
                <w:sz w:val="13"/>
                <w:szCs w:val="13"/>
                <w:color w:val="auto"/>
              </w:rPr>
              <w:t>607,649</w:t>
            </w:r>
          </w:p>
        </w:tc>
        <w:tc>
          <w:tcPr>
            <w:tcW w:w="24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867F7C"/>
            </w:tcBorders>
          </w:tcPr>
          <w:p>
            <w:pPr>
              <w:jc w:val="right"/>
              <w:ind w:right="153"/>
              <w:spacing w:after="0" w:line="142" w:lineRule="exact"/>
              <w:rPr>
                <w:sz w:val="20"/>
                <w:szCs w:val="20"/>
                <w:color w:val="auto"/>
              </w:rPr>
            </w:pPr>
            <w:r>
              <w:rPr>
                <w:rFonts w:ascii="Arial" w:cs="Arial" w:eastAsia="Arial" w:hAnsi="Arial"/>
                <w:sz w:val="13"/>
                <w:szCs w:val="13"/>
                <w:color w:val="auto"/>
              </w:rPr>
              <w:t>2,931,498</w:t>
            </w:r>
          </w:p>
        </w:tc>
        <w:tc>
          <w:tcPr>
            <w:tcW w:w="320" w:type="dxa"/>
            <w:vAlign w:val="bottom"/>
            <w:tcBorders>
              <w:bottom w:val="single" w:sz="8" w:color="867F7C"/>
            </w:tcBorders>
          </w:tcPr>
          <w:p>
            <w:pPr>
              <w:jc w:val="right"/>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867F7C"/>
            </w:tcBorders>
          </w:tcPr>
          <w:p>
            <w:pPr>
              <w:jc w:val="right"/>
              <w:ind w:right="173"/>
              <w:spacing w:after="0" w:line="142" w:lineRule="exact"/>
              <w:rPr>
                <w:sz w:val="20"/>
                <w:szCs w:val="20"/>
                <w:color w:val="auto"/>
              </w:rPr>
            </w:pPr>
            <w:r>
              <w:rPr>
                <w:rFonts w:ascii="Arial" w:cs="Arial" w:eastAsia="Arial" w:hAnsi="Arial"/>
                <w:sz w:val="13"/>
                <w:szCs w:val="13"/>
                <w:color w:val="auto"/>
              </w:rPr>
              <w:t>1,008,531</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4CCEDE"/>
        </w:rPr>
        <w:t>performance measures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performance measures are the most important used by the Company to link executive compensation actually paid to the NEOs to company performance during the fiscal year ended September 30, 2025. The measures listed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760720" cy="146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867F7C"/>
        </w:rPr>
        <w:t>Company-selected performance measures:</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57607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Return on Net Assets (“RONA”)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57607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Relative TSR compared to the S&amp;P 400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57607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71" w:name="page72"/>
    <w:bookmarkEnd w:id="71"/>
    <w:p>
      <w:pPr>
        <w:ind w:right="1300"/>
        <w:spacing w:after="0" w:line="253" w:lineRule="auto"/>
        <w:rPr>
          <w:sz w:val="20"/>
          <w:szCs w:val="20"/>
          <w:color w:val="auto"/>
        </w:rPr>
      </w:pPr>
      <w:r>
        <w:rPr>
          <w:rFonts w:ascii="Arial" w:cs="Arial" w:eastAsia="Arial" w:hAnsi="Arial"/>
          <w:sz w:val="54"/>
          <w:szCs w:val="54"/>
          <w:color w:val="867F7C"/>
        </w:rPr>
        <w:t>proposal two — ratification of appointment of independent registered public accounting firm</w:t>
      </w:r>
    </w:p>
    <w:p>
      <w:pPr>
        <w:spacing w:after="0" w:line="3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of the Board has recommended to the Board, and the Board has approved, the appointment of Ernst and Young, LLP (“EY”) to audit Ashland’s Consolidated Financial Statements and Internal Controls Over Financial Reporting for fiscal 2026, subject to ratification by the stockholders at the Annual Meeting. The Audit Committee believes that the continued retention of EY to serve as Ashland’s independent registered public accounting firm is in the best interests of Ashland and its stockholders. In making such a determination, the Audit Committee considers, among other things, an evaluation of EY’s performance, qualifications, independence, tenure, and appropriateness of fees, as well as the potential impact of changing auditors.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fees for professional services rendered by EY for fiscal years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bottom w:val="single" w:sz="8" w:color="EFEBE9"/>
            </w:tcBorders>
            <w:shd w:val="clear" w:color="auto" w:fill="EFEBE9"/>
          </w:tcPr>
          <w:p>
            <w:pPr>
              <w:spacing w:after="0"/>
              <w:rPr>
                <w:sz w:val="19"/>
                <w:szCs w:val="19"/>
                <w:color w:val="auto"/>
              </w:rPr>
            </w:pPr>
          </w:p>
        </w:tc>
        <w:tc>
          <w:tcPr>
            <w:tcW w:w="360" w:type="dxa"/>
            <w:vAlign w:val="bottom"/>
            <w:tcBorders>
              <w:bottom w:val="single" w:sz="8" w:color="EFEBE9"/>
            </w:tcBorders>
            <w:shd w:val="clear" w:color="auto" w:fill="EFEBE9"/>
          </w:tcPr>
          <w:p>
            <w:pPr>
              <w:spacing w:after="0"/>
              <w:rPr>
                <w:sz w:val="19"/>
                <w:szCs w:val="19"/>
                <w:color w:val="auto"/>
              </w:rPr>
            </w:pPr>
          </w:p>
        </w:tc>
        <w:tc>
          <w:tcPr>
            <w:tcW w:w="1060" w:type="dxa"/>
            <w:vAlign w:val="bottom"/>
            <w:tcBorders>
              <w:bottom w:val="single" w:sz="8" w:color="EFEBE9"/>
            </w:tcBorders>
            <w:shd w:val="clear" w:color="auto" w:fill="EFEBE9"/>
          </w:tcPr>
          <w:p>
            <w:pPr>
              <w:jc w:val="right"/>
              <w:ind w:right="328"/>
              <w:spacing w:after="0"/>
              <w:rPr>
                <w:sz w:val="20"/>
                <w:szCs w:val="20"/>
                <w:color w:val="auto"/>
              </w:rPr>
            </w:pPr>
            <w:r>
              <w:rPr>
                <w:rFonts w:ascii="Arial" w:cs="Arial" w:eastAsia="Arial" w:hAnsi="Arial"/>
                <w:sz w:val="14"/>
                <w:szCs w:val="14"/>
                <w:b w:val="1"/>
                <w:bCs w:val="1"/>
                <w:color w:val="867F7C"/>
              </w:rPr>
              <w:t>2025</w:t>
            </w:r>
          </w:p>
        </w:tc>
        <w:tc>
          <w:tcPr>
            <w:tcW w:w="480" w:type="dxa"/>
            <w:vAlign w:val="bottom"/>
            <w:tcBorders>
              <w:bottom w:val="single" w:sz="8" w:color="EFEBE9"/>
            </w:tcBorders>
            <w:shd w:val="clear" w:color="auto" w:fill="EFEBE9"/>
          </w:tcPr>
          <w:p>
            <w:pPr>
              <w:spacing w:after="0"/>
              <w:rPr>
                <w:sz w:val="19"/>
                <w:szCs w:val="19"/>
                <w:color w:val="auto"/>
              </w:rPr>
            </w:pPr>
          </w:p>
        </w:tc>
        <w:tc>
          <w:tcPr>
            <w:tcW w:w="1160" w:type="dxa"/>
            <w:vAlign w:val="bottom"/>
            <w:tcBorders>
              <w:bottom w:val="single" w:sz="8" w:color="EFEBE9"/>
            </w:tcBorders>
            <w:shd w:val="clear" w:color="auto" w:fill="EFEBE9"/>
          </w:tcPr>
          <w:p>
            <w:pPr>
              <w:jc w:val="right"/>
              <w:ind w:right="448"/>
              <w:spacing w:after="0"/>
              <w:rPr>
                <w:sz w:val="20"/>
                <w:szCs w:val="20"/>
                <w:color w:val="auto"/>
              </w:rPr>
            </w:pPr>
            <w:r>
              <w:rPr>
                <w:rFonts w:ascii="Arial" w:cs="Arial" w:eastAsia="Arial" w:hAnsi="Arial"/>
                <w:sz w:val="14"/>
                <w:szCs w:val="14"/>
                <w:b w:val="1"/>
                <w:bCs w:val="1"/>
                <w:color w:val="867F7C"/>
              </w:rPr>
              <w:t>2024</w:t>
            </w:r>
          </w:p>
        </w:tc>
      </w:tr>
      <w:tr>
        <w:trPr>
          <w:trHeight w:val="203"/>
        </w:trPr>
        <w:tc>
          <w:tcPr>
            <w:tcW w:w="6020" w:type="dxa"/>
            <w:vAlign w:val="bottom"/>
            <w:tcBorders>
              <w:bottom w:val="single" w:sz="8" w:color="867F7C"/>
            </w:tcBorders>
          </w:tcPr>
          <w:p>
            <w:pPr>
              <w:ind w:left="100"/>
              <w:spacing w:after="0" w:line="203" w:lineRule="exact"/>
              <w:rPr>
                <w:sz w:val="20"/>
                <w:szCs w:val="20"/>
                <w:color w:val="auto"/>
              </w:rPr>
            </w:pPr>
            <w:r>
              <w:rPr>
                <w:rFonts w:ascii="Arial" w:cs="Arial" w:eastAsia="Arial" w:hAnsi="Arial"/>
                <w:sz w:val="14"/>
                <w:szCs w:val="14"/>
                <w:color w:val="auto"/>
              </w:rPr>
              <w:t>Audit Fees</w:t>
            </w:r>
            <w:r>
              <w:rPr>
                <w:rFonts w:ascii="Arial" w:cs="Arial" w:eastAsia="Arial" w:hAnsi="Arial"/>
                <w:sz w:val="19"/>
                <w:szCs w:val="19"/>
                <w:color w:val="auto"/>
                <w:vertAlign w:val="superscript"/>
              </w:rPr>
              <w:t>(1)</w:t>
            </w:r>
          </w:p>
        </w:tc>
        <w:tc>
          <w:tcPr>
            <w:tcW w:w="36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5,509,334</w:t>
            </w:r>
          </w:p>
        </w:tc>
        <w:tc>
          <w:tcPr>
            <w:tcW w:w="48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auto"/>
              </w:rPr>
              <w:t>5,702,046</w:t>
            </w:r>
          </w:p>
        </w:tc>
      </w:tr>
      <w:tr>
        <w:trPr>
          <w:trHeight w:val="196"/>
        </w:trPr>
        <w:tc>
          <w:tcPr>
            <w:tcW w:w="6020" w:type="dxa"/>
            <w:vAlign w:val="bottom"/>
            <w:tcBorders>
              <w:bottom w:val="single" w:sz="8" w:color="867F7C"/>
            </w:tcBorders>
          </w:tcPr>
          <w:p>
            <w:pPr>
              <w:ind w:left="100"/>
              <w:spacing w:after="0" w:line="196" w:lineRule="exact"/>
              <w:rPr>
                <w:sz w:val="20"/>
                <w:szCs w:val="20"/>
                <w:color w:val="auto"/>
              </w:rPr>
            </w:pPr>
            <w:r>
              <w:rPr>
                <w:rFonts w:ascii="Arial" w:cs="Arial" w:eastAsia="Arial" w:hAnsi="Arial"/>
                <w:sz w:val="14"/>
                <w:szCs w:val="14"/>
                <w:color w:val="auto"/>
              </w:rPr>
              <w:t>Audit-Related Fees</w:t>
            </w:r>
            <w:r>
              <w:rPr>
                <w:rFonts w:ascii="Arial" w:cs="Arial" w:eastAsia="Arial" w:hAnsi="Arial"/>
                <w:sz w:val="19"/>
                <w:szCs w:val="19"/>
                <w:color w:val="auto"/>
                <w:vertAlign w:val="superscript"/>
              </w:rPr>
              <w:t>(2)</w:t>
            </w:r>
          </w:p>
        </w:tc>
        <w:tc>
          <w:tcPr>
            <w:tcW w:w="360" w:type="dxa"/>
            <w:vAlign w:val="bottom"/>
            <w:tcBorders>
              <w:bottom w:val="single" w:sz="8" w:color="867F7C"/>
            </w:tcBorders>
          </w:tcPr>
          <w:p>
            <w:pPr>
              <w:spacing w:after="0"/>
              <w:rPr>
                <w:sz w:val="17"/>
                <w:szCs w:val="17"/>
                <w:color w:val="auto"/>
              </w:rPr>
            </w:pPr>
          </w:p>
        </w:tc>
        <w:tc>
          <w:tcPr>
            <w:tcW w:w="106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867F7C"/>
            </w:tcBorders>
          </w:tcPr>
          <w:p>
            <w:pPr>
              <w:spacing w:after="0"/>
              <w:rPr>
                <w:sz w:val="17"/>
                <w:szCs w:val="17"/>
                <w:color w:val="auto"/>
              </w:rPr>
            </w:pPr>
          </w:p>
        </w:tc>
        <w:tc>
          <w:tcPr>
            <w:tcW w:w="116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auto"/>
              </w:rPr>
              <w:t>655,911</w:t>
            </w:r>
          </w:p>
        </w:tc>
      </w:tr>
      <w:tr>
        <w:trPr>
          <w:trHeight w:val="196"/>
        </w:trPr>
        <w:tc>
          <w:tcPr>
            <w:tcW w:w="6020" w:type="dxa"/>
            <w:vAlign w:val="bottom"/>
            <w:tcBorders>
              <w:bottom w:val="single" w:sz="8" w:color="867F7C"/>
            </w:tcBorders>
          </w:tcPr>
          <w:p>
            <w:pPr>
              <w:ind w:left="100"/>
              <w:spacing w:after="0" w:line="196" w:lineRule="exact"/>
              <w:rPr>
                <w:sz w:val="20"/>
                <w:szCs w:val="20"/>
                <w:color w:val="auto"/>
              </w:rPr>
            </w:pPr>
            <w:r>
              <w:rPr>
                <w:rFonts w:ascii="Arial" w:cs="Arial" w:eastAsia="Arial" w:hAnsi="Arial"/>
                <w:sz w:val="14"/>
                <w:szCs w:val="14"/>
                <w:color w:val="auto"/>
              </w:rPr>
              <w:t>Tax Fees</w:t>
            </w:r>
            <w:r>
              <w:rPr>
                <w:rFonts w:ascii="Arial" w:cs="Arial" w:eastAsia="Arial" w:hAnsi="Arial"/>
                <w:sz w:val="19"/>
                <w:szCs w:val="19"/>
                <w:color w:val="auto"/>
                <w:vertAlign w:val="superscript"/>
              </w:rPr>
              <w:t>(3)</w:t>
            </w:r>
          </w:p>
        </w:tc>
        <w:tc>
          <w:tcPr>
            <w:tcW w:w="360" w:type="dxa"/>
            <w:vAlign w:val="bottom"/>
            <w:tcBorders>
              <w:bottom w:val="single" w:sz="8" w:color="867F7C"/>
            </w:tcBorders>
          </w:tcPr>
          <w:p>
            <w:pPr>
              <w:spacing w:after="0"/>
              <w:rPr>
                <w:sz w:val="17"/>
                <w:szCs w:val="17"/>
                <w:color w:val="auto"/>
              </w:rPr>
            </w:pPr>
          </w:p>
        </w:tc>
        <w:tc>
          <w:tcPr>
            <w:tcW w:w="106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160,421</w:t>
            </w:r>
          </w:p>
        </w:tc>
        <w:tc>
          <w:tcPr>
            <w:tcW w:w="480" w:type="dxa"/>
            <w:vAlign w:val="bottom"/>
            <w:tcBorders>
              <w:bottom w:val="single" w:sz="8" w:color="867F7C"/>
            </w:tcBorders>
          </w:tcPr>
          <w:p>
            <w:pPr>
              <w:spacing w:after="0"/>
              <w:rPr>
                <w:sz w:val="17"/>
                <w:szCs w:val="17"/>
                <w:color w:val="auto"/>
              </w:rPr>
            </w:pPr>
          </w:p>
        </w:tc>
        <w:tc>
          <w:tcPr>
            <w:tcW w:w="116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auto"/>
              </w:rPr>
              <w:t>237,988</w:t>
            </w:r>
          </w:p>
        </w:tc>
      </w:tr>
      <w:tr>
        <w:trPr>
          <w:trHeight w:val="196"/>
        </w:trPr>
        <w:tc>
          <w:tcPr>
            <w:tcW w:w="6020" w:type="dxa"/>
            <w:vAlign w:val="bottom"/>
            <w:tcBorders>
              <w:bottom w:val="single" w:sz="8" w:color="867F7C"/>
            </w:tcBorders>
          </w:tcPr>
          <w:p>
            <w:pPr>
              <w:ind w:left="100"/>
              <w:spacing w:after="0" w:line="196" w:lineRule="exact"/>
              <w:rPr>
                <w:sz w:val="20"/>
                <w:szCs w:val="20"/>
                <w:color w:val="auto"/>
              </w:rPr>
            </w:pPr>
            <w:r>
              <w:rPr>
                <w:rFonts w:ascii="Arial" w:cs="Arial" w:eastAsia="Arial" w:hAnsi="Arial"/>
                <w:sz w:val="14"/>
                <w:szCs w:val="14"/>
                <w:color w:val="auto"/>
              </w:rPr>
              <w:t>Total Other Fees</w:t>
            </w:r>
            <w:r>
              <w:rPr>
                <w:rFonts w:ascii="Arial" w:cs="Arial" w:eastAsia="Arial" w:hAnsi="Arial"/>
                <w:sz w:val="19"/>
                <w:szCs w:val="19"/>
                <w:color w:val="auto"/>
                <w:vertAlign w:val="superscript"/>
              </w:rPr>
              <w:t>(4)</w:t>
            </w:r>
          </w:p>
        </w:tc>
        <w:tc>
          <w:tcPr>
            <w:tcW w:w="360" w:type="dxa"/>
            <w:vAlign w:val="bottom"/>
            <w:tcBorders>
              <w:bottom w:val="single" w:sz="8" w:color="867F7C"/>
            </w:tcBorders>
          </w:tcPr>
          <w:p>
            <w:pPr>
              <w:spacing w:after="0"/>
              <w:rPr>
                <w:sz w:val="17"/>
                <w:szCs w:val="17"/>
                <w:color w:val="auto"/>
              </w:rPr>
            </w:pPr>
          </w:p>
        </w:tc>
        <w:tc>
          <w:tcPr>
            <w:tcW w:w="106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867F7C"/>
            </w:tcBorders>
          </w:tcPr>
          <w:p>
            <w:pPr>
              <w:spacing w:after="0"/>
              <w:rPr>
                <w:sz w:val="17"/>
                <w:szCs w:val="17"/>
                <w:color w:val="auto"/>
              </w:rPr>
            </w:pPr>
          </w:p>
        </w:tc>
        <w:tc>
          <w:tcPr>
            <w:tcW w:w="116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auto"/>
              </w:rPr>
              <w:t>—</w:t>
            </w:r>
          </w:p>
        </w:tc>
      </w:tr>
      <w:tr>
        <w:trPr>
          <w:trHeight w:val="192"/>
        </w:trPr>
        <w:tc>
          <w:tcPr>
            <w:tcW w:w="60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867F7C"/>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67F7C"/>
            </w:tcBorders>
          </w:tcPr>
          <w:p>
            <w:pPr>
              <w:jc w:val="right"/>
              <w:ind w:right="208"/>
              <w:spacing w:after="0"/>
              <w:rPr>
                <w:sz w:val="20"/>
                <w:szCs w:val="20"/>
                <w:color w:val="auto"/>
              </w:rPr>
            </w:pPr>
            <w:r>
              <w:rPr>
                <w:rFonts w:ascii="Arial" w:cs="Arial" w:eastAsia="Arial" w:hAnsi="Arial"/>
                <w:sz w:val="14"/>
                <w:szCs w:val="14"/>
                <w:color w:val="auto"/>
              </w:rPr>
              <w:t>5,669,755</w:t>
            </w:r>
          </w:p>
        </w:tc>
        <w:tc>
          <w:tcPr>
            <w:tcW w:w="48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67F7C"/>
            </w:tcBorders>
          </w:tcPr>
          <w:p>
            <w:pPr>
              <w:jc w:val="right"/>
              <w:ind w:right="328"/>
              <w:spacing w:after="0"/>
              <w:rPr>
                <w:sz w:val="20"/>
                <w:szCs w:val="20"/>
                <w:color w:val="auto"/>
              </w:rPr>
            </w:pPr>
            <w:r>
              <w:rPr>
                <w:rFonts w:ascii="Arial" w:cs="Arial" w:eastAsia="Arial" w:hAnsi="Arial"/>
                <w:sz w:val="14"/>
                <w:szCs w:val="14"/>
                <w:color w:val="auto"/>
              </w:rPr>
              <w:t>6,595,945</w:t>
            </w:r>
          </w:p>
        </w:tc>
      </w:tr>
    </w:tbl>
    <w:p>
      <w:pPr>
        <w:spacing w:after="0" w:line="31" w:lineRule="exact"/>
        <w:rPr>
          <w:sz w:val="20"/>
          <w:szCs w:val="20"/>
          <w:color w:val="auto"/>
        </w:rPr>
      </w:pPr>
    </w:p>
    <w:p>
      <w:pPr>
        <w:jc w:val="both"/>
        <w:ind w:left="220" w:hanging="212"/>
        <w:spacing w:after="0" w:line="234" w:lineRule="auto"/>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Audit fees for fiscal 2025 and 2024 include fees and expenses associated with the annual audit of Ashland’s consolidated financial statements and internal controls over financial reporting and interim reviews of Ashland’s consolidated financial statements. Audit fees also include fees associated with various audit requirements of Ashland’s foreign subsidiaries (statutory requirements) and agreed upon procedures reports that are required to be issued by Ashland’s independent registered public accounting firm. Audit fees in 2025 and 2024 also include fees associated with the Company’s foreign securitization program, supply chain financing program, the Avoca and Nutraceuticals divestiture and assistance with the review of documents filed with the SEC.</w:t>
      </w:r>
    </w:p>
    <w:p>
      <w:pPr>
        <w:spacing w:after="0" w:line="82" w:lineRule="exact"/>
        <w:rPr>
          <w:rFonts w:ascii="Times New Roman" w:cs="Times New Roman" w:eastAsia="Times New Roman" w:hAnsi="Times New Roman"/>
          <w:sz w:val="19"/>
          <w:szCs w:val="19"/>
          <w:color w:val="auto"/>
          <w:vertAlign w:val="superscript"/>
        </w:rPr>
      </w:pPr>
    </w:p>
    <w:p>
      <w:pPr>
        <w:ind w:left="220" w:hanging="212"/>
        <w:spacing w:after="0" w:line="222" w:lineRule="auto"/>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Audit-related fees in 2024 include agreed upon procedure reports and due diligence activities associated with potential acquisition and divestiture activities.</w:t>
      </w:r>
    </w:p>
    <w:p>
      <w:pPr>
        <w:spacing w:after="0" w:line="52"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Tax fees include fees principally incurred for assistance with U.S. and international tax planning and compliance.</w:t>
      </w:r>
    </w:p>
    <w:p>
      <w:pPr>
        <w:spacing w:after="0" w:line="70" w:lineRule="exact"/>
        <w:rPr>
          <w:rFonts w:ascii="Times New Roman" w:cs="Times New Roman" w:eastAsia="Times New Roman" w:hAnsi="Times New Roman"/>
          <w:sz w:val="19"/>
          <w:szCs w:val="19"/>
          <w:color w:val="auto"/>
          <w:vertAlign w:val="superscript"/>
        </w:rPr>
      </w:pPr>
    </w:p>
    <w:p>
      <w:pPr>
        <w:ind w:left="220" w:hanging="212"/>
        <w:spacing w:after="0" w:line="218" w:lineRule="auto"/>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There were no other fees.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Representatives of EY will attend the Annual Meeting to respond to questions from stockholders and will be given the opportunity to make a statement.</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stockholders are being asked to ratify the Audit Committee’s appointment of EY. Ratification of the appointment of EY requires approval by a majority of the votes cast by the stockholders entitled to vote thereon who are present in person or by proxy. Abstentions will not be counted as votes cast either for or against the proposal. As this proposal is considered a “routine” matter by the New York Stock Exchange, there should not be any broker non-votes cast in connection with this proposal. If the stockholders fail to ratify this appointment, the Audit Committee may, but is not required to, reconsider whether to retain EY. Even if the appointment is ratified, the Audit Committee in its discretion may direct the appointment of a different accounting firm at any time during the year if it determines that such a change would be in the best interests of Ashland and its stockholders.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no voting specification is made on a properly returned or voted proxy card, Guillermo Novo or Robin E. Lampkin (proxies named on the proxy card) will vote on your behalf FOR the ratification of EY as Ashland’s independent registered public accounting firm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60720" cy="4457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760720" cy="445770"/>
                    </a:xfrm>
                    <a:prstGeom prst="rect">
                      <a:avLst/>
                    </a:prstGeom>
                    <a:noFill/>
                  </pic:spPr>
                </pic:pic>
              </a:graphicData>
            </a:graphic>
          </wp:anchor>
        </w:drawing>
      </w:r>
    </w:p>
    <w:p>
      <w:pPr>
        <w:spacing w:after="0" w:line="122"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4CCEDE"/>
        </w:rPr>
        <w:t>FOR</w:t>
      </w:r>
      <w:r>
        <w:rPr>
          <w:rFonts w:ascii="Arial" w:cs="Arial" w:eastAsia="Arial" w:hAnsi="Arial"/>
          <w:sz w:val="18"/>
          <w:szCs w:val="18"/>
          <w:b w:val="1"/>
          <w:bCs w:val="1"/>
          <w:color w:val="auto"/>
        </w:rPr>
        <w:t xml:space="preserve"> the ratification of EY as Ashland’s independent registered public accounting firm for fiscal 2026.</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055" w:right="1419" w:bottom="1440" w:gutter="0" w:footer="0" w:header="0"/>
        </w:sectPr>
      </w:pPr>
    </w:p>
    <w:bookmarkStart w:id="72" w:name="page73"/>
    <w:bookmarkEnd w:id="72"/>
    <w:p>
      <w:pPr>
        <w:spacing w:after="0"/>
        <w:rPr>
          <w:sz w:val="20"/>
          <w:szCs w:val="20"/>
          <w:color w:val="auto"/>
        </w:rPr>
      </w:pPr>
      <w:r>
        <w:rPr>
          <w:rFonts w:ascii="Arial" w:cs="Arial" w:eastAsia="Arial" w:hAnsi="Arial"/>
          <w:sz w:val="54"/>
          <w:szCs w:val="54"/>
          <w:color w:val="867F7C"/>
        </w:rPr>
        <w:t>audit committee report</w:t>
      </w:r>
    </w:p>
    <w:p>
      <w:pPr>
        <w:spacing w:after="0" w:line="200" w:lineRule="exact"/>
        <w:rPr>
          <w:sz w:val="20"/>
          <w:szCs w:val="20"/>
          <w:color w:val="auto"/>
        </w:rPr>
      </w:pP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Audit Committee currently is composed of three independent directors and operates under a written charter adopted by the Board of Directors. At its November 2025 meeting, the Board determined that all current members of the Audit Committee — Ms. Main and Messrs. Peribere and Tozier — are independent as defined by SEC rules and the listing standards of the New York Stock Exchange, each of which apply to Ashland, and its governance standards. The Board also determined that Ms. Main and Mr. Tozier each qualify as audit committee financial experts under applicable SEC rules.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Audit Committee assists in fulfilling the oversight responsibilities of the Board relating to the integrity of the Company’s financial statements and financial reporting process, the integrity of the Company’s systems of internal accounting and financial controls, the performance of the Company’s internal audit function and independent auditors, the independent auditors’ qualifications, independence and audit of the Company’s financial statements, the Company’s risk management policies and processes, including cybersecurity risks, the Company’s financial affairs, including capital allocation framework, prioritization, significant decisions and risk considerations, and legal and regulatory compliance requirements. The Audit Committee through its Chair is also directly involved in the selection of the independent auditor’s lead engagement partner, which occurs every five years. The Company's lead engagement partner rotation occurred in November 2024 for the fiscal 2025 audit.</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2025, the Audit Committee met eight times, including teleconferences, to discuss and review Ashland’s quarterly financial performance, associated news releases, quarterly reports on Form 10-Q and annual report on Form 10-K.</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management has primary responsibility for establishing and maintaining adequate internal financial controls, for preparing the financial statements and for the public reporting process. The independent auditors are responsible for expressing opinions on the conformity of the Company’s audited financial statements with generally accepted accounting principles and on management’s assessment of the effectiveness of the Company’s internal control over financial reporting.</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Ernst &amp; Young LLP (“EY”), an independent registered public accounting firm, was engaged to audit Ashland’s consolidated financial statements for fiscal 2025 and to issue an opinion on whether such statements present fairly, in all material respects, Ashland’s consolidated financial position, results of operations and cash flows in conformity with U.S. generally accepted accounting principles. EY was also engaged to audit and to issue an opinion on the effectiveness of Ashland’s internal control over financial reporting. Prior to any engagement of EY by Ashland, the engagement was approved in accordance with established policies and procedures. The Audit Committee reviewed and discussed with management and EY the audited financial statements, management’s assessment of the effectiveness of Ashland’s internal control over financial reporting, and EY’s evaluation of Ashland’s internal control over financial reporting. The Audit Committee further reviewed EY’s judgment as to the quality and acceptability of Ashland’s accounting principles, financial reporting process and controls and such other matters as are required to be discussed with the Audit Committee under the standards of the Public Company Accounting Oversight Board (United States) (the “PCAOB”) and the SEC. In addition, the Audit Committee received and reviewed EY’s independence from management and Ashland including the matters in the written disclosures required by the PCAOB.</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has adopted strict guidelines on the use of the independent registered public accounting firm to provide non-audit services. The Audit Committee must pre-approve any non-audit services performed by the independent registered public accounting firm. In circumstances where the engagement of independent auditors to perform work beyond the scope of and not contemplated in the original pre-approval occurs, specific pre-approval of the additional services is required by the Audit Committee Chair prior to the engagement of the independent auditors for those services and must be subsequently approved by the Audit Committee at its next meeting. The Audit Committee has considered whether the provision of audit-related and other non-audit services by EY is compatible with maintaining</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67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867F7C"/>
        </w:rPr>
        <w:t>audit committee report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EY’s independence and has concluded that EY’s independence is not compromised by providing such services.</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Ashland’s consolidated financial statements be accepted for inclusion in its Annual Report on Form 10-K for the fiscal year ended September 30, 2025, for filing with the SEC.</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audit committee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Scott A. Tozier (Chair)</w:t>
      </w:r>
    </w:p>
    <w:p>
      <w:pPr>
        <w:spacing w:after="0" w:line="234" w:lineRule="auto"/>
        <w:rPr>
          <w:sz w:val="20"/>
          <w:szCs w:val="20"/>
          <w:color w:val="auto"/>
        </w:rPr>
      </w:pPr>
      <w:r>
        <w:rPr>
          <w:rFonts w:ascii="Arial" w:cs="Arial" w:eastAsia="Arial" w:hAnsi="Arial"/>
          <w:sz w:val="18"/>
          <w:szCs w:val="18"/>
          <w:color w:val="auto"/>
        </w:rPr>
        <w:t>Susan L. Main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Jerome A. Peribere</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Report does not constitute soliciting material and shall not be deemed to be filed or incorporated by reference into any other filing under the Securities Act of 1933, or the Securities Exchange Act of 1934, except to the extent that Ashland specifically incorporates the Audit Committee Report by reference therein.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68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486410</wp:posOffset>
            </wp:positionV>
            <wp:extent cx="703770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74" w:name="page75"/>
    <w:bookmarkEnd w:id="74"/>
    <w:p>
      <w:pPr>
        <w:ind w:right="1140"/>
        <w:spacing w:after="0" w:line="247" w:lineRule="auto"/>
        <w:rPr>
          <w:sz w:val="20"/>
          <w:szCs w:val="20"/>
          <w:color w:val="auto"/>
        </w:rPr>
      </w:pPr>
      <w:r>
        <w:rPr>
          <w:rFonts w:ascii="Arial" w:cs="Arial" w:eastAsia="Arial" w:hAnsi="Arial"/>
          <w:sz w:val="54"/>
          <w:szCs w:val="54"/>
          <w:color w:val="867F7C"/>
        </w:rPr>
        <w:t>proposal three — non-binding advisory resolution approving the compensation paid to Ashland’s named executive officers</w:t>
      </w:r>
    </w:p>
    <w:p>
      <w:pPr>
        <w:spacing w:after="0" w:line="3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Section 14A of the Exchange Act, the stockholders of Ashland are entitled to vote, on a non-binding advisory basis, at the Annual Meeting, on a resolution approving the compensation paid to Ashland’s named executive officers, as disclosed pursuant to Item 402 of Regulation S-K, including the Compensation Discussion and Analysis, compensation tables and narrative discussion.</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January 2023, Ashland’s Board approved a resolution providing that the executive compensation vote described in this Proposal Three shall be submitted to the stockholders annually.</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Accordingly, the stockholders are being asked to vote upon, and the Board has approved and unanimously recommends, the following non-binding advisory resolution:</w:t>
      </w:r>
    </w:p>
    <w:p>
      <w:pPr>
        <w:spacing w:after="0" w:line="10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RESOLVED, that the compensation paid to Ashland’s named executive officers, as disclosed pursuant to Item 402 of Regulation S-K, including the Compensation Discussion and Analysis, compensation tables and narrative discussion is hereby APPROVED.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stockholder vote on executive compensation is an advisory vote only, and it is not binding on Ashland, Ashland’s Board or the Compensation Committee.</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described more fully in the “Compensation Discussion and Analysis” section on page 28 of this Proxy Statement, Ashland’s executive compensation program is designed to attract, motivate and retain individuals with the skills required to formulate and drive Ashland’s strategic direction and achieve short-term and long-term performance goals necessary to create stockholder value.</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Ashland has several governance programs in place to align executive compensation with stockholder interests and mitigate risks in its plans. These programs include: stock ownership guidelines, limited perquisites, an anti-hedging policy, an anti-pledging policy and a clawback policy.</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non-binding advisory resolution regarding the compensation of the named executive officers described in this Proposal Three shall be approved if a majority of the votes cast by the stockholders entitled to vote thereon who are present in person or by proxy vote in favor of the resolution. Abstentions and broker non-votes will not be counted as either votes cast for or against the resolution.</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no voting specification is made on a properly returned or voted proxy card, Guillermo Novo or Robin E. Lampkin (proxies named on the proxy card) will vote on your behalf FOR the approval of the compensation of the named executive officers as disclosed in this Proxy Statement and described in this 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760720" cy="7029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60720" cy="702945"/>
                    </a:xfrm>
                    <a:prstGeom prst="rect">
                      <a:avLst/>
                    </a:prstGeom>
                    <a:noFill/>
                  </pic:spPr>
                </pic:pic>
              </a:graphicData>
            </a:graphic>
          </wp:anchor>
        </w:drawing>
      </w:r>
    </w:p>
    <w:p>
      <w:pPr>
        <w:spacing w:after="0" w:line="284" w:lineRule="exact"/>
        <w:rPr>
          <w:sz w:val="20"/>
          <w:szCs w:val="20"/>
          <w:color w:val="auto"/>
        </w:rPr>
      </w:pPr>
    </w:p>
    <w:p>
      <w:pPr>
        <w:jc w:val="center"/>
        <w:ind w:right="40"/>
        <w:spacing w:after="0" w:line="250"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4CCEDE"/>
        </w:rPr>
        <w:t>FOR</w:t>
      </w:r>
      <w:r>
        <w:rPr>
          <w:rFonts w:ascii="Arial" w:cs="Arial" w:eastAsia="Arial" w:hAnsi="Arial"/>
          <w:sz w:val="18"/>
          <w:szCs w:val="18"/>
          <w:b w:val="1"/>
          <w:bCs w:val="1"/>
          <w:color w:val="auto"/>
        </w:rPr>
        <w:t xml:space="preserve"> a non-binding advisory resolution approving the compensation paid to Ashland’s named executive officers, as disclosed pursuant to Item 402 of Regulation S-K, including the Compensation Discussion and Analysis, compensation tables and narrative discussion.</w:t>
      </w:r>
    </w:p>
    <w:p>
      <w:pPr>
        <w:spacing w:after="0" w:line="200" w:lineRule="exact"/>
        <w:rPr>
          <w:sz w:val="20"/>
          <w:szCs w:val="20"/>
          <w:color w:val="auto"/>
        </w:rPr>
      </w:pPr>
    </w:p>
    <w:p>
      <w:pPr>
        <w:spacing w:after="0" w:line="332"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75" w:name="page76"/>
    <w:bookmarkEnd w:id="75"/>
    <w:p>
      <w:pPr>
        <w:jc w:val="both"/>
        <w:ind w:right="1360"/>
        <w:spacing w:after="0" w:line="253" w:lineRule="auto"/>
        <w:rPr>
          <w:sz w:val="20"/>
          <w:szCs w:val="20"/>
          <w:color w:val="auto"/>
        </w:rPr>
      </w:pPr>
      <w:r>
        <w:rPr>
          <w:rFonts w:ascii="Arial" w:cs="Arial" w:eastAsia="Arial" w:hAnsi="Arial"/>
          <w:sz w:val="54"/>
          <w:szCs w:val="54"/>
          <w:color w:val="867F7C"/>
        </w:rPr>
        <w:t>beneficial ownership of common stock — certain other beneficial owners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reports the number of shares of Ashland common stock that were beneficially owned by each person that has publicly reported ownership of more than five percent (5%) of Ashland’s outstanding shares of common stock as of the close of business on November 21,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shd w:val="clear" w:color="auto" w:fill="EFEBE9"/>
          </w:tcPr>
          <w:p>
            <w:pPr>
              <w:spacing w:after="0"/>
              <w:rPr>
                <w:sz w:val="14"/>
                <w:szCs w:val="14"/>
                <w:color w:val="auto"/>
              </w:rPr>
            </w:pPr>
          </w:p>
        </w:tc>
        <w:tc>
          <w:tcPr>
            <w:tcW w:w="360" w:type="dxa"/>
            <w:vAlign w:val="bottom"/>
            <w:shd w:val="clear" w:color="auto" w:fill="EFEBE9"/>
          </w:tcPr>
          <w:p>
            <w:pPr>
              <w:spacing w:after="0"/>
              <w:rPr>
                <w:sz w:val="14"/>
                <w:szCs w:val="14"/>
                <w:color w:val="auto"/>
              </w:rPr>
            </w:pPr>
          </w:p>
        </w:tc>
        <w:tc>
          <w:tcPr>
            <w:tcW w:w="1400" w:type="dxa"/>
            <w:vAlign w:val="bottom"/>
            <w:gridSpan w:val="2"/>
            <w:shd w:val="clear" w:color="auto" w:fill="EFEBE9"/>
          </w:tcPr>
          <w:p>
            <w:pPr>
              <w:jc w:val="center"/>
              <w:ind w:right="298"/>
              <w:spacing w:after="0"/>
              <w:rPr>
                <w:sz w:val="20"/>
                <w:szCs w:val="20"/>
                <w:color w:val="auto"/>
              </w:rPr>
            </w:pPr>
            <w:r>
              <w:rPr>
                <w:rFonts w:ascii="Arial" w:cs="Arial" w:eastAsia="Arial" w:hAnsi="Arial"/>
                <w:sz w:val="14"/>
                <w:szCs w:val="14"/>
                <w:b w:val="1"/>
                <w:bCs w:val="1"/>
                <w:color w:val="867F7C"/>
              </w:rPr>
              <w:t>Number</w:t>
            </w:r>
          </w:p>
        </w:tc>
        <w:tc>
          <w:tcPr>
            <w:tcW w:w="1620" w:type="dxa"/>
            <w:vAlign w:val="bottom"/>
            <w:shd w:val="clear" w:color="auto" w:fill="EFEBE9"/>
          </w:tcPr>
          <w:p>
            <w:pPr>
              <w:jc w:val="center"/>
              <w:ind w:right="68"/>
              <w:spacing w:after="0"/>
              <w:rPr>
                <w:sz w:val="20"/>
                <w:szCs w:val="20"/>
                <w:color w:val="auto"/>
              </w:rPr>
            </w:pPr>
            <w:r>
              <w:rPr>
                <w:rFonts w:ascii="Arial" w:cs="Arial" w:eastAsia="Arial" w:hAnsi="Arial"/>
                <w:sz w:val="14"/>
                <w:szCs w:val="14"/>
                <w:b w:val="1"/>
                <w:bCs w:val="1"/>
                <w:color w:val="867F7C"/>
              </w:rPr>
              <w:t>Percent</w:t>
            </w:r>
          </w:p>
        </w:tc>
        <w:tc>
          <w:tcPr>
            <w:tcW w:w="0" w:type="dxa"/>
            <w:vAlign w:val="bottom"/>
          </w:tcPr>
          <w:p>
            <w:pPr>
              <w:spacing w:after="0"/>
              <w:rPr>
                <w:sz w:val="1"/>
                <w:szCs w:val="1"/>
                <w:color w:val="auto"/>
              </w:rPr>
            </w:pPr>
          </w:p>
        </w:tc>
      </w:tr>
      <w:tr>
        <w:trPr>
          <w:trHeight w:val="162"/>
        </w:trPr>
        <w:tc>
          <w:tcPr>
            <w:tcW w:w="5700" w:type="dxa"/>
            <w:vAlign w:val="bottom"/>
            <w:shd w:val="clear" w:color="auto" w:fill="EFEBE9"/>
          </w:tcPr>
          <w:p>
            <w:pPr>
              <w:spacing w:after="0"/>
              <w:rPr>
                <w:sz w:val="14"/>
                <w:szCs w:val="14"/>
                <w:color w:val="auto"/>
              </w:rPr>
            </w:pPr>
          </w:p>
        </w:tc>
        <w:tc>
          <w:tcPr>
            <w:tcW w:w="360" w:type="dxa"/>
            <w:vAlign w:val="bottom"/>
            <w:shd w:val="clear" w:color="auto" w:fill="EFEBE9"/>
          </w:tcPr>
          <w:p>
            <w:pPr>
              <w:spacing w:after="0"/>
              <w:rPr>
                <w:sz w:val="14"/>
                <w:szCs w:val="14"/>
                <w:color w:val="auto"/>
              </w:rPr>
            </w:pPr>
          </w:p>
        </w:tc>
        <w:tc>
          <w:tcPr>
            <w:tcW w:w="1400" w:type="dxa"/>
            <w:vAlign w:val="bottom"/>
            <w:gridSpan w:val="2"/>
            <w:shd w:val="clear" w:color="auto" w:fill="EFEBE9"/>
          </w:tcPr>
          <w:p>
            <w:pPr>
              <w:jc w:val="center"/>
              <w:ind w:right="298"/>
              <w:spacing w:after="0"/>
              <w:rPr>
                <w:sz w:val="20"/>
                <w:szCs w:val="20"/>
                <w:color w:val="auto"/>
              </w:rPr>
            </w:pPr>
            <w:r>
              <w:rPr>
                <w:rFonts w:ascii="Arial" w:cs="Arial" w:eastAsia="Arial" w:hAnsi="Arial"/>
                <w:sz w:val="14"/>
                <w:szCs w:val="14"/>
                <w:b w:val="1"/>
                <w:bCs w:val="1"/>
                <w:color w:val="867F7C"/>
              </w:rPr>
              <w:t>of Shares</w:t>
            </w:r>
          </w:p>
        </w:tc>
        <w:tc>
          <w:tcPr>
            <w:tcW w:w="1620" w:type="dxa"/>
            <w:vAlign w:val="bottom"/>
            <w:shd w:val="clear" w:color="auto" w:fill="EFEBE9"/>
          </w:tcPr>
          <w:p>
            <w:pPr>
              <w:jc w:val="center"/>
              <w:ind w:right="48"/>
              <w:spacing w:after="0"/>
              <w:rPr>
                <w:sz w:val="20"/>
                <w:szCs w:val="20"/>
                <w:color w:val="auto"/>
              </w:rPr>
            </w:pPr>
            <w:r>
              <w:rPr>
                <w:rFonts w:ascii="Arial" w:cs="Arial" w:eastAsia="Arial" w:hAnsi="Arial"/>
                <w:sz w:val="14"/>
                <w:szCs w:val="14"/>
                <w:b w:val="1"/>
                <w:bCs w:val="1"/>
                <w:color w:val="867F7C"/>
              </w:rPr>
              <w:t>of Shares</w:t>
            </w:r>
          </w:p>
        </w:tc>
        <w:tc>
          <w:tcPr>
            <w:tcW w:w="0" w:type="dxa"/>
            <w:vAlign w:val="bottom"/>
          </w:tcPr>
          <w:p>
            <w:pPr>
              <w:spacing w:after="0"/>
              <w:rPr>
                <w:sz w:val="1"/>
                <w:szCs w:val="1"/>
                <w:color w:val="auto"/>
              </w:rPr>
            </w:pPr>
          </w:p>
        </w:tc>
      </w:tr>
      <w:tr>
        <w:trPr>
          <w:trHeight w:val="144"/>
        </w:trPr>
        <w:tc>
          <w:tcPr>
            <w:tcW w:w="5700" w:type="dxa"/>
            <w:vAlign w:val="bottom"/>
            <w:shd w:val="clear" w:color="auto" w:fill="EFEBE9"/>
          </w:tcPr>
          <w:p>
            <w:pPr>
              <w:spacing w:after="0"/>
              <w:rPr>
                <w:sz w:val="12"/>
                <w:szCs w:val="12"/>
                <w:color w:val="auto"/>
              </w:rPr>
            </w:pPr>
          </w:p>
        </w:tc>
        <w:tc>
          <w:tcPr>
            <w:tcW w:w="360" w:type="dxa"/>
            <w:vAlign w:val="bottom"/>
            <w:shd w:val="clear" w:color="auto" w:fill="EFEBE9"/>
          </w:tcPr>
          <w:p>
            <w:pPr>
              <w:spacing w:after="0"/>
              <w:rPr>
                <w:sz w:val="12"/>
                <w:szCs w:val="12"/>
                <w:color w:val="auto"/>
              </w:rPr>
            </w:pPr>
          </w:p>
        </w:tc>
        <w:tc>
          <w:tcPr>
            <w:tcW w:w="1400" w:type="dxa"/>
            <w:vAlign w:val="bottom"/>
            <w:gridSpan w:val="2"/>
            <w:shd w:val="clear" w:color="auto" w:fill="EFEBE9"/>
          </w:tcPr>
          <w:p>
            <w:pPr>
              <w:jc w:val="center"/>
              <w:ind w:right="318"/>
              <w:spacing w:after="0" w:line="145" w:lineRule="exact"/>
              <w:rPr>
                <w:sz w:val="20"/>
                <w:szCs w:val="20"/>
                <w:color w:val="auto"/>
              </w:rPr>
            </w:pPr>
            <w:r>
              <w:rPr>
                <w:rFonts w:ascii="Arial" w:cs="Arial" w:eastAsia="Arial" w:hAnsi="Arial"/>
                <w:sz w:val="14"/>
                <w:szCs w:val="14"/>
                <w:b w:val="1"/>
                <w:bCs w:val="1"/>
                <w:color w:val="867F7C"/>
              </w:rPr>
              <w:t>Beneficially</w:t>
            </w:r>
          </w:p>
        </w:tc>
        <w:tc>
          <w:tcPr>
            <w:tcW w:w="1620" w:type="dxa"/>
            <w:vAlign w:val="bottom"/>
            <w:shd w:val="clear" w:color="auto" w:fill="EFEBE9"/>
          </w:tcPr>
          <w:p>
            <w:pPr>
              <w:jc w:val="center"/>
              <w:ind w:right="68"/>
              <w:spacing w:after="0" w:line="145" w:lineRule="exact"/>
              <w:rPr>
                <w:sz w:val="20"/>
                <w:szCs w:val="20"/>
                <w:color w:val="auto"/>
              </w:rPr>
            </w:pPr>
            <w:r>
              <w:rPr>
                <w:rFonts w:ascii="Arial" w:cs="Arial" w:eastAsia="Arial" w:hAnsi="Arial"/>
                <w:sz w:val="14"/>
                <w:szCs w:val="14"/>
                <w:b w:val="1"/>
                <w:bCs w:val="1"/>
                <w:color w:val="867F7C"/>
              </w:rPr>
              <w:t>Beneficially</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Name and Address of Beneficial Owner</w:t>
            </w:r>
          </w:p>
        </w:tc>
        <w:tc>
          <w:tcPr>
            <w:tcW w:w="360" w:type="dxa"/>
            <w:vAlign w:val="bottom"/>
            <w:tcBorders>
              <w:bottom w:val="single" w:sz="8" w:color="EFEBE9"/>
            </w:tcBorders>
            <w:shd w:val="clear" w:color="auto" w:fill="EFEBE9"/>
          </w:tcPr>
          <w:p>
            <w:pPr>
              <w:spacing w:after="0"/>
              <w:rPr>
                <w:sz w:val="18"/>
                <w:szCs w:val="18"/>
                <w:color w:val="auto"/>
              </w:rPr>
            </w:pPr>
          </w:p>
        </w:tc>
        <w:tc>
          <w:tcPr>
            <w:tcW w:w="1400" w:type="dxa"/>
            <w:vAlign w:val="bottom"/>
            <w:gridSpan w:val="2"/>
            <w:shd w:val="clear" w:color="auto" w:fill="EFEBE9"/>
          </w:tcPr>
          <w:p>
            <w:pPr>
              <w:jc w:val="center"/>
              <w:ind w:right="318"/>
              <w:spacing w:after="0"/>
              <w:rPr>
                <w:sz w:val="20"/>
                <w:szCs w:val="20"/>
                <w:color w:val="auto"/>
              </w:rPr>
            </w:pPr>
            <w:r>
              <w:rPr>
                <w:rFonts w:ascii="Arial" w:cs="Arial" w:eastAsia="Arial" w:hAnsi="Arial"/>
                <w:sz w:val="14"/>
                <w:szCs w:val="14"/>
                <w:b w:val="1"/>
                <w:bCs w:val="1"/>
                <w:color w:val="867F7C"/>
              </w:rPr>
              <w:t>Owned</w:t>
            </w:r>
          </w:p>
        </w:tc>
        <w:tc>
          <w:tcPr>
            <w:tcW w:w="1620" w:type="dxa"/>
            <w:vAlign w:val="bottom"/>
            <w:shd w:val="clear" w:color="auto" w:fill="EFEBE9"/>
          </w:tcPr>
          <w:p>
            <w:pPr>
              <w:jc w:val="center"/>
              <w:ind w:right="68"/>
              <w:spacing w:after="0" w:line="189" w:lineRule="exact"/>
              <w:rPr>
                <w:sz w:val="20"/>
                <w:szCs w:val="20"/>
                <w:color w:val="auto"/>
              </w:rPr>
            </w:pPr>
            <w:r>
              <w:rPr>
                <w:rFonts w:ascii="Arial" w:cs="Arial" w:eastAsia="Arial" w:hAnsi="Arial"/>
                <w:sz w:val="14"/>
                <w:szCs w:val="14"/>
                <w:b w:val="1"/>
                <w:bCs w:val="1"/>
                <w:color w:val="867F7C"/>
                <w:w w:val="96"/>
              </w:rPr>
              <w:t>Owned</w:t>
            </w:r>
            <w:r>
              <w:rPr>
                <w:rFonts w:ascii="Arial" w:cs="Arial" w:eastAsia="Arial" w:hAnsi="Arial"/>
                <w:sz w:val="19"/>
                <w:szCs w:val="19"/>
                <w:b w:val="1"/>
                <w:bCs w:val="1"/>
                <w:color w:val="867F7C"/>
                <w:w w:val="96"/>
                <w:vertAlign w:val="superscript"/>
              </w:rPr>
              <w:t>(1)</w:t>
            </w:r>
          </w:p>
        </w:tc>
        <w:tc>
          <w:tcPr>
            <w:tcW w:w="0" w:type="dxa"/>
            <w:vAlign w:val="bottom"/>
          </w:tcPr>
          <w:p>
            <w:pPr>
              <w:spacing w:after="0"/>
              <w:rPr>
                <w:sz w:val="1"/>
                <w:szCs w:val="1"/>
                <w:color w:val="auto"/>
              </w:rPr>
            </w:pPr>
          </w:p>
        </w:tc>
      </w:tr>
      <w:tr>
        <w:trPr>
          <w:trHeight w:val="200"/>
        </w:trPr>
        <w:tc>
          <w:tcPr>
            <w:tcW w:w="5700" w:type="dxa"/>
            <w:vAlign w:val="bottom"/>
          </w:tcPr>
          <w:p>
            <w:pPr>
              <w:ind w:left="100"/>
              <w:spacing w:after="0"/>
              <w:rPr>
                <w:sz w:val="20"/>
                <w:szCs w:val="20"/>
                <w:color w:val="auto"/>
              </w:rPr>
            </w:pPr>
            <w:r>
              <w:rPr>
                <w:rFonts w:ascii="Arial" w:cs="Arial" w:eastAsia="Arial" w:hAnsi="Arial"/>
                <w:sz w:val="14"/>
                <w:szCs w:val="14"/>
                <w:b w:val="1"/>
                <w:bCs w:val="1"/>
                <w:color w:val="4CCEDE"/>
              </w:rPr>
              <w:t>The Vanguard Group</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4,611,501</w:t>
            </w:r>
          </w:p>
        </w:tc>
        <w:tc>
          <w:tcPr>
            <w:tcW w:w="480" w:type="dxa"/>
            <w:vAlign w:val="bottom"/>
          </w:tcPr>
          <w:p>
            <w:pPr>
              <w:jc w:val="right"/>
              <w:ind w:right="318"/>
              <w:spacing w:after="0" w:line="85" w:lineRule="exact"/>
              <w:rPr>
                <w:sz w:val="20"/>
                <w:szCs w:val="20"/>
                <w:color w:val="auto"/>
              </w:rPr>
            </w:pPr>
            <w:r>
              <w:rPr>
                <w:rFonts w:ascii="Arial" w:cs="Arial" w:eastAsia="Arial" w:hAnsi="Arial"/>
                <w:sz w:val="8"/>
                <w:szCs w:val="8"/>
                <w:color w:val="auto"/>
              </w:rPr>
              <w:t>(2)</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97"/>
        </w:trPr>
        <w:tc>
          <w:tcPr>
            <w:tcW w:w="5700" w:type="dxa"/>
            <w:vAlign w:val="bottom"/>
          </w:tcPr>
          <w:p>
            <w:pPr>
              <w:ind w:left="180"/>
              <w:spacing w:after="0"/>
              <w:rPr>
                <w:sz w:val="20"/>
                <w:szCs w:val="20"/>
                <w:color w:val="auto"/>
              </w:rPr>
            </w:pPr>
            <w:r>
              <w:rPr>
                <w:rFonts w:ascii="Arial" w:cs="Arial" w:eastAsia="Arial" w:hAnsi="Arial"/>
                <w:sz w:val="14"/>
                <w:szCs w:val="14"/>
                <w:color w:val="auto"/>
              </w:rPr>
              <w:t>100 Vanguard Blvd</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80"/>
              <w:spacing w:after="0"/>
              <w:rPr>
                <w:sz w:val="20"/>
                <w:szCs w:val="20"/>
                <w:color w:val="auto"/>
              </w:rPr>
            </w:pPr>
            <w:r>
              <w:rPr>
                <w:rFonts w:ascii="Arial" w:cs="Arial" w:eastAsia="Arial" w:hAnsi="Arial"/>
                <w:sz w:val="14"/>
                <w:szCs w:val="14"/>
                <w:color w:val="auto"/>
              </w:rPr>
              <w:t>Malvern, Pennsylvania 19355</w:t>
            </w:r>
          </w:p>
        </w:tc>
        <w:tc>
          <w:tcPr>
            <w:tcW w:w="1760" w:type="dxa"/>
            <w:vAlign w:val="bottom"/>
            <w:gridSpan w:val="3"/>
            <w:vMerge w:val="restart"/>
          </w:tcPr>
          <w:p>
            <w:pPr>
              <w:jc w:val="right"/>
              <w:ind w:right="318"/>
              <w:spacing w:after="0"/>
              <w:rPr>
                <w:sz w:val="20"/>
                <w:szCs w:val="20"/>
                <w:color w:val="auto"/>
              </w:rPr>
            </w:pPr>
            <w:r>
              <w:rPr>
                <w:rFonts w:ascii="Arial" w:cs="Arial" w:eastAsia="Arial" w:hAnsi="Arial"/>
                <w:sz w:val="14"/>
                <w:szCs w:val="14"/>
                <w:color w:val="auto"/>
              </w:rPr>
              <w:t>4,272,702</w:t>
            </w:r>
            <w:r>
              <w:rPr>
                <w:rFonts w:ascii="Arial" w:cs="Arial" w:eastAsia="Arial" w:hAnsi="Arial"/>
                <w:sz w:val="19"/>
                <w:szCs w:val="19"/>
                <w:color w:val="auto"/>
                <w:vertAlign w:val="superscript"/>
              </w:rPr>
              <w:t>(3)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100"/>
              <w:spacing w:after="0"/>
              <w:rPr>
                <w:sz w:val="20"/>
                <w:szCs w:val="20"/>
                <w:color w:val="auto"/>
              </w:rPr>
            </w:pPr>
            <w:r>
              <w:rPr>
                <w:rFonts w:ascii="Arial" w:cs="Arial" w:eastAsia="Arial" w:hAnsi="Arial"/>
                <w:sz w:val="14"/>
                <w:szCs w:val="14"/>
                <w:b w:val="1"/>
                <w:bCs w:val="1"/>
                <w:color w:val="4CCEDE"/>
              </w:rPr>
              <w:t>BlackRock, Inc.</w:t>
            </w:r>
          </w:p>
        </w:tc>
        <w:tc>
          <w:tcPr>
            <w:tcW w:w="1760" w:type="dxa"/>
            <w:vAlign w:val="bottom"/>
            <w:gridSpan w:val="3"/>
            <w:vMerge w:val="continue"/>
          </w:tcPr>
          <w:p>
            <w:pPr>
              <w:spacing w:after="0"/>
              <w:rPr>
                <w:sz w:val="19"/>
                <w:szCs w:val="19"/>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90"/>
        </w:trPr>
        <w:tc>
          <w:tcPr>
            <w:tcW w:w="5700" w:type="dxa"/>
            <w:vAlign w:val="bottom"/>
          </w:tcPr>
          <w:p>
            <w:pPr>
              <w:ind w:left="180"/>
              <w:spacing w:after="0"/>
              <w:rPr>
                <w:sz w:val="20"/>
                <w:szCs w:val="20"/>
                <w:color w:val="auto"/>
              </w:rPr>
            </w:pPr>
            <w:r>
              <w:rPr>
                <w:rFonts w:ascii="Arial" w:cs="Arial" w:eastAsia="Arial" w:hAnsi="Arial"/>
                <w:sz w:val="14"/>
                <w:szCs w:val="14"/>
                <w:color w:val="auto"/>
              </w:rPr>
              <w:t>55 East 52nd Street</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80"/>
              <w:spacing w:after="0"/>
              <w:rPr>
                <w:sz w:val="20"/>
                <w:szCs w:val="20"/>
                <w:color w:val="auto"/>
              </w:rPr>
            </w:pPr>
            <w:r>
              <w:rPr>
                <w:rFonts w:ascii="Arial" w:cs="Arial" w:eastAsia="Arial" w:hAnsi="Arial"/>
                <w:sz w:val="14"/>
                <w:szCs w:val="14"/>
                <w:color w:val="auto"/>
              </w:rPr>
              <w:t>New York, New York 10022</w:t>
            </w:r>
          </w:p>
        </w:tc>
        <w:tc>
          <w:tcPr>
            <w:tcW w:w="1760" w:type="dxa"/>
            <w:vAlign w:val="bottom"/>
            <w:gridSpan w:val="3"/>
            <w:vMerge w:val="restart"/>
          </w:tcPr>
          <w:p>
            <w:pPr>
              <w:jc w:val="right"/>
              <w:ind w:right="318"/>
              <w:spacing w:after="0"/>
              <w:rPr>
                <w:sz w:val="20"/>
                <w:szCs w:val="20"/>
                <w:color w:val="auto"/>
              </w:rPr>
            </w:pPr>
            <w:r>
              <w:rPr>
                <w:rFonts w:ascii="Arial" w:cs="Arial" w:eastAsia="Arial" w:hAnsi="Arial"/>
                <w:sz w:val="14"/>
                <w:szCs w:val="14"/>
                <w:color w:val="auto"/>
              </w:rPr>
              <w:t>3,252,312</w:t>
            </w:r>
            <w:r>
              <w:rPr>
                <w:rFonts w:ascii="Arial" w:cs="Arial" w:eastAsia="Arial" w:hAnsi="Arial"/>
                <w:sz w:val="19"/>
                <w:szCs w:val="19"/>
                <w:color w:val="auto"/>
                <w:vertAlign w:val="superscript"/>
              </w:rPr>
              <w:t>(4)</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100"/>
              <w:spacing w:after="0"/>
              <w:rPr>
                <w:sz w:val="20"/>
                <w:szCs w:val="20"/>
                <w:color w:val="auto"/>
              </w:rPr>
            </w:pPr>
            <w:r>
              <w:rPr>
                <w:rFonts w:ascii="Arial" w:cs="Arial" w:eastAsia="Arial" w:hAnsi="Arial"/>
                <w:sz w:val="14"/>
                <w:szCs w:val="14"/>
                <w:b w:val="1"/>
                <w:bCs w:val="1"/>
                <w:color w:val="4CCEDE"/>
              </w:rPr>
              <w:t>AQR Capital Management, LLC</w:t>
            </w:r>
          </w:p>
        </w:tc>
        <w:tc>
          <w:tcPr>
            <w:tcW w:w="1760" w:type="dxa"/>
            <w:vAlign w:val="bottom"/>
            <w:gridSpan w:val="3"/>
            <w:vMerge w:val="continue"/>
          </w:tcPr>
          <w:p>
            <w:pPr>
              <w:spacing w:after="0"/>
              <w:rPr>
                <w:sz w:val="19"/>
                <w:szCs w:val="19"/>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90"/>
        </w:trPr>
        <w:tc>
          <w:tcPr>
            <w:tcW w:w="5700" w:type="dxa"/>
            <w:vAlign w:val="bottom"/>
          </w:tcPr>
          <w:p>
            <w:pPr>
              <w:ind w:left="180"/>
              <w:spacing w:after="0"/>
              <w:rPr>
                <w:sz w:val="20"/>
                <w:szCs w:val="20"/>
                <w:color w:val="auto"/>
              </w:rPr>
            </w:pPr>
            <w:r>
              <w:rPr>
                <w:rFonts w:ascii="Arial" w:cs="Arial" w:eastAsia="Arial" w:hAnsi="Arial"/>
                <w:sz w:val="14"/>
                <w:szCs w:val="14"/>
                <w:color w:val="auto"/>
              </w:rPr>
              <w:t>One Greenwich Plaza, Suite 130</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80"/>
              <w:spacing w:after="0"/>
              <w:rPr>
                <w:sz w:val="20"/>
                <w:szCs w:val="20"/>
                <w:color w:val="auto"/>
              </w:rPr>
            </w:pPr>
            <w:r>
              <w:rPr>
                <w:rFonts w:ascii="Arial" w:cs="Arial" w:eastAsia="Arial" w:hAnsi="Arial"/>
                <w:sz w:val="14"/>
                <w:szCs w:val="14"/>
                <w:color w:val="auto"/>
              </w:rPr>
              <w:t>Greenwich, Connecticut 06830</w:t>
            </w:r>
          </w:p>
        </w:tc>
        <w:tc>
          <w:tcPr>
            <w:tcW w:w="1760" w:type="dxa"/>
            <w:vAlign w:val="bottom"/>
            <w:gridSpan w:val="3"/>
            <w:vMerge w:val="restart"/>
          </w:tcPr>
          <w:p>
            <w:pPr>
              <w:jc w:val="right"/>
              <w:ind w:right="318"/>
              <w:spacing w:after="0"/>
              <w:rPr>
                <w:sz w:val="20"/>
                <w:szCs w:val="20"/>
                <w:color w:val="auto"/>
              </w:rPr>
            </w:pPr>
            <w:r>
              <w:rPr>
                <w:rFonts w:ascii="Arial" w:cs="Arial" w:eastAsia="Arial" w:hAnsi="Arial"/>
                <w:sz w:val="10"/>
                <w:szCs w:val="10"/>
                <w:color w:val="auto"/>
              </w:rPr>
              <w:t>(5)</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5700" w:type="dxa"/>
            <w:vAlign w:val="bottom"/>
            <w:vMerge w:val="restart"/>
          </w:tcPr>
          <w:p>
            <w:pPr>
              <w:ind w:left="100"/>
              <w:spacing w:after="0"/>
              <w:rPr>
                <w:sz w:val="20"/>
                <w:szCs w:val="20"/>
                <w:color w:val="auto"/>
              </w:rPr>
            </w:pPr>
            <w:r>
              <w:rPr>
                <w:rFonts w:ascii="Arial" w:cs="Arial" w:eastAsia="Arial" w:hAnsi="Arial"/>
                <w:sz w:val="14"/>
                <w:szCs w:val="14"/>
                <w:b w:val="1"/>
                <w:bCs w:val="1"/>
                <w:color w:val="4CCEDE"/>
              </w:rPr>
              <w:t>Massachusetts Financial Services Company</w:t>
            </w:r>
          </w:p>
        </w:tc>
        <w:tc>
          <w:tcPr>
            <w:tcW w:w="1760" w:type="dxa"/>
            <w:vAlign w:val="bottom"/>
            <w:gridSpan w:val="3"/>
            <w:vMerge w:val="continue"/>
          </w:tcPr>
          <w:p>
            <w:pPr>
              <w:spacing w:after="0"/>
              <w:rPr>
                <w:sz w:val="3"/>
                <w:szCs w:val="3"/>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6.12%</w:t>
            </w: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2,800,071</w:t>
            </w:r>
          </w:p>
        </w:tc>
        <w:tc>
          <w:tcPr>
            <w:tcW w:w="48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4"/>
                <w:szCs w:val="14"/>
                <w:color w:val="auto"/>
              </w:rPr>
              <w:t>111 Huntington Avenue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4"/>
                <w:szCs w:val="14"/>
                <w:color w:val="auto"/>
              </w:rPr>
              <w:t>Boston, Massachusetts 02199</w:t>
            </w:r>
          </w:p>
        </w:tc>
        <w:tc>
          <w:tcPr>
            <w:tcW w:w="1760" w:type="dxa"/>
            <w:vAlign w:val="bottom"/>
            <w:gridSpan w:val="3"/>
            <w:vMerge w:val="restart"/>
          </w:tcPr>
          <w:p>
            <w:pPr>
              <w:jc w:val="right"/>
              <w:ind w:right="318"/>
              <w:spacing w:after="0"/>
              <w:rPr>
                <w:sz w:val="20"/>
                <w:szCs w:val="20"/>
                <w:color w:val="auto"/>
              </w:rPr>
            </w:pPr>
            <w:r>
              <w:rPr>
                <w:rFonts w:ascii="Arial" w:cs="Arial" w:eastAsia="Arial" w:hAnsi="Arial"/>
                <w:sz w:val="10"/>
                <w:szCs w:val="10"/>
                <w:color w:val="auto"/>
              </w:rPr>
              <w:t>(6)</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700" w:type="dxa"/>
            <w:vAlign w:val="bottom"/>
            <w:vMerge w:val="restart"/>
          </w:tcPr>
          <w:p>
            <w:pPr>
              <w:ind w:left="100"/>
              <w:spacing w:after="0"/>
              <w:rPr>
                <w:sz w:val="20"/>
                <w:szCs w:val="20"/>
                <w:color w:val="auto"/>
              </w:rPr>
            </w:pPr>
            <w:r>
              <w:rPr>
                <w:rFonts w:ascii="Arial" w:cs="Arial" w:eastAsia="Arial" w:hAnsi="Arial"/>
                <w:sz w:val="14"/>
                <w:szCs w:val="14"/>
                <w:b w:val="1"/>
                <w:bCs w:val="1"/>
                <w:color w:val="4CCEDE"/>
              </w:rPr>
              <w:t>Dimensional Fund Advisors LP</w:t>
            </w:r>
          </w:p>
        </w:tc>
        <w:tc>
          <w:tcPr>
            <w:tcW w:w="1760" w:type="dxa"/>
            <w:vAlign w:val="bottom"/>
            <w:gridSpan w:val="3"/>
            <w:vMerge w:val="continue"/>
          </w:tcPr>
          <w:p>
            <w:pPr>
              <w:spacing w:after="0"/>
              <w:rPr>
                <w:sz w:val="3"/>
                <w:szCs w:val="3"/>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2,397,085</w:t>
            </w:r>
          </w:p>
        </w:tc>
        <w:tc>
          <w:tcPr>
            <w:tcW w:w="48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-1764030</wp:posOffset>
            </wp:positionV>
            <wp:extent cx="132905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290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7607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57607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57607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57607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6300 Bee Cave Road</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Building One</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Austin, Texas 78746</w:t>
      </w:r>
    </w:p>
    <w:p>
      <w:pPr>
        <w:spacing w:after="0" w:line="390" w:lineRule="exact"/>
        <w:rPr>
          <w:sz w:val="20"/>
          <w:szCs w:val="20"/>
          <w:color w:val="auto"/>
        </w:rPr>
      </w:pPr>
    </w:p>
    <w:p>
      <w:pPr>
        <w:ind w:left="880" w:hanging="427"/>
        <w:spacing w:after="0"/>
        <w:tabs>
          <w:tab w:leader="none" w:pos="880" w:val="left"/>
        </w:tabs>
        <w:numPr>
          <w:ilvl w:val="0"/>
          <w:numId w:val="7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percentages are calculated based on 45,762,099 outstanding shares at November 21, 2025.</w:t>
      </w:r>
    </w:p>
    <w:p>
      <w:pPr>
        <w:spacing w:after="0" w:line="95" w:lineRule="exact"/>
        <w:rPr>
          <w:rFonts w:ascii="Times New Roman" w:cs="Times New Roman" w:eastAsia="Times New Roman" w:hAnsi="Times New Roman"/>
          <w:sz w:val="22"/>
          <w:szCs w:val="22"/>
          <w:color w:val="auto"/>
          <w:vertAlign w:val="superscript"/>
        </w:rPr>
      </w:pPr>
    </w:p>
    <w:p>
      <w:pPr>
        <w:jc w:val="both"/>
        <w:ind w:left="880" w:hanging="427"/>
        <w:spacing w:after="0" w:line="238" w:lineRule="auto"/>
        <w:tabs>
          <w:tab w:leader="none" w:pos="880" w:val="left"/>
        </w:tabs>
        <w:numPr>
          <w:ilvl w:val="0"/>
          <w:numId w:val="7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Based upon information contained in the Schedule 13F-HR filed by The Vanguard Group (“Vanguard”) with the SEC on November 7, 2025, Vanguard reported that as of September 30, 2025 it had: (a) sole investment discretion but no voting authority over 4,272,953 shares of Ashland Common Stock; (b) shared investment discretion and voting authority with Vanguard Fiduciary Trust Co., and Vanguard Investments Australia Ltd. over 263,905 and 17,399 shares of Ashland Common Stock, respectively; and (c) shared investment discretion, but no voting authority, with Vanguard Asset Management, Ltd and Vanguard Global Advisers, LLC over 37,654 and 19,590 shares of Ashland Common Stock, respectively.</w:t>
      </w:r>
    </w:p>
    <w:p>
      <w:pPr>
        <w:spacing w:after="0" w:line="85" w:lineRule="exact"/>
        <w:rPr>
          <w:rFonts w:ascii="Times New Roman" w:cs="Times New Roman" w:eastAsia="Times New Roman" w:hAnsi="Times New Roman"/>
          <w:sz w:val="22"/>
          <w:szCs w:val="22"/>
          <w:color w:val="auto"/>
          <w:vertAlign w:val="superscript"/>
        </w:rPr>
      </w:pPr>
    </w:p>
    <w:p>
      <w:pPr>
        <w:jc w:val="both"/>
        <w:ind w:left="880" w:hanging="427"/>
        <w:spacing w:after="0" w:line="241" w:lineRule="auto"/>
        <w:tabs>
          <w:tab w:leader="none" w:pos="880" w:val="left"/>
        </w:tabs>
        <w:numPr>
          <w:ilvl w:val="0"/>
          <w:numId w:val="7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Based upon information contained in the Schedule 13F-HR filed by BlackRock, Inc. (“BlackRock”) with the SEC on November 12, 2025, BlackRock reported that as of September 30, 2025 it had sole investment discretion over 4,272,702 shares of Ashland Common Stock, of which it had sole voting authority over 4,064,161 shares of Ashland Common Stock and no voting authority over 208,541 shares of Ashland Common Stock. BlackRock reports beneficial ownership on behalf of its and the following direct and indirect investment operating subsidiaries and affiliates: BlackRock Financial Management Inc / DE; BlackRock Investment Management (Australia) Ltd; BlackRock Asset Management Canada Ltd; BlackRock Investment Management, LLC; BlackRock Advisors LLC; BlackRock Fund Advisors; BlackRock Institutional Trust Company, N.A.; BlackRock Fund Managers Ltd.; BlackRock Investment Management (Uk) Ltd.; BlackRock (Netherlands) B.V.; BlackRock Asset Management Ireland Ltd; BlackRock Advisors (UK) Ltd; BlackRock Life Ltd; BlackRock Asset Management Schweiz Ag; and, Aperio Group, LLC. BlackRock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70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76" w:name="page77"/>
    <w:bookmarkEnd w:id="76"/>
    <w:p>
      <w:pPr>
        <w:ind w:left="840"/>
        <w:spacing w:after="0"/>
        <w:rPr>
          <w:sz w:val="20"/>
          <w:szCs w:val="20"/>
          <w:color w:val="auto"/>
        </w:rPr>
      </w:pPr>
      <w:r>
        <w:rPr>
          <w:rFonts w:ascii="Arial" w:cs="Arial" w:eastAsia="Arial" w:hAnsi="Arial"/>
          <w:sz w:val="16"/>
          <w:szCs w:val="16"/>
          <w:color w:val="auto"/>
        </w:rPr>
        <w:t>specifically disclaims investment discretion over the holdings reported by its investment operating subsidiaries.</w:t>
      </w:r>
    </w:p>
    <w:p>
      <w:pPr>
        <w:spacing w:after="0" w:line="113" w:lineRule="exact"/>
        <w:rPr>
          <w:sz w:val="20"/>
          <w:szCs w:val="20"/>
          <w:color w:val="auto"/>
        </w:rPr>
      </w:pPr>
    </w:p>
    <w:p>
      <w:pPr>
        <w:jc w:val="both"/>
        <w:ind w:left="840" w:hanging="427"/>
        <w:spacing w:after="0" w:line="235" w:lineRule="auto"/>
        <w:tabs>
          <w:tab w:leader="none" w:pos="84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Based upon information contained in the Schedule 13-F-HR filed by AQR Capital Management LLC (“AQR”) with the SEC on November 14, 2025, AQR reported that as of September 30, 2025 AQR and/or certain other non-reporting entities, beneficially own 3,252,312 shares of Ashland Common Stock, as to which AQR has sole voting power over 3,164,830 shares of Ashland Common Stock and no voting authority over 87,482 shares of Ashland Common Stock.</w:t>
      </w:r>
    </w:p>
    <w:p>
      <w:pPr>
        <w:spacing w:after="0" w:line="84" w:lineRule="exact"/>
        <w:rPr>
          <w:rFonts w:ascii="Times New Roman" w:cs="Times New Roman" w:eastAsia="Times New Roman" w:hAnsi="Times New Roman"/>
          <w:sz w:val="22"/>
          <w:szCs w:val="22"/>
          <w:color w:val="auto"/>
          <w:vertAlign w:val="superscript"/>
        </w:rPr>
      </w:pPr>
    </w:p>
    <w:p>
      <w:pPr>
        <w:jc w:val="both"/>
        <w:ind w:left="840" w:hanging="427"/>
        <w:spacing w:after="0" w:line="235" w:lineRule="auto"/>
        <w:tabs>
          <w:tab w:leader="none" w:pos="84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Based upon information contained in the Schedule 13F-HR filed by Massachusetts Financial Services Company (“MFS”) with the SEC on October 29, 2025, MFS reported that as of September 30, 2025, MFS and/or certain other non-reporting entities, beneficially own 2,800,071 shares of Ashland Common Stock, as to which MFS has sole voting power over 2,461,232 shares of Ashland Common Stock, shared voting power over 332,168 shares of Ashland Common Stock and no voting power over 6,671 shares of Ashland Common Stock.</w:t>
      </w:r>
    </w:p>
    <w:p>
      <w:pPr>
        <w:spacing w:after="0" w:line="84" w:lineRule="exact"/>
        <w:rPr>
          <w:rFonts w:ascii="Times New Roman" w:cs="Times New Roman" w:eastAsia="Times New Roman" w:hAnsi="Times New Roman"/>
          <w:sz w:val="22"/>
          <w:szCs w:val="22"/>
          <w:color w:val="auto"/>
          <w:vertAlign w:val="superscript"/>
        </w:rPr>
      </w:pPr>
    </w:p>
    <w:p>
      <w:pPr>
        <w:jc w:val="both"/>
        <w:ind w:left="840" w:hanging="427"/>
        <w:spacing w:after="0" w:line="216" w:lineRule="auto"/>
        <w:tabs>
          <w:tab w:leader="none" w:pos="84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Based upon information contained in the Schedule 13F-HR filed by Dimensional Fund Advisors LP (“Dimensional”) with the SEC on November 12, 2025, Dimensional reported that as of September 30, 2025 it had:</w:t>
      </w:r>
    </w:p>
    <w:p>
      <w:pPr>
        <w:jc w:val="both"/>
        <w:ind w:left="840" w:firstLine="9"/>
        <w:spacing w:after="0" w:line="248" w:lineRule="auto"/>
        <w:tabs>
          <w:tab w:leader="none" w:pos="1115" w:val="left"/>
        </w:tabs>
        <w:numPr>
          <w:ilvl w:val="1"/>
          <w:numId w:val="79"/>
        </w:numPr>
        <w:rPr>
          <w:rFonts w:ascii="Arial" w:cs="Arial" w:eastAsia="Arial" w:hAnsi="Arial"/>
          <w:sz w:val="16"/>
          <w:szCs w:val="16"/>
          <w:color w:val="auto"/>
        </w:rPr>
      </w:pPr>
      <w:r>
        <w:rPr>
          <w:rFonts w:ascii="Arial" w:cs="Arial" w:eastAsia="Arial" w:hAnsi="Arial"/>
          <w:sz w:val="16"/>
          <w:szCs w:val="16"/>
          <w:color w:val="auto"/>
        </w:rPr>
        <w:t>sole investment discretion over 2,314,283 shares of Ashland Common Stock, of which it had sole voting authority over 2,262,056 shares of Ashland Common Stock and no voting authority over 52,227 shares of Ashland Common Stock; (b) shared investment discretion and voting authority with DFA Australia, Ltd. over 11,959 shares of Ashland Common Stock; (c) shared investment discretion with Dimensional Fund Advisors Ltd. over 7,976 shares of Ashland Common Stock, of which it had shared voting authority over 3,545 shares of Ashland Common Stock and no voting authority over 4,431 shares of Ashland Common Stock; (d) shared investment discretion and voting authority with Dimensional Fund Advisors Pte. Ltd. over 292 shares of Ashland Common Stock; and (e) shared investment discretion and voting authority with Dimensional Ireland Ltd. over 62,575 shares of Ashland Common Stock.</w:t>
      </w:r>
    </w:p>
    <w:p>
      <w:pPr>
        <w:spacing w:after="0" w:line="200" w:lineRule="exact"/>
        <w:rPr>
          <w:sz w:val="20"/>
          <w:szCs w:val="20"/>
          <w:color w:val="auto"/>
        </w:rPr>
      </w:pPr>
    </w:p>
    <w:p>
      <w:pPr>
        <w:spacing w:after="0" w:line="205" w:lineRule="exact"/>
        <w:rPr>
          <w:sz w:val="20"/>
          <w:szCs w:val="20"/>
          <w:color w:val="auto"/>
        </w:rPr>
      </w:pPr>
    </w:p>
    <w:p>
      <w:pPr>
        <w:ind w:left="714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494665</wp:posOffset>
            </wp:positionV>
            <wp:extent cx="703770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-143510</wp:posOffset>
            </wp:positionV>
            <wp:extent cx="57607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40"/>
          </w:cols>
          <w:pgMar w:left="1440" w:top="1286" w:right="1419" w:bottom="1440" w:gutter="0" w:footer="0" w:header="0"/>
        </w:sectPr>
      </w:pPr>
    </w:p>
    <w:bookmarkStart w:id="77" w:name="page78"/>
    <w:bookmarkEnd w:id="77"/>
    <w:p>
      <w:pPr>
        <w:ind w:right="1360"/>
        <w:spacing w:after="0" w:line="271" w:lineRule="auto"/>
        <w:rPr>
          <w:sz w:val="20"/>
          <w:szCs w:val="20"/>
          <w:color w:val="auto"/>
        </w:rPr>
      </w:pPr>
      <w:r>
        <w:rPr>
          <w:rFonts w:ascii="Arial" w:cs="Arial" w:eastAsia="Arial" w:hAnsi="Arial"/>
          <w:sz w:val="54"/>
          <w:szCs w:val="54"/>
          <w:color w:val="867F7C"/>
        </w:rPr>
        <w:t>beneficial ownership of common stock — management</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information regarding the beneficial ownership of Ashland common stock as of the close of business on November 21, 2025, by:</w:t>
      </w:r>
    </w:p>
    <w:p>
      <w:pPr>
        <w:spacing w:after="0" w:line="46" w:lineRule="exact"/>
        <w:rPr>
          <w:sz w:val="20"/>
          <w:szCs w:val="20"/>
          <w:color w:val="auto"/>
        </w:rPr>
      </w:pPr>
    </w:p>
    <w:p>
      <w:pPr>
        <w:ind w:left="880" w:hanging="432"/>
        <w:spacing w:after="0"/>
        <w:tabs>
          <w:tab w:leader="none" w:pos="88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nominees, including our Chair of the Board;</w:t>
      </w:r>
    </w:p>
    <w:p>
      <w:pPr>
        <w:spacing w:after="0" w:line="11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Each named executive officer; and</w:t>
      </w:r>
    </w:p>
    <w:p>
      <w:pPr>
        <w:spacing w:after="0" w:line="11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All current directors and executive officers as a group.</w:t>
      </w:r>
    </w:p>
    <w:p>
      <w:pPr>
        <w:spacing w:after="0" w:line="214" w:lineRule="exact"/>
        <w:rPr>
          <w:sz w:val="20"/>
          <w:szCs w:val="20"/>
          <w:color w:val="auto"/>
        </w:rPr>
      </w:pPr>
    </w:p>
    <w:p>
      <w:pPr>
        <w:spacing w:after="0"/>
        <w:rPr>
          <w:sz w:val="20"/>
          <w:szCs w:val="20"/>
          <w:color w:val="auto"/>
        </w:rPr>
      </w:pPr>
      <w:r>
        <w:rPr>
          <w:rFonts w:ascii="Arial" w:cs="Arial" w:eastAsia="Arial" w:hAnsi="Arial"/>
          <w:sz w:val="27"/>
          <w:szCs w:val="27"/>
          <w:b w:val="1"/>
          <w:bCs w:val="1"/>
          <w:color w:val="867F7C"/>
        </w:rPr>
        <w:t>common stock ownership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shd w:val="clear" w:color="auto" w:fill="EFEBE9"/>
          </w:tcPr>
          <w:p>
            <w:pPr>
              <w:spacing w:after="0"/>
              <w:rPr>
                <w:sz w:val="14"/>
                <w:szCs w:val="14"/>
                <w:color w:val="auto"/>
              </w:rPr>
            </w:pPr>
          </w:p>
        </w:tc>
        <w:tc>
          <w:tcPr>
            <w:tcW w:w="1420" w:type="dxa"/>
            <w:vAlign w:val="bottom"/>
            <w:shd w:val="clear" w:color="auto" w:fill="EFEBE9"/>
          </w:tcPr>
          <w:p>
            <w:pPr>
              <w:spacing w:after="0"/>
              <w:rPr>
                <w:sz w:val="14"/>
                <w:szCs w:val="14"/>
                <w:color w:val="auto"/>
              </w:rPr>
            </w:pPr>
          </w:p>
        </w:tc>
        <w:tc>
          <w:tcPr>
            <w:tcW w:w="1100" w:type="dxa"/>
            <w:vAlign w:val="bottom"/>
            <w:shd w:val="clear" w:color="auto" w:fill="EFEBE9"/>
          </w:tcPr>
          <w:p>
            <w:pPr>
              <w:jc w:val="center"/>
              <w:ind w:right="10"/>
              <w:spacing w:after="0"/>
              <w:rPr>
                <w:sz w:val="20"/>
                <w:szCs w:val="20"/>
                <w:color w:val="auto"/>
              </w:rPr>
            </w:pPr>
            <w:r>
              <w:rPr>
                <w:rFonts w:ascii="Arial" w:cs="Arial" w:eastAsia="Arial" w:hAnsi="Arial"/>
                <w:sz w:val="14"/>
                <w:szCs w:val="14"/>
                <w:b w:val="1"/>
                <w:bCs w:val="1"/>
                <w:color w:val="867F7C"/>
              </w:rPr>
              <w:t>Percent of</w:t>
            </w:r>
          </w:p>
        </w:tc>
        <w:tc>
          <w:tcPr>
            <w:tcW w:w="116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EFEBE9"/>
          </w:tcPr>
          <w:p>
            <w:pPr>
              <w:spacing w:after="0"/>
              <w:rPr>
                <w:sz w:val="14"/>
                <w:szCs w:val="14"/>
                <w:color w:val="auto"/>
              </w:rPr>
            </w:pPr>
          </w:p>
        </w:tc>
        <w:tc>
          <w:tcPr>
            <w:tcW w:w="1420" w:type="dxa"/>
            <w:vAlign w:val="bottom"/>
            <w:shd w:val="clear" w:color="auto" w:fill="EFEBE9"/>
          </w:tcPr>
          <w:p>
            <w:pPr>
              <w:jc w:val="center"/>
              <w:ind w:right="88"/>
              <w:spacing w:after="0"/>
              <w:rPr>
                <w:sz w:val="20"/>
                <w:szCs w:val="20"/>
                <w:color w:val="auto"/>
              </w:rPr>
            </w:pPr>
            <w:r>
              <w:rPr>
                <w:rFonts w:ascii="Arial" w:cs="Arial" w:eastAsia="Arial" w:hAnsi="Arial"/>
                <w:sz w:val="14"/>
                <w:szCs w:val="14"/>
                <w:b w:val="1"/>
                <w:bCs w:val="1"/>
                <w:color w:val="867F7C"/>
              </w:rPr>
              <w:t>Number of Shares</w:t>
            </w:r>
          </w:p>
        </w:tc>
        <w:tc>
          <w:tcPr>
            <w:tcW w:w="11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Shares</w:t>
            </w:r>
          </w:p>
        </w:tc>
        <w:tc>
          <w:tcPr>
            <w:tcW w:w="116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EFEBE9"/>
          </w:tcPr>
          <w:p>
            <w:pPr>
              <w:spacing w:after="0"/>
              <w:rPr>
                <w:sz w:val="14"/>
                <w:szCs w:val="14"/>
                <w:color w:val="auto"/>
              </w:rPr>
            </w:pPr>
          </w:p>
        </w:tc>
        <w:tc>
          <w:tcPr>
            <w:tcW w:w="1420" w:type="dxa"/>
            <w:vAlign w:val="bottom"/>
            <w:shd w:val="clear" w:color="auto" w:fill="EFEBE9"/>
          </w:tcPr>
          <w:p>
            <w:pPr>
              <w:jc w:val="center"/>
              <w:ind w:right="88"/>
              <w:spacing w:after="0"/>
              <w:rPr>
                <w:sz w:val="20"/>
                <w:szCs w:val="20"/>
                <w:color w:val="auto"/>
              </w:rPr>
            </w:pPr>
            <w:r>
              <w:rPr>
                <w:rFonts w:ascii="Arial" w:cs="Arial" w:eastAsia="Arial" w:hAnsi="Arial"/>
                <w:sz w:val="14"/>
                <w:szCs w:val="14"/>
                <w:b w:val="1"/>
                <w:bCs w:val="1"/>
                <w:color w:val="867F7C"/>
              </w:rPr>
              <w:t>Beneficially</w:t>
            </w:r>
          </w:p>
        </w:tc>
        <w:tc>
          <w:tcPr>
            <w:tcW w:w="11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Beneficially</w:t>
            </w:r>
          </w:p>
        </w:tc>
        <w:tc>
          <w:tcPr>
            <w:tcW w:w="1160" w:type="dxa"/>
            <w:vAlign w:val="bottom"/>
            <w:shd w:val="clear" w:color="auto" w:fill="EFEBE9"/>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Name of Beneficial Owner</w:t>
            </w:r>
          </w:p>
        </w:tc>
        <w:tc>
          <w:tcPr>
            <w:tcW w:w="1420" w:type="dxa"/>
            <w:vAlign w:val="bottom"/>
            <w:shd w:val="clear" w:color="auto" w:fill="EFEBE9"/>
          </w:tcPr>
          <w:p>
            <w:pPr>
              <w:jc w:val="center"/>
              <w:ind w:right="68"/>
              <w:spacing w:after="0"/>
              <w:rPr>
                <w:sz w:val="20"/>
                <w:szCs w:val="20"/>
                <w:color w:val="auto"/>
              </w:rPr>
            </w:pPr>
            <w:r>
              <w:rPr>
                <w:rFonts w:ascii="Arial" w:cs="Arial" w:eastAsia="Arial" w:hAnsi="Arial"/>
                <w:sz w:val="14"/>
                <w:szCs w:val="14"/>
                <w:b w:val="1"/>
                <w:bCs w:val="1"/>
                <w:color w:val="867F7C"/>
              </w:rPr>
              <w:t>Owned</w:t>
            </w:r>
          </w:p>
        </w:tc>
        <w:tc>
          <w:tcPr>
            <w:tcW w:w="1100" w:type="dxa"/>
            <w:vAlign w:val="bottom"/>
            <w:shd w:val="clear" w:color="auto" w:fill="EFEBE9"/>
          </w:tcPr>
          <w:p>
            <w:pPr>
              <w:jc w:val="center"/>
              <w:spacing w:after="0"/>
              <w:rPr>
                <w:sz w:val="20"/>
                <w:szCs w:val="20"/>
                <w:color w:val="auto"/>
              </w:rPr>
            </w:pPr>
            <w:r>
              <w:rPr>
                <w:rFonts w:ascii="Arial" w:cs="Arial" w:eastAsia="Arial" w:hAnsi="Arial"/>
                <w:sz w:val="14"/>
                <w:szCs w:val="14"/>
                <w:b w:val="1"/>
                <w:bCs w:val="1"/>
                <w:color w:val="867F7C"/>
              </w:rPr>
              <w:t>Owned</w:t>
            </w:r>
          </w:p>
        </w:tc>
        <w:tc>
          <w:tcPr>
            <w:tcW w:w="1160" w:type="dxa"/>
            <w:vAlign w:val="bottom"/>
            <w:shd w:val="clear" w:color="auto" w:fill="EFEBE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Guillermo Novo</w:t>
            </w:r>
          </w:p>
        </w:tc>
        <w:tc>
          <w:tcPr>
            <w:tcW w:w="142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173,357</w:t>
            </w:r>
          </w:p>
        </w:tc>
        <w:tc>
          <w:tcPr>
            <w:tcW w:w="2260" w:type="dxa"/>
            <w:vAlign w:val="bottom"/>
            <w:tcBorders>
              <w:bottom w:val="single" w:sz="8" w:color="867F7C"/>
            </w:tcBorders>
            <w:gridSpan w:val="2"/>
          </w:tcPr>
          <w:p>
            <w:pPr>
              <w:ind w:left="1040"/>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William Whitaker</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2,049</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Alessandra Faccin Assis</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5,716</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Osama M. Musa</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29,540</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James P. Minicucci</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4,257</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tcPr>
          <w:p>
            <w:pPr>
              <w:ind w:left="100"/>
              <w:spacing w:after="0" w:line="155" w:lineRule="exact"/>
              <w:rPr>
                <w:sz w:val="20"/>
                <w:szCs w:val="20"/>
                <w:color w:val="auto"/>
              </w:rPr>
            </w:pPr>
            <w:r>
              <w:rPr>
                <w:rFonts w:ascii="Arial" w:cs="Arial" w:eastAsia="Arial" w:hAnsi="Arial"/>
                <w:sz w:val="14"/>
                <w:szCs w:val="14"/>
                <w:b w:val="1"/>
                <w:bCs w:val="1"/>
                <w:color w:val="4CCEDE"/>
              </w:rPr>
              <w:t>Karl Bostaph</w:t>
            </w:r>
          </w:p>
        </w:tc>
        <w:tc>
          <w:tcPr>
            <w:tcW w:w="14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7,021</w:t>
            </w:r>
          </w:p>
        </w:tc>
        <w:tc>
          <w:tcPr>
            <w:tcW w:w="1100" w:type="dxa"/>
            <w:vAlign w:val="bottom"/>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5400" w:type="dxa"/>
            <w:vAlign w:val="bottom"/>
          </w:tcPr>
          <w:p>
            <w:pPr>
              <w:ind w:left="100"/>
              <w:spacing w:after="0" w:line="149" w:lineRule="exact"/>
              <w:rPr>
                <w:sz w:val="20"/>
                <w:szCs w:val="20"/>
                <w:color w:val="auto"/>
              </w:rPr>
            </w:pPr>
            <w:r>
              <w:rPr>
                <w:rFonts w:ascii="Arial" w:cs="Arial" w:eastAsia="Arial" w:hAnsi="Arial"/>
                <w:sz w:val="14"/>
                <w:szCs w:val="14"/>
                <w:b w:val="1"/>
                <w:bCs w:val="1"/>
                <w:color w:val="4CCEDE"/>
              </w:rPr>
              <w:t>J. Kevin Willis</w:t>
            </w:r>
          </w:p>
        </w:tc>
        <w:tc>
          <w:tcPr>
            <w:tcW w:w="14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301,051</w:t>
            </w:r>
          </w:p>
        </w:tc>
        <w:tc>
          <w:tcPr>
            <w:tcW w:w="1100" w:type="dxa"/>
            <w:vAlign w:val="bottom"/>
          </w:tcPr>
          <w:p>
            <w:pPr>
              <w:ind w:left="1040"/>
              <w:spacing w:after="0" w:line="149" w:lineRule="exact"/>
              <w:rPr>
                <w:sz w:val="20"/>
                <w:szCs w:val="20"/>
                <w:color w:val="auto"/>
              </w:rPr>
            </w:pPr>
            <w:r>
              <w:rPr>
                <w:rFonts w:ascii="Arial" w:cs="Arial" w:eastAsia="Arial" w:hAnsi="Arial"/>
                <w:sz w:val="14"/>
                <w:szCs w:val="14"/>
                <w:color w:val="auto"/>
                <w:w w:val="72"/>
              </w:rPr>
              <w:t>*</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100"/>
              <w:spacing w:after="0"/>
              <w:rPr>
                <w:sz w:val="20"/>
                <w:szCs w:val="20"/>
                <w:color w:val="auto"/>
              </w:rPr>
            </w:pPr>
            <w:r>
              <w:rPr>
                <w:rFonts w:ascii="Arial" w:cs="Arial" w:eastAsia="Arial" w:hAnsi="Arial"/>
                <w:sz w:val="14"/>
                <w:szCs w:val="14"/>
                <w:b w:val="1"/>
                <w:bCs w:val="1"/>
                <w:color w:val="4CCEDE"/>
              </w:rPr>
              <w:t>Steven D. Bishop</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8,349</w:t>
            </w:r>
          </w:p>
        </w:tc>
        <w:tc>
          <w:tcPr>
            <w:tcW w:w="1100" w:type="dxa"/>
            <w:vAlign w:val="bottom"/>
          </w:tcPr>
          <w:p>
            <w:pPr>
              <w:ind w:left="1040"/>
              <w:spacing w:after="0"/>
              <w:rPr>
                <w:sz w:val="20"/>
                <w:szCs w:val="20"/>
                <w:color w:val="auto"/>
              </w:rPr>
            </w:pPr>
            <w:r>
              <w:rPr>
                <w:rFonts w:ascii="Arial" w:cs="Arial" w:eastAsia="Arial" w:hAnsi="Arial"/>
                <w:sz w:val="14"/>
                <w:szCs w:val="14"/>
                <w:color w:val="auto"/>
                <w:w w:val="72"/>
              </w:rPr>
              <w:t>*</w:t>
            </w:r>
          </w:p>
        </w:tc>
        <w:tc>
          <w:tcPr>
            <w:tcW w:w="1160" w:type="dxa"/>
            <w:vAlign w:val="bottom"/>
          </w:tcPr>
          <w:p>
            <w:pPr>
              <w:ind w:left="2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867F7C"/>
            </w:tcBorders>
          </w:tcPr>
          <w:p>
            <w:pPr>
              <w:ind w:left="100"/>
              <w:spacing w:after="0"/>
              <w:rPr>
                <w:sz w:val="20"/>
                <w:szCs w:val="20"/>
                <w:color w:val="auto"/>
              </w:rPr>
            </w:pPr>
            <w:r>
              <w:rPr>
                <w:rFonts w:ascii="Arial" w:cs="Arial" w:eastAsia="Arial" w:hAnsi="Arial"/>
                <w:sz w:val="14"/>
                <w:szCs w:val="14"/>
                <w:b w:val="1"/>
                <w:bCs w:val="1"/>
                <w:color w:val="4CCEDE"/>
              </w:rPr>
              <w:t>Sanat Chattopadhyay</w:t>
            </w:r>
          </w:p>
        </w:tc>
        <w:tc>
          <w:tcPr>
            <w:tcW w:w="142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3,688</w:t>
            </w:r>
          </w:p>
        </w:tc>
        <w:tc>
          <w:tcPr>
            <w:tcW w:w="1100" w:type="dxa"/>
            <w:vAlign w:val="bottom"/>
            <w:tcBorders>
              <w:bottom w:val="single" w:sz="8" w:color="867F7C"/>
            </w:tcBorders>
          </w:tcPr>
          <w:p>
            <w:pPr>
              <w:ind w:left="1040"/>
              <w:spacing w:after="0"/>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ind w:left="2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55"/>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Suzan F. Harrison</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2,011</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Ashish K. Kulkarni</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1,031</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Susan L. Main</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11,843</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b w:val="1"/>
                <w:bCs w:val="1"/>
                <w:color w:val="4CCEDE"/>
              </w:rPr>
              <w:t>Jerome A. Peribere</w:t>
            </w:r>
          </w:p>
        </w:tc>
        <w:tc>
          <w:tcPr>
            <w:tcW w:w="1420" w:type="dxa"/>
            <w:vAlign w:val="bottom"/>
            <w:tcBorders>
              <w:bottom w:val="single" w:sz="8" w:color="867F7C"/>
            </w:tcBorders>
          </w:tcPr>
          <w:p>
            <w:pPr>
              <w:jc w:val="right"/>
              <w:ind w:right="48"/>
              <w:spacing w:after="0" w:line="155" w:lineRule="exact"/>
              <w:rPr>
                <w:sz w:val="20"/>
                <w:szCs w:val="20"/>
                <w:color w:val="auto"/>
              </w:rPr>
            </w:pPr>
            <w:r>
              <w:rPr>
                <w:rFonts w:ascii="Arial" w:cs="Arial" w:eastAsia="Arial" w:hAnsi="Arial"/>
                <w:sz w:val="14"/>
                <w:szCs w:val="14"/>
                <w:color w:val="auto"/>
              </w:rPr>
              <w:t>10,903</w:t>
            </w:r>
          </w:p>
        </w:tc>
        <w:tc>
          <w:tcPr>
            <w:tcW w:w="1100" w:type="dxa"/>
            <w:vAlign w:val="bottom"/>
            <w:tcBorders>
              <w:bottom w:val="single" w:sz="8" w:color="867F7C"/>
            </w:tcBorders>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tcPr>
          <w:p>
            <w:pPr>
              <w:ind w:left="100"/>
              <w:spacing w:after="0" w:line="155" w:lineRule="exact"/>
              <w:rPr>
                <w:sz w:val="20"/>
                <w:szCs w:val="20"/>
                <w:color w:val="auto"/>
              </w:rPr>
            </w:pPr>
            <w:r>
              <w:rPr>
                <w:rFonts w:ascii="Arial" w:cs="Arial" w:eastAsia="Arial" w:hAnsi="Arial"/>
                <w:sz w:val="14"/>
                <w:szCs w:val="14"/>
                <w:b w:val="1"/>
                <w:bCs w:val="1"/>
                <w:color w:val="4CCEDE"/>
              </w:rPr>
              <w:t>Scott Tozier</w:t>
            </w:r>
          </w:p>
        </w:tc>
        <w:tc>
          <w:tcPr>
            <w:tcW w:w="14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1,186</w:t>
            </w:r>
          </w:p>
        </w:tc>
        <w:tc>
          <w:tcPr>
            <w:tcW w:w="1100" w:type="dxa"/>
            <w:vAlign w:val="bottom"/>
          </w:tcPr>
          <w:p>
            <w:pPr>
              <w:ind w:left="1040"/>
              <w:spacing w:after="0" w:line="155" w:lineRule="exact"/>
              <w:rPr>
                <w:sz w:val="20"/>
                <w:szCs w:val="20"/>
                <w:color w:val="auto"/>
              </w:rPr>
            </w:pPr>
            <w:r>
              <w:rPr>
                <w:rFonts w:ascii="Arial" w:cs="Arial" w:eastAsia="Arial" w:hAnsi="Arial"/>
                <w:sz w:val="14"/>
                <w:szCs w:val="14"/>
                <w:color w:val="auto"/>
                <w:w w:val="72"/>
              </w:rPr>
              <w:t>*</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(1)(2)(3)</w:t>
            </w:r>
          </w:p>
        </w:tc>
        <w:tc>
          <w:tcPr>
            <w:tcW w:w="0" w:type="dxa"/>
            <w:vAlign w:val="bottom"/>
          </w:tcPr>
          <w:p>
            <w:pPr>
              <w:spacing w:after="0"/>
              <w:rPr>
                <w:sz w:val="1"/>
                <w:szCs w:val="1"/>
                <w:color w:val="auto"/>
              </w:rPr>
            </w:pPr>
          </w:p>
        </w:tc>
      </w:tr>
      <w:tr>
        <w:trPr>
          <w:trHeight w:val="176"/>
        </w:trPr>
        <w:tc>
          <w:tcPr>
            <w:tcW w:w="540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All directors and executive officers as a group (18 people)</w:t>
            </w:r>
          </w:p>
        </w:tc>
        <w:tc>
          <w:tcPr>
            <w:tcW w:w="1420" w:type="dxa"/>
            <w:vAlign w:val="bottom"/>
            <w:tcBorders>
              <w:bottom w:val="single" w:sz="8" w:color="867F7C"/>
            </w:tcBorders>
          </w:tcPr>
          <w:p>
            <w:pPr>
              <w:jc w:val="right"/>
              <w:ind w:right="48"/>
              <w:spacing w:after="0"/>
              <w:rPr>
                <w:sz w:val="20"/>
                <w:szCs w:val="20"/>
                <w:color w:val="auto"/>
              </w:rPr>
            </w:pPr>
            <w:r>
              <w:rPr>
                <w:rFonts w:ascii="Arial" w:cs="Arial" w:eastAsia="Arial" w:hAnsi="Arial"/>
                <w:sz w:val="14"/>
                <w:szCs w:val="14"/>
                <w:color w:val="auto"/>
              </w:rPr>
              <w:t>577,217</w:t>
            </w:r>
          </w:p>
        </w:tc>
        <w:tc>
          <w:tcPr>
            <w:tcW w:w="1100" w:type="dxa"/>
            <w:vAlign w:val="bottom"/>
            <w:tcBorders>
              <w:bottom w:val="single" w:sz="8" w:color="867F7C"/>
            </w:tcBorders>
          </w:tcPr>
          <w:p>
            <w:pPr>
              <w:ind w:left="1040"/>
              <w:spacing w:after="0"/>
              <w:rPr>
                <w:sz w:val="20"/>
                <w:szCs w:val="20"/>
                <w:color w:val="auto"/>
              </w:rPr>
            </w:pPr>
            <w:r>
              <w:rPr>
                <w:rFonts w:ascii="Arial" w:cs="Arial" w:eastAsia="Arial" w:hAnsi="Arial"/>
                <w:sz w:val="14"/>
                <w:szCs w:val="14"/>
                <w:color w:val="auto"/>
                <w:w w:val="72"/>
              </w:rPr>
              <w:t>*</w:t>
            </w:r>
          </w:p>
        </w:tc>
        <w:tc>
          <w:tcPr>
            <w:tcW w:w="1160" w:type="dxa"/>
            <w:vAlign w:val="bottom"/>
            <w:tcBorders>
              <w:bottom w:val="single" w:sz="8" w:color="867F7C"/>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-1696720</wp:posOffset>
            </wp:positionV>
            <wp:extent cx="2331720"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3317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57607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57607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57607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57607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8" w:lineRule="exact"/>
        <w:rPr>
          <w:sz w:val="20"/>
          <w:szCs w:val="20"/>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Less than one percent based upon a total of 45,762,099 shares of common stock outstanding on November 21, 2025.</w:t>
      </w:r>
    </w:p>
    <w:p>
      <w:pPr>
        <w:spacing w:after="0" w:line="53" w:lineRule="exact"/>
        <w:rPr>
          <w:rFonts w:ascii="Arial" w:cs="Arial" w:eastAsia="Arial" w:hAnsi="Arial"/>
          <w:sz w:val="14"/>
          <w:szCs w:val="14"/>
          <w:color w:val="auto"/>
        </w:rPr>
      </w:pPr>
    </w:p>
    <w:p>
      <w:pPr>
        <w:ind w:left="440" w:hanging="216"/>
        <w:spacing w:after="0"/>
        <w:tabs>
          <w:tab w:leader="none" w:pos="440" w:val="left"/>
        </w:tabs>
        <w:numPr>
          <w:ilvl w:val="1"/>
          <w:numId w:val="81"/>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The amount shown for Mr. Novo includes 31,294 shares of Ashland Common Stock indirectly held in a trust.</w:t>
      </w:r>
    </w:p>
    <w:p>
      <w:pPr>
        <w:spacing w:after="0" w:line="53" w:lineRule="exact"/>
        <w:rPr>
          <w:rFonts w:ascii="Times New Roman" w:cs="Times New Roman" w:eastAsia="Times New Roman" w:hAnsi="Times New Roman"/>
          <w:sz w:val="19"/>
          <w:szCs w:val="19"/>
          <w:color w:val="auto"/>
          <w:vertAlign w:val="superscript"/>
        </w:rPr>
      </w:pPr>
    </w:p>
    <w:p>
      <w:pPr>
        <w:ind w:left="440" w:hanging="216"/>
        <w:spacing w:after="0" w:line="213" w:lineRule="auto"/>
        <w:tabs>
          <w:tab w:leader="none" w:pos="440" w:val="left"/>
        </w:tabs>
        <w:numPr>
          <w:ilvl w:val="1"/>
          <w:numId w:val="81"/>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Includes shares of Ashland Common Stock indirectly held in the Company’s Employee Savings Plan: as to Mr. Willis, 37,269 shares; and as to all executive officers as a group, 38,124 shares. Participants can vote the Employee Savings Plan shares.</w:t>
      </w:r>
    </w:p>
    <w:p>
      <w:pPr>
        <w:spacing w:after="0" w:line="40" w:lineRule="exact"/>
        <w:rPr>
          <w:rFonts w:ascii="Times New Roman" w:cs="Times New Roman" w:eastAsia="Times New Roman" w:hAnsi="Times New Roman"/>
          <w:sz w:val="19"/>
          <w:szCs w:val="19"/>
          <w:color w:val="auto"/>
          <w:vertAlign w:val="superscript"/>
        </w:rPr>
      </w:pPr>
    </w:p>
    <w:p>
      <w:pPr>
        <w:jc w:val="both"/>
        <w:ind w:left="440" w:hanging="216"/>
        <w:spacing w:after="0" w:line="233" w:lineRule="auto"/>
        <w:tabs>
          <w:tab w:leader="none" w:pos="440" w:val="left"/>
        </w:tabs>
        <w:numPr>
          <w:ilvl w:val="1"/>
          <w:numId w:val="81"/>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Includes grants of restricted stock units and common stock units and held by executive officers in the Ashland Common Stock Fund under Ashland’s non-qualified Deferred Compensation Plan for Employees (the “Employees’ Deferral Plan”) or by directors under the non-qualified Deferred Compensation Plan for Non-Employee Directors (the “Directors’ Deferral Plan”): as to Mr. Bishop 4,362 common stock units; as to Mr. Chattopadhyay, 1,425 common stock units; as to Mr. Novo, 1,214 shares; as to Mr. Willis, 31,066 restricted stock units; and as to all directors and executive officers as a group, 38,200 units.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72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78" w:name="page79"/>
    <w:bookmarkEnd w:id="78"/>
    <w:p>
      <w:pPr>
        <w:spacing w:after="0"/>
        <w:rPr>
          <w:sz w:val="20"/>
          <w:szCs w:val="20"/>
          <w:color w:val="auto"/>
        </w:rPr>
      </w:pPr>
      <w:r>
        <w:rPr>
          <w:rFonts w:ascii="Arial" w:cs="Arial" w:eastAsia="Arial" w:hAnsi="Arial"/>
          <w:sz w:val="54"/>
          <w:szCs w:val="54"/>
          <w:color w:val="867F7C"/>
        </w:rPr>
        <w:t>delinquent section 16(a) reports</w:t>
      </w:r>
    </w:p>
    <w:p>
      <w:pPr>
        <w:spacing w:after="0" w:line="200" w:lineRule="exact"/>
        <w:rPr>
          <w:sz w:val="20"/>
          <w:szCs w:val="20"/>
          <w:color w:val="auto"/>
        </w:rPr>
      </w:pP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securities laws, directors, certain officers and persons holding more than 10% of our common stock must report their initial ownership of our common stock and any changes in their ownership to the SEC. The SEC has designated specific due dates for these reports, and we must identify in this Proxy Statement those persons who did not file these reports when due. Based solely on our review of copies of the reports filed with the SEC and the written representations of our directors and executive officers, we believe that each person who at any time during the 2025 fiscal year was a director or an executive officer or held more than 10% of our common stock filed the required reports on time in fiscal year 2025, except as described below:</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Samuel Richardson, Vice President and Controller, filed one Form 3 after its required due date. The filing was delayed due to an SEC processing delay in issuing the necessary EDGAR access codes, which prevented timely submission of the report. This late filing involved one report covering one transaction. The Form 3 was filed promptly after the EDGAR credentials were issued.</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William Whitaker, Senior Vice President and Chief Financial Officer, filed one Form 3 after its required due date. This filing was similarly delayed due to an SEC processing delay in issuing the necessary EDGAR access codes, which prevented timely submission. This late filing involved one report covering one transaction. The Form 3 was filed promptly after the EDGAR credentials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136" w:right="1419" w:bottom="1440" w:gutter="0" w:footer="0" w:header="0"/>
        </w:sectPr>
      </w:pPr>
    </w:p>
    <w:bookmarkStart w:id="79" w:name="page80"/>
    <w:bookmarkEnd w:id="79"/>
    <w:p>
      <w:pPr>
        <w:ind w:right="1120"/>
        <w:spacing w:after="0" w:line="271" w:lineRule="auto"/>
        <w:rPr>
          <w:sz w:val="20"/>
          <w:szCs w:val="20"/>
          <w:color w:val="auto"/>
        </w:rPr>
      </w:pPr>
      <w:r>
        <w:rPr>
          <w:rFonts w:ascii="Arial" w:cs="Arial" w:eastAsia="Arial" w:hAnsi="Arial"/>
          <w:sz w:val="54"/>
          <w:szCs w:val="54"/>
          <w:color w:val="867F7C"/>
        </w:rPr>
        <w:t>questions and answers about the 2026 annual meeting</w:t>
      </w:r>
    </w:p>
    <w:p>
      <w:pPr>
        <w:spacing w:after="0" w:line="89"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20"/>
          <w:szCs w:val="20"/>
          <w:b w:val="1"/>
          <w:bCs w:val="1"/>
          <w:color w:val="867F7C"/>
        </w:rPr>
      </w:pPr>
      <w:r>
        <w:rPr>
          <w:rFonts w:ascii="Arial" w:cs="Arial" w:eastAsia="Arial" w:hAnsi="Arial"/>
          <w:sz w:val="20"/>
          <w:szCs w:val="20"/>
          <w:b w:val="1"/>
          <w:bCs w:val="1"/>
          <w:color w:val="867F7C"/>
        </w:rPr>
        <w:t>why did I receive the proxy materials?</w:t>
      </w:r>
    </w:p>
    <w:p>
      <w:pPr>
        <w:spacing w:after="0" w:line="220" w:lineRule="exact"/>
        <w:rPr>
          <w:sz w:val="20"/>
          <w:szCs w:val="20"/>
          <w:color w:val="auto"/>
        </w:rPr>
      </w:pPr>
    </w:p>
    <w:p>
      <w:pPr>
        <w:jc w:val="both"/>
        <w:ind w:left="460" w:hanging="452"/>
        <w:spacing w:after="0" w:line="195" w:lineRule="auto"/>
        <w:tabs>
          <w:tab w:leader="none" w:pos="460" w:val="left"/>
        </w:tabs>
        <w:numPr>
          <w:ilvl w:val="0"/>
          <w:numId w:val="83"/>
        </w:numPr>
        <w:rPr>
          <w:rFonts w:ascii="Arial" w:cs="Arial" w:eastAsia="Arial" w:hAnsi="Arial"/>
          <w:sz w:val="40"/>
          <w:szCs w:val="40"/>
          <w:b w:val="1"/>
          <w:bCs w:val="1"/>
          <w:color w:val="4CCEDE"/>
          <w:vertAlign w:val="superscript"/>
        </w:rPr>
      </w:pPr>
      <w:r>
        <w:rPr>
          <w:rFonts w:ascii="Arial" w:cs="Arial" w:eastAsia="Arial" w:hAnsi="Arial"/>
          <w:sz w:val="18"/>
          <w:szCs w:val="18"/>
          <w:color w:val="auto"/>
        </w:rPr>
        <w:t>Ashland Inc. (the “Company”) has made these proxy materials available to you on the Internet, or upon your request, has delivered printed copies of these proxy materials to you, in connection with the solicitation of proxies for use at the Company’s 2026 Annual Meeting of Stockholders (the “Annual Meeting”), which will be held virtually on Tuesday, January 20, 2026 at 10:30 a.m. (EST). You are invited to participate in and vote on the items of business described in this proxy statement at the Annual Meeting.</w:t>
      </w:r>
    </w:p>
    <w:p>
      <w:pPr>
        <w:spacing w:after="0" w:line="17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0"/>
          <w:szCs w:val="20"/>
          <w:b w:val="1"/>
          <w:bCs w:val="1"/>
          <w:color w:val="867F7C"/>
        </w:rPr>
      </w:pPr>
      <w:r>
        <w:rPr>
          <w:rFonts w:ascii="Arial" w:cs="Arial" w:eastAsia="Arial" w:hAnsi="Arial"/>
          <w:sz w:val="20"/>
          <w:szCs w:val="20"/>
          <w:b w:val="1"/>
          <w:bCs w:val="1"/>
          <w:color w:val="867F7C"/>
        </w:rPr>
        <w:t>what is included in the proxy materials?</w:t>
      </w:r>
    </w:p>
    <w:p>
      <w:pPr>
        <w:ind w:left="460" w:hanging="452"/>
        <w:spacing w:after="0"/>
        <w:tabs>
          <w:tab w:leader="none" w:pos="460" w:val="left"/>
        </w:tabs>
        <w:numPr>
          <w:ilvl w:val="0"/>
          <w:numId w:val="85"/>
        </w:numPr>
        <w:rPr>
          <w:rFonts w:ascii="Arial" w:cs="Arial" w:eastAsia="Arial" w:hAnsi="Arial"/>
          <w:sz w:val="40"/>
          <w:szCs w:val="40"/>
          <w:b w:val="1"/>
          <w:bCs w:val="1"/>
          <w:color w:val="4CCEDE"/>
          <w:vertAlign w:val="superscript"/>
        </w:rPr>
      </w:pPr>
      <w:r>
        <w:rPr>
          <w:rFonts w:ascii="Arial" w:cs="Arial" w:eastAsia="Arial" w:hAnsi="Arial"/>
          <w:sz w:val="18"/>
          <w:szCs w:val="18"/>
          <w:color w:val="auto"/>
        </w:rPr>
        <w:t>These proxy materials include:</w:t>
      </w:r>
    </w:p>
    <w:p>
      <w:pPr>
        <w:spacing w:after="0" w:line="88" w:lineRule="exact"/>
        <w:rPr>
          <w:rFonts w:ascii="Arial" w:cs="Arial" w:eastAsia="Arial" w:hAnsi="Arial"/>
          <w:sz w:val="40"/>
          <w:szCs w:val="40"/>
          <w:b w:val="1"/>
          <w:bCs w:val="1"/>
          <w:color w:val="4CCEDE"/>
          <w:vertAlign w:val="superscript"/>
        </w:rPr>
      </w:pPr>
    </w:p>
    <w:p>
      <w:pPr>
        <w:ind w:left="1320" w:hanging="413"/>
        <w:spacing w:after="0"/>
        <w:tabs>
          <w:tab w:leader="none" w:pos="1320" w:val="left"/>
        </w:tabs>
        <w:numPr>
          <w:ilvl w:val="1"/>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our 2026 proxy statement for the Annual Meeting;</w:t>
      </w:r>
    </w:p>
    <w:p>
      <w:pPr>
        <w:spacing w:after="0" w:line="98" w:lineRule="exact"/>
        <w:rPr>
          <w:rFonts w:ascii="Times New Roman" w:cs="Times New Roman" w:eastAsia="Times New Roman" w:hAnsi="Times New Roman"/>
          <w:sz w:val="18"/>
          <w:szCs w:val="18"/>
          <w:color w:val="auto"/>
        </w:rPr>
      </w:pPr>
    </w:p>
    <w:p>
      <w:pPr>
        <w:ind w:left="1320" w:hanging="413"/>
        <w:spacing w:after="0" w:line="270" w:lineRule="auto"/>
        <w:tabs>
          <w:tab w:leader="none" w:pos="1320" w:val="left"/>
        </w:tabs>
        <w:numPr>
          <w:ilvl w:val="1"/>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our Annual Report on Form 10-K for the fiscal year ended September 30, 2025, as filed with the Securities and Exchange Commission (the “SEC”) on November 20, 2025; and</w:t>
      </w:r>
    </w:p>
    <w:p>
      <w:pPr>
        <w:spacing w:after="0" w:line="46" w:lineRule="exact"/>
        <w:rPr>
          <w:rFonts w:ascii="Times New Roman" w:cs="Times New Roman" w:eastAsia="Times New Roman" w:hAnsi="Times New Roman"/>
          <w:sz w:val="18"/>
          <w:szCs w:val="18"/>
          <w:color w:val="auto"/>
        </w:rPr>
      </w:pPr>
    </w:p>
    <w:p>
      <w:pPr>
        <w:ind w:left="1320" w:hanging="413"/>
        <w:spacing w:after="0"/>
        <w:tabs>
          <w:tab w:leader="none" w:pos="1320" w:val="left"/>
        </w:tabs>
        <w:numPr>
          <w:ilvl w:val="1"/>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the proxy card or a voting instructions form for the Annual Meeting.</w:t>
      </w:r>
    </w:p>
    <w:p>
      <w:pPr>
        <w:spacing w:after="0" w:line="219"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20"/>
          <w:szCs w:val="20"/>
          <w:b w:val="1"/>
          <w:bCs w:val="1"/>
          <w:color w:val="867F7C"/>
        </w:rPr>
      </w:pPr>
      <w:r>
        <w:rPr>
          <w:rFonts w:ascii="Arial" w:cs="Arial" w:eastAsia="Arial" w:hAnsi="Arial"/>
          <w:sz w:val="20"/>
          <w:szCs w:val="20"/>
          <w:b w:val="1"/>
          <w:bCs w:val="1"/>
          <w:color w:val="867F7C"/>
        </w:rPr>
        <w:t>Why did I receive a notice regarding the availability of proxy materials on the internet?</w:t>
      </w:r>
    </w:p>
    <w:p>
      <w:pPr>
        <w:spacing w:after="0" w:line="220" w:lineRule="exact"/>
        <w:rPr>
          <w:sz w:val="20"/>
          <w:szCs w:val="20"/>
          <w:color w:val="auto"/>
        </w:rPr>
      </w:pPr>
    </w:p>
    <w:p>
      <w:pPr>
        <w:jc w:val="both"/>
        <w:ind w:left="460" w:hanging="452"/>
        <w:spacing w:after="0" w:line="200" w:lineRule="auto"/>
        <w:tabs>
          <w:tab w:leader="none" w:pos="460" w:val="left"/>
        </w:tabs>
        <w:numPr>
          <w:ilvl w:val="0"/>
          <w:numId w:val="87"/>
        </w:numPr>
        <w:rPr>
          <w:rFonts w:ascii="Arial" w:cs="Arial" w:eastAsia="Arial" w:hAnsi="Arial"/>
          <w:sz w:val="40"/>
          <w:szCs w:val="40"/>
          <w:b w:val="1"/>
          <w:bCs w:val="1"/>
          <w:color w:val="4CCEDE"/>
          <w:vertAlign w:val="superscript"/>
        </w:rPr>
      </w:pPr>
      <w:r>
        <w:rPr>
          <w:rFonts w:ascii="Arial" w:cs="Arial" w:eastAsia="Arial" w:hAnsi="Arial"/>
          <w:sz w:val="18"/>
          <w:szCs w:val="18"/>
          <w:color w:val="auto"/>
        </w:rPr>
        <w:t>Pursuant to rules adopted by the SEC, we have elected to provide all stockholders of the Company as of November 21, 2025 (the “Record Date”) with notice of and access to our proxy materials over the Internet. Accordingly, we have sent you a Notice of Internet Availability of Proxy Materials (the “Notice”) because the Board of Directors of Ashland Inc, is soliciting your proxy to vote at the Annual Meeting including at any adjournments or postponements thereof. Instructions on how to vote, access the proxy materials over the internet or to request a printed copy may be found in the Notice.</w:t>
      </w:r>
    </w:p>
    <w:p>
      <w:pPr>
        <w:spacing w:after="0" w:line="181"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20"/>
          <w:szCs w:val="20"/>
          <w:b w:val="1"/>
          <w:bCs w:val="1"/>
          <w:color w:val="867F7C"/>
        </w:rPr>
      </w:pPr>
      <w:r>
        <w:rPr>
          <w:rFonts w:ascii="Arial" w:cs="Arial" w:eastAsia="Arial" w:hAnsi="Arial"/>
          <w:sz w:val="20"/>
          <w:szCs w:val="20"/>
          <w:b w:val="1"/>
          <w:bCs w:val="1"/>
          <w:color w:val="867F7C"/>
        </w:rPr>
        <w:t>why did I receive the proxy materials in the mail?</w:t>
      </w:r>
    </w:p>
    <w:p>
      <w:pPr>
        <w:spacing w:after="0" w:line="112" w:lineRule="exact"/>
        <w:rPr>
          <w:sz w:val="20"/>
          <w:szCs w:val="20"/>
          <w:color w:val="auto"/>
        </w:rPr>
      </w:pPr>
    </w:p>
    <w:p>
      <w:pPr>
        <w:jc w:val="both"/>
        <w:ind w:left="460" w:hanging="452"/>
        <w:spacing w:after="0" w:line="238" w:lineRule="auto"/>
        <w:tabs>
          <w:tab w:leader="none" w:pos="460" w:val="left"/>
        </w:tabs>
        <w:numPr>
          <w:ilvl w:val="0"/>
          <w:numId w:val="89"/>
        </w:numPr>
        <w:rPr>
          <w:rFonts w:ascii="Arial" w:cs="Arial" w:eastAsia="Arial" w:hAnsi="Arial"/>
          <w:sz w:val="20"/>
          <w:szCs w:val="20"/>
          <w:b w:val="1"/>
          <w:bCs w:val="1"/>
          <w:color w:val="4CCEDE"/>
        </w:rPr>
      </w:pPr>
      <w:r>
        <w:rPr>
          <w:rFonts w:ascii="Arial" w:cs="Arial" w:eastAsia="Arial" w:hAnsi="Arial"/>
          <w:sz w:val="18"/>
          <w:szCs w:val="18"/>
          <w:color w:val="auto"/>
        </w:rPr>
        <w:t>We are providing paper copies of the proxy materials to those stockholders who have previously requested to receive paper copies. If you do not want to receive paper copies of proxy materials on an ongoing basis, please sign up for electronic delivery by following the instructions on your proxy card or voter instruction form.</w:t>
      </w:r>
    </w:p>
    <w:p>
      <w:pPr>
        <w:spacing w:after="0" w:line="204"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20"/>
          <w:szCs w:val="20"/>
          <w:b w:val="1"/>
          <w:bCs w:val="1"/>
          <w:color w:val="867F7C"/>
        </w:rPr>
      </w:pPr>
      <w:r>
        <w:rPr>
          <w:rFonts w:ascii="Arial" w:cs="Arial" w:eastAsia="Arial" w:hAnsi="Arial"/>
          <w:sz w:val="20"/>
          <w:szCs w:val="20"/>
          <w:b w:val="1"/>
          <w:bCs w:val="1"/>
          <w:color w:val="867F7C"/>
        </w:rPr>
        <w:t>what is a Proxy?</w:t>
      </w:r>
    </w:p>
    <w:p>
      <w:pPr>
        <w:spacing w:after="0" w:line="112" w:lineRule="exact"/>
        <w:rPr>
          <w:sz w:val="20"/>
          <w:szCs w:val="20"/>
          <w:color w:val="auto"/>
        </w:rPr>
      </w:pPr>
    </w:p>
    <w:p>
      <w:pPr>
        <w:jc w:val="both"/>
        <w:ind w:left="460" w:hanging="452"/>
        <w:spacing w:after="0" w:line="237" w:lineRule="auto"/>
        <w:tabs>
          <w:tab w:leader="none" w:pos="460" w:val="left"/>
        </w:tabs>
        <w:numPr>
          <w:ilvl w:val="0"/>
          <w:numId w:val="91"/>
        </w:numPr>
        <w:rPr>
          <w:rFonts w:ascii="Arial" w:cs="Arial" w:eastAsia="Arial" w:hAnsi="Arial"/>
          <w:sz w:val="20"/>
          <w:szCs w:val="20"/>
          <w:b w:val="1"/>
          <w:bCs w:val="1"/>
          <w:color w:val="4CCEDE"/>
        </w:rPr>
      </w:pPr>
      <w:r>
        <w:rPr>
          <w:rFonts w:ascii="Arial" w:cs="Arial" w:eastAsia="Arial" w:hAnsi="Arial"/>
          <w:sz w:val="18"/>
          <w:szCs w:val="18"/>
          <w:color w:val="auto"/>
        </w:rPr>
        <w:t>A proxy is your legal appointment of another person to vote the stock you own; that other person is called a proxy. If you appoint someone as your proxy in a written document, that document is called a “proxy” or a “proxy card.” We have designated Guillermo Novo, Chair and Chief Executive Officer, and Robin E. Lampkin, Senior Vice President, General Counsel and Secretary, to act as proxies for the Annual Meeting. You do not need to attend the Annual Meeting to vote your shares if you provide a proxy in the manner described herein.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74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60"/>
          </w:cols>
          <w:pgMar w:left="1400" w:top="1136" w:right="14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867F7C"/>
        </w:rPr>
        <w:t>questions and answers about the annual meeting</w:t>
      </w: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20"/>
          <w:szCs w:val="20"/>
          <w:b w:val="1"/>
          <w:bCs w:val="1"/>
          <w:color w:val="867F7C"/>
        </w:rPr>
      </w:pPr>
      <w:r>
        <w:rPr>
          <w:rFonts w:ascii="Arial" w:cs="Arial" w:eastAsia="Arial" w:hAnsi="Arial"/>
          <w:sz w:val="20"/>
          <w:szCs w:val="20"/>
          <w:b w:val="1"/>
          <w:bCs w:val="1"/>
          <w:color w:val="867F7C"/>
        </w:rPr>
        <w:t>what is a Proxy Statement?</w:t>
      </w:r>
    </w:p>
    <w:p>
      <w:pPr>
        <w:spacing w:after="0" w:line="112" w:lineRule="exact"/>
        <w:rPr>
          <w:sz w:val="20"/>
          <w:szCs w:val="20"/>
          <w:color w:val="auto"/>
        </w:rPr>
      </w:pPr>
    </w:p>
    <w:p>
      <w:pPr>
        <w:jc w:val="both"/>
        <w:ind w:left="460" w:right="20" w:hanging="452"/>
        <w:spacing w:after="0" w:line="239" w:lineRule="auto"/>
        <w:tabs>
          <w:tab w:leader="none" w:pos="460" w:val="left"/>
        </w:tabs>
        <w:numPr>
          <w:ilvl w:val="0"/>
          <w:numId w:val="93"/>
        </w:numPr>
        <w:rPr>
          <w:rFonts w:ascii="Arial" w:cs="Arial" w:eastAsia="Arial" w:hAnsi="Arial"/>
          <w:sz w:val="20"/>
          <w:szCs w:val="20"/>
          <w:b w:val="1"/>
          <w:bCs w:val="1"/>
          <w:color w:val="4CCEDE"/>
        </w:rPr>
      </w:pPr>
      <w:r>
        <w:rPr>
          <w:rFonts w:ascii="Arial" w:cs="Arial" w:eastAsia="Arial" w:hAnsi="Arial"/>
          <w:sz w:val="18"/>
          <w:szCs w:val="18"/>
          <w:color w:val="auto"/>
        </w:rPr>
        <w:t>A Proxy Statement is a document that sets forth the information required by the federal securities laws and regulations administered by the SEC which is intended to assist you with voting on an informed bases at the Annual Meeting.</w:t>
      </w:r>
    </w:p>
    <w:p>
      <w:pPr>
        <w:spacing w:after="0" w:line="204"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20"/>
          <w:szCs w:val="20"/>
          <w:b w:val="1"/>
          <w:bCs w:val="1"/>
          <w:color w:val="867F7C"/>
        </w:rPr>
      </w:pPr>
      <w:r>
        <w:rPr>
          <w:rFonts w:ascii="Arial" w:cs="Arial" w:eastAsia="Arial" w:hAnsi="Arial"/>
          <w:sz w:val="20"/>
          <w:szCs w:val="20"/>
          <w:b w:val="1"/>
          <w:bCs w:val="1"/>
          <w:color w:val="867F7C"/>
        </w:rPr>
        <w:t>how do I attend the Annual Meeting?</w:t>
      </w:r>
    </w:p>
    <w:p>
      <w:pPr>
        <w:spacing w:after="0" w:line="112" w:lineRule="exact"/>
        <w:rPr>
          <w:sz w:val="20"/>
          <w:szCs w:val="20"/>
          <w:color w:val="auto"/>
        </w:rPr>
      </w:pPr>
    </w:p>
    <w:p>
      <w:pPr>
        <w:jc w:val="both"/>
        <w:ind w:left="460" w:right="20" w:hanging="452"/>
        <w:spacing w:after="0" w:line="237" w:lineRule="auto"/>
        <w:tabs>
          <w:tab w:leader="none" w:pos="460" w:val="left"/>
        </w:tabs>
        <w:numPr>
          <w:ilvl w:val="0"/>
          <w:numId w:val="95"/>
        </w:numPr>
        <w:rPr>
          <w:rFonts w:ascii="Arial" w:cs="Arial" w:eastAsia="Arial" w:hAnsi="Arial"/>
          <w:sz w:val="20"/>
          <w:szCs w:val="20"/>
          <w:b w:val="1"/>
          <w:bCs w:val="1"/>
          <w:color w:val="4CCEDE"/>
        </w:rPr>
      </w:pPr>
      <w:r>
        <w:rPr>
          <w:rFonts w:ascii="Arial" w:cs="Arial" w:eastAsia="Arial" w:hAnsi="Arial"/>
          <w:sz w:val="18"/>
          <w:szCs w:val="18"/>
          <w:color w:val="auto"/>
        </w:rPr>
        <w:t>The 2026 Annual Meeting will be held virtually at www.virtualshareholdermeeting.com/ASH2026. If you are a stockholder of record (i.e., your shares of common stock are registered in your name with Equiniti Trust Company) and want to participate in the Annual Meeting, including by voting and submitting questions, you must register with our proxy solicitor, Alliance Advisors, in advance at web.viewproxy.com/ash/2026. If you do not register, you may still attend the Annual Meeting via the live audio webcast if you are a confirmed stockholder, but you will not have the option to ask questions or vote your shares during the meeting.</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867F7C"/>
        </w:rPr>
        <w:t>who can vote at the annual meeting?</w:t>
      </w:r>
    </w:p>
    <w:p>
      <w:pPr>
        <w:spacing w:after="0" w:line="112" w:lineRule="exact"/>
        <w:rPr>
          <w:sz w:val="20"/>
          <w:szCs w:val="20"/>
          <w:color w:val="auto"/>
        </w:rPr>
      </w:pPr>
    </w:p>
    <w:p>
      <w:pPr>
        <w:jc w:val="both"/>
        <w:ind w:left="460" w:right="20" w:hanging="452"/>
        <w:spacing w:after="0" w:line="237" w:lineRule="auto"/>
        <w:tabs>
          <w:tab w:leader="none" w:pos="460" w:val="left"/>
        </w:tabs>
        <w:numPr>
          <w:ilvl w:val="0"/>
          <w:numId w:val="96"/>
        </w:numPr>
        <w:rPr>
          <w:rFonts w:ascii="Arial" w:cs="Arial" w:eastAsia="Arial" w:hAnsi="Arial"/>
          <w:sz w:val="20"/>
          <w:szCs w:val="20"/>
          <w:b w:val="1"/>
          <w:bCs w:val="1"/>
          <w:color w:val="4CCEDE"/>
        </w:rPr>
      </w:pPr>
      <w:r>
        <w:rPr>
          <w:rFonts w:ascii="Arial" w:cs="Arial" w:eastAsia="Arial" w:hAnsi="Arial"/>
          <w:sz w:val="18"/>
          <w:szCs w:val="18"/>
          <w:color w:val="auto"/>
        </w:rPr>
        <w:t>Only stockholders of record of Ashland’s common stock at the close of business on Monday, November 21, 2025 are entitled to notice of and to vote at the 2026 Annual Meeting or any adjournment or postponement thereof. As of the Record Date, there were 45,762,099 shares issued and outstanding. Each share of common stock that you own entitles you to one vote. Your Notice or proxy card shows the number of shares of common stock that you own.</w:t>
      </w:r>
    </w:p>
    <w:p>
      <w:pPr>
        <w:spacing w:after="0" w:line="206" w:lineRule="exact"/>
        <w:rPr>
          <w:sz w:val="20"/>
          <w:szCs w:val="20"/>
          <w:color w:val="auto"/>
        </w:rPr>
      </w:pPr>
    </w:p>
    <w:p>
      <w:pPr>
        <w:ind w:left="480" w:hanging="472"/>
        <w:spacing w:after="0"/>
        <w:tabs>
          <w:tab w:leader="none" w:pos="480" w:val="left"/>
        </w:tabs>
        <w:numPr>
          <w:ilvl w:val="0"/>
          <w:numId w:val="97"/>
        </w:numPr>
        <w:rPr>
          <w:rFonts w:ascii="Arial" w:cs="Arial" w:eastAsia="Arial" w:hAnsi="Arial"/>
          <w:sz w:val="20"/>
          <w:szCs w:val="20"/>
          <w:b w:val="1"/>
          <w:bCs w:val="1"/>
          <w:color w:val="867F7C"/>
        </w:rPr>
      </w:pPr>
      <w:r>
        <w:rPr>
          <w:rFonts w:ascii="Arial" w:cs="Arial" w:eastAsia="Arial" w:hAnsi="Arial"/>
          <w:sz w:val="20"/>
          <w:szCs w:val="20"/>
          <w:b w:val="1"/>
          <w:bCs w:val="1"/>
          <w:color w:val="867F7C"/>
        </w:rPr>
        <w:t>what matters will be voted on at the Annual Meeting?</w:t>
      </w:r>
    </w:p>
    <w:p>
      <w:pPr>
        <w:spacing w:after="0" w:line="112" w:lineRule="exact"/>
        <w:rPr>
          <w:sz w:val="20"/>
          <w:szCs w:val="20"/>
          <w:color w:val="auto"/>
        </w:rPr>
      </w:pPr>
    </w:p>
    <w:p>
      <w:pPr>
        <w:ind w:left="840" w:hanging="832"/>
        <w:spacing w:after="0" w:line="245" w:lineRule="auto"/>
        <w:tabs>
          <w:tab w:leader="none" w:pos="475" w:val="left"/>
        </w:tabs>
        <w:numPr>
          <w:ilvl w:val="0"/>
          <w:numId w:val="98"/>
        </w:numPr>
        <w:rPr>
          <w:rFonts w:ascii="Arial" w:cs="Arial" w:eastAsia="Arial" w:hAnsi="Arial"/>
          <w:sz w:val="20"/>
          <w:szCs w:val="20"/>
          <w:b w:val="1"/>
          <w:bCs w:val="1"/>
          <w:color w:val="4CCEDE"/>
        </w:rPr>
      </w:pPr>
      <w:r>
        <w:rPr>
          <w:rFonts w:ascii="Arial" w:cs="Arial" w:eastAsia="Arial" w:hAnsi="Arial"/>
          <w:sz w:val="18"/>
          <w:szCs w:val="18"/>
          <w:color w:val="auto"/>
        </w:rPr>
        <w:t>(1) The election of eight directors to hold office until the next annual meeting of stockholders and until each of their successors have been elected and qualified;</w:t>
      </w:r>
    </w:p>
    <w:p>
      <w:pPr>
        <w:spacing w:after="0" w:line="80" w:lineRule="exact"/>
        <w:rPr>
          <w:rFonts w:ascii="Arial" w:cs="Arial" w:eastAsia="Arial" w:hAnsi="Arial"/>
          <w:sz w:val="20"/>
          <w:szCs w:val="20"/>
          <w:b w:val="1"/>
          <w:bCs w:val="1"/>
          <w:color w:val="4CCEDE"/>
        </w:rPr>
      </w:pPr>
    </w:p>
    <w:p>
      <w:pPr>
        <w:ind w:left="840" w:right="20" w:hanging="360"/>
        <w:spacing w:after="0" w:line="271" w:lineRule="auto"/>
        <w:tabs>
          <w:tab w:leader="none" w:pos="8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Ratification of Ernst &amp; Young LLP (“EY”) as Ashland’s independent registered public accounting firm for fiscal 2026; and</w:t>
      </w:r>
    </w:p>
    <w:p>
      <w:pPr>
        <w:spacing w:after="0" w:line="59" w:lineRule="exact"/>
        <w:rPr>
          <w:rFonts w:ascii="Arial" w:cs="Arial" w:eastAsia="Arial" w:hAnsi="Arial"/>
          <w:sz w:val="18"/>
          <w:szCs w:val="18"/>
          <w:color w:val="auto"/>
        </w:rPr>
      </w:pPr>
    </w:p>
    <w:p>
      <w:pPr>
        <w:ind w:left="840" w:hanging="360"/>
        <w:spacing w:after="0" w:line="271" w:lineRule="auto"/>
        <w:tabs>
          <w:tab w:leader="none" w:pos="8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non-binding advisory resolution approving the compensation paid to Ashland’s named executive officers.</w:t>
      </w:r>
    </w:p>
    <w:p>
      <w:pPr>
        <w:spacing w:after="0" w:line="176" w:lineRule="exact"/>
        <w:rPr>
          <w:sz w:val="20"/>
          <w:szCs w:val="20"/>
          <w:color w:val="auto"/>
        </w:rPr>
      </w:pPr>
    </w:p>
    <w:p>
      <w:pPr>
        <w:ind w:left="480" w:hanging="472"/>
        <w:spacing w:after="0"/>
        <w:tabs>
          <w:tab w:leader="none" w:pos="480" w:val="left"/>
        </w:tabs>
        <w:numPr>
          <w:ilvl w:val="0"/>
          <w:numId w:val="99"/>
        </w:numPr>
        <w:rPr>
          <w:rFonts w:ascii="Arial" w:cs="Arial" w:eastAsia="Arial" w:hAnsi="Arial"/>
          <w:sz w:val="20"/>
          <w:szCs w:val="20"/>
          <w:b w:val="1"/>
          <w:bCs w:val="1"/>
          <w:color w:val="867F7C"/>
        </w:rPr>
      </w:pPr>
      <w:r>
        <w:rPr>
          <w:rFonts w:ascii="Arial" w:cs="Arial" w:eastAsia="Arial" w:hAnsi="Arial"/>
          <w:sz w:val="20"/>
          <w:szCs w:val="20"/>
          <w:b w:val="1"/>
          <w:bCs w:val="1"/>
          <w:color w:val="867F7C"/>
        </w:rPr>
        <w:t>what are the recommendations of the board of directors?</w:t>
      </w:r>
    </w:p>
    <w:p>
      <w:pPr>
        <w:spacing w:after="0" w:line="112" w:lineRule="exact"/>
        <w:rPr>
          <w:sz w:val="20"/>
          <w:szCs w:val="20"/>
          <w:color w:val="auto"/>
        </w:rPr>
      </w:pPr>
    </w:p>
    <w:p>
      <w:pPr>
        <w:ind w:left="480" w:hanging="472"/>
        <w:spacing w:after="0"/>
        <w:tabs>
          <w:tab w:leader="none" w:pos="480" w:val="left"/>
        </w:tabs>
        <w:numPr>
          <w:ilvl w:val="0"/>
          <w:numId w:val="100"/>
        </w:numPr>
        <w:rPr>
          <w:rFonts w:ascii="Arial" w:cs="Arial" w:eastAsia="Arial" w:hAnsi="Arial"/>
          <w:sz w:val="20"/>
          <w:szCs w:val="20"/>
          <w:b w:val="1"/>
          <w:bCs w:val="1"/>
          <w:color w:val="4CCEDE"/>
        </w:rPr>
      </w:pPr>
      <w:r>
        <w:rPr>
          <w:rFonts w:ascii="Arial" w:cs="Arial" w:eastAsia="Arial" w:hAnsi="Arial"/>
          <w:sz w:val="18"/>
          <w:szCs w:val="18"/>
          <w:color w:val="auto"/>
        </w:rPr>
        <w:t>Your Board of Directors recommends that you vote your shares as follows:</w:t>
      </w:r>
    </w:p>
    <w:p>
      <w:pPr>
        <w:spacing w:after="0" w:line="107" w:lineRule="exact"/>
        <w:rPr>
          <w:rFonts w:ascii="Arial" w:cs="Arial" w:eastAsia="Arial" w:hAnsi="Arial"/>
          <w:sz w:val="20"/>
          <w:szCs w:val="20"/>
          <w:b w:val="1"/>
          <w:bCs w:val="1"/>
          <w:color w:val="4CCEDE"/>
        </w:rPr>
      </w:pPr>
    </w:p>
    <w:p>
      <w:pPr>
        <w:ind w:left="840" w:hanging="360"/>
        <w:spacing w:after="0"/>
        <w:tabs>
          <w:tab w:leader="none" w:pos="8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the election of the eight directors nominated by your Board of Directors;</w:t>
      </w:r>
    </w:p>
    <w:p>
      <w:pPr>
        <w:spacing w:after="0" w:line="130" w:lineRule="exact"/>
        <w:rPr>
          <w:rFonts w:ascii="Arial" w:cs="Arial" w:eastAsia="Arial" w:hAnsi="Arial"/>
          <w:sz w:val="18"/>
          <w:szCs w:val="18"/>
          <w:color w:val="auto"/>
        </w:rPr>
      </w:pPr>
    </w:p>
    <w:p>
      <w:pPr>
        <w:ind w:left="840" w:hanging="360"/>
        <w:spacing w:after="0" w:line="271" w:lineRule="auto"/>
        <w:tabs>
          <w:tab w:leader="none" w:pos="8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the ratification of EY as Ashland’s independent registered public accounting firm for fiscal year 2026; and</w:t>
      </w:r>
    </w:p>
    <w:p>
      <w:pPr>
        <w:spacing w:after="0" w:line="59" w:lineRule="exact"/>
        <w:rPr>
          <w:rFonts w:ascii="Arial" w:cs="Arial" w:eastAsia="Arial" w:hAnsi="Arial"/>
          <w:sz w:val="18"/>
          <w:szCs w:val="18"/>
          <w:color w:val="auto"/>
        </w:rPr>
      </w:pPr>
    </w:p>
    <w:p>
      <w:pPr>
        <w:ind w:left="840" w:right="20" w:hanging="360"/>
        <w:spacing w:after="0" w:line="271" w:lineRule="auto"/>
        <w:tabs>
          <w:tab w:leader="none" w:pos="8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the approval, on a non-binding advisory basis, of the compensation paid to Ashland’s named executive officers.</w:t>
      </w:r>
    </w:p>
    <w:p>
      <w:pPr>
        <w:spacing w:after="0" w:line="373"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867F7C"/>
        </w:rPr>
        <w:t>questions and answers about the annual meeting</w:t>
      </w:r>
    </w:p>
    <w:p>
      <w:pPr>
        <w:spacing w:after="0" w:line="200" w:lineRule="exact"/>
        <w:rPr>
          <w:sz w:val="20"/>
          <w:szCs w:val="20"/>
          <w:color w:val="auto"/>
        </w:rPr>
      </w:pPr>
    </w:p>
    <w:p>
      <w:pPr>
        <w:spacing w:after="0" w:line="209"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20"/>
          <w:szCs w:val="20"/>
          <w:b w:val="1"/>
          <w:bCs w:val="1"/>
          <w:color w:val="867F7C"/>
        </w:rPr>
      </w:pPr>
      <w:r>
        <w:rPr>
          <w:rFonts w:ascii="Arial" w:cs="Arial" w:eastAsia="Arial" w:hAnsi="Arial"/>
          <w:sz w:val="20"/>
          <w:szCs w:val="20"/>
          <w:b w:val="1"/>
          <w:bCs w:val="1"/>
          <w:color w:val="867F7C"/>
        </w:rPr>
        <w:t>can I ask questions at the annual meeting?</w:t>
      </w:r>
    </w:p>
    <w:p>
      <w:pPr>
        <w:spacing w:after="0" w:line="112" w:lineRule="exact"/>
        <w:rPr>
          <w:sz w:val="20"/>
          <w:szCs w:val="20"/>
          <w:color w:val="auto"/>
        </w:rPr>
      </w:pPr>
    </w:p>
    <w:p>
      <w:pPr>
        <w:ind w:left="460" w:hanging="452"/>
        <w:spacing w:after="0" w:line="259" w:lineRule="auto"/>
        <w:tabs>
          <w:tab w:leader="none" w:pos="460" w:val="left"/>
        </w:tabs>
        <w:numPr>
          <w:ilvl w:val="0"/>
          <w:numId w:val="102"/>
        </w:numPr>
        <w:rPr>
          <w:rFonts w:ascii="Arial" w:cs="Arial" w:eastAsia="Arial" w:hAnsi="Arial"/>
          <w:sz w:val="20"/>
          <w:szCs w:val="20"/>
          <w:b w:val="1"/>
          <w:bCs w:val="1"/>
          <w:color w:val="4CCEDE"/>
        </w:rPr>
      </w:pPr>
      <w:r>
        <w:rPr>
          <w:rFonts w:ascii="Arial" w:cs="Arial" w:eastAsia="Arial" w:hAnsi="Arial"/>
          <w:sz w:val="16"/>
          <w:szCs w:val="16"/>
          <w:color w:val="auto"/>
        </w:rPr>
        <w:t>A</w:t>
      </w:r>
      <w:r>
        <w:rPr>
          <w:rFonts w:ascii="Arial" w:cs="Arial" w:eastAsia="Arial" w:hAnsi="Arial"/>
          <w:sz w:val="17"/>
          <w:szCs w:val="17"/>
          <w:color w:val="auto"/>
        </w:rPr>
        <w:t>ll stockholders may submit questions pertinent to meeting matters through the virtual Annual Meeting</w:t>
      </w:r>
      <w:r>
        <w:rPr>
          <w:rFonts w:ascii="Arial" w:cs="Arial" w:eastAsia="Arial" w:hAnsi="Arial"/>
          <w:sz w:val="16"/>
          <w:szCs w:val="16"/>
          <w:color w:val="auto"/>
        </w:rPr>
        <w:t xml:space="preserve"> </w:t>
      </w:r>
      <w:r>
        <w:rPr>
          <w:rFonts w:ascii="Arial" w:cs="Arial" w:eastAsia="Arial" w:hAnsi="Arial"/>
          <w:sz w:val="17"/>
          <w:szCs w:val="17"/>
          <w:color w:val="auto"/>
        </w:rPr>
        <w:t>website. Questions will be addressed during the Annual Meeting, subject to time constraints.</w:t>
      </w:r>
    </w:p>
    <w:p>
      <w:pPr>
        <w:spacing w:after="0" w:line="18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20"/>
          <w:szCs w:val="20"/>
          <w:b w:val="1"/>
          <w:bCs w:val="1"/>
          <w:color w:val="867F7C"/>
        </w:rPr>
      </w:pPr>
      <w:r>
        <w:rPr>
          <w:rFonts w:ascii="Arial" w:cs="Arial" w:eastAsia="Arial" w:hAnsi="Arial"/>
          <w:sz w:val="20"/>
          <w:szCs w:val="20"/>
          <w:b w:val="1"/>
          <w:bCs w:val="1"/>
          <w:color w:val="867F7C"/>
        </w:rPr>
        <w:t>how do I vote?</w:t>
      </w:r>
    </w:p>
    <w:p>
      <w:pPr>
        <w:spacing w:after="0" w:line="112" w:lineRule="exact"/>
        <w:rPr>
          <w:sz w:val="20"/>
          <w:szCs w:val="20"/>
          <w:color w:val="auto"/>
        </w:rPr>
      </w:pPr>
    </w:p>
    <w:p>
      <w:pPr>
        <w:jc w:val="both"/>
        <w:ind w:left="460" w:hanging="452"/>
        <w:spacing w:after="0" w:line="238" w:lineRule="auto"/>
        <w:tabs>
          <w:tab w:leader="none" w:pos="460" w:val="left"/>
        </w:tabs>
        <w:numPr>
          <w:ilvl w:val="0"/>
          <w:numId w:val="104"/>
        </w:numPr>
        <w:rPr>
          <w:rFonts w:ascii="Arial" w:cs="Arial" w:eastAsia="Arial" w:hAnsi="Arial"/>
          <w:sz w:val="20"/>
          <w:szCs w:val="20"/>
          <w:b w:val="1"/>
          <w:bCs w:val="1"/>
          <w:color w:val="4CCEDE"/>
        </w:rPr>
      </w:pPr>
      <w:r>
        <w:rPr>
          <w:rFonts w:ascii="Arial" w:cs="Arial" w:eastAsia="Arial" w:hAnsi="Arial"/>
          <w:sz w:val="18"/>
          <w:szCs w:val="18"/>
          <w:color w:val="auto"/>
        </w:rPr>
        <w:t>We encourage all stockholders to submit proxies in advance of the Annual Meeting by telephone, by Internet or by mail. Sending your proxy by any of these methods will not affect your right to attend and vote at the Annual Meeting electronically or by executing a proxy designating a representative to vote for you electronically at the Annual Meeting.</w:t>
      </w:r>
    </w:p>
    <w:p>
      <w:pPr>
        <w:spacing w:after="0" w:line="169" w:lineRule="exact"/>
        <w:rPr>
          <w:sz w:val="20"/>
          <w:szCs w:val="20"/>
          <w:color w:val="auto"/>
        </w:rPr>
      </w:pPr>
    </w:p>
    <w:p>
      <w:pPr>
        <w:jc w:val="both"/>
        <w:ind w:left="460"/>
        <w:spacing w:after="0" w:line="253" w:lineRule="auto"/>
        <w:rPr>
          <w:sz w:val="20"/>
          <w:szCs w:val="20"/>
          <w:color w:val="auto"/>
        </w:rPr>
      </w:pPr>
      <w:r>
        <w:rPr>
          <w:rFonts w:ascii="Arial" w:cs="Arial" w:eastAsia="Arial" w:hAnsi="Arial"/>
          <w:sz w:val="18"/>
          <w:szCs w:val="18"/>
          <w:color w:val="auto"/>
        </w:rPr>
        <w:t>If you are a registered stockholder as of the Record Date, you can vote by (i) following the instructions on the Notice or proxy card to vote by telephone or Internet, (ii) signing, dating and mailing your proxy card or (iii) attending and voting electronically at the Annual Meeting.</w:t>
      </w:r>
    </w:p>
    <w:p>
      <w:pPr>
        <w:spacing w:after="0" w:line="155" w:lineRule="exact"/>
        <w:rPr>
          <w:sz w:val="20"/>
          <w:szCs w:val="20"/>
          <w:color w:val="auto"/>
        </w:rPr>
      </w:pPr>
    </w:p>
    <w:p>
      <w:pPr>
        <w:jc w:val="both"/>
        <w:ind w:left="460"/>
        <w:spacing w:after="0" w:line="271" w:lineRule="auto"/>
        <w:rPr>
          <w:sz w:val="20"/>
          <w:szCs w:val="20"/>
          <w:color w:val="auto"/>
        </w:rPr>
      </w:pPr>
      <w:r>
        <w:rPr>
          <w:rFonts w:ascii="Arial" w:cs="Arial" w:eastAsia="Arial" w:hAnsi="Arial"/>
          <w:sz w:val="18"/>
          <w:szCs w:val="18"/>
          <w:color w:val="auto"/>
        </w:rPr>
        <w:t>If you hold shares through a broker, bank or other nominee, that institution will instruct you as to how your shares may be voted by proxy, including whether telephone or Internet voting options are available.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867F7C"/>
        </w:rPr>
        <w:t>what shares are included on the proxy card?</w:t>
      </w:r>
    </w:p>
    <w:p>
      <w:pPr>
        <w:spacing w:after="0" w:line="112" w:lineRule="exact"/>
        <w:rPr>
          <w:sz w:val="20"/>
          <w:szCs w:val="20"/>
          <w:color w:val="auto"/>
        </w:rPr>
      </w:pPr>
    </w:p>
    <w:p>
      <w:pPr>
        <w:jc w:val="both"/>
        <w:ind w:left="460" w:hanging="452"/>
        <w:spacing w:after="0" w:line="238" w:lineRule="auto"/>
        <w:tabs>
          <w:tab w:leader="none" w:pos="460" w:val="left"/>
        </w:tabs>
        <w:numPr>
          <w:ilvl w:val="0"/>
          <w:numId w:val="105"/>
        </w:numPr>
        <w:rPr>
          <w:rFonts w:ascii="Arial" w:cs="Arial" w:eastAsia="Arial" w:hAnsi="Arial"/>
          <w:sz w:val="20"/>
          <w:szCs w:val="20"/>
          <w:b w:val="1"/>
          <w:bCs w:val="1"/>
          <w:color w:val="4CCEDE"/>
        </w:rPr>
      </w:pPr>
      <w:r>
        <w:rPr>
          <w:rFonts w:ascii="Arial" w:cs="Arial" w:eastAsia="Arial" w:hAnsi="Arial"/>
          <w:sz w:val="18"/>
          <w:szCs w:val="18"/>
          <w:color w:val="auto"/>
        </w:rPr>
        <w:t>If you are a registered stockholder of Ashland as of the Record Date, the proxy card represents all shares of Ashland Common Stock that are registered in your name as well as any shares you hold in the dividend reinvestment plan (the “DRP”) administered by EQ Shareowner Services (“EQ”) for investors in Ashland Common Stock and in the Employee Savings Plan, the Union Plan or the ISP Plan.</w:t>
      </w:r>
    </w:p>
    <w:p>
      <w:pPr>
        <w:spacing w:after="0" w:line="168" w:lineRule="exact"/>
        <w:rPr>
          <w:rFonts w:ascii="Arial" w:cs="Arial" w:eastAsia="Arial" w:hAnsi="Arial"/>
          <w:sz w:val="20"/>
          <w:szCs w:val="20"/>
          <w:b w:val="1"/>
          <w:bCs w:val="1"/>
          <w:color w:val="4CCEDE"/>
        </w:rPr>
      </w:pPr>
    </w:p>
    <w:p>
      <w:pPr>
        <w:jc w:val="both"/>
        <w:ind w:left="460"/>
        <w:spacing w:after="0" w:line="244" w:lineRule="auto"/>
        <w:rPr>
          <w:rFonts w:ascii="Arial" w:cs="Arial" w:eastAsia="Arial" w:hAnsi="Arial"/>
          <w:sz w:val="20"/>
          <w:szCs w:val="20"/>
          <w:b w:val="1"/>
          <w:bCs w:val="1"/>
          <w:color w:val="4CCEDE"/>
        </w:rPr>
      </w:pPr>
      <w:r>
        <w:rPr>
          <w:rFonts w:ascii="Arial" w:cs="Arial" w:eastAsia="Arial" w:hAnsi="Arial"/>
          <w:sz w:val="18"/>
          <w:szCs w:val="18"/>
          <w:color w:val="auto"/>
        </w:rPr>
        <w:t>If your shares are held through a broker, bank or other nominee, your broker, bank or other nominee has enclosed a voting instruction form for you to use to direct it how to vote the shares held by such broker, bank or other nominee. Please return your completed voting instruction form to your broker, bank or other nominee. If your broker, bank or other nominee permits you to provide voting instructions via the Internet or by telephone, you may vote that way as well.</w:t>
      </w:r>
    </w:p>
    <w:p>
      <w:pPr>
        <w:spacing w:after="0" w:line="19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20"/>
          <w:szCs w:val="20"/>
          <w:b w:val="1"/>
          <w:bCs w:val="1"/>
          <w:color w:val="867F7C"/>
        </w:rPr>
      </w:pPr>
      <w:r>
        <w:rPr>
          <w:rFonts w:ascii="Arial" w:cs="Arial" w:eastAsia="Arial" w:hAnsi="Arial"/>
          <w:sz w:val="20"/>
          <w:szCs w:val="20"/>
          <w:b w:val="1"/>
          <w:bCs w:val="1"/>
          <w:color w:val="867F7C"/>
        </w:rPr>
        <w:t>what does it mean if I receive more than one proxy card on or about the same time?</w:t>
      </w:r>
    </w:p>
    <w:p>
      <w:pPr>
        <w:spacing w:after="0" w:line="112" w:lineRule="exact"/>
        <w:rPr>
          <w:sz w:val="20"/>
          <w:szCs w:val="20"/>
          <w:color w:val="auto"/>
        </w:rPr>
      </w:pPr>
    </w:p>
    <w:p>
      <w:pPr>
        <w:jc w:val="both"/>
        <w:ind w:left="460" w:hanging="452"/>
        <w:spacing w:after="0" w:line="238" w:lineRule="auto"/>
        <w:tabs>
          <w:tab w:leader="none" w:pos="460" w:val="left"/>
        </w:tabs>
        <w:numPr>
          <w:ilvl w:val="0"/>
          <w:numId w:val="107"/>
        </w:numPr>
        <w:rPr>
          <w:rFonts w:ascii="Arial" w:cs="Arial" w:eastAsia="Arial" w:hAnsi="Arial"/>
          <w:sz w:val="20"/>
          <w:szCs w:val="20"/>
          <w:b w:val="1"/>
          <w:bCs w:val="1"/>
          <w:color w:val="4CCEDE"/>
        </w:rPr>
      </w:pPr>
      <w:r>
        <w:rPr>
          <w:rFonts w:ascii="Arial" w:cs="Arial" w:eastAsia="Arial" w:hAnsi="Arial"/>
          <w:sz w:val="18"/>
          <w:szCs w:val="18"/>
          <w:color w:val="auto"/>
        </w:rPr>
        <w:t>It generally means that you hold shares registered in more than one account. In order to vote all of your shares, please sign, date and return each proxy card or voting instruction form in the postage-paid envelope provided or, if you vote via the Internet or telephone, please be sure to vote using each proxy card or voting instruction form you receive.</w:t>
      </w:r>
    </w:p>
    <w:p>
      <w:pPr>
        <w:spacing w:after="0" w:line="204"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20"/>
          <w:szCs w:val="20"/>
          <w:b w:val="1"/>
          <w:bCs w:val="1"/>
          <w:color w:val="867F7C"/>
        </w:rPr>
      </w:pPr>
      <w:r>
        <w:rPr>
          <w:rFonts w:ascii="Arial" w:cs="Arial" w:eastAsia="Arial" w:hAnsi="Arial"/>
          <w:sz w:val="20"/>
          <w:szCs w:val="20"/>
          <w:b w:val="1"/>
          <w:bCs w:val="1"/>
          <w:color w:val="867F7C"/>
        </w:rPr>
        <w:t>how do I vote my shares in the DRP?</w:t>
      </w:r>
    </w:p>
    <w:p>
      <w:pPr>
        <w:spacing w:after="0" w:line="112" w:lineRule="exact"/>
        <w:rPr>
          <w:sz w:val="20"/>
          <w:szCs w:val="20"/>
          <w:color w:val="auto"/>
        </w:rPr>
      </w:pPr>
    </w:p>
    <w:p>
      <w:pPr>
        <w:jc w:val="both"/>
        <w:ind w:left="460" w:hanging="452"/>
        <w:spacing w:after="0" w:line="237" w:lineRule="auto"/>
        <w:tabs>
          <w:tab w:leader="none" w:pos="460" w:val="left"/>
        </w:tabs>
        <w:numPr>
          <w:ilvl w:val="0"/>
          <w:numId w:val="109"/>
        </w:numPr>
        <w:rPr>
          <w:rFonts w:ascii="Arial" w:cs="Arial" w:eastAsia="Arial" w:hAnsi="Arial"/>
          <w:sz w:val="20"/>
          <w:szCs w:val="20"/>
          <w:b w:val="1"/>
          <w:bCs w:val="1"/>
          <w:color w:val="4CCEDE"/>
        </w:rPr>
      </w:pPr>
      <w:r>
        <w:rPr>
          <w:rFonts w:ascii="Arial" w:cs="Arial" w:eastAsia="Arial" w:hAnsi="Arial"/>
          <w:sz w:val="18"/>
          <w:szCs w:val="18"/>
          <w:color w:val="auto"/>
        </w:rPr>
        <w:t>The proxy card represents all shares of Ashland Common Stock that are registered in your name as well as any shares you hold in the DRP administered by EQ for investors in Ashland Common Stock. Therefore, you may vote your DRP shares (together with your shares of Ashland Common Stock) by (i) attending and voting electronically at the Annual Meeting, (ii) following the instructions on the Notice or proxy card to vote by telephone or Internet or (iii) signing, dating and mailing your proxy card.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76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60"/>
          </w:cols>
          <w:pgMar w:left="1400" w:top="769" w:right="14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867F7C"/>
        </w:rPr>
        <w:t>questions and answers about the annual meeting</w:t>
      </w: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20"/>
          <w:szCs w:val="20"/>
          <w:b w:val="1"/>
          <w:bCs w:val="1"/>
          <w:color w:val="867F7C"/>
        </w:rPr>
      </w:pPr>
      <w:r>
        <w:rPr>
          <w:rFonts w:ascii="Arial" w:cs="Arial" w:eastAsia="Arial" w:hAnsi="Arial"/>
          <w:sz w:val="20"/>
          <w:szCs w:val="20"/>
          <w:b w:val="1"/>
          <w:bCs w:val="1"/>
          <w:color w:val="867F7C"/>
        </w:rPr>
        <w:t>how will the trustee of the employee savings plan, the union plan and the ISP plan vote?</w:t>
      </w:r>
    </w:p>
    <w:p>
      <w:pPr>
        <w:spacing w:after="0" w:line="112" w:lineRule="exact"/>
        <w:rPr>
          <w:sz w:val="20"/>
          <w:szCs w:val="20"/>
          <w:color w:val="auto"/>
        </w:rPr>
      </w:pPr>
    </w:p>
    <w:p>
      <w:pPr>
        <w:jc w:val="both"/>
        <w:ind w:left="460" w:right="20" w:hanging="452"/>
        <w:spacing w:after="0" w:line="236" w:lineRule="auto"/>
        <w:tabs>
          <w:tab w:leader="none" w:pos="460" w:val="left"/>
        </w:tabs>
        <w:numPr>
          <w:ilvl w:val="0"/>
          <w:numId w:val="111"/>
        </w:numPr>
        <w:rPr>
          <w:rFonts w:ascii="Arial" w:cs="Arial" w:eastAsia="Arial" w:hAnsi="Arial"/>
          <w:sz w:val="20"/>
          <w:szCs w:val="20"/>
          <w:b w:val="1"/>
          <w:bCs w:val="1"/>
          <w:color w:val="4CCEDE"/>
        </w:rPr>
      </w:pPr>
      <w:r>
        <w:rPr>
          <w:rFonts w:ascii="Arial" w:cs="Arial" w:eastAsia="Arial" w:hAnsi="Arial"/>
          <w:sz w:val="18"/>
          <w:szCs w:val="18"/>
          <w:color w:val="auto"/>
        </w:rPr>
        <w:t>Each participant in the Employee Savings Plan, the Union Plan, or the ISP Plan may instruct the Trustee on how to vote the shares of Ashland Common Stock credited to the participant’s account in each plan. In the case of the Union Plan or the ISP plan, such instructions will additionally be applied to a proportionate number of shares of Ashland Common Stock held in all other plan participants’ accounts for which voting instructions are not timely received by the Trustee (the “non-directed shares”). In the case of the Employee Savings Plan, each participant may separately instruct the Trustee on how to vote a proportionate number of non-directed shares. Each participant who gives the Trustee any such instruction acts as a named fiduciary for the applicable plan under the Employee Retirement Income Security Act of 1974, as amended (“ERISA”). Your vote must be received by the plan tabulator, before 5:00 p.m. (EST) on Wednesday, January 14, 2026. You may not vote your shares in such plans at the Annual Meeting.</w:t>
      </w:r>
    </w:p>
    <w:p>
      <w:pPr>
        <w:spacing w:after="0" w:line="20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20"/>
          <w:szCs w:val="20"/>
          <w:b w:val="1"/>
          <w:bCs w:val="1"/>
          <w:color w:val="867F7C"/>
        </w:rPr>
      </w:pPr>
      <w:r>
        <w:rPr>
          <w:rFonts w:ascii="Arial" w:cs="Arial" w:eastAsia="Arial" w:hAnsi="Arial"/>
          <w:sz w:val="20"/>
          <w:szCs w:val="20"/>
          <w:b w:val="1"/>
          <w:bCs w:val="1"/>
          <w:color w:val="867F7C"/>
        </w:rPr>
        <w:t>can I change my vote once I vote by mail, by telephone or over the Internet?</w:t>
      </w:r>
    </w:p>
    <w:p>
      <w:pPr>
        <w:spacing w:after="0" w:line="112" w:lineRule="exact"/>
        <w:rPr>
          <w:sz w:val="20"/>
          <w:szCs w:val="20"/>
          <w:color w:val="auto"/>
        </w:rPr>
      </w:pPr>
    </w:p>
    <w:p>
      <w:pPr>
        <w:jc w:val="both"/>
        <w:ind w:left="460" w:right="20" w:hanging="452"/>
        <w:spacing w:after="0" w:line="237" w:lineRule="auto"/>
        <w:tabs>
          <w:tab w:leader="none" w:pos="460" w:val="left"/>
        </w:tabs>
        <w:numPr>
          <w:ilvl w:val="0"/>
          <w:numId w:val="113"/>
        </w:numPr>
        <w:rPr>
          <w:rFonts w:ascii="Arial" w:cs="Arial" w:eastAsia="Arial" w:hAnsi="Arial"/>
          <w:sz w:val="20"/>
          <w:szCs w:val="20"/>
          <w:b w:val="1"/>
          <w:bCs w:val="1"/>
          <w:color w:val="4CCEDE"/>
        </w:rPr>
      </w:pPr>
      <w:r>
        <w:rPr>
          <w:rFonts w:ascii="Arial" w:cs="Arial" w:eastAsia="Arial" w:hAnsi="Arial"/>
          <w:sz w:val="18"/>
          <w:szCs w:val="18"/>
          <w:color w:val="auto"/>
        </w:rPr>
        <w:t>Yes. You have the right to change or revoke your proxy (1) at any time before the Annual Meeting by (a) notifying Ashland’s Secretary in writing at 8145 Blazer Drive, Wilmington, DE 19808, (b) returning a later dated proxy card or (c) entering a later dated telephone or Internet vote; or (2) by voting electronically during the Annual Meeting after registering at www.virtualshareholdermeeting.com/ASH2026. Any changes or revocations of voting instructions to the Trustee of the Employee Savings Plan, the Union Plan, or the ISP Plan must be received by the plan tabulator, before 5:00 p.m. (EST) on Wednesday, January 14, 2026.</w:t>
      </w:r>
    </w:p>
    <w:p>
      <w:pPr>
        <w:spacing w:after="0" w:line="204"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20"/>
          <w:szCs w:val="20"/>
          <w:b w:val="1"/>
          <w:bCs w:val="1"/>
          <w:color w:val="867F7C"/>
        </w:rPr>
      </w:pPr>
      <w:r>
        <w:rPr>
          <w:rFonts w:ascii="Arial" w:cs="Arial" w:eastAsia="Arial" w:hAnsi="Arial"/>
          <w:sz w:val="20"/>
          <w:szCs w:val="20"/>
          <w:b w:val="1"/>
          <w:bCs w:val="1"/>
          <w:color w:val="867F7C"/>
        </w:rPr>
        <w:t>who tabulates the votes?</w:t>
      </w:r>
    </w:p>
    <w:p>
      <w:pPr>
        <w:spacing w:after="0" w:line="112"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20"/>
          <w:szCs w:val="20"/>
          <w:b w:val="1"/>
          <w:bCs w:val="1"/>
          <w:color w:val="4CCEDE"/>
        </w:rPr>
      </w:pPr>
      <w:r>
        <w:rPr>
          <w:rFonts w:ascii="Arial" w:cs="Arial" w:eastAsia="Arial" w:hAnsi="Arial"/>
          <w:sz w:val="18"/>
          <w:szCs w:val="18"/>
          <w:color w:val="auto"/>
        </w:rPr>
        <w:t>Votes will be tabulated by Alliance Advisors, LLC as Inspector of Election for the Annual Meeting.</w:t>
      </w:r>
    </w:p>
    <w:p>
      <w:pPr>
        <w:spacing w:after="0" w:line="224"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20"/>
          <w:szCs w:val="20"/>
          <w:b w:val="1"/>
          <w:bCs w:val="1"/>
          <w:color w:val="867F7C"/>
        </w:rPr>
      </w:pPr>
      <w:r>
        <w:rPr>
          <w:rFonts w:ascii="Arial" w:cs="Arial" w:eastAsia="Arial" w:hAnsi="Arial"/>
          <w:sz w:val="20"/>
          <w:szCs w:val="20"/>
          <w:b w:val="1"/>
          <w:bCs w:val="1"/>
          <w:color w:val="867F7C"/>
        </w:rPr>
        <w:t>how many votes must be present to hold the Annual Meeting?</w:t>
      </w:r>
    </w:p>
    <w:p>
      <w:pPr>
        <w:spacing w:after="0" w:line="112" w:lineRule="exact"/>
        <w:rPr>
          <w:sz w:val="20"/>
          <w:szCs w:val="20"/>
          <w:color w:val="auto"/>
        </w:rPr>
      </w:pPr>
    </w:p>
    <w:p>
      <w:pPr>
        <w:jc w:val="both"/>
        <w:ind w:left="460" w:right="20" w:hanging="452"/>
        <w:spacing w:after="0" w:line="238" w:lineRule="auto"/>
        <w:tabs>
          <w:tab w:leader="none" w:pos="460" w:val="left"/>
        </w:tabs>
        <w:numPr>
          <w:ilvl w:val="0"/>
          <w:numId w:val="117"/>
        </w:numPr>
        <w:rPr>
          <w:rFonts w:ascii="Arial" w:cs="Arial" w:eastAsia="Arial" w:hAnsi="Arial"/>
          <w:sz w:val="20"/>
          <w:szCs w:val="20"/>
          <w:b w:val="1"/>
          <w:bCs w:val="1"/>
          <w:color w:val="4CCEDE"/>
        </w:rPr>
      </w:pPr>
      <w:r>
        <w:rPr>
          <w:rFonts w:ascii="Arial" w:cs="Arial" w:eastAsia="Arial" w:hAnsi="Arial"/>
          <w:sz w:val="18"/>
          <w:szCs w:val="18"/>
          <w:color w:val="auto"/>
        </w:rPr>
        <w:t>The holders of a majority of the outstanding shares of capital stock of the Company entitled to vote at the Annual Meeting must be present in person or represented by proxy in order to constitute a quorum for all matters to come before the meeting. For purposes of determining the presence of a quorum, “shares of capital stock of the Company” include all shares of common stock entitled to vote at the Annual Meeting.</w:t>
      </w:r>
    </w:p>
    <w:p>
      <w:pPr>
        <w:spacing w:after="0" w:line="353"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20"/>
          <w:szCs w:val="20"/>
          <w:b w:val="1"/>
          <w:bCs w:val="1"/>
          <w:color w:val="867F7C"/>
        </w:rPr>
      </w:pPr>
      <w:r>
        <w:rPr>
          <w:rFonts w:ascii="Arial" w:cs="Arial" w:eastAsia="Arial" w:hAnsi="Arial"/>
          <w:sz w:val="20"/>
          <w:szCs w:val="20"/>
          <w:b w:val="1"/>
          <w:bCs w:val="1"/>
          <w:color w:val="867F7C"/>
        </w:rPr>
        <w:t>what vote is required to approve the proposals?</w:t>
      </w:r>
    </w:p>
    <w:p>
      <w:pPr>
        <w:spacing w:after="0" w:line="112"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20"/>
          <w:szCs w:val="20"/>
          <w:b w:val="1"/>
          <w:bCs w:val="1"/>
          <w:color w:val="4CCEDE"/>
        </w:rPr>
      </w:pPr>
      <w:r>
        <w:rPr>
          <w:rFonts w:ascii="Arial" w:cs="Arial" w:eastAsia="Arial" w:hAnsi="Arial"/>
          <w:sz w:val="18"/>
          <w:szCs w:val="18"/>
          <w:color w:val="auto"/>
        </w:rPr>
        <w:t xml:space="preserve">(1)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 a majority of votes cast for each director nominee</w:t>
      </w:r>
    </w:p>
    <w:p>
      <w:pPr>
        <w:spacing w:after="0" w:line="188" w:lineRule="exact"/>
        <w:rPr>
          <w:rFonts w:ascii="Arial" w:cs="Arial" w:eastAsia="Arial" w:hAnsi="Arial"/>
          <w:sz w:val="20"/>
          <w:szCs w:val="20"/>
          <w:b w:val="1"/>
          <w:bCs w:val="1"/>
          <w:color w:val="4CCEDE"/>
        </w:rPr>
      </w:pPr>
    </w:p>
    <w:p>
      <w:pPr>
        <w:ind w:left="840" w:right="20" w:hanging="373"/>
        <w:spacing w:after="0" w:line="271" w:lineRule="auto"/>
        <w:tabs>
          <w:tab w:leader="none" w:pos="840"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appointment of independent registered public accounting firm for 2026 </w:t>
      </w:r>
      <w:r>
        <w:rPr>
          <w:rFonts w:ascii="Arial" w:cs="Arial" w:eastAsia="Arial" w:hAnsi="Arial"/>
          <w:sz w:val="18"/>
          <w:szCs w:val="18"/>
          <w:color w:val="auto"/>
        </w:rPr>
        <w:t>—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votes cast by the stockholders entitled to vote thereon who are present in person or by proxy</w:t>
      </w:r>
    </w:p>
    <w:p>
      <w:pPr>
        <w:spacing w:after="0" w:line="142" w:lineRule="exact"/>
        <w:rPr>
          <w:rFonts w:ascii="Arial" w:cs="Arial" w:eastAsia="Arial" w:hAnsi="Arial"/>
          <w:sz w:val="18"/>
          <w:szCs w:val="18"/>
          <w:color w:val="auto"/>
        </w:rPr>
      </w:pPr>
    </w:p>
    <w:p>
      <w:pPr>
        <w:jc w:val="both"/>
        <w:ind w:left="840" w:right="20" w:hanging="373"/>
        <w:spacing w:after="0" w:line="252" w:lineRule="auto"/>
        <w:tabs>
          <w:tab w:leader="none" w:pos="840"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Non-binding advisory resolution approving the compensation paid to Ashland’s named executive officers </w:t>
      </w:r>
      <w:r>
        <w:rPr>
          <w:rFonts w:ascii="Arial" w:cs="Arial" w:eastAsia="Arial" w:hAnsi="Arial"/>
          <w:sz w:val="18"/>
          <w:szCs w:val="18"/>
          <w:color w:val="auto"/>
        </w:rPr>
        <w:t>— a majority of the votes cast by the stockholders entitled to vote thereon who are present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by proxy</w:t>
      </w:r>
    </w:p>
    <w:p>
      <w:pPr>
        <w:spacing w:after="0" w:line="389"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867F7C"/>
        </w:rPr>
        <w:t>questions and answers about the annual meeting</w:t>
      </w:r>
    </w:p>
    <w:p>
      <w:pPr>
        <w:spacing w:after="0" w:line="193"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20"/>
          <w:szCs w:val="20"/>
          <w:b w:val="1"/>
          <w:bCs w:val="1"/>
          <w:color w:val="867F7C"/>
        </w:rPr>
      </w:pPr>
      <w:r>
        <w:rPr>
          <w:rFonts w:ascii="Arial" w:cs="Arial" w:eastAsia="Arial" w:hAnsi="Arial"/>
          <w:sz w:val="20"/>
          <w:szCs w:val="20"/>
          <w:b w:val="1"/>
          <w:bCs w:val="1"/>
          <w:color w:val="867F7C"/>
        </w:rPr>
        <w:t>what is a broker non-vote?</w:t>
      </w:r>
    </w:p>
    <w:p>
      <w:pPr>
        <w:spacing w:after="0" w:line="112" w:lineRule="exact"/>
        <w:rPr>
          <w:sz w:val="20"/>
          <w:szCs w:val="20"/>
          <w:color w:val="auto"/>
        </w:rPr>
      </w:pPr>
    </w:p>
    <w:p>
      <w:pPr>
        <w:jc w:val="both"/>
        <w:ind w:left="460" w:hanging="452"/>
        <w:spacing w:after="0" w:line="238" w:lineRule="auto"/>
        <w:tabs>
          <w:tab w:leader="none" w:pos="460" w:val="left"/>
        </w:tabs>
        <w:numPr>
          <w:ilvl w:val="0"/>
          <w:numId w:val="121"/>
        </w:numPr>
        <w:rPr>
          <w:rFonts w:ascii="Arial" w:cs="Arial" w:eastAsia="Arial" w:hAnsi="Arial"/>
          <w:sz w:val="20"/>
          <w:szCs w:val="20"/>
          <w:b w:val="1"/>
          <w:bCs w:val="1"/>
          <w:color w:val="4CCEDE"/>
        </w:rPr>
      </w:pPr>
      <w:r>
        <w:rPr>
          <w:rFonts w:ascii="Arial" w:cs="Arial" w:eastAsia="Arial" w:hAnsi="Arial"/>
          <w:sz w:val="18"/>
          <w:szCs w:val="18"/>
          <w:color w:val="auto"/>
        </w:rPr>
        <w:t>A broker non-vote occurs when brokers, banks or other nominees holding shares for a beneficial owner have discretionary authority to vote on “routine” matters brought before a stockholder meeting, but the beneficial owner of the shares fails to provide the broker, bank or other nominee with specific instructions on how to vote any “non-routine” matters brought to a vote at the stockholders meeting.</w:t>
      </w:r>
    </w:p>
    <w:p>
      <w:pPr>
        <w:spacing w:after="0" w:line="74" w:lineRule="exact"/>
        <w:rPr>
          <w:rFonts w:ascii="Arial" w:cs="Arial" w:eastAsia="Arial" w:hAnsi="Arial"/>
          <w:sz w:val="20"/>
          <w:szCs w:val="20"/>
          <w:b w:val="1"/>
          <w:bCs w:val="1"/>
          <w:color w:val="4CCEDE"/>
        </w:rPr>
      </w:pPr>
    </w:p>
    <w:p>
      <w:pPr>
        <w:jc w:val="both"/>
        <w:ind w:left="460"/>
        <w:spacing w:after="0" w:line="244" w:lineRule="auto"/>
        <w:rPr>
          <w:rFonts w:ascii="Arial" w:cs="Arial" w:eastAsia="Arial" w:hAnsi="Arial"/>
          <w:sz w:val="20"/>
          <w:szCs w:val="20"/>
          <w:b w:val="1"/>
          <w:bCs w:val="1"/>
          <w:color w:val="4CCEDE"/>
        </w:rPr>
      </w:pPr>
      <w:r>
        <w:rPr>
          <w:rFonts w:ascii="Arial" w:cs="Arial" w:eastAsia="Arial" w:hAnsi="Arial"/>
          <w:sz w:val="18"/>
          <w:szCs w:val="18"/>
          <w:color w:val="auto"/>
        </w:rPr>
        <w:t>The only proposal that would be considered “routine” is the proposal for the ratification of the appointment of EY as Ashland’s independent registered public accountants for fiscal 2026. A broker, bank or other nominee will not be entitled to vote your shares on any “non-routine” matters, absent instructions from you. “Non-routine” matters include the election of directors and the approval, on a non-binding advisory basis, of the compensation paid to Ashland’s named executive officers.</w:t>
      </w:r>
    </w:p>
    <w:p>
      <w:pPr>
        <w:spacing w:after="0" w:line="68" w:lineRule="exact"/>
        <w:rPr>
          <w:rFonts w:ascii="Arial" w:cs="Arial" w:eastAsia="Arial" w:hAnsi="Arial"/>
          <w:sz w:val="20"/>
          <w:szCs w:val="20"/>
          <w:b w:val="1"/>
          <w:bCs w:val="1"/>
          <w:color w:val="4CCEDE"/>
        </w:rPr>
      </w:pPr>
    </w:p>
    <w:p>
      <w:pPr>
        <w:jc w:val="both"/>
        <w:ind w:left="460"/>
        <w:spacing w:after="0" w:line="242" w:lineRule="auto"/>
        <w:rPr>
          <w:rFonts w:ascii="Arial" w:cs="Arial" w:eastAsia="Arial" w:hAnsi="Arial"/>
          <w:sz w:val="20"/>
          <w:szCs w:val="20"/>
          <w:b w:val="1"/>
          <w:bCs w:val="1"/>
          <w:color w:val="4CCEDE"/>
        </w:rPr>
      </w:pPr>
      <w:r>
        <w:rPr>
          <w:rFonts w:ascii="Arial" w:cs="Arial" w:eastAsia="Arial" w:hAnsi="Arial"/>
          <w:sz w:val="18"/>
          <w:szCs w:val="18"/>
          <w:color w:val="auto"/>
        </w:rPr>
        <w:t>Consequently, if you do not submit any voting instructions to your broker, bank or other nominee, your broker, bank or other nominee may exercise its discretion to vote your shares on the proposal to ratify the appointment of EY. If your shares are voted on this proposal as directed by your broker, bank or other nominee, your shares will constitute broker non-votes on each of the other proposals. Broker non-votes will count for purposes of determining whether a quorum exists but will not be counted as votes cast with respect to such proposals.</w:t>
      </w:r>
    </w:p>
    <w:p>
      <w:pPr>
        <w:spacing w:after="0" w:line="201"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9"/>
          <w:szCs w:val="19"/>
          <w:b w:val="1"/>
          <w:bCs w:val="1"/>
          <w:color w:val="867F7C"/>
        </w:rPr>
      </w:pPr>
      <w:r>
        <w:rPr>
          <w:rFonts w:ascii="Arial" w:cs="Arial" w:eastAsia="Arial" w:hAnsi="Arial"/>
          <w:sz w:val="19"/>
          <w:szCs w:val="19"/>
          <w:b w:val="1"/>
          <w:bCs w:val="1"/>
          <w:color w:val="867F7C"/>
        </w:rPr>
        <w:t>how will my shares be voted if I submit a proxy card but do not specify how I want to vote?</w:t>
      </w:r>
    </w:p>
    <w:p>
      <w:pPr>
        <w:spacing w:after="0" w:line="124" w:lineRule="exact"/>
        <w:rPr>
          <w:sz w:val="20"/>
          <w:szCs w:val="20"/>
          <w:color w:val="auto"/>
        </w:rPr>
      </w:pPr>
    </w:p>
    <w:p>
      <w:pPr>
        <w:jc w:val="both"/>
        <w:ind w:left="460" w:hanging="452"/>
        <w:spacing w:after="0" w:line="237" w:lineRule="auto"/>
        <w:tabs>
          <w:tab w:leader="none" w:pos="460" w:val="left"/>
        </w:tabs>
        <w:numPr>
          <w:ilvl w:val="0"/>
          <w:numId w:val="123"/>
        </w:numPr>
        <w:rPr>
          <w:rFonts w:ascii="Arial" w:cs="Arial" w:eastAsia="Arial" w:hAnsi="Arial"/>
          <w:sz w:val="20"/>
          <w:szCs w:val="20"/>
          <w:b w:val="1"/>
          <w:bCs w:val="1"/>
          <w:color w:val="4CCEDE"/>
        </w:rPr>
      </w:pPr>
      <w:r>
        <w:rPr>
          <w:rFonts w:ascii="Arial" w:cs="Arial" w:eastAsia="Arial" w:hAnsi="Arial"/>
          <w:sz w:val="18"/>
          <w:szCs w:val="18"/>
          <w:color w:val="auto"/>
        </w:rPr>
        <w:t>All shares represented by validly executed proxies will be voted at the Annual Meeting, and such shares will be voted in accordance with the instructions provided. If no voting specification is made on your returned proxy card, Guillermo Novo or Robin E. Lampkin, as individuals named on the proxy card, will vote in line with the Board’s recommendations with respect to any such proposal, i.e., (i) FOR the election of the eight director nominees, (ii) FOR the ratification of EY, and (iii) FOR the non-binding advisory resolution approving the compensation paid to Ashland’s named executive officers.</w:t>
      </w:r>
    </w:p>
    <w:p>
      <w:pPr>
        <w:spacing w:after="0" w:line="73" w:lineRule="exact"/>
        <w:rPr>
          <w:rFonts w:ascii="Arial" w:cs="Arial" w:eastAsia="Arial" w:hAnsi="Arial"/>
          <w:sz w:val="20"/>
          <w:szCs w:val="20"/>
          <w:b w:val="1"/>
          <w:bCs w:val="1"/>
          <w:color w:val="4CCEDE"/>
        </w:rPr>
      </w:pPr>
    </w:p>
    <w:p>
      <w:pPr>
        <w:jc w:val="both"/>
        <w:ind w:left="460"/>
        <w:spacing w:after="0" w:line="247" w:lineRule="auto"/>
        <w:rPr>
          <w:rFonts w:ascii="Arial" w:cs="Arial" w:eastAsia="Arial" w:hAnsi="Arial"/>
          <w:sz w:val="20"/>
          <w:szCs w:val="20"/>
          <w:b w:val="1"/>
          <w:bCs w:val="1"/>
          <w:color w:val="4CCEDE"/>
        </w:rPr>
      </w:pPr>
      <w:r>
        <w:rPr>
          <w:rFonts w:ascii="Arial" w:cs="Arial" w:eastAsia="Arial" w:hAnsi="Arial"/>
          <w:sz w:val="18"/>
          <w:szCs w:val="18"/>
          <w:color w:val="auto"/>
        </w:rPr>
        <w:t>As of the date of this Proxy Statement, your Board of Directors knows of no business other than that set forth above to be transacted at the Annual Meeting, but if other matters requiring a vote do arise, it is the intention of Mr. Novo and Ms. Lampkin, as the individuals to whom you are granting your proxy, to vote in accordance with their best judgment on such matters.</w:t>
      </w:r>
    </w:p>
    <w:p>
      <w:pPr>
        <w:spacing w:after="0" w:line="196"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20"/>
          <w:szCs w:val="20"/>
          <w:b w:val="1"/>
          <w:bCs w:val="1"/>
          <w:color w:val="867F7C"/>
        </w:rPr>
      </w:pPr>
      <w:r>
        <w:rPr>
          <w:rFonts w:ascii="Arial" w:cs="Arial" w:eastAsia="Arial" w:hAnsi="Arial"/>
          <w:sz w:val="20"/>
          <w:szCs w:val="20"/>
          <w:b w:val="1"/>
          <w:bCs w:val="1"/>
          <w:color w:val="867F7C"/>
        </w:rPr>
        <w:t>how will broker non-votes and abstentions be treated?</w:t>
      </w:r>
    </w:p>
    <w:p>
      <w:pPr>
        <w:spacing w:after="0" w:line="112" w:lineRule="exact"/>
        <w:rPr>
          <w:sz w:val="20"/>
          <w:szCs w:val="20"/>
          <w:color w:val="auto"/>
        </w:rPr>
      </w:pPr>
    </w:p>
    <w:p>
      <w:pPr>
        <w:jc w:val="both"/>
        <w:ind w:left="460" w:hanging="452"/>
        <w:spacing w:after="0" w:line="237" w:lineRule="auto"/>
        <w:tabs>
          <w:tab w:leader="none" w:pos="460" w:val="left"/>
        </w:tabs>
        <w:numPr>
          <w:ilvl w:val="0"/>
          <w:numId w:val="125"/>
        </w:numPr>
        <w:rPr>
          <w:rFonts w:ascii="Arial" w:cs="Arial" w:eastAsia="Arial" w:hAnsi="Arial"/>
          <w:sz w:val="20"/>
          <w:szCs w:val="20"/>
          <w:b w:val="1"/>
          <w:bCs w:val="1"/>
          <w:color w:val="4CCEDE"/>
        </w:rPr>
      </w:pPr>
      <w:r>
        <w:rPr>
          <w:rFonts w:ascii="Arial" w:cs="Arial" w:eastAsia="Arial" w:hAnsi="Arial"/>
          <w:sz w:val="18"/>
          <w:szCs w:val="18"/>
          <w:color w:val="auto"/>
        </w:rPr>
        <w:t>Ashland will treat broker non-votes as present to determine whether or not there is a quorum at the Annual Meeting, but they will not be treated as entitled to vote on any “non-routine” matters. This means that broker non-votes will have no effect on whether any of the proposals pass. Abstentions will also be treated as present for the purpose of determining quorum, but as unvoted shares for the purpose of determining the approval of the election of directors, the ratification of EY and the approval, on a non-binding advisory basis, of the compensation paid to Ashland’s named executive officers.</w:t>
      </w:r>
    </w:p>
    <w:p>
      <w:pPr>
        <w:spacing w:after="0" w:line="73" w:lineRule="exact"/>
        <w:rPr>
          <w:rFonts w:ascii="Arial" w:cs="Arial" w:eastAsia="Arial" w:hAnsi="Arial"/>
          <w:sz w:val="20"/>
          <w:szCs w:val="20"/>
          <w:b w:val="1"/>
          <w:bCs w:val="1"/>
          <w:color w:val="4CCEDE"/>
        </w:rPr>
      </w:pPr>
    </w:p>
    <w:p>
      <w:pPr>
        <w:ind w:left="460"/>
        <w:spacing w:after="0" w:line="271" w:lineRule="auto"/>
        <w:rPr>
          <w:rFonts w:ascii="Arial" w:cs="Arial" w:eastAsia="Arial" w:hAnsi="Arial"/>
          <w:sz w:val="20"/>
          <w:szCs w:val="20"/>
          <w:b w:val="1"/>
          <w:bCs w:val="1"/>
          <w:color w:val="4CCEDE"/>
        </w:rPr>
      </w:pPr>
      <w:r>
        <w:rPr>
          <w:rFonts w:ascii="Arial" w:cs="Arial" w:eastAsia="Arial" w:hAnsi="Arial"/>
          <w:sz w:val="18"/>
          <w:szCs w:val="18"/>
          <w:color w:val="auto"/>
        </w:rPr>
        <w:t>Accordingly, we urge you to promptly give instructions to your broker to vote FOR your Board’s nominees by using the voting instruction card provided to you by your custodian.</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78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60"/>
          </w:cols>
          <w:pgMar w:left="1400" w:top="769" w:right="14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867F7C"/>
        </w:rPr>
        <w:t>questions and answers about the annual meeting</w:t>
      </w: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20"/>
          <w:szCs w:val="20"/>
          <w:b w:val="1"/>
          <w:bCs w:val="1"/>
          <w:color w:val="867F7C"/>
        </w:rPr>
      </w:pPr>
      <w:r>
        <w:rPr>
          <w:rFonts w:ascii="Arial" w:cs="Arial" w:eastAsia="Arial" w:hAnsi="Arial"/>
          <w:sz w:val="20"/>
          <w:szCs w:val="20"/>
          <w:b w:val="1"/>
          <w:bCs w:val="1"/>
          <w:color w:val="867F7C"/>
        </w:rPr>
        <w:t>where can I find the voting results of the annual meeting?</w:t>
      </w:r>
    </w:p>
    <w:p>
      <w:pPr>
        <w:spacing w:after="0" w:line="112" w:lineRule="exact"/>
        <w:rPr>
          <w:sz w:val="20"/>
          <w:szCs w:val="20"/>
          <w:color w:val="auto"/>
        </w:rPr>
      </w:pPr>
    </w:p>
    <w:p>
      <w:pPr>
        <w:jc w:val="both"/>
        <w:ind w:left="460" w:right="20" w:hanging="452"/>
        <w:spacing w:after="0" w:line="237" w:lineRule="auto"/>
        <w:tabs>
          <w:tab w:leader="none" w:pos="460" w:val="left"/>
        </w:tabs>
        <w:numPr>
          <w:ilvl w:val="0"/>
          <w:numId w:val="127"/>
        </w:numPr>
        <w:rPr>
          <w:rFonts w:ascii="Arial" w:cs="Arial" w:eastAsia="Arial" w:hAnsi="Arial"/>
          <w:sz w:val="20"/>
          <w:szCs w:val="20"/>
          <w:b w:val="1"/>
          <w:bCs w:val="1"/>
          <w:color w:val="4CCEDE"/>
        </w:rPr>
      </w:pPr>
      <w:r>
        <w:rPr>
          <w:rFonts w:ascii="Arial" w:cs="Arial" w:eastAsia="Arial" w:hAnsi="Arial"/>
          <w:sz w:val="18"/>
          <w:szCs w:val="18"/>
          <w:color w:val="auto"/>
        </w:rPr>
        <w:t xml:space="preserve">We intend to announce preliminary voting results based on our proxy solicitor’s advice at the Annual Meeting. We expect to report the final results based on the report of Alliance Advisors, LLC on a Current Report on Form 8-K filed with the SEC within four business days following the end of the Annual Meeting. You can obtain a copy of the Form 8-K from our website at </w:t>
      </w:r>
      <w:r>
        <w:rPr>
          <w:rFonts w:ascii="Arial" w:cs="Arial" w:eastAsia="Arial" w:hAnsi="Arial"/>
          <w:sz w:val="18"/>
          <w:szCs w:val="18"/>
          <w:i w:val="1"/>
          <w:iCs w:val="1"/>
          <w:color w:val="auto"/>
        </w:rPr>
        <w:t>http://investor.ashland.com</w:t>
      </w:r>
      <w:r>
        <w:rPr>
          <w:rFonts w:ascii="Arial" w:cs="Arial" w:eastAsia="Arial" w:hAnsi="Arial"/>
          <w:sz w:val="18"/>
          <w:szCs w:val="18"/>
          <w:color w:val="auto"/>
        </w:rPr>
        <w:t xml:space="preserve">, by calling the SEC at 1-800-SEC-0330 for the location of the nearest public reference room or through the SEC’s EDGAR system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4" w:lineRule="exact"/>
        <w:rPr>
          <w:sz w:val="20"/>
          <w:szCs w:val="20"/>
          <w:color w:val="auto"/>
        </w:rPr>
      </w:pPr>
    </w:p>
    <w:p>
      <w:pPr>
        <w:ind w:left="460" w:right="20" w:hanging="452"/>
        <w:spacing w:after="0" w:line="270" w:lineRule="auto"/>
        <w:tabs>
          <w:tab w:leader="none" w:pos="460" w:val="left"/>
        </w:tabs>
        <w:numPr>
          <w:ilvl w:val="0"/>
          <w:numId w:val="128"/>
        </w:numPr>
        <w:rPr>
          <w:rFonts w:ascii="Arial" w:cs="Arial" w:eastAsia="Arial" w:hAnsi="Arial"/>
          <w:sz w:val="20"/>
          <w:szCs w:val="20"/>
          <w:b w:val="1"/>
          <w:bCs w:val="1"/>
          <w:color w:val="867F7C"/>
        </w:rPr>
      </w:pPr>
      <w:r>
        <w:rPr>
          <w:rFonts w:ascii="Arial" w:cs="Arial" w:eastAsia="Arial" w:hAnsi="Arial"/>
          <w:sz w:val="20"/>
          <w:szCs w:val="20"/>
          <w:b w:val="1"/>
          <w:bCs w:val="1"/>
          <w:color w:val="867F7C"/>
        </w:rPr>
        <w:t>who can I contact if I have questions or need assistance in voting my shares, or if I need additional copies of the proxy materials?</w:t>
      </w:r>
    </w:p>
    <w:p>
      <w:pPr>
        <w:spacing w:after="0" w:line="41" w:lineRule="exact"/>
        <w:rPr>
          <w:sz w:val="20"/>
          <w:szCs w:val="20"/>
          <w:color w:val="auto"/>
        </w:rPr>
      </w:pPr>
    </w:p>
    <w:p>
      <w:pPr>
        <w:ind w:left="460" w:right="20" w:hanging="452"/>
        <w:spacing w:after="0" w:line="245" w:lineRule="auto"/>
        <w:tabs>
          <w:tab w:leader="none" w:pos="460" w:val="left"/>
        </w:tabs>
        <w:numPr>
          <w:ilvl w:val="0"/>
          <w:numId w:val="129"/>
        </w:numPr>
        <w:rPr>
          <w:rFonts w:ascii="Arial" w:cs="Arial" w:eastAsia="Arial" w:hAnsi="Arial"/>
          <w:sz w:val="20"/>
          <w:szCs w:val="20"/>
          <w:b w:val="1"/>
          <w:bCs w:val="1"/>
          <w:color w:val="4CCEDE"/>
        </w:rPr>
      </w:pPr>
      <w:r>
        <w:rPr>
          <w:rFonts w:ascii="Arial" w:cs="Arial" w:eastAsia="Arial" w:hAnsi="Arial"/>
          <w:sz w:val="18"/>
          <w:szCs w:val="18"/>
          <w:color w:val="auto"/>
        </w:rPr>
        <w:t>Please contact Alliance Advisors, LLC, the firm assisting us in the solicitation of proxies, toll-free at 1 (855) 206-1684.</w:t>
      </w:r>
    </w:p>
    <w:p>
      <w:pPr>
        <w:spacing w:after="0" w:line="197" w:lineRule="exact"/>
        <w:rPr>
          <w:sz w:val="20"/>
          <w:szCs w:val="20"/>
          <w:color w:val="auto"/>
        </w:rPr>
      </w:pPr>
    </w:p>
    <w:p>
      <w:pPr>
        <w:ind w:left="460" w:right="20" w:hanging="452"/>
        <w:spacing w:after="0" w:line="270" w:lineRule="auto"/>
        <w:tabs>
          <w:tab w:leader="none" w:pos="460" w:val="left"/>
        </w:tabs>
        <w:numPr>
          <w:ilvl w:val="0"/>
          <w:numId w:val="130"/>
        </w:numPr>
        <w:rPr>
          <w:rFonts w:ascii="Arial" w:cs="Arial" w:eastAsia="Arial" w:hAnsi="Arial"/>
          <w:sz w:val="20"/>
          <w:szCs w:val="20"/>
          <w:b w:val="1"/>
          <w:bCs w:val="1"/>
          <w:color w:val="867F7C"/>
        </w:rPr>
      </w:pPr>
      <w:r>
        <w:rPr>
          <w:rFonts w:ascii="Arial" w:cs="Arial" w:eastAsia="Arial" w:hAnsi="Arial"/>
          <w:sz w:val="20"/>
          <w:szCs w:val="20"/>
          <w:b w:val="1"/>
          <w:bCs w:val="1"/>
          <w:color w:val="867F7C"/>
        </w:rPr>
        <w:t>How may shareholders with the same address request delivery of either single or multiple copies of the Company’s Proxy Statement?</w:t>
      </w:r>
    </w:p>
    <w:p>
      <w:pPr>
        <w:spacing w:after="0" w:line="135" w:lineRule="exact"/>
        <w:rPr>
          <w:sz w:val="20"/>
          <w:szCs w:val="20"/>
          <w:color w:val="auto"/>
        </w:rPr>
      </w:pPr>
    </w:p>
    <w:p>
      <w:pPr>
        <w:jc w:val="both"/>
        <w:ind w:left="460" w:right="20" w:hanging="452"/>
        <w:spacing w:after="0" w:line="238" w:lineRule="auto"/>
        <w:tabs>
          <w:tab w:leader="none" w:pos="460" w:val="left"/>
        </w:tabs>
        <w:numPr>
          <w:ilvl w:val="0"/>
          <w:numId w:val="131"/>
        </w:numPr>
        <w:rPr>
          <w:rFonts w:ascii="Arial" w:cs="Arial" w:eastAsia="Arial" w:hAnsi="Arial"/>
          <w:sz w:val="20"/>
          <w:szCs w:val="20"/>
          <w:b w:val="1"/>
          <w:bCs w:val="1"/>
          <w:color w:val="4CCEDE"/>
        </w:rPr>
      </w:pPr>
      <w:r>
        <w:rPr>
          <w:rFonts w:ascii="Arial" w:cs="Arial" w:eastAsia="Arial" w:hAnsi="Arial"/>
          <w:sz w:val="18"/>
          <w:szCs w:val="18"/>
          <w:color w:val="auto"/>
        </w:rPr>
        <w:t>The Company has adopted the process called “householding” for any notice or proxy materials in order to reduce printing costs and postage fees. Householding means that stockholders who share the same last name and address will receive only one copy of the notice or proxy materials, unless we receive contrary instructions from any stockholder at that address.</w:t>
      </w:r>
    </w:p>
    <w:p>
      <w:pPr>
        <w:spacing w:after="0" w:line="168" w:lineRule="exact"/>
        <w:rPr>
          <w:rFonts w:ascii="Arial" w:cs="Arial" w:eastAsia="Arial" w:hAnsi="Arial"/>
          <w:sz w:val="20"/>
          <w:szCs w:val="20"/>
          <w:b w:val="1"/>
          <w:bCs w:val="1"/>
          <w:color w:val="4CCEDE"/>
        </w:rPr>
      </w:pPr>
    </w:p>
    <w:p>
      <w:pPr>
        <w:jc w:val="both"/>
        <w:ind w:left="460" w:right="20"/>
        <w:spacing w:after="0" w:line="253" w:lineRule="auto"/>
        <w:rPr>
          <w:rFonts w:ascii="Arial" w:cs="Arial" w:eastAsia="Arial" w:hAnsi="Arial"/>
          <w:sz w:val="20"/>
          <w:szCs w:val="20"/>
          <w:b w:val="1"/>
          <w:bCs w:val="1"/>
          <w:color w:val="4CCEDE"/>
        </w:rPr>
      </w:pPr>
      <w:r>
        <w:rPr>
          <w:rFonts w:ascii="Arial" w:cs="Arial" w:eastAsia="Arial" w:hAnsi="Arial"/>
          <w:sz w:val="18"/>
          <w:szCs w:val="18"/>
          <w:color w:val="auto"/>
        </w:rPr>
        <w:t>If your proxy statement was “householded,” but you prefer to receive separate copies, you may contact our proxy solicitor, Alliance Advisors, LLC (i) in writing at 150 Clove Rd, #400, Little Falls Township, NJ 07424, (ii) by calling, (855) 206-1684, or, (iii) by email at. ASH@allianceadvisors.com.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5760720" cy="8655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76072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Annual Meeting to be held on Tuesday, January 20, 2026.</w:t>
      </w:r>
    </w:p>
    <w:p>
      <w:pPr>
        <w:spacing w:after="0" w:line="209" w:lineRule="exact"/>
        <w:rPr>
          <w:sz w:val="20"/>
          <w:szCs w:val="20"/>
          <w:color w:val="auto"/>
        </w:rPr>
      </w:pPr>
    </w:p>
    <w:p>
      <w:pPr>
        <w:jc w:val="center"/>
        <w:ind w:left="1520" w:right="300"/>
        <w:spacing w:after="0" w:line="270" w:lineRule="auto"/>
        <w:rPr>
          <w:sz w:val="20"/>
          <w:szCs w:val="20"/>
          <w:color w:val="auto"/>
        </w:rPr>
      </w:pPr>
      <w:r>
        <w:rPr>
          <w:rFonts w:ascii="Arial" w:cs="Arial" w:eastAsia="Arial" w:hAnsi="Arial"/>
          <w:sz w:val="20"/>
          <w:szCs w:val="20"/>
          <w:b w:val="1"/>
          <w:bCs w:val="1"/>
          <w:color w:val="auto"/>
        </w:rPr>
        <w:t>This Proxy Statement and Ashland’s 2025 Annual Report to Stockholders are available at web.viewproxy.com/ash/2026</w:t>
      </w:r>
    </w:p>
    <w:p>
      <w:pPr>
        <w:spacing w:after="0" w:line="200" w:lineRule="exact"/>
        <w:rPr>
          <w:sz w:val="20"/>
          <w:szCs w:val="20"/>
          <w:color w:val="auto"/>
        </w:rPr>
      </w:pPr>
    </w:p>
    <w:p>
      <w:pPr>
        <w:spacing w:after="0" w:line="329" w:lineRule="exact"/>
        <w:rPr>
          <w:sz w:val="20"/>
          <w:szCs w:val="20"/>
          <w:color w:val="auto"/>
        </w:rPr>
      </w:pPr>
    </w:p>
    <w:p>
      <w:pPr>
        <w:jc w:val="both"/>
        <w:ind w:right="1960"/>
        <w:spacing w:after="0" w:line="252" w:lineRule="auto"/>
        <w:rPr>
          <w:sz w:val="20"/>
          <w:szCs w:val="20"/>
          <w:color w:val="auto"/>
        </w:rPr>
      </w:pPr>
      <w:r>
        <w:rPr>
          <w:rFonts w:ascii="Arial" w:cs="Arial" w:eastAsia="Arial" w:hAnsi="Arial"/>
          <w:sz w:val="54"/>
          <w:szCs w:val="54"/>
          <w:color w:val="867F7C"/>
        </w:rPr>
        <w:t>date for receipt of stockholder proposals for the next annual stockholders meeting</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4CCEDE"/>
        </w:rPr>
        <w:t>stockholder proposals</w:t>
      </w:r>
    </w:p>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deadline for stockholders to submit proposals pursuant to Rule 14a-8 under the Securities Exchange Act of 1934, as amended, to be considered for inclusion in our proxy statement for our 2027 Annual</w:t>
      </w:r>
    </w:p>
    <w:p>
      <w:pPr>
        <w:spacing w:after="0" w:line="157"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867F7C"/>
        </w:rPr>
        <w:t>questions and answers about the annual meeting</w:t>
      </w:r>
    </w:p>
    <w:p>
      <w:pPr>
        <w:spacing w:after="0" w:line="3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Meeting is August 11, 2026. Any stockholder proposal received after August 11, 2026 will not be considered for inclusion in our 2027 Proxy Statement.</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By-laws, as amended and restated, contain an advance notice procedure for matters a stockholder would like to present directly at an annual meeting (rather than submitting it for inclusion in Ashland’s proxy statement under Rule 14a-8.) Stockholder proposals submitted outside of Rule 14a-8 for the 2027 Annual Meeting must be received no earlier than September 22, 2026 and no later than October 22, 2026. Section 2.08 of our By-laws specifies the information and statements that must be included in any stockholder proposal to be duly considered and presented at the 2027 Annual Meeting. SEC rules permit management to vote proxies in its discretion if: (1) Ashland receives written notice of the proposal before the deadlines specified in our By-laws, and Ashland advises stockholders in the 2027 Annual Meeting Proxy Statement about the nature of the matter and how management intends to vote on such matter; or (2) Ashland does not receive notice of the proposal prior to the deadlines specified in our By-laws.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4CCEDE"/>
        </w:rPr>
        <w:t>stockholder nominations of directors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Stockholders who wish to nominate a person for election as a director of Ashland at an annual meeting must strictly comply with the requirements of Section 3.03 of the By-laws. These requirements include providing notice to the Corporate Secretary of Ashland not less than 90 nor more than 120 days prior to the first anniversary of the date of the preceding year’s annual meeting of stockholders of Ashland, provided that if the date of the annual meeting is more than 30 days earlier or more than 60 days later than such anniversary date, notice by the stockholder must be delivered or received not earlier than the 120th day prior to such annual meeting and not later than the close of business on the later of the 90th day prior to such annual meeting and the 10th day following the day on which public announcement of the date of such meeting is first made. For the 2027 annual meeting of stockholders, this means such nominations must be received by the Corporate Secretary no earlier than September 22, 2026 and no later than the close of business on October 22, 2026. Section 3.03 of the By-laws details the information and statements that must be included in connection with any stockholder nomination.</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Section 3.16 of the By-laws permit a stockholder, or a group of up to 20 stockholders, that has owned at least 3% of Ashland’s common stock for at least the past three years, to nominate for election to the Board the greater of (a) two individuals, and (b) individuals comprising up to 20% of the Board, and include information about such nominees in Ashland’s proxy statement for the annual meeting. (each, a “Proxy Access Nominee”). Any such nomination must be received by the Corporate Secretary of Ashland in accordance with the timing requirements described in the preceding paragraph. Section 3.16 of the By-laws details the information and statements that must be included in connection with the nomination of a Proxy Access Nominee.</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complying with the procedures described above, stockholders who intend to solicit proxies in support of a director nominee other than Ashland’s nominees for consideration at the 2027 Annual Meeting must also comply with the SEC’s “universal proxy rules” pursuant to Rule 14a-19 of the Exchange Act. Under Rule 14a-19, stockholders who intend to solicit such proxies must provide a notice to the Corporate Secretary of Ashland no later than November 23, 2026. If the 2027 Annual Meeting is set for a date which is not within 30 calendar days of the first anniversary of the date of the 2026 Annual Meeting, then notice must be provided by the later of 60 calendar days prior to the date of the 2027 Annual Meeting or the 10th calendar day following the day on which Ashland first publicly announces the date of the 2027 Annual Meeting.</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chair of any meeting of stockholders to elect directors and Ashland’s Board may refuse to acknowledge and consider any nomination that is not made in compliance with the above-described procedures. Individuals recommended by stockholders in accordance with the above-described procedures will be evaluated by the Governance and Nominating Committee in the same manner as individuals who are identified for potential nomination to the Board by other means.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4CCEDE"/>
        </w:rPr>
        <w:t>further information concerning stockholder proposals and nominations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80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867F7C"/>
        </w:rPr>
        <w:t>questions and answers about the annual meeting</w:t>
      </w:r>
    </w:p>
    <w:p>
      <w:pPr>
        <w:spacing w:after="0" w:line="3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copy of the By-laws, as amended and restated, are attached as Exhibit 3.3 to Ashland’s Annual Report on Form 10-K filed with the Securities and Exchange Commission on November 20, 2025 and available through its website (www.sec.gov). Upon written request to the Corporate Secretary of Ashland, Ashland will provide any stockholder, without charge, a copy of the procedures governing stockholder proposals or the nomination of directors.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Stockholder nominations or proposals should be submitted to Ashland’s Corporate Secretary in writing at 8145 Blazer Drive, Wilmington, Delaware, 19808, Attention: Corporate Secretary. The Corporate Secretary will direct the materials to the Chair of the Governance and Nominating Committee.</w:t>
      </w:r>
    </w:p>
    <w:p>
      <w:pPr>
        <w:spacing w:after="0" w:line="389" w:lineRule="exact"/>
        <w:rPr>
          <w:sz w:val="20"/>
          <w:szCs w:val="20"/>
          <w:color w:val="auto"/>
        </w:rPr>
      </w:pPr>
    </w:p>
    <w:p>
      <w:pPr>
        <w:ind w:left="718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63D0D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494665</wp:posOffset>
            </wp:positionV>
            <wp:extent cx="703770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7607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769" w:right="1419" w:bottom="1440" w:gutter="0" w:footer="0" w:header="0"/>
        </w:sectPr>
      </w:pPr>
    </w:p>
    <w:bookmarkStart w:id="87" w:name="page88"/>
    <w:bookmarkEnd w:id="87"/>
    <w:p>
      <w:pPr>
        <w:spacing w:after="0" w:line="47" w:lineRule="exact"/>
        <w:rPr>
          <w:sz w:val="20"/>
          <w:szCs w:val="20"/>
          <w:color w:val="auto"/>
        </w:rPr>
      </w:pPr>
    </w:p>
    <w:p>
      <w:pPr>
        <w:spacing w:after="0"/>
        <w:rPr>
          <w:sz w:val="20"/>
          <w:szCs w:val="20"/>
          <w:color w:val="auto"/>
        </w:rPr>
      </w:pPr>
      <w:r>
        <w:rPr>
          <w:rFonts w:ascii="Arial" w:cs="Arial" w:eastAsia="Arial" w:hAnsi="Arial"/>
          <w:sz w:val="54"/>
          <w:szCs w:val="54"/>
          <w:color w:val="867F7C"/>
        </w:rPr>
        <w:t>proxy solicitation</w:t>
      </w: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Ashland is soliciting the proxies to which this Proxy Statement relates. Solicitations may be made by mail, telephone, facsimile, electronic means and personal interview and all costs of soliciting proxies on behalf of Ashland, including the cost of preparing and mailing the Notice and this Proxy Statement and any accompanying material, will be borne by Ashland. Expenses associated with this solicitation which will be borne by Ashland may also include charges and expenses of banks, brokerage houses and other custodians, nominees or fiduciaries for forwarding proxies and proxy materials to beneficial owners of shares. Solicitations may also be made by personal interview, mail, telephone, facsimile, email or otherwise by directors, officers and other employees of Ashland, but Ashland will not additionally compensate its directors, officers or other employees for these services.</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Copies of proxy materials and the 2025 Annual Report will be supplied to brokers, dealers, banks and voting trustees, or their nominees, for the purpose of soliciting proxies from beneficial owners.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Ashland is paying the costs of the solicitation of proxies. Ashland must also pay brokerage firms, and other persons representing beneficial owners of shares held in street name, certain fees associated with forwarding proxy materials by mail to beneficial owners and obtaining beneficial owners’ voting instructions.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Ashland has engaged Alliance Advisors, LLC to act as Ashland’s proxy solicitor in connection with the proposals to be acted upon at the Annual Meeting. Pursuant to Ashland’s agreement with Alliance Advisors, LLC, it will, among other things, provide advice regarding proxy solicitation issues and solicit proxies from Ashland’s stockholders on Ashland’s behalf in connection with the Annual Meeting. For these services, Ashland will pay a fee of up to $13,000 plus expenses. Ashland has agreed to indemnify Alliance Advisors, LLC against certain liabilities relating to, or arising out of, its engagement.</w:t>
      </w:r>
    </w:p>
    <w:p>
      <w:pPr>
        <w:spacing w:after="0" w:line="249" w:lineRule="exact"/>
        <w:rPr>
          <w:sz w:val="20"/>
          <w:szCs w:val="20"/>
          <w:color w:val="auto"/>
        </w:rPr>
      </w:pPr>
    </w:p>
    <w:p>
      <w:pPr>
        <w:spacing w:after="0"/>
        <w:rPr>
          <w:sz w:val="20"/>
          <w:szCs w:val="20"/>
          <w:color w:val="auto"/>
        </w:rPr>
      </w:pPr>
      <w:r>
        <w:rPr>
          <w:rFonts w:ascii="Arial" w:cs="Arial" w:eastAsia="Arial" w:hAnsi="Arial"/>
          <w:sz w:val="54"/>
          <w:szCs w:val="54"/>
          <w:color w:val="867F7C"/>
        </w:rPr>
        <w:t>other matters</w:t>
      </w:r>
    </w:p>
    <w:p>
      <w:pPr>
        <w:spacing w:after="0" w:line="200" w:lineRule="exact"/>
        <w:rPr>
          <w:sz w:val="20"/>
          <w:szCs w:val="20"/>
          <w:color w:val="auto"/>
        </w:rPr>
      </w:pP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of Directors does not intend to bring other matters before the Annual Meeting, except items incidental to the conduct of the meeting. However, on all matters properly brought before the meeting by the Board of Directors or by others, the persons named as proxies in the accompanying proxy, or their substitutes, will vote in accordance with their best judgment.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Your vote is very important no matter how many shares you own. You are urged to read this Proxy Statement carefully and, whether or not you plan to attend the Annual Meeting, to promptly submit a proxy: (1) by telephone or over the Internet following the instructions on the Notice or proxy card or (2) by signing, dating and returning your proxy card.</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you have any questions or require any assistance with voting your shares, please contact Ashland’s proxy solicitor:</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Alliance Advisors LLC</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150 Clove Rd, #400</w:t>
      </w:r>
    </w:p>
    <w:p>
      <w:pPr>
        <w:ind w:left="3300"/>
        <w:spacing w:after="0" w:line="234" w:lineRule="auto"/>
        <w:rPr>
          <w:sz w:val="20"/>
          <w:szCs w:val="20"/>
          <w:color w:val="auto"/>
        </w:rPr>
      </w:pPr>
      <w:r>
        <w:rPr>
          <w:rFonts w:ascii="Arial" w:cs="Arial" w:eastAsia="Arial" w:hAnsi="Arial"/>
          <w:sz w:val="18"/>
          <w:szCs w:val="18"/>
          <w:color w:val="auto"/>
        </w:rPr>
        <w:t>Little Falls Township, NJ 07424</w:t>
      </w:r>
    </w:p>
    <w:p>
      <w:pPr>
        <w:ind w:left="3520"/>
        <w:spacing w:after="0" w:line="235" w:lineRule="auto"/>
        <w:rPr>
          <w:sz w:val="20"/>
          <w:szCs w:val="20"/>
          <w:color w:val="auto"/>
        </w:rPr>
      </w:pPr>
      <w:r>
        <w:rPr>
          <w:rFonts w:ascii="Arial" w:cs="Arial" w:eastAsia="Arial" w:hAnsi="Arial"/>
          <w:sz w:val="18"/>
          <w:szCs w:val="18"/>
          <w:color w:val="auto"/>
        </w:rPr>
        <w:t>Toll-Free: (855) 206-1684</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Email: ASH@allianceadvisors.com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Your cooperation in giving this matter your prompt attention is appreciated.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E. Lampkin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82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486410</wp:posOffset>
            </wp:positionV>
            <wp:extent cx="703770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88" w:name="page89"/>
    <w:bookmarkEnd w:id="88"/>
    <w:p>
      <w:pPr>
        <w:ind w:right="1440"/>
        <w:spacing w:after="0" w:line="252" w:lineRule="auto"/>
        <w:rPr>
          <w:sz w:val="20"/>
          <w:szCs w:val="20"/>
          <w:color w:val="auto"/>
        </w:rPr>
      </w:pPr>
      <w:r>
        <w:rPr>
          <w:rFonts w:ascii="Arial" w:cs="Arial" w:eastAsia="Arial" w:hAnsi="Arial"/>
          <w:sz w:val="54"/>
          <w:szCs w:val="54"/>
          <w:color w:val="867F7C"/>
        </w:rPr>
        <w:t>appendix a — use of non-GAAP financial measures and non-GAAP reconciliations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4CCEDE"/>
        </w:rPr>
        <w:t>use of non-GAAP financial measures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Ashland has included within this document the following non-GAAP financial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61" w:lineRule="exact"/>
        <w:rPr>
          <w:sz w:val="20"/>
          <w:szCs w:val="20"/>
          <w:color w:val="auto"/>
        </w:rPr>
      </w:pPr>
    </w:p>
    <w:p>
      <w:pPr>
        <w:ind w:left="240" w:hanging="236"/>
        <w:spacing w:after="0" w:line="270" w:lineRule="auto"/>
        <w:tabs>
          <w:tab w:leader="none" w:pos="240" w:val="left"/>
        </w:tabs>
        <w:numPr>
          <w:ilvl w:val="0"/>
          <w:numId w:val="132"/>
        </w:numPr>
        <w:rPr>
          <w:rFonts w:ascii="Times New Roman" w:cs="Times New Roman" w:eastAsia="Times New Roman" w:hAnsi="Times New Roman"/>
          <w:sz w:val="18"/>
          <w:szCs w:val="18"/>
          <w:color w:val="4CCEDE"/>
        </w:rPr>
      </w:pPr>
      <w:r>
        <w:rPr>
          <w:rFonts w:ascii="Arial" w:cs="Arial" w:eastAsia="Arial" w:hAnsi="Arial"/>
          <w:sz w:val="18"/>
          <w:szCs w:val="18"/>
          <w:color w:val="auto"/>
        </w:rPr>
        <w:t>EBITDA—net income (loss), plus income tax expense (benefit), net interest and other financing expenses, and depreciation and amortization.</w:t>
      </w:r>
    </w:p>
    <w:p>
      <w:pPr>
        <w:spacing w:after="0" w:line="46" w:lineRule="exact"/>
        <w:rPr>
          <w:rFonts w:ascii="Times New Roman" w:cs="Times New Roman" w:eastAsia="Times New Roman" w:hAnsi="Times New Roman"/>
          <w:sz w:val="18"/>
          <w:szCs w:val="18"/>
          <w:color w:val="4CCEDE"/>
        </w:rPr>
      </w:pPr>
    </w:p>
    <w:p>
      <w:pPr>
        <w:jc w:val="both"/>
        <w:ind w:left="240" w:hanging="236"/>
        <w:spacing w:after="0" w:line="252" w:lineRule="auto"/>
        <w:tabs>
          <w:tab w:leader="none" w:pos="240" w:val="left"/>
        </w:tabs>
        <w:numPr>
          <w:ilvl w:val="0"/>
          <w:numId w:val="132"/>
        </w:numPr>
        <w:rPr>
          <w:rFonts w:ascii="Times New Roman" w:cs="Times New Roman" w:eastAsia="Times New Roman" w:hAnsi="Times New Roman"/>
          <w:sz w:val="18"/>
          <w:szCs w:val="18"/>
          <w:color w:val="4CCEDE"/>
        </w:rPr>
      </w:pPr>
      <w:r>
        <w:rPr>
          <w:rFonts w:ascii="Arial" w:cs="Arial" w:eastAsia="Arial" w:hAnsi="Arial"/>
          <w:sz w:val="18"/>
          <w:szCs w:val="18"/>
          <w:color w:val="auto"/>
        </w:rPr>
        <w:t>Adjusted EBITDA—EBITDA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62" w:lineRule="exact"/>
        <w:rPr>
          <w:rFonts w:ascii="Times New Roman" w:cs="Times New Roman" w:eastAsia="Times New Roman" w:hAnsi="Times New Roman"/>
          <w:sz w:val="18"/>
          <w:szCs w:val="18"/>
          <w:color w:val="4CCEDE"/>
        </w:rPr>
      </w:pPr>
    </w:p>
    <w:p>
      <w:pPr>
        <w:ind w:left="240" w:hanging="236"/>
        <w:spacing w:after="0"/>
        <w:tabs>
          <w:tab w:leader="none" w:pos="240" w:val="left"/>
        </w:tabs>
        <w:numPr>
          <w:ilvl w:val="0"/>
          <w:numId w:val="132"/>
        </w:numPr>
        <w:rPr>
          <w:rFonts w:ascii="Times New Roman" w:cs="Times New Roman" w:eastAsia="Times New Roman" w:hAnsi="Times New Roman"/>
          <w:sz w:val="18"/>
          <w:szCs w:val="18"/>
          <w:color w:val="4CCEDE"/>
        </w:rPr>
      </w:pPr>
      <w:r>
        <w:rPr>
          <w:rFonts w:ascii="Arial" w:cs="Arial" w:eastAsia="Arial" w:hAnsi="Arial"/>
          <w:sz w:val="18"/>
          <w:szCs w:val="18"/>
          <w:color w:val="auto"/>
        </w:rPr>
        <w:t>Adjusted EBITDA margin—Adjusted EBITDA, which include pro-forma adjustments, divided by sales.</w:t>
      </w:r>
    </w:p>
    <w:p>
      <w:pPr>
        <w:spacing w:after="0" w:line="116" w:lineRule="exact"/>
        <w:rPr>
          <w:rFonts w:ascii="Times New Roman" w:cs="Times New Roman" w:eastAsia="Times New Roman" w:hAnsi="Times New Roman"/>
          <w:sz w:val="18"/>
          <w:szCs w:val="18"/>
          <w:color w:val="4CCEDE"/>
        </w:rPr>
      </w:pPr>
    </w:p>
    <w:p>
      <w:pPr>
        <w:ind w:left="240" w:hanging="236"/>
        <w:spacing w:after="0" w:line="270" w:lineRule="auto"/>
        <w:tabs>
          <w:tab w:leader="none" w:pos="240" w:val="left"/>
        </w:tabs>
        <w:numPr>
          <w:ilvl w:val="0"/>
          <w:numId w:val="132"/>
        </w:numPr>
        <w:rPr>
          <w:rFonts w:ascii="Times New Roman" w:cs="Times New Roman" w:eastAsia="Times New Roman" w:hAnsi="Times New Roman"/>
          <w:sz w:val="18"/>
          <w:szCs w:val="18"/>
          <w:color w:val="4CCEDE"/>
        </w:rPr>
      </w:pPr>
      <w:r>
        <w:rPr>
          <w:rFonts w:ascii="Arial" w:cs="Arial" w:eastAsia="Arial" w:hAnsi="Arial"/>
          <w:sz w:val="18"/>
          <w:szCs w:val="18"/>
          <w:color w:val="auto"/>
        </w:rPr>
        <w:t>Adjusted diluted earnings per share (EPS)—income (loss) from continuing operations, adjusted for key items, net of tax, divided by the average outstanding diluted shares for the applicable period.</w:t>
      </w:r>
    </w:p>
    <w:p>
      <w:pPr>
        <w:spacing w:after="0" w:line="46" w:lineRule="exact"/>
        <w:rPr>
          <w:rFonts w:ascii="Times New Roman" w:cs="Times New Roman" w:eastAsia="Times New Roman" w:hAnsi="Times New Roman"/>
          <w:sz w:val="18"/>
          <w:szCs w:val="18"/>
          <w:color w:val="4CCEDE"/>
        </w:rPr>
      </w:pPr>
    </w:p>
    <w:p>
      <w:pPr>
        <w:jc w:val="both"/>
        <w:ind w:left="240" w:hanging="236"/>
        <w:spacing w:after="0" w:line="252" w:lineRule="auto"/>
        <w:tabs>
          <w:tab w:leader="none" w:pos="240" w:val="left"/>
        </w:tabs>
        <w:numPr>
          <w:ilvl w:val="0"/>
          <w:numId w:val="132"/>
        </w:numPr>
        <w:rPr>
          <w:rFonts w:ascii="Times New Roman" w:cs="Times New Roman" w:eastAsia="Times New Roman" w:hAnsi="Times New Roman"/>
          <w:sz w:val="18"/>
          <w:szCs w:val="18"/>
          <w:color w:val="4CCEDE"/>
        </w:rPr>
      </w:pPr>
      <w:r>
        <w:rPr>
          <w:rFonts w:ascii="Arial" w:cs="Arial" w:eastAsia="Arial" w:hAnsi="Arial"/>
          <w:sz w:val="18"/>
          <w:szCs w:val="18"/>
          <w:color w:val="auto"/>
        </w:rPr>
        <w:t>Adjusted diluted earnings per share (EPS) excluding intangibles amortization expense—Adjusted earnings per share adjusted for intangible amortization expense net of tax, divided by the average outstanding diluted shares for the applicable period.</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Adjusted diluted EPS, excluding intangibles amortization expense metric enables Ashland to demonstrate the impact of non-cash intangible amortization expense on EPS, in addition to the key items previously mentioned. Ashland’s management believes this presentation is helpful to illustrate how previous acquisitions impact applicable period results.</w:t>
      </w:r>
    </w:p>
    <w:p>
      <w:pPr>
        <w:spacing w:after="0" w:line="173" w:lineRule="exact"/>
        <w:rPr>
          <w:sz w:val="20"/>
          <w:szCs w:val="20"/>
          <w:color w:val="auto"/>
        </w:rPr>
      </w:pPr>
    </w:p>
    <w:p>
      <w:pPr>
        <w:ind w:left="776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4CCEDE"/>
        </w:rPr>
        <w:t>a-</w:t>
      </w:r>
      <w:r>
        <w:rPr>
          <w:rFonts w:ascii="Arial" w:cs="Arial" w:eastAsia="Arial" w:hAnsi="Arial"/>
          <w:sz w:val="16"/>
          <w:szCs w:val="16"/>
          <w:b w:val="1"/>
          <w:bCs w:val="1"/>
          <w:color w:val="63D0D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494665</wp:posOffset>
            </wp:positionV>
            <wp:extent cx="703770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-143510</wp:posOffset>
            </wp:positionV>
            <wp:extent cx="61722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136" w:right="109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867F7C"/>
        </w:rPr>
        <w:t>appendix a — use of non-GAAP financial measures and non-GAAP reconciliations</w:t>
      </w:r>
    </w:p>
    <w:p>
      <w:pPr>
        <w:spacing w:after="0" w:line="3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non-GAAP financial measures should be considered supplemental in nature and should not be construed as more significant than comparable measures defined by U.S. GAAP. Limitations associated with the use of these non-GAAP financial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4CCEDE"/>
        </w:rPr>
        <w:t>business unit EBITDA and adjusted EBITDA</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EBITDA and Adjusted EBITDA amounts presented for each business unit are provided as a means to enhance the understanding of financial measurements that Ashland has internally determined to be relevant measures of comparison for each segment. Each of these non-GAAP financial measures is defined as follows: EBITDA (operating income plus depreciation and amortization) and Adjusted EBITDA (EBITDA adjusted for key items, which may include pro forma effects for significant acquisitions or divestitures, as applicable). Ashland does not allocate items to each reportable segment below operating income, such as interest expense and income taxes. As a result, business unit EBITDA and Adjusted EBITDA are reconciled directly to operating income since it is the most directly comparable Statements of Consolidated Comprehensive Income caption.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4CCEDE"/>
        </w:rPr>
        <w:t>non-GAAP reconciliations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Ashland Inc. and consolidated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reconciliation of non-GAAP—adjusted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CCEDE"/>
        </w:rPr>
        <w:t>EBITDA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(In millions)</w:t>
            </w:r>
          </w:p>
        </w:tc>
        <w:tc>
          <w:tcPr>
            <w:tcW w:w="340" w:type="dxa"/>
            <w:vAlign w:val="bottom"/>
            <w:tcBorders>
              <w:bottom w:val="single" w:sz="8" w:color="EFEBE9"/>
            </w:tcBorders>
            <w:shd w:val="clear" w:color="auto" w:fill="EFEBE9"/>
          </w:tcPr>
          <w:p>
            <w:pPr>
              <w:spacing w:after="0"/>
              <w:rPr>
                <w:sz w:val="15"/>
                <w:szCs w:val="15"/>
                <w:color w:val="auto"/>
              </w:rPr>
            </w:pPr>
          </w:p>
        </w:tc>
        <w:tc>
          <w:tcPr>
            <w:tcW w:w="700" w:type="dxa"/>
            <w:vAlign w:val="bottom"/>
            <w:tcBorders>
              <w:bottom w:val="single" w:sz="8" w:color="EFEBE9"/>
            </w:tcBorders>
            <w:shd w:val="clear" w:color="auto" w:fill="EFEBE9"/>
          </w:tcPr>
          <w:p>
            <w:pPr>
              <w:jc w:val="right"/>
              <w:ind w:right="288"/>
              <w:spacing w:after="0"/>
              <w:rPr>
                <w:sz w:val="20"/>
                <w:szCs w:val="20"/>
                <w:color w:val="auto"/>
              </w:rPr>
            </w:pPr>
            <w:r>
              <w:rPr>
                <w:rFonts w:ascii="Arial" w:cs="Arial" w:eastAsia="Arial" w:hAnsi="Arial"/>
                <w:sz w:val="14"/>
                <w:szCs w:val="14"/>
                <w:b w:val="1"/>
                <w:bCs w:val="1"/>
                <w:color w:val="867F7C"/>
              </w:rPr>
              <w:t>2025</w:t>
            </w:r>
          </w:p>
        </w:tc>
        <w:tc>
          <w:tcPr>
            <w:tcW w:w="380" w:type="dxa"/>
            <w:vAlign w:val="bottom"/>
            <w:tcBorders>
              <w:bottom w:val="single" w:sz="8" w:color="EFEBE9"/>
            </w:tcBorders>
            <w:shd w:val="clear" w:color="auto" w:fill="EFEBE9"/>
          </w:tcPr>
          <w:p>
            <w:pPr>
              <w:spacing w:after="0"/>
              <w:rPr>
                <w:sz w:val="15"/>
                <w:szCs w:val="15"/>
                <w:color w:val="auto"/>
              </w:rPr>
            </w:pPr>
          </w:p>
        </w:tc>
        <w:tc>
          <w:tcPr>
            <w:tcW w:w="700" w:type="dxa"/>
            <w:vAlign w:val="bottom"/>
            <w:tcBorders>
              <w:bottom w:val="single" w:sz="8" w:color="EFEBE9"/>
            </w:tcBorders>
            <w:shd w:val="clear" w:color="auto" w:fill="EFEBE9"/>
          </w:tcPr>
          <w:p>
            <w:pPr>
              <w:jc w:val="right"/>
              <w:ind w:right="288"/>
              <w:spacing w:after="0"/>
              <w:rPr>
                <w:sz w:val="20"/>
                <w:szCs w:val="20"/>
                <w:color w:val="auto"/>
              </w:rPr>
            </w:pPr>
            <w:r>
              <w:rPr>
                <w:rFonts w:ascii="Arial" w:cs="Arial" w:eastAsia="Arial" w:hAnsi="Arial"/>
                <w:sz w:val="14"/>
                <w:szCs w:val="14"/>
                <w:b w:val="1"/>
                <w:bCs w:val="1"/>
                <w:color w:val="867F7C"/>
              </w:rPr>
              <w:t>2024</w:t>
            </w:r>
          </w:p>
        </w:tc>
        <w:tc>
          <w:tcPr>
            <w:tcW w:w="380" w:type="dxa"/>
            <w:vAlign w:val="bottom"/>
            <w:tcBorders>
              <w:bottom w:val="single" w:sz="8" w:color="EFEBE9"/>
            </w:tcBorders>
            <w:shd w:val="clear" w:color="auto" w:fill="EFEBE9"/>
          </w:tcPr>
          <w:p>
            <w:pPr>
              <w:spacing w:after="0"/>
              <w:rPr>
                <w:sz w:val="15"/>
                <w:szCs w:val="15"/>
                <w:color w:val="auto"/>
              </w:rPr>
            </w:pPr>
          </w:p>
        </w:tc>
        <w:tc>
          <w:tcPr>
            <w:tcW w:w="740" w:type="dxa"/>
            <w:vAlign w:val="bottom"/>
            <w:tcBorders>
              <w:bottom w:val="single" w:sz="8" w:color="EFEBE9"/>
            </w:tcBorders>
            <w:shd w:val="clear" w:color="auto" w:fill="EFEBE9"/>
          </w:tcPr>
          <w:p>
            <w:pPr>
              <w:jc w:val="right"/>
              <w:ind w:right="308"/>
              <w:spacing w:after="0"/>
              <w:rPr>
                <w:sz w:val="20"/>
                <w:szCs w:val="20"/>
                <w:color w:val="auto"/>
              </w:rPr>
            </w:pPr>
            <w:r>
              <w:rPr>
                <w:rFonts w:ascii="Arial" w:cs="Arial" w:eastAsia="Arial" w:hAnsi="Arial"/>
                <w:sz w:val="14"/>
                <w:szCs w:val="14"/>
                <w:b w:val="1"/>
                <w:bCs w:val="1"/>
                <w:color w:val="867F7C"/>
              </w:rPr>
              <w:t>2023</w:t>
            </w:r>
          </w:p>
        </w:tc>
      </w:tr>
      <w:tr>
        <w:trPr>
          <w:trHeight w:val="162"/>
        </w:trPr>
        <w:tc>
          <w:tcPr>
            <w:tcW w:w="648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(845)</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rPr>
                <w:sz w:val="20"/>
                <w:szCs w:val="20"/>
                <w:color w:val="auto"/>
              </w:rPr>
            </w:pPr>
            <w:r>
              <w:rPr>
                <w:rFonts w:ascii="Arial" w:cs="Arial" w:eastAsia="Arial" w:hAnsi="Arial"/>
                <w:sz w:val="14"/>
                <w:szCs w:val="14"/>
                <w:color w:val="auto"/>
              </w:rPr>
              <w:t>169</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178</w:t>
            </w:r>
          </w:p>
        </w:tc>
      </w:tr>
      <w:tr>
        <w:trPr>
          <w:trHeight w:val="155"/>
        </w:trPr>
        <w:tc>
          <w:tcPr>
            <w:tcW w:w="6480" w:type="dxa"/>
            <w:vAlign w:val="bottom"/>
            <w:tcBorders>
              <w:bottom w:val="single" w:sz="8" w:color="867F7C"/>
            </w:tcBorders>
          </w:tcPr>
          <w:p>
            <w:pPr>
              <w:ind w:left="280"/>
              <w:spacing w:after="0" w:line="155" w:lineRule="exact"/>
              <w:rPr>
                <w:sz w:val="20"/>
                <w:szCs w:val="20"/>
                <w:color w:val="auto"/>
              </w:rPr>
            </w:pPr>
            <w:r>
              <w:rPr>
                <w:rFonts w:ascii="Arial" w:cs="Arial" w:eastAsia="Arial" w:hAnsi="Arial"/>
                <w:sz w:val="14"/>
                <w:szCs w:val="14"/>
                <w:color w:val="auto"/>
              </w:rPr>
              <w:t>Income tax expense (benefit)</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13</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(223)</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(8)</w:t>
            </w:r>
          </w:p>
        </w:tc>
      </w:tr>
      <w:tr>
        <w:trPr>
          <w:trHeight w:val="155"/>
        </w:trPr>
        <w:tc>
          <w:tcPr>
            <w:tcW w:w="6480" w:type="dxa"/>
            <w:vAlign w:val="bottom"/>
            <w:tcBorders>
              <w:bottom w:val="single" w:sz="8" w:color="867F7C"/>
            </w:tcBorders>
          </w:tcPr>
          <w:p>
            <w:pPr>
              <w:ind w:left="280"/>
              <w:spacing w:after="0" w:line="155" w:lineRule="exact"/>
              <w:rPr>
                <w:sz w:val="20"/>
                <w:szCs w:val="20"/>
                <w:color w:val="auto"/>
              </w:rPr>
            </w:pPr>
            <w:r>
              <w:rPr>
                <w:rFonts w:ascii="Arial" w:cs="Arial" w:eastAsia="Arial" w:hAnsi="Arial"/>
                <w:sz w:val="14"/>
                <w:szCs w:val="14"/>
                <w:color w:val="auto"/>
              </w:rPr>
              <w:t>Net interest and other financing expense (income)</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33</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(24)</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6</w:t>
            </w:r>
          </w:p>
        </w:tc>
      </w:tr>
      <w:tr>
        <w:trPr>
          <w:trHeight w:val="155"/>
        </w:trPr>
        <w:tc>
          <w:tcPr>
            <w:tcW w:w="6480" w:type="dxa"/>
            <w:vAlign w:val="bottom"/>
            <w:tcBorders>
              <w:bottom w:val="single" w:sz="8" w:color="867F7C"/>
            </w:tcBorders>
          </w:tcPr>
          <w:p>
            <w:pPr>
              <w:ind w:left="280"/>
              <w:spacing w:after="0" w:line="156"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8"/>
                <w:szCs w:val="18"/>
                <w:color w:val="auto"/>
                <w:vertAlign w:val="superscript"/>
              </w:rPr>
              <w:t>(a)</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198</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220</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243</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EBITDA</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(601)</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142</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419</w:t>
            </w:r>
          </w:p>
        </w:tc>
      </w:tr>
      <w:tr>
        <w:trPr>
          <w:trHeight w:val="156"/>
        </w:trPr>
        <w:tc>
          <w:tcPr>
            <w:tcW w:w="6480" w:type="dxa"/>
            <w:vAlign w:val="bottom"/>
            <w:tcBorders>
              <w:bottom w:val="single" w:sz="8" w:color="867F7C"/>
            </w:tcBorders>
          </w:tcPr>
          <w:p>
            <w:pPr>
              <w:ind w:left="280"/>
              <w:spacing w:after="0" w:line="155" w:lineRule="exact"/>
              <w:rPr>
                <w:sz w:val="20"/>
                <w:szCs w:val="20"/>
                <w:color w:val="auto"/>
              </w:rPr>
            </w:pPr>
            <w:r>
              <w:rPr>
                <w:rFonts w:ascii="Arial" w:cs="Arial" w:eastAsia="Arial" w:hAnsi="Arial"/>
                <w:sz w:val="14"/>
                <w:szCs w:val="14"/>
                <w:color w:val="auto"/>
              </w:rPr>
              <w:t>Loss (income) from discontinued operations (net of taxes)</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23</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30</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(10)</w:t>
            </w:r>
          </w:p>
        </w:tc>
      </w:tr>
      <w:tr>
        <w:trPr>
          <w:trHeight w:val="146"/>
        </w:trPr>
        <w:tc>
          <w:tcPr>
            <w:tcW w:w="6480" w:type="dxa"/>
            <w:vAlign w:val="bottom"/>
          </w:tcPr>
          <w:p>
            <w:pPr>
              <w:ind w:left="280"/>
              <w:spacing w:after="0" w:line="147" w:lineRule="exact"/>
              <w:rPr>
                <w:sz w:val="20"/>
                <w:szCs w:val="20"/>
                <w:color w:val="auto"/>
              </w:rPr>
            </w:pPr>
            <w:r>
              <w:rPr>
                <w:rFonts w:ascii="Arial" w:cs="Arial" w:eastAsia="Arial" w:hAnsi="Arial"/>
                <w:sz w:val="14"/>
                <w:szCs w:val="14"/>
                <w:color w:val="auto"/>
              </w:rPr>
              <w:t>Key items included in EBITDA:</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Goodwill impairment</w:t>
            </w:r>
          </w:p>
        </w:tc>
        <w:tc>
          <w:tcPr>
            <w:tcW w:w="34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706</w:t>
            </w:r>
          </w:p>
        </w:tc>
        <w:tc>
          <w:tcPr>
            <w:tcW w:w="38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Avoca business impairment and sale</w:t>
            </w:r>
          </w:p>
        </w:tc>
        <w:tc>
          <w:tcPr>
            <w:tcW w:w="34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175</w:t>
            </w:r>
          </w:p>
        </w:tc>
        <w:tc>
          <w:tcPr>
            <w:tcW w:w="38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Nutraceuticals impairment and sale</w:t>
            </w:r>
          </w:p>
        </w:tc>
        <w:tc>
          <w:tcPr>
            <w:tcW w:w="34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107</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Accelerated depreciation</w:t>
            </w:r>
          </w:p>
        </w:tc>
        <w:tc>
          <w:tcPr>
            <w:tcW w:w="34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41</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57</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Environmental reserve adjustments</w:t>
            </w:r>
          </w:p>
        </w:tc>
        <w:tc>
          <w:tcPr>
            <w:tcW w:w="34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34</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45</w:t>
            </w:r>
          </w:p>
        </w:tc>
        <w:tc>
          <w:tcPr>
            <w:tcW w:w="38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56</w:t>
            </w:r>
          </w:p>
        </w:tc>
      </w:tr>
      <w:tr>
        <w:trPr>
          <w:trHeight w:val="144"/>
        </w:trPr>
        <w:tc>
          <w:tcPr>
            <w:tcW w:w="6480" w:type="dxa"/>
            <w:vAlign w:val="bottom"/>
          </w:tcPr>
          <w:p>
            <w:pPr>
              <w:ind w:left="460"/>
              <w:spacing w:after="0" w:line="145" w:lineRule="exact"/>
              <w:rPr>
                <w:sz w:val="20"/>
                <w:szCs w:val="20"/>
                <w:color w:val="auto"/>
              </w:rPr>
            </w:pPr>
            <w:r>
              <w:rPr>
                <w:rFonts w:ascii="Arial" w:cs="Arial" w:eastAsia="Arial" w:hAnsi="Arial"/>
                <w:sz w:val="14"/>
                <w:szCs w:val="14"/>
                <w:color w:val="auto"/>
              </w:rPr>
              <w:t>Restructuring, separation and other costs</w:t>
            </w:r>
          </w:p>
        </w:tc>
        <w:tc>
          <w:tcPr>
            <w:tcW w:w="340" w:type="dxa"/>
            <w:vAlign w:val="bottom"/>
          </w:tcPr>
          <w:p>
            <w:pPr>
              <w:spacing w:after="0"/>
              <w:rPr>
                <w:sz w:val="12"/>
                <w:szCs w:val="12"/>
                <w:color w:val="auto"/>
              </w:rPr>
            </w:pPr>
          </w:p>
        </w:tc>
        <w:tc>
          <w:tcPr>
            <w:tcW w:w="700" w:type="dxa"/>
            <w:vAlign w:val="bottom"/>
          </w:tcPr>
          <w:p>
            <w:pPr>
              <w:jc w:val="right"/>
              <w:ind w:right="248"/>
              <w:spacing w:after="0" w:line="145" w:lineRule="exact"/>
              <w:rPr>
                <w:sz w:val="20"/>
                <w:szCs w:val="20"/>
                <w:color w:val="auto"/>
              </w:rPr>
            </w:pPr>
            <w:r>
              <w:rPr>
                <w:rFonts w:ascii="Arial" w:cs="Arial" w:eastAsia="Arial" w:hAnsi="Arial"/>
                <w:sz w:val="14"/>
                <w:szCs w:val="14"/>
                <w:color w:val="auto"/>
              </w:rPr>
              <w:t>22</w:t>
            </w:r>
          </w:p>
        </w:tc>
        <w:tc>
          <w:tcPr>
            <w:tcW w:w="380" w:type="dxa"/>
            <w:vAlign w:val="bottom"/>
          </w:tcPr>
          <w:p>
            <w:pPr>
              <w:spacing w:after="0"/>
              <w:rPr>
                <w:sz w:val="12"/>
                <w:szCs w:val="12"/>
                <w:color w:val="auto"/>
              </w:rPr>
            </w:pPr>
          </w:p>
        </w:tc>
        <w:tc>
          <w:tcPr>
            <w:tcW w:w="700" w:type="dxa"/>
            <w:vAlign w:val="bottom"/>
          </w:tcPr>
          <w:p>
            <w:pPr>
              <w:jc w:val="right"/>
              <w:ind w:right="248"/>
              <w:spacing w:after="0" w:line="145" w:lineRule="exact"/>
              <w:rPr>
                <w:sz w:val="20"/>
                <w:szCs w:val="20"/>
                <w:color w:val="auto"/>
              </w:rPr>
            </w:pPr>
            <w:r>
              <w:rPr>
                <w:rFonts w:ascii="Arial" w:cs="Arial" w:eastAsia="Arial" w:hAnsi="Arial"/>
                <w:sz w:val="14"/>
                <w:szCs w:val="14"/>
                <w:color w:val="auto"/>
              </w:rPr>
              <w:t>30</w:t>
            </w:r>
          </w:p>
        </w:tc>
        <w:tc>
          <w:tcPr>
            <w:tcW w:w="380" w:type="dxa"/>
            <w:vAlign w:val="bottom"/>
          </w:tcPr>
          <w:p>
            <w:pPr>
              <w:spacing w:after="0"/>
              <w:rPr>
                <w:sz w:val="12"/>
                <w:szCs w:val="12"/>
                <w:color w:val="auto"/>
              </w:rPr>
            </w:pPr>
          </w:p>
        </w:tc>
        <w:tc>
          <w:tcPr>
            <w:tcW w:w="740" w:type="dxa"/>
            <w:vAlign w:val="bottom"/>
          </w:tcPr>
          <w:p>
            <w:pPr>
              <w:jc w:val="right"/>
              <w:ind w:right="268"/>
              <w:spacing w:after="0" w:line="145" w:lineRule="exact"/>
              <w:rPr>
                <w:sz w:val="20"/>
                <w:szCs w:val="20"/>
                <w:color w:val="auto"/>
              </w:rPr>
            </w:pPr>
            <w:r>
              <w:rPr>
                <w:rFonts w:ascii="Arial" w:cs="Arial" w:eastAsia="Arial" w:hAnsi="Arial"/>
                <w:sz w:val="14"/>
                <w:szCs w:val="14"/>
                <w:color w:val="auto"/>
              </w:rPr>
              <w:t>10</w:t>
            </w:r>
          </w:p>
        </w:tc>
      </w:tr>
      <w:tr>
        <w:trPr>
          <w:trHeight w:val="180"/>
        </w:trPr>
        <w:tc>
          <w:tcPr>
            <w:tcW w:w="6480" w:type="dxa"/>
            <w:vAlign w:val="bottom"/>
          </w:tcPr>
          <w:p>
            <w:pPr>
              <w:ind w:left="460"/>
              <w:spacing w:after="0" w:line="180" w:lineRule="exact"/>
              <w:rPr>
                <w:sz w:val="20"/>
                <w:szCs w:val="20"/>
                <w:color w:val="auto"/>
              </w:rPr>
            </w:pPr>
            <w:r>
              <w:rPr>
                <w:rFonts w:ascii="Arial" w:cs="Arial" w:eastAsia="Arial" w:hAnsi="Arial"/>
                <w:sz w:val="14"/>
                <w:szCs w:val="14"/>
                <w:color w:val="auto"/>
              </w:rPr>
              <w:t>Loss (gain) on pension and other postretirement plan remeasurements</w:t>
            </w:r>
            <w:r>
              <w:rPr>
                <w:rFonts w:ascii="Arial" w:cs="Arial" w:eastAsia="Arial" w:hAnsi="Arial"/>
                <w:sz w:val="19"/>
                <w:szCs w:val="19"/>
                <w:color w:val="auto"/>
                <w:vertAlign w:val="superscript"/>
              </w:rPr>
              <w:t>(b)</w:t>
            </w:r>
          </w:p>
        </w:tc>
        <w:tc>
          <w:tcPr>
            <w:tcW w:w="34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5"/>
                <w:szCs w:val="15"/>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15"/>
                <w:szCs w:val="15"/>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(2)</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Asset impairments</w:t>
            </w:r>
          </w:p>
        </w:tc>
        <w:tc>
          <w:tcPr>
            <w:tcW w:w="34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4</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Other plant optimization costs</w:t>
            </w:r>
          </w:p>
        </w:tc>
        <w:tc>
          <w:tcPr>
            <w:tcW w:w="34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Nutraceuticals VAT reserve</w:t>
            </w:r>
          </w:p>
        </w:tc>
        <w:tc>
          <w:tcPr>
            <w:tcW w:w="34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Argentina currency devaluation impact</w:t>
            </w:r>
          </w:p>
        </w:tc>
        <w:tc>
          <w:tcPr>
            <w:tcW w:w="34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Legal settlement</w:t>
            </w:r>
          </w:p>
        </w:tc>
        <w:tc>
          <w:tcPr>
            <w:tcW w:w="34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Income on acquisitions and divestitures, net</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(6)</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ICMS Brazil tax credit</w:t>
            </w:r>
          </w:p>
        </w:tc>
        <w:tc>
          <w:tcPr>
            <w:tcW w:w="34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(12)</w:t>
            </w:r>
          </w:p>
        </w:tc>
      </w:tr>
      <w:tr>
        <w:trPr>
          <w:trHeight w:val="162"/>
        </w:trPr>
        <w:tc>
          <w:tcPr>
            <w:tcW w:w="6480" w:type="dxa"/>
            <w:vAlign w:val="bottom"/>
          </w:tcPr>
          <w:p>
            <w:pPr>
              <w:ind w:left="460"/>
              <w:spacing w:after="0"/>
              <w:rPr>
                <w:sz w:val="20"/>
                <w:szCs w:val="20"/>
                <w:color w:val="auto"/>
              </w:rPr>
            </w:pPr>
            <w:r>
              <w:rPr>
                <w:rFonts w:ascii="Arial" w:cs="Arial" w:eastAsia="Arial" w:hAnsi="Arial"/>
                <w:sz w:val="14"/>
                <w:szCs w:val="14"/>
                <w:color w:val="auto"/>
              </w:rPr>
              <w:t>Tax credit</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r>
      <w:tr>
        <w:trPr>
          <w:trHeight w:val="171"/>
        </w:trPr>
        <w:tc>
          <w:tcPr>
            <w:tcW w:w="6480" w:type="dxa"/>
            <w:vAlign w:val="bottom"/>
            <w:tcBorders>
              <w:bottom w:val="single" w:sz="8" w:color="867F7C"/>
            </w:tcBorders>
          </w:tcPr>
          <w:p>
            <w:pPr>
              <w:ind w:left="460"/>
              <w:spacing w:after="0"/>
              <w:rPr>
                <w:sz w:val="20"/>
                <w:szCs w:val="20"/>
                <w:color w:val="auto"/>
              </w:rPr>
            </w:pPr>
            <w:r>
              <w:rPr>
                <w:rFonts w:ascii="Arial" w:cs="Arial" w:eastAsia="Arial" w:hAnsi="Arial"/>
                <w:sz w:val="14"/>
                <w:szCs w:val="14"/>
                <w:color w:val="auto"/>
              </w:rPr>
              <w:t>Held for sale depreciation and amortization</w:t>
            </w:r>
          </w:p>
        </w:tc>
        <w:tc>
          <w:tcPr>
            <w:tcW w:w="340" w:type="dxa"/>
            <w:vAlign w:val="bottom"/>
            <w:tcBorders>
              <w:bottom w:val="single" w:sz="8" w:color="867F7C"/>
            </w:tcBorders>
          </w:tcPr>
          <w:p>
            <w:pPr>
              <w:spacing w:after="0"/>
              <w:rPr>
                <w:sz w:val="14"/>
                <w:szCs w:val="14"/>
                <w:color w:val="auto"/>
              </w:rPr>
            </w:pPr>
          </w:p>
        </w:tc>
        <w:tc>
          <w:tcPr>
            <w:tcW w:w="70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867F7C"/>
            </w:tcBorders>
          </w:tcPr>
          <w:p>
            <w:pPr>
              <w:spacing w:after="0"/>
              <w:rPr>
                <w:sz w:val="14"/>
                <w:szCs w:val="14"/>
                <w:color w:val="auto"/>
              </w:rPr>
            </w:pPr>
          </w:p>
        </w:tc>
        <w:tc>
          <w:tcPr>
            <w:tcW w:w="70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867F7C"/>
            </w:tcBorders>
          </w:tcPr>
          <w:p>
            <w:pPr>
              <w:spacing w:after="0"/>
              <w:rPr>
                <w:sz w:val="14"/>
                <w:szCs w:val="14"/>
                <w:color w:val="auto"/>
              </w:rPr>
            </w:pPr>
          </w:p>
        </w:tc>
        <w:tc>
          <w:tcPr>
            <w:tcW w:w="740" w:type="dxa"/>
            <w:vAlign w:val="bottom"/>
            <w:tcBorders>
              <w:bottom w:val="single" w:sz="8" w:color="867F7C"/>
            </w:tcBorders>
          </w:tcPr>
          <w:p>
            <w:pPr>
              <w:jc w:val="right"/>
              <w:ind w:right="508"/>
              <w:spacing w:after="0"/>
              <w:rPr>
                <w:sz w:val="20"/>
                <w:szCs w:val="20"/>
                <w:color w:val="auto"/>
              </w:rPr>
            </w:pPr>
            <w:r>
              <w:rPr>
                <w:rFonts w:ascii="Arial" w:cs="Arial" w:eastAsia="Arial" w:hAnsi="Arial"/>
                <w:sz w:val="14"/>
                <w:szCs w:val="14"/>
                <w:color w:val="auto"/>
              </w:rPr>
              <w:t>-</w:t>
            </w:r>
          </w:p>
        </w:tc>
      </w:tr>
      <w:tr>
        <w:trPr>
          <w:trHeight w:val="155"/>
        </w:trPr>
        <w:tc>
          <w:tcPr>
            <w:tcW w:w="6480" w:type="dxa"/>
            <w:vAlign w:val="bottom"/>
            <w:tcBorders>
              <w:bottom w:val="single" w:sz="8" w:color="867F7C"/>
            </w:tcBorders>
          </w:tcPr>
          <w:p>
            <w:pPr>
              <w:ind w:left="280"/>
              <w:spacing w:after="0" w:line="155" w:lineRule="exact"/>
              <w:rPr>
                <w:sz w:val="20"/>
                <w:szCs w:val="20"/>
                <w:color w:val="auto"/>
              </w:rPr>
            </w:pPr>
            <w:r>
              <w:rPr>
                <w:rFonts w:ascii="Arial" w:cs="Arial" w:eastAsia="Arial" w:hAnsi="Arial"/>
                <w:sz w:val="14"/>
                <w:szCs w:val="14"/>
                <w:color w:val="auto"/>
              </w:rPr>
              <w:t>Total key items included in EBITDA</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979</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287</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50</w:t>
            </w:r>
          </w:p>
        </w:tc>
      </w:tr>
      <w:tr>
        <w:trPr>
          <w:trHeight w:val="155"/>
        </w:trPr>
        <w:tc>
          <w:tcPr>
            <w:tcW w:w="648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(a)</w:t>
            </w:r>
          </w:p>
        </w:tc>
        <w:tc>
          <w:tcPr>
            <w:tcW w:w="34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401</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459</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459</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Total key items included in EBITDA</w:t>
            </w:r>
          </w:p>
        </w:tc>
        <w:tc>
          <w:tcPr>
            <w:tcW w:w="34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979</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287</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50</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Unrealized (gain) loss on securities</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(20)</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(60)</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(29)</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Total key items, before tax</w:t>
            </w:r>
          </w:p>
        </w:tc>
        <w:tc>
          <w:tcPr>
            <w:tcW w:w="34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959</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227</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21</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a-2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494665</wp:posOffset>
            </wp:positionV>
            <wp:extent cx="703770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-143510</wp:posOffset>
            </wp:positionV>
            <wp:extent cx="61722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90" w:name="page91"/>
    <w:bookmarkEnd w:id="90"/>
    <w:p>
      <w:pPr>
        <w:ind w:left="3160"/>
        <w:spacing w:after="0"/>
        <w:rPr>
          <w:sz w:val="20"/>
          <w:szCs w:val="20"/>
          <w:color w:val="auto"/>
        </w:rPr>
      </w:pPr>
      <w:r>
        <w:rPr>
          <w:rFonts w:ascii="Arial" w:cs="Arial" w:eastAsia="Arial" w:hAnsi="Arial"/>
          <w:sz w:val="17"/>
          <w:szCs w:val="17"/>
          <w:color w:val="867F7C"/>
        </w:rPr>
        <w:t>appendix a — use of non-GAAP financial measures and non-GAAP reconciliations</w:t>
      </w:r>
    </w:p>
    <w:p>
      <w:pPr>
        <w:spacing w:after="0" w:line="273" w:lineRule="exact"/>
        <w:rPr>
          <w:sz w:val="20"/>
          <w:szCs w:val="20"/>
          <w:color w:val="auto"/>
        </w:rPr>
      </w:pPr>
    </w:p>
    <w:p>
      <w:pPr>
        <w:ind w:left="520" w:hanging="516"/>
        <w:spacing w:after="0" w:line="222" w:lineRule="auto"/>
        <w:tabs>
          <w:tab w:leader="none" w:pos="520" w:val="left"/>
        </w:tabs>
        <w:numPr>
          <w:ilvl w:val="0"/>
          <w:numId w:val="13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Depreciation and amortization excludes accelerated depreciation of $41 million and $57 million for fiscal year 2025 and 2024, respectively, which is included as a key item within this table as a component of Adjusted EBITDA.</w:t>
      </w:r>
    </w:p>
    <w:p>
      <w:pPr>
        <w:spacing w:after="0" w:line="1" w:lineRule="exact"/>
        <w:rPr>
          <w:rFonts w:ascii="Times New Roman" w:cs="Times New Roman" w:eastAsia="Times New Roman" w:hAnsi="Times New Roman"/>
          <w:sz w:val="19"/>
          <w:szCs w:val="19"/>
          <w:color w:val="auto"/>
          <w:vertAlign w:val="superscript"/>
        </w:rPr>
      </w:pPr>
    </w:p>
    <w:p>
      <w:pPr>
        <w:jc w:val="both"/>
        <w:ind w:left="520" w:hanging="516"/>
        <w:spacing w:after="0" w:line="227" w:lineRule="auto"/>
        <w:tabs>
          <w:tab w:leader="none" w:pos="520" w:val="left"/>
        </w:tabs>
        <w:numPr>
          <w:ilvl w:val="0"/>
          <w:numId w:val="133"/>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Includes $7 million during 2025 and $12 million each during 2024 and 2023 , respectively, of net periodic pension and other postretirement expense recognized ratably through the fiscal year. These expenses are comprised of service cost, interest cost, expected return on plan assets, and amortization of prior service credit.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4CCEDE"/>
        </w:rPr>
        <w:t>diluted EPS and adjusted diluted EPS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and Adjusted Diluted EPS from continuing operations excluding intangibles amortization expense in the following table have been prepared to illustrate these ongoing effects on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60" w:type="dxa"/>
            <w:vAlign w:val="bottom"/>
            <w:tcBorders>
              <w:bottom w:val="single" w:sz="8" w:color="EFEBE9"/>
            </w:tcBorders>
            <w:shd w:val="clear" w:color="auto" w:fill="EFEBE9"/>
          </w:tcPr>
          <w:p>
            <w:pPr>
              <w:spacing w:after="0"/>
              <w:rPr>
                <w:sz w:val="15"/>
                <w:szCs w:val="15"/>
                <w:color w:val="auto"/>
              </w:rPr>
            </w:pPr>
          </w:p>
        </w:tc>
        <w:tc>
          <w:tcPr>
            <w:tcW w:w="360" w:type="dxa"/>
            <w:vAlign w:val="bottom"/>
            <w:tcBorders>
              <w:bottom w:val="single" w:sz="8" w:color="EFEBE9"/>
            </w:tcBorders>
            <w:shd w:val="clear" w:color="auto" w:fill="EFEBE9"/>
          </w:tcPr>
          <w:p>
            <w:pPr>
              <w:spacing w:after="0"/>
              <w:rPr>
                <w:sz w:val="15"/>
                <w:szCs w:val="15"/>
                <w:color w:val="auto"/>
              </w:rPr>
            </w:pPr>
          </w:p>
        </w:tc>
        <w:tc>
          <w:tcPr>
            <w:tcW w:w="760" w:type="dxa"/>
            <w:vAlign w:val="bottom"/>
            <w:tcBorders>
              <w:bottom w:val="single" w:sz="8" w:color="EFEBE9"/>
            </w:tcBorders>
            <w:shd w:val="clear" w:color="auto" w:fill="EFEBE9"/>
          </w:tcPr>
          <w:p>
            <w:pPr>
              <w:jc w:val="right"/>
              <w:ind w:right="328"/>
              <w:spacing w:after="0"/>
              <w:rPr>
                <w:sz w:val="20"/>
                <w:szCs w:val="20"/>
                <w:color w:val="auto"/>
              </w:rPr>
            </w:pPr>
            <w:r>
              <w:rPr>
                <w:rFonts w:ascii="Arial" w:cs="Arial" w:eastAsia="Arial" w:hAnsi="Arial"/>
                <w:sz w:val="14"/>
                <w:szCs w:val="14"/>
                <w:b w:val="1"/>
                <w:bCs w:val="1"/>
                <w:color w:val="867F7C"/>
              </w:rPr>
              <w:t>2025</w:t>
            </w:r>
          </w:p>
        </w:tc>
        <w:tc>
          <w:tcPr>
            <w:tcW w:w="380" w:type="dxa"/>
            <w:vAlign w:val="bottom"/>
            <w:tcBorders>
              <w:bottom w:val="single" w:sz="8" w:color="EFEBE9"/>
            </w:tcBorders>
            <w:shd w:val="clear" w:color="auto" w:fill="EFEBE9"/>
          </w:tcPr>
          <w:p>
            <w:pPr>
              <w:spacing w:after="0"/>
              <w:rPr>
                <w:sz w:val="15"/>
                <w:szCs w:val="15"/>
                <w:color w:val="auto"/>
              </w:rPr>
            </w:pPr>
          </w:p>
        </w:tc>
        <w:tc>
          <w:tcPr>
            <w:tcW w:w="760" w:type="dxa"/>
            <w:vAlign w:val="bottom"/>
            <w:tcBorders>
              <w:bottom w:val="single" w:sz="8" w:color="EFEBE9"/>
            </w:tcBorders>
            <w:shd w:val="clear" w:color="auto" w:fill="EFEBE9"/>
          </w:tcPr>
          <w:p>
            <w:pPr>
              <w:jc w:val="right"/>
              <w:ind w:right="328"/>
              <w:spacing w:after="0"/>
              <w:rPr>
                <w:sz w:val="20"/>
                <w:szCs w:val="20"/>
                <w:color w:val="auto"/>
              </w:rPr>
            </w:pPr>
            <w:r>
              <w:rPr>
                <w:rFonts w:ascii="Arial" w:cs="Arial" w:eastAsia="Arial" w:hAnsi="Arial"/>
                <w:sz w:val="14"/>
                <w:szCs w:val="14"/>
                <w:b w:val="1"/>
                <w:bCs w:val="1"/>
                <w:color w:val="867F7C"/>
              </w:rPr>
              <w:t>2024</w:t>
            </w:r>
          </w:p>
        </w:tc>
        <w:tc>
          <w:tcPr>
            <w:tcW w:w="400" w:type="dxa"/>
            <w:vAlign w:val="bottom"/>
            <w:tcBorders>
              <w:bottom w:val="single" w:sz="8" w:color="EFEBE9"/>
            </w:tcBorders>
            <w:shd w:val="clear" w:color="auto" w:fill="EFEBE9"/>
          </w:tcPr>
          <w:p>
            <w:pPr>
              <w:spacing w:after="0"/>
              <w:rPr>
                <w:sz w:val="15"/>
                <w:szCs w:val="15"/>
                <w:color w:val="auto"/>
              </w:rPr>
            </w:pPr>
          </w:p>
        </w:tc>
        <w:tc>
          <w:tcPr>
            <w:tcW w:w="800" w:type="dxa"/>
            <w:vAlign w:val="bottom"/>
            <w:tcBorders>
              <w:bottom w:val="single" w:sz="8" w:color="EFEBE9"/>
            </w:tcBorders>
            <w:shd w:val="clear" w:color="auto" w:fill="EFEBE9"/>
          </w:tcPr>
          <w:p>
            <w:pPr>
              <w:ind w:left="60"/>
              <w:spacing w:after="0"/>
              <w:rPr>
                <w:sz w:val="20"/>
                <w:szCs w:val="20"/>
                <w:color w:val="auto"/>
              </w:rPr>
            </w:pPr>
            <w:r>
              <w:rPr>
                <w:rFonts w:ascii="Arial" w:cs="Arial" w:eastAsia="Arial" w:hAnsi="Arial"/>
                <w:sz w:val="14"/>
                <w:szCs w:val="14"/>
                <w:b w:val="1"/>
                <w:bCs w:val="1"/>
                <w:color w:val="867F7C"/>
              </w:rPr>
              <w:t>2023</w:t>
            </w:r>
          </w:p>
        </w:tc>
      </w:tr>
      <w:tr>
        <w:trPr>
          <w:trHeight w:val="162"/>
        </w:trPr>
        <w:tc>
          <w:tcPr>
            <w:tcW w:w="626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Diluted EPS from continuing operations (as reported)</w:t>
            </w:r>
          </w:p>
        </w:tc>
        <w:tc>
          <w:tcPr>
            <w:tcW w:w="3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(17.74)</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3.95</w:t>
            </w:r>
          </w:p>
        </w:tc>
        <w:tc>
          <w:tcPr>
            <w:tcW w:w="4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3.13</w:t>
            </w:r>
          </w:p>
        </w:tc>
      </w:tr>
      <w:tr>
        <w:trPr>
          <w:trHeight w:val="146"/>
        </w:trPr>
        <w:tc>
          <w:tcPr>
            <w:tcW w:w="6260" w:type="dxa"/>
            <w:vAlign w:val="bottom"/>
          </w:tcPr>
          <w:p>
            <w:pPr>
              <w:ind w:left="100"/>
              <w:spacing w:after="0" w:line="147" w:lineRule="exact"/>
              <w:rPr>
                <w:sz w:val="20"/>
                <w:szCs w:val="20"/>
                <w:color w:val="auto"/>
              </w:rPr>
            </w:pPr>
            <w:r>
              <w:rPr>
                <w:rFonts w:ascii="Arial" w:cs="Arial" w:eastAsia="Arial" w:hAnsi="Arial"/>
                <w:sz w:val="14"/>
                <w:szCs w:val="14"/>
                <w:color w:val="auto"/>
              </w:rPr>
              <w:t>Key items, before tax:</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Goodwill impairment</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15.22</w:t>
            </w:r>
          </w:p>
        </w:tc>
        <w:tc>
          <w:tcPr>
            <w:tcW w:w="38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Avoca business impairment and sale</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3.75</w:t>
            </w:r>
          </w:p>
        </w:tc>
        <w:tc>
          <w:tcPr>
            <w:tcW w:w="38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Nutraceuticals impairment and sale</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0.02</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2.14</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Accelerated depreciation</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0.89</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1.14</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Environmental reserve adjustments</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0.76</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0.90</w:t>
            </w:r>
          </w:p>
        </w:tc>
        <w:tc>
          <w:tcPr>
            <w:tcW w:w="4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1.04</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Restructuring, separation and other costs</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0.48</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0.60</w:t>
            </w:r>
          </w:p>
        </w:tc>
        <w:tc>
          <w:tcPr>
            <w:tcW w:w="4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0.19</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Loss (gain) on pension and other postretirement plan remeasurements</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(0.07)</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0.29</w:t>
            </w:r>
          </w:p>
        </w:tc>
        <w:tc>
          <w:tcPr>
            <w:tcW w:w="4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(0.04)</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Asset impairments</w:t>
            </w:r>
          </w:p>
        </w:tc>
        <w:tc>
          <w:tcPr>
            <w:tcW w:w="36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0.22</w:t>
            </w:r>
          </w:p>
        </w:tc>
        <w:tc>
          <w:tcPr>
            <w:tcW w:w="4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0.08</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Other plant optimization costs</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0.48</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0.20</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Nutraceuticals VAT reserve</w:t>
            </w:r>
          </w:p>
        </w:tc>
        <w:tc>
          <w:tcPr>
            <w:tcW w:w="36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0.14</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Argentina currency devaluation impact</w:t>
            </w:r>
          </w:p>
        </w:tc>
        <w:tc>
          <w:tcPr>
            <w:tcW w:w="36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0.10</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Legal settlement</w:t>
            </w:r>
          </w:p>
        </w:tc>
        <w:tc>
          <w:tcPr>
            <w:tcW w:w="36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0.08</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Income on acquisitions and divestitures, net</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(0.30)</w:t>
            </w:r>
          </w:p>
        </w:tc>
        <w:tc>
          <w:tcPr>
            <w:tcW w:w="38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(0.11)</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Tax credit</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(0.07)</w:t>
            </w:r>
          </w:p>
        </w:tc>
        <w:tc>
          <w:tcPr>
            <w:tcW w:w="38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ICMS Brazil tax credit</w:t>
            </w:r>
          </w:p>
        </w:tc>
        <w:tc>
          <w:tcPr>
            <w:tcW w:w="36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(0.22)</w:t>
            </w:r>
          </w:p>
        </w:tc>
      </w:tr>
      <w:tr>
        <w:trPr>
          <w:trHeight w:val="162"/>
        </w:trPr>
        <w:tc>
          <w:tcPr>
            <w:tcW w:w="6260" w:type="dxa"/>
            <w:vAlign w:val="bottom"/>
          </w:tcPr>
          <w:p>
            <w:pPr>
              <w:ind w:left="360"/>
              <w:spacing w:after="0"/>
              <w:rPr>
                <w:sz w:val="20"/>
                <w:szCs w:val="20"/>
                <w:color w:val="auto"/>
              </w:rPr>
            </w:pPr>
            <w:r>
              <w:rPr>
                <w:rFonts w:ascii="Arial" w:cs="Arial" w:eastAsia="Arial" w:hAnsi="Arial"/>
                <w:sz w:val="14"/>
                <w:szCs w:val="14"/>
                <w:color w:val="auto"/>
              </w:rPr>
              <w:t>Held for sale depreciation and amortization</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(0.04)</w:t>
            </w:r>
          </w:p>
        </w:tc>
        <w:tc>
          <w:tcPr>
            <w:tcW w:w="38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(0.06)</w:t>
            </w:r>
          </w:p>
        </w:tc>
        <w:tc>
          <w:tcPr>
            <w:tcW w:w="4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71"/>
        </w:trPr>
        <w:tc>
          <w:tcPr>
            <w:tcW w:w="6260" w:type="dxa"/>
            <w:vAlign w:val="bottom"/>
            <w:tcBorders>
              <w:bottom w:val="single" w:sz="8" w:color="867F7C"/>
            </w:tcBorders>
          </w:tcPr>
          <w:p>
            <w:pPr>
              <w:ind w:left="360"/>
              <w:spacing w:after="0"/>
              <w:rPr>
                <w:sz w:val="20"/>
                <w:szCs w:val="20"/>
                <w:color w:val="auto"/>
              </w:rPr>
            </w:pPr>
            <w:r>
              <w:rPr>
                <w:rFonts w:ascii="Arial" w:cs="Arial" w:eastAsia="Arial" w:hAnsi="Arial"/>
                <w:sz w:val="14"/>
                <w:szCs w:val="14"/>
                <w:color w:val="auto"/>
              </w:rPr>
              <w:t>Unrealized (gain) loss on securities</w:t>
            </w:r>
          </w:p>
        </w:tc>
        <w:tc>
          <w:tcPr>
            <w:tcW w:w="360" w:type="dxa"/>
            <w:vAlign w:val="bottom"/>
            <w:tcBorders>
              <w:bottom w:val="single" w:sz="8" w:color="867F7C"/>
            </w:tcBorders>
          </w:tcPr>
          <w:p>
            <w:pPr>
              <w:spacing w:after="0"/>
              <w:rPr>
                <w:sz w:val="14"/>
                <w:szCs w:val="14"/>
                <w:color w:val="auto"/>
              </w:rPr>
            </w:pPr>
          </w:p>
        </w:tc>
        <w:tc>
          <w:tcPr>
            <w:tcW w:w="760" w:type="dxa"/>
            <w:vAlign w:val="bottom"/>
            <w:tcBorders>
              <w:bottom w:val="single" w:sz="8" w:color="867F7C"/>
            </w:tcBorders>
          </w:tcPr>
          <w:p>
            <w:pPr>
              <w:jc w:val="right"/>
              <w:ind w:right="188"/>
              <w:spacing w:after="0"/>
              <w:rPr>
                <w:sz w:val="20"/>
                <w:szCs w:val="20"/>
                <w:color w:val="auto"/>
              </w:rPr>
            </w:pPr>
            <w:r>
              <w:rPr>
                <w:rFonts w:ascii="Arial" w:cs="Arial" w:eastAsia="Arial" w:hAnsi="Arial"/>
                <w:sz w:val="14"/>
                <w:szCs w:val="14"/>
                <w:color w:val="auto"/>
              </w:rPr>
              <w:t>(0.42)</w:t>
            </w:r>
          </w:p>
        </w:tc>
        <w:tc>
          <w:tcPr>
            <w:tcW w:w="380" w:type="dxa"/>
            <w:vAlign w:val="bottom"/>
            <w:tcBorders>
              <w:bottom w:val="single" w:sz="8" w:color="867F7C"/>
            </w:tcBorders>
          </w:tcPr>
          <w:p>
            <w:pPr>
              <w:spacing w:after="0"/>
              <w:rPr>
                <w:sz w:val="14"/>
                <w:szCs w:val="14"/>
                <w:color w:val="auto"/>
              </w:rPr>
            </w:pPr>
          </w:p>
        </w:tc>
        <w:tc>
          <w:tcPr>
            <w:tcW w:w="760" w:type="dxa"/>
            <w:vAlign w:val="bottom"/>
            <w:tcBorders>
              <w:bottom w:val="single" w:sz="8" w:color="867F7C"/>
            </w:tcBorders>
          </w:tcPr>
          <w:p>
            <w:pPr>
              <w:jc w:val="right"/>
              <w:ind w:right="168"/>
              <w:spacing w:after="0"/>
              <w:rPr>
                <w:sz w:val="20"/>
                <w:szCs w:val="20"/>
                <w:color w:val="auto"/>
              </w:rPr>
            </w:pPr>
            <w:r>
              <w:rPr>
                <w:rFonts w:ascii="Arial" w:cs="Arial" w:eastAsia="Arial" w:hAnsi="Arial"/>
                <w:sz w:val="14"/>
                <w:szCs w:val="14"/>
                <w:color w:val="auto"/>
              </w:rPr>
              <w:t>(1.20)</w:t>
            </w:r>
          </w:p>
        </w:tc>
        <w:tc>
          <w:tcPr>
            <w:tcW w:w="400" w:type="dxa"/>
            <w:vAlign w:val="bottom"/>
            <w:tcBorders>
              <w:bottom w:val="single" w:sz="8" w:color="867F7C"/>
            </w:tcBorders>
          </w:tcPr>
          <w:p>
            <w:pPr>
              <w:spacing w:after="0"/>
              <w:rPr>
                <w:sz w:val="14"/>
                <w:szCs w:val="14"/>
                <w:color w:val="auto"/>
              </w:rPr>
            </w:pPr>
          </w:p>
        </w:tc>
        <w:tc>
          <w:tcPr>
            <w:tcW w:w="800" w:type="dxa"/>
            <w:vAlign w:val="bottom"/>
            <w:tcBorders>
              <w:bottom w:val="single" w:sz="8" w:color="867F7C"/>
            </w:tcBorders>
          </w:tcPr>
          <w:p>
            <w:pPr>
              <w:ind w:left="120"/>
              <w:spacing w:after="0"/>
              <w:rPr>
                <w:sz w:val="20"/>
                <w:szCs w:val="20"/>
                <w:color w:val="auto"/>
              </w:rPr>
            </w:pPr>
            <w:r>
              <w:rPr>
                <w:rFonts w:ascii="Arial" w:cs="Arial" w:eastAsia="Arial" w:hAnsi="Arial"/>
                <w:sz w:val="14"/>
                <w:szCs w:val="14"/>
                <w:color w:val="auto"/>
              </w:rPr>
              <w:t>(0.54)</w:t>
            </w:r>
          </w:p>
        </w:tc>
      </w:tr>
      <w:tr>
        <w:trPr>
          <w:trHeight w:val="155"/>
        </w:trPr>
        <w:tc>
          <w:tcPr>
            <w:tcW w:w="62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Key items, before tax</w:t>
            </w:r>
          </w:p>
        </w:tc>
        <w:tc>
          <w:tcPr>
            <w:tcW w:w="36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20.70</w:t>
            </w:r>
          </w:p>
        </w:tc>
        <w:tc>
          <w:tcPr>
            <w:tcW w:w="38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28"/>
              <w:spacing w:after="0" w:line="155" w:lineRule="exact"/>
              <w:rPr>
                <w:sz w:val="20"/>
                <w:szCs w:val="20"/>
                <w:color w:val="auto"/>
              </w:rPr>
            </w:pPr>
            <w:r>
              <w:rPr>
                <w:rFonts w:ascii="Arial" w:cs="Arial" w:eastAsia="Arial" w:hAnsi="Arial"/>
                <w:sz w:val="14"/>
                <w:szCs w:val="14"/>
                <w:color w:val="auto"/>
              </w:rPr>
              <w:t>4.55</w:t>
            </w:r>
          </w:p>
        </w:tc>
        <w:tc>
          <w:tcPr>
            <w:tcW w:w="40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0.40</w:t>
            </w:r>
          </w:p>
        </w:tc>
      </w:tr>
      <w:tr>
        <w:trPr>
          <w:trHeight w:val="156"/>
        </w:trPr>
        <w:tc>
          <w:tcPr>
            <w:tcW w:w="626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color w:val="auto"/>
              </w:rPr>
              <w:t>Tax effect of key items</w:t>
            </w:r>
            <w:r>
              <w:rPr>
                <w:rFonts w:ascii="Arial" w:cs="Arial" w:eastAsia="Arial" w:hAnsi="Arial"/>
                <w:sz w:val="18"/>
                <w:szCs w:val="18"/>
                <w:color w:val="auto"/>
                <w:vertAlign w:val="superscript"/>
              </w:rPr>
              <w:t>(a)</w:t>
            </w:r>
          </w:p>
        </w:tc>
        <w:tc>
          <w:tcPr>
            <w:tcW w:w="36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(1.37)</w:t>
            </w:r>
          </w:p>
        </w:tc>
        <w:tc>
          <w:tcPr>
            <w:tcW w:w="38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(0.62)</w:t>
            </w:r>
          </w:p>
        </w:tc>
        <w:tc>
          <w:tcPr>
            <w:tcW w:w="40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ind w:left="120"/>
              <w:spacing w:after="0" w:line="155" w:lineRule="exact"/>
              <w:rPr>
                <w:sz w:val="20"/>
                <w:szCs w:val="20"/>
                <w:color w:val="auto"/>
              </w:rPr>
            </w:pPr>
            <w:r>
              <w:rPr>
                <w:rFonts w:ascii="Arial" w:cs="Arial" w:eastAsia="Arial" w:hAnsi="Arial"/>
                <w:sz w:val="14"/>
                <w:szCs w:val="14"/>
                <w:color w:val="auto"/>
              </w:rPr>
              <w:t>(0.02)</w:t>
            </w:r>
          </w:p>
        </w:tc>
      </w:tr>
      <w:tr>
        <w:trPr>
          <w:trHeight w:val="155"/>
        </w:trPr>
        <w:tc>
          <w:tcPr>
            <w:tcW w:w="62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Key items, after tax</w:t>
            </w:r>
          </w:p>
        </w:tc>
        <w:tc>
          <w:tcPr>
            <w:tcW w:w="36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19.33</w:t>
            </w:r>
          </w:p>
        </w:tc>
        <w:tc>
          <w:tcPr>
            <w:tcW w:w="38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28"/>
              <w:spacing w:after="0" w:line="155" w:lineRule="exact"/>
              <w:rPr>
                <w:sz w:val="20"/>
                <w:szCs w:val="20"/>
                <w:color w:val="auto"/>
              </w:rPr>
            </w:pPr>
            <w:r>
              <w:rPr>
                <w:rFonts w:ascii="Arial" w:cs="Arial" w:eastAsia="Arial" w:hAnsi="Arial"/>
                <w:sz w:val="14"/>
                <w:szCs w:val="14"/>
                <w:color w:val="auto"/>
              </w:rPr>
              <w:t>3.93</w:t>
            </w:r>
          </w:p>
        </w:tc>
        <w:tc>
          <w:tcPr>
            <w:tcW w:w="40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0.38</w:t>
            </w:r>
          </w:p>
        </w:tc>
      </w:tr>
      <w:tr>
        <w:trPr>
          <w:trHeight w:val="146"/>
        </w:trPr>
        <w:tc>
          <w:tcPr>
            <w:tcW w:w="6260" w:type="dxa"/>
            <w:vAlign w:val="bottom"/>
          </w:tcPr>
          <w:p>
            <w:pPr>
              <w:ind w:left="100"/>
              <w:spacing w:after="0" w:line="147" w:lineRule="exact"/>
              <w:rPr>
                <w:sz w:val="20"/>
                <w:szCs w:val="20"/>
                <w:color w:val="auto"/>
              </w:rPr>
            </w:pPr>
            <w:r>
              <w:rPr>
                <w:rFonts w:ascii="Arial" w:cs="Arial" w:eastAsia="Arial" w:hAnsi="Arial"/>
                <w:sz w:val="14"/>
                <w:szCs w:val="14"/>
                <w:color w:val="auto"/>
              </w:rPr>
              <w:t>Tax specific key items: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6260" w:type="dxa"/>
            <w:vAlign w:val="bottom"/>
          </w:tcPr>
          <w:p>
            <w:pPr>
              <w:ind w:left="280"/>
              <w:spacing w:after="0"/>
              <w:rPr>
                <w:sz w:val="20"/>
                <w:szCs w:val="20"/>
                <w:color w:val="auto"/>
              </w:rPr>
            </w:pPr>
            <w:r>
              <w:rPr>
                <w:rFonts w:ascii="Arial" w:cs="Arial" w:eastAsia="Arial" w:hAnsi="Arial"/>
                <w:sz w:val="14"/>
                <w:szCs w:val="14"/>
                <w:color w:val="auto"/>
              </w:rPr>
              <w:t>Uncertain tax positions</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0.18</w:t>
            </w:r>
          </w:p>
        </w:tc>
        <w:tc>
          <w:tcPr>
            <w:tcW w:w="4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(0.60)</w:t>
            </w:r>
          </w:p>
        </w:tc>
      </w:tr>
      <w:tr>
        <w:trPr>
          <w:trHeight w:val="162"/>
        </w:trPr>
        <w:tc>
          <w:tcPr>
            <w:tcW w:w="6260" w:type="dxa"/>
            <w:vAlign w:val="bottom"/>
          </w:tcPr>
          <w:p>
            <w:pPr>
              <w:ind w:left="280"/>
              <w:spacing w:after="0"/>
              <w:rPr>
                <w:sz w:val="20"/>
                <w:szCs w:val="20"/>
                <w:color w:val="auto"/>
              </w:rPr>
            </w:pPr>
            <w:r>
              <w:rPr>
                <w:rFonts w:ascii="Arial" w:cs="Arial" w:eastAsia="Arial" w:hAnsi="Arial"/>
                <w:sz w:val="14"/>
                <w:szCs w:val="14"/>
                <w:color w:val="auto"/>
              </w:rPr>
              <w:t>Restructuring and separation activity</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(2.30)</w:t>
            </w:r>
          </w:p>
        </w:tc>
        <w:tc>
          <w:tcPr>
            <w:tcW w:w="4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280"/>
              <w:spacing w:after="0"/>
              <w:rPr>
                <w:sz w:val="20"/>
                <w:szCs w:val="20"/>
                <w:color w:val="auto"/>
              </w:rPr>
            </w:pPr>
            <w:r>
              <w:rPr>
                <w:rFonts w:ascii="Arial" w:cs="Arial" w:eastAsia="Arial" w:hAnsi="Arial"/>
                <w:sz w:val="14"/>
                <w:szCs w:val="14"/>
                <w:color w:val="auto"/>
              </w:rPr>
              <w:t>Valuation allowance</w:t>
            </w:r>
          </w:p>
        </w:tc>
        <w:tc>
          <w:tcPr>
            <w:tcW w:w="36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0.21</w:t>
            </w:r>
          </w:p>
        </w:tc>
        <w:tc>
          <w:tcPr>
            <w:tcW w:w="38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0.10</w:t>
            </w:r>
          </w:p>
        </w:tc>
        <w:tc>
          <w:tcPr>
            <w:tcW w:w="4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(0.12)</w:t>
            </w:r>
          </w:p>
        </w:tc>
      </w:tr>
      <w:tr>
        <w:trPr>
          <w:trHeight w:val="171"/>
        </w:trPr>
        <w:tc>
          <w:tcPr>
            <w:tcW w:w="6260" w:type="dxa"/>
            <w:vAlign w:val="bottom"/>
            <w:tcBorders>
              <w:bottom w:val="single" w:sz="8" w:color="867F7C"/>
            </w:tcBorders>
          </w:tcPr>
          <w:p>
            <w:pPr>
              <w:ind w:left="280"/>
              <w:spacing w:after="0"/>
              <w:rPr>
                <w:sz w:val="20"/>
                <w:szCs w:val="20"/>
                <w:color w:val="auto"/>
              </w:rPr>
            </w:pPr>
            <w:r>
              <w:rPr>
                <w:rFonts w:ascii="Arial" w:cs="Arial" w:eastAsia="Arial" w:hAnsi="Arial"/>
                <w:sz w:val="14"/>
                <w:szCs w:val="14"/>
                <w:color w:val="auto"/>
              </w:rPr>
              <w:t>Other tax reform related activity</w:t>
            </w:r>
          </w:p>
        </w:tc>
        <w:tc>
          <w:tcPr>
            <w:tcW w:w="360" w:type="dxa"/>
            <w:vAlign w:val="bottom"/>
            <w:tcBorders>
              <w:bottom w:val="single" w:sz="8" w:color="867F7C"/>
            </w:tcBorders>
          </w:tcPr>
          <w:p>
            <w:pPr>
              <w:spacing w:after="0"/>
              <w:rPr>
                <w:sz w:val="14"/>
                <w:szCs w:val="14"/>
                <w:color w:val="auto"/>
              </w:rPr>
            </w:pPr>
          </w:p>
        </w:tc>
        <w:tc>
          <w:tcPr>
            <w:tcW w:w="760" w:type="dxa"/>
            <w:vAlign w:val="bottom"/>
            <w:tcBorders>
              <w:bottom w:val="single" w:sz="8" w:color="867F7C"/>
            </w:tcBorders>
          </w:tcPr>
          <w:p>
            <w:pPr>
              <w:jc w:val="right"/>
              <w:ind w:right="248"/>
              <w:spacing w:after="0"/>
              <w:rPr>
                <w:sz w:val="20"/>
                <w:szCs w:val="20"/>
                <w:color w:val="auto"/>
              </w:rPr>
            </w:pPr>
            <w:r>
              <w:rPr>
                <w:rFonts w:ascii="Arial" w:cs="Arial" w:eastAsia="Arial" w:hAnsi="Arial"/>
                <w:sz w:val="14"/>
                <w:szCs w:val="14"/>
                <w:color w:val="auto"/>
              </w:rPr>
              <w:t>0.48</w:t>
            </w:r>
          </w:p>
        </w:tc>
        <w:tc>
          <w:tcPr>
            <w:tcW w:w="380" w:type="dxa"/>
            <w:vAlign w:val="bottom"/>
            <w:tcBorders>
              <w:bottom w:val="single" w:sz="8" w:color="867F7C"/>
            </w:tcBorders>
          </w:tcPr>
          <w:p>
            <w:pPr>
              <w:spacing w:after="0"/>
              <w:rPr>
                <w:sz w:val="14"/>
                <w:szCs w:val="14"/>
                <w:color w:val="auto"/>
              </w:rPr>
            </w:pPr>
          </w:p>
        </w:tc>
        <w:tc>
          <w:tcPr>
            <w:tcW w:w="760" w:type="dxa"/>
            <w:vAlign w:val="bottom"/>
            <w:tcBorders>
              <w:bottom w:val="single" w:sz="8" w:color="867F7C"/>
            </w:tcBorders>
          </w:tcPr>
          <w:p>
            <w:pPr>
              <w:jc w:val="right"/>
              <w:ind w:right="168"/>
              <w:spacing w:after="0"/>
              <w:rPr>
                <w:sz w:val="20"/>
                <w:szCs w:val="20"/>
                <w:color w:val="auto"/>
              </w:rPr>
            </w:pPr>
            <w:r>
              <w:rPr>
                <w:rFonts w:ascii="Arial" w:cs="Arial" w:eastAsia="Arial" w:hAnsi="Arial"/>
                <w:sz w:val="14"/>
                <w:szCs w:val="14"/>
                <w:color w:val="auto"/>
              </w:rPr>
              <w:t>(2.66)</w:t>
            </w:r>
          </w:p>
        </w:tc>
        <w:tc>
          <w:tcPr>
            <w:tcW w:w="400" w:type="dxa"/>
            <w:vAlign w:val="bottom"/>
            <w:tcBorders>
              <w:bottom w:val="single" w:sz="8" w:color="867F7C"/>
            </w:tcBorders>
          </w:tcPr>
          <w:p>
            <w:pPr>
              <w:spacing w:after="0"/>
              <w:rPr>
                <w:sz w:val="14"/>
                <w:szCs w:val="14"/>
                <w:color w:val="auto"/>
              </w:rPr>
            </w:pPr>
          </w:p>
        </w:tc>
        <w:tc>
          <w:tcPr>
            <w:tcW w:w="800" w:type="dxa"/>
            <w:vAlign w:val="bottom"/>
            <w:tcBorders>
              <w:bottom w:val="single" w:sz="8" w:color="867F7C"/>
            </w:tcBorders>
          </w:tcPr>
          <w:p>
            <w:pPr>
              <w:ind w:left="120"/>
              <w:spacing w:after="0"/>
              <w:rPr>
                <w:sz w:val="20"/>
                <w:szCs w:val="20"/>
                <w:color w:val="auto"/>
              </w:rPr>
            </w:pPr>
            <w:r>
              <w:rPr>
                <w:rFonts w:ascii="Arial" w:cs="Arial" w:eastAsia="Arial" w:hAnsi="Arial"/>
                <w:sz w:val="14"/>
                <w:szCs w:val="14"/>
                <w:color w:val="auto"/>
              </w:rPr>
              <w:t>(0.11)</w:t>
            </w:r>
          </w:p>
        </w:tc>
      </w:tr>
      <w:tr>
        <w:trPr>
          <w:trHeight w:val="155"/>
        </w:trPr>
        <w:tc>
          <w:tcPr>
            <w:tcW w:w="626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color w:val="auto"/>
              </w:rPr>
              <w:t>Tax specific key items</w:t>
            </w:r>
            <w:r>
              <w:rPr>
                <w:rFonts w:ascii="Arial" w:cs="Arial" w:eastAsia="Arial" w:hAnsi="Arial"/>
                <w:sz w:val="18"/>
                <w:szCs w:val="18"/>
                <w:color w:val="auto"/>
                <w:vertAlign w:val="superscript"/>
              </w:rPr>
              <w:t>(b)</w:t>
            </w:r>
          </w:p>
        </w:tc>
        <w:tc>
          <w:tcPr>
            <w:tcW w:w="36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0.69</w:t>
            </w:r>
          </w:p>
        </w:tc>
        <w:tc>
          <w:tcPr>
            <w:tcW w:w="38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(4.68)</w:t>
            </w:r>
          </w:p>
        </w:tc>
        <w:tc>
          <w:tcPr>
            <w:tcW w:w="40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ind w:left="120"/>
              <w:spacing w:after="0" w:line="155" w:lineRule="exact"/>
              <w:rPr>
                <w:sz w:val="20"/>
                <w:szCs w:val="20"/>
                <w:color w:val="auto"/>
              </w:rPr>
            </w:pPr>
            <w:r>
              <w:rPr>
                <w:rFonts w:ascii="Arial" w:cs="Arial" w:eastAsia="Arial" w:hAnsi="Arial"/>
                <w:sz w:val="14"/>
                <w:szCs w:val="14"/>
                <w:color w:val="auto"/>
              </w:rPr>
              <w:t>(0.83)</w:t>
            </w:r>
          </w:p>
        </w:tc>
      </w:tr>
      <w:tr>
        <w:trPr>
          <w:trHeight w:val="155"/>
        </w:trPr>
        <w:tc>
          <w:tcPr>
            <w:tcW w:w="62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Total key items</w:t>
            </w:r>
          </w:p>
        </w:tc>
        <w:tc>
          <w:tcPr>
            <w:tcW w:w="36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20.02</w:t>
            </w:r>
          </w:p>
        </w:tc>
        <w:tc>
          <w:tcPr>
            <w:tcW w:w="38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(0.75)</w:t>
            </w:r>
          </w:p>
        </w:tc>
        <w:tc>
          <w:tcPr>
            <w:tcW w:w="40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ind w:left="120"/>
              <w:spacing w:after="0" w:line="155" w:lineRule="exact"/>
              <w:rPr>
                <w:sz w:val="20"/>
                <w:szCs w:val="20"/>
                <w:color w:val="auto"/>
              </w:rPr>
            </w:pPr>
            <w:r>
              <w:rPr>
                <w:rFonts w:ascii="Arial" w:cs="Arial" w:eastAsia="Arial" w:hAnsi="Arial"/>
                <w:sz w:val="14"/>
                <w:szCs w:val="14"/>
                <w:color w:val="auto"/>
              </w:rPr>
              <w:t>(0.45)</w:t>
            </w:r>
          </w:p>
        </w:tc>
      </w:tr>
      <w:tr>
        <w:trPr>
          <w:trHeight w:val="156"/>
        </w:trPr>
        <w:tc>
          <w:tcPr>
            <w:tcW w:w="626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Adjusted diluted EPS from continuing operations (non-GAAP)</w:t>
            </w:r>
          </w:p>
        </w:tc>
        <w:tc>
          <w:tcPr>
            <w:tcW w:w="3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2.28</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867F7C"/>
            </w:tcBorders>
          </w:tcPr>
          <w:p>
            <w:pPr>
              <w:jc w:val="right"/>
              <w:ind w:right="228"/>
              <w:spacing w:after="0" w:line="155" w:lineRule="exact"/>
              <w:rPr>
                <w:sz w:val="20"/>
                <w:szCs w:val="20"/>
                <w:color w:val="auto"/>
              </w:rPr>
            </w:pPr>
            <w:r>
              <w:rPr>
                <w:rFonts w:ascii="Arial" w:cs="Arial" w:eastAsia="Arial" w:hAnsi="Arial"/>
                <w:sz w:val="14"/>
                <w:szCs w:val="14"/>
                <w:color w:val="auto"/>
              </w:rPr>
              <w:t>3.20</w:t>
            </w:r>
          </w:p>
        </w:tc>
        <w:tc>
          <w:tcPr>
            <w:tcW w:w="40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2.68</w:t>
            </w:r>
          </w:p>
        </w:tc>
      </w:tr>
      <w:tr>
        <w:trPr>
          <w:trHeight w:val="155"/>
        </w:trPr>
        <w:tc>
          <w:tcPr>
            <w:tcW w:w="626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color w:val="auto"/>
              </w:rPr>
              <w:t>Amortization expense adjustment (net of tax)</w:t>
            </w:r>
            <w:r>
              <w:rPr>
                <w:rFonts w:ascii="Arial" w:cs="Arial" w:eastAsia="Arial" w:hAnsi="Arial"/>
                <w:sz w:val="18"/>
                <w:szCs w:val="18"/>
                <w:color w:val="auto"/>
                <w:vertAlign w:val="superscript"/>
              </w:rPr>
              <w:t>(c)</w:t>
            </w:r>
          </w:p>
        </w:tc>
        <w:tc>
          <w:tcPr>
            <w:tcW w:w="36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1.10</w:t>
            </w:r>
          </w:p>
        </w:tc>
        <w:tc>
          <w:tcPr>
            <w:tcW w:w="380" w:type="dxa"/>
            <w:vAlign w:val="bottom"/>
            <w:tcBorders>
              <w:bottom w:val="single" w:sz="8" w:color="867F7C"/>
            </w:tcBorders>
          </w:tcPr>
          <w:p>
            <w:pPr>
              <w:spacing w:after="0"/>
              <w:rPr>
                <w:sz w:val="13"/>
                <w:szCs w:val="13"/>
                <w:color w:val="auto"/>
              </w:rPr>
            </w:pPr>
          </w:p>
        </w:tc>
        <w:tc>
          <w:tcPr>
            <w:tcW w:w="760" w:type="dxa"/>
            <w:vAlign w:val="bottom"/>
            <w:tcBorders>
              <w:bottom w:val="single" w:sz="8" w:color="867F7C"/>
            </w:tcBorders>
          </w:tcPr>
          <w:p>
            <w:pPr>
              <w:jc w:val="right"/>
              <w:ind w:right="228"/>
              <w:spacing w:after="0" w:line="155" w:lineRule="exact"/>
              <w:rPr>
                <w:sz w:val="20"/>
                <w:szCs w:val="20"/>
                <w:color w:val="auto"/>
              </w:rPr>
            </w:pPr>
            <w:r>
              <w:rPr>
                <w:rFonts w:ascii="Arial" w:cs="Arial" w:eastAsia="Arial" w:hAnsi="Arial"/>
                <w:sz w:val="14"/>
                <w:szCs w:val="14"/>
                <w:color w:val="auto"/>
              </w:rPr>
              <w:t>1.25</w:t>
            </w:r>
          </w:p>
        </w:tc>
        <w:tc>
          <w:tcPr>
            <w:tcW w:w="400" w:type="dxa"/>
            <w:vAlign w:val="bottom"/>
            <w:tcBorders>
              <w:bottom w:val="single" w:sz="8" w:color="867F7C"/>
            </w:tcBorders>
          </w:tcPr>
          <w:p>
            <w:pPr>
              <w:spacing w:after="0"/>
              <w:rPr>
                <w:sz w:val="13"/>
                <w:szCs w:val="13"/>
                <w:color w:val="auto"/>
              </w:rPr>
            </w:pPr>
          </w:p>
        </w:tc>
        <w:tc>
          <w:tcPr>
            <w:tcW w:w="80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1.39</w:t>
            </w:r>
          </w:p>
        </w:tc>
      </w:tr>
      <w:tr>
        <w:trPr>
          <w:trHeight w:val="146"/>
        </w:trPr>
        <w:tc>
          <w:tcPr>
            <w:tcW w:w="6260" w:type="dxa"/>
            <w:vAlign w:val="bottom"/>
          </w:tcPr>
          <w:p>
            <w:pPr>
              <w:ind w:left="100"/>
              <w:spacing w:after="0" w:line="147" w:lineRule="exact"/>
              <w:rPr>
                <w:sz w:val="20"/>
                <w:szCs w:val="20"/>
                <w:color w:val="auto"/>
              </w:rPr>
            </w:pPr>
            <w:r>
              <w:rPr>
                <w:rFonts w:ascii="Arial" w:cs="Arial" w:eastAsia="Arial" w:hAnsi="Arial"/>
                <w:sz w:val="14"/>
                <w:szCs w:val="14"/>
                <w:color w:val="auto"/>
              </w:rPr>
              <w:t>Adjusted diluted EPS from continuing operations (non-GAAP)</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1"/>
        </w:trPr>
        <w:tc>
          <w:tcPr>
            <w:tcW w:w="626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excluding intangibles amortization expense</w:t>
            </w:r>
          </w:p>
        </w:tc>
        <w:tc>
          <w:tcPr>
            <w:tcW w:w="3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67F7C"/>
            </w:tcBorders>
          </w:tcPr>
          <w:p>
            <w:pPr>
              <w:jc w:val="right"/>
              <w:ind w:right="248"/>
              <w:spacing w:after="0"/>
              <w:rPr>
                <w:sz w:val="20"/>
                <w:szCs w:val="20"/>
                <w:color w:val="auto"/>
              </w:rPr>
            </w:pPr>
            <w:r>
              <w:rPr>
                <w:rFonts w:ascii="Arial" w:cs="Arial" w:eastAsia="Arial" w:hAnsi="Arial"/>
                <w:sz w:val="14"/>
                <w:szCs w:val="14"/>
                <w:color w:val="auto"/>
              </w:rPr>
              <w:t>3.38</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67F7C"/>
            </w:tcBorders>
          </w:tcPr>
          <w:p>
            <w:pPr>
              <w:jc w:val="right"/>
              <w:ind w:right="228"/>
              <w:spacing w:after="0"/>
              <w:rPr>
                <w:sz w:val="20"/>
                <w:szCs w:val="20"/>
                <w:color w:val="auto"/>
              </w:rPr>
            </w:pPr>
            <w:r>
              <w:rPr>
                <w:rFonts w:ascii="Arial" w:cs="Arial" w:eastAsia="Arial" w:hAnsi="Arial"/>
                <w:sz w:val="14"/>
                <w:szCs w:val="14"/>
                <w:color w:val="auto"/>
              </w:rPr>
              <w:t>4.45</w:t>
            </w:r>
          </w:p>
        </w:tc>
        <w:tc>
          <w:tcPr>
            <w:tcW w:w="40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4.07</w:t>
            </w:r>
          </w:p>
        </w:tc>
      </w:tr>
    </w:tbl>
    <w:p>
      <w:pPr>
        <w:spacing w:after="0" w:line="165" w:lineRule="exact"/>
        <w:rPr>
          <w:sz w:val="20"/>
          <w:szCs w:val="20"/>
          <w:color w:val="auto"/>
        </w:rPr>
      </w:pPr>
    </w:p>
    <w:p>
      <w:pPr>
        <w:ind w:left="220" w:hanging="216"/>
        <w:spacing w:after="0"/>
        <w:tabs>
          <w:tab w:leader="none" w:pos="220" w:val="left"/>
        </w:tabs>
        <w:numPr>
          <w:ilvl w:val="0"/>
          <w:numId w:val="134"/>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Represents the diluted EPS impact from the tax effect of the key items that are previously identified above.</w:t>
      </w:r>
    </w:p>
    <w:p>
      <w:pPr>
        <w:spacing w:after="0" w:line="79" w:lineRule="exact"/>
        <w:rPr>
          <w:rFonts w:ascii="Times New Roman" w:cs="Times New Roman" w:eastAsia="Times New Roman" w:hAnsi="Times New Roman"/>
          <w:sz w:val="19"/>
          <w:szCs w:val="19"/>
          <w:color w:val="auto"/>
          <w:vertAlign w:val="superscript"/>
        </w:rPr>
      </w:pPr>
    </w:p>
    <w:p>
      <w:pPr>
        <w:jc w:val="both"/>
        <w:ind w:left="220" w:hanging="216"/>
        <w:spacing w:after="0" w:line="228" w:lineRule="auto"/>
        <w:tabs>
          <w:tab w:leader="none" w:pos="220" w:val="left"/>
        </w:tabs>
        <w:numPr>
          <w:ilvl w:val="0"/>
          <w:numId w:val="134"/>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spacing w:after="0" w:line="196" w:lineRule="exact"/>
        <w:rPr>
          <w:sz w:val="20"/>
          <w:szCs w:val="20"/>
          <w:color w:val="auto"/>
        </w:rPr>
      </w:pPr>
    </w:p>
    <w:p>
      <w:pPr>
        <w:ind w:left="776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4CCEDE"/>
        </w:rPr>
        <w:t>a-</w:t>
      </w:r>
      <w:r>
        <w:rPr>
          <w:rFonts w:ascii="Arial" w:cs="Arial" w:eastAsia="Arial" w:hAnsi="Arial"/>
          <w:sz w:val="16"/>
          <w:szCs w:val="16"/>
          <w:b w:val="1"/>
          <w:bCs w:val="1"/>
          <w:color w:val="63D0D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486410</wp:posOffset>
            </wp:positionV>
            <wp:extent cx="703770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-151765</wp:posOffset>
            </wp:positionV>
            <wp:extent cx="61722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867F7C"/>
        </w:rPr>
        <w:t>appendix a — use of non-GAAP financial measures and non-GAAP reconciliations</w:t>
      </w:r>
    </w:p>
    <w:p>
      <w:pPr>
        <w:spacing w:after="0" w:line="301" w:lineRule="exact"/>
        <w:rPr>
          <w:sz w:val="20"/>
          <w:szCs w:val="20"/>
          <w:color w:val="auto"/>
        </w:rPr>
      </w:pPr>
    </w:p>
    <w:p>
      <w:pPr>
        <w:ind w:left="220" w:hanging="216"/>
        <w:spacing w:after="0"/>
        <w:tabs>
          <w:tab w:leader="none" w:pos="220" w:val="left"/>
        </w:tabs>
        <w:numPr>
          <w:ilvl w:val="0"/>
          <w:numId w:val="135"/>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Amortization expense adjustment (net of tax) tax rates were 20.0% for the years ended 2025, 2024 and 2023,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4CCEDE"/>
        </w:rPr>
        <w:t>EBITDA and adjusted EBITDA reconciliation—life sciences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as applicable), and Adjusted EBITDA margin (Adjusted EBITDA divided by sales).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EBITDA presentation for the years ended September 30, 2025, 2024 and 2023, is provided as a means to enhance the understanding of financial measurements that Ashland has internally determined to be relevant measures of comparison for the results of Life Sciences.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shd w:val="clear" w:color="auto" w:fill="EFEBE9"/>
          </w:tcPr>
          <w:p>
            <w:pPr>
              <w:spacing w:after="0"/>
              <w:rPr>
                <w:sz w:val="14"/>
                <w:szCs w:val="14"/>
                <w:color w:val="auto"/>
              </w:rPr>
            </w:pPr>
          </w:p>
        </w:tc>
        <w:tc>
          <w:tcPr>
            <w:tcW w:w="380" w:type="dxa"/>
            <w:vAlign w:val="bottom"/>
            <w:shd w:val="clear" w:color="auto" w:fill="EFEBE9"/>
          </w:tcPr>
          <w:p>
            <w:pPr>
              <w:spacing w:after="0"/>
              <w:rPr>
                <w:sz w:val="14"/>
                <w:szCs w:val="14"/>
                <w:color w:val="auto"/>
              </w:rPr>
            </w:pPr>
          </w:p>
        </w:tc>
        <w:tc>
          <w:tcPr>
            <w:tcW w:w="560" w:type="dxa"/>
            <w:vAlign w:val="bottom"/>
            <w:shd w:val="clear" w:color="auto" w:fill="EFEBE9"/>
          </w:tcPr>
          <w:p>
            <w:pPr>
              <w:spacing w:after="0"/>
              <w:rPr>
                <w:sz w:val="14"/>
                <w:szCs w:val="14"/>
                <w:color w:val="auto"/>
              </w:rPr>
            </w:pPr>
          </w:p>
        </w:tc>
        <w:tc>
          <w:tcPr>
            <w:tcW w:w="1260" w:type="dxa"/>
            <w:vAlign w:val="bottom"/>
            <w:gridSpan w:val="2"/>
            <w:shd w:val="clear" w:color="auto" w:fill="EFEBE9"/>
          </w:tcPr>
          <w:p>
            <w:pPr>
              <w:jc w:val="right"/>
              <w:ind w:right="188"/>
              <w:spacing w:after="0"/>
              <w:rPr>
                <w:sz w:val="20"/>
                <w:szCs w:val="20"/>
                <w:color w:val="auto"/>
              </w:rPr>
            </w:pPr>
            <w:r>
              <w:rPr>
                <w:rFonts w:ascii="Arial" w:cs="Arial" w:eastAsia="Arial" w:hAnsi="Arial"/>
                <w:sz w:val="14"/>
                <w:szCs w:val="14"/>
                <w:b w:val="1"/>
                <w:bCs w:val="1"/>
                <w:color w:val="867F7C"/>
              </w:rPr>
              <w:t>Life Sciences</w:t>
            </w:r>
          </w:p>
        </w:tc>
        <w:tc>
          <w:tcPr>
            <w:tcW w:w="380" w:type="dxa"/>
            <w:vAlign w:val="bottom"/>
            <w:shd w:val="clear" w:color="auto" w:fill="EFEBE9"/>
          </w:tcPr>
          <w:p>
            <w:pPr>
              <w:spacing w:after="0"/>
              <w:rPr>
                <w:sz w:val="14"/>
                <w:szCs w:val="14"/>
                <w:color w:val="auto"/>
              </w:rPr>
            </w:pPr>
          </w:p>
        </w:tc>
        <w:tc>
          <w:tcPr>
            <w:tcW w:w="720" w:type="dxa"/>
            <w:vAlign w:val="bottom"/>
            <w:shd w:val="clear" w:color="auto" w:fill="EFEBE9"/>
          </w:tcPr>
          <w:p>
            <w:pPr>
              <w:spacing w:after="0"/>
              <w:rPr>
                <w:sz w:val="14"/>
                <w:szCs w:val="14"/>
                <w:color w:val="auto"/>
              </w:rPr>
            </w:pPr>
          </w:p>
        </w:tc>
      </w:tr>
      <w:tr>
        <w:trPr>
          <w:trHeight w:val="203"/>
        </w:trPr>
        <w:tc>
          <w:tcPr>
            <w:tcW w:w="642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(In millions)</w:t>
            </w:r>
          </w:p>
        </w:tc>
        <w:tc>
          <w:tcPr>
            <w:tcW w:w="380" w:type="dxa"/>
            <w:vAlign w:val="bottom"/>
            <w:shd w:val="clear" w:color="auto" w:fill="EFEBE9"/>
          </w:tcPr>
          <w:p>
            <w:pPr>
              <w:spacing w:after="0"/>
              <w:rPr>
                <w:sz w:val="17"/>
                <w:szCs w:val="17"/>
                <w:color w:val="auto"/>
              </w:rPr>
            </w:pPr>
          </w:p>
        </w:tc>
        <w:tc>
          <w:tcPr>
            <w:tcW w:w="560" w:type="dxa"/>
            <w:vAlign w:val="bottom"/>
            <w:shd w:val="clear" w:color="auto" w:fill="EFEBE9"/>
          </w:tcPr>
          <w:p>
            <w:pPr>
              <w:jc w:val="right"/>
              <w:ind w:right="148"/>
              <w:spacing w:after="0"/>
              <w:rPr>
                <w:sz w:val="20"/>
                <w:szCs w:val="20"/>
                <w:color w:val="auto"/>
              </w:rPr>
            </w:pPr>
            <w:r>
              <w:rPr>
                <w:rFonts w:ascii="Arial" w:cs="Arial" w:eastAsia="Arial" w:hAnsi="Arial"/>
                <w:sz w:val="14"/>
                <w:szCs w:val="14"/>
                <w:b w:val="1"/>
                <w:bCs w:val="1"/>
                <w:color w:val="867F7C"/>
              </w:rPr>
              <w:t>2025</w:t>
            </w:r>
          </w:p>
        </w:tc>
        <w:tc>
          <w:tcPr>
            <w:tcW w:w="560" w:type="dxa"/>
            <w:vAlign w:val="bottom"/>
            <w:shd w:val="clear" w:color="auto" w:fill="EFEBE9"/>
          </w:tcPr>
          <w:p>
            <w:pPr>
              <w:spacing w:after="0"/>
              <w:rPr>
                <w:sz w:val="17"/>
                <w:szCs w:val="17"/>
                <w:color w:val="auto"/>
              </w:rPr>
            </w:pPr>
          </w:p>
        </w:tc>
        <w:tc>
          <w:tcPr>
            <w:tcW w:w="700" w:type="dxa"/>
            <w:vAlign w:val="bottom"/>
            <w:shd w:val="clear" w:color="auto" w:fill="EFEBE9"/>
          </w:tcPr>
          <w:p>
            <w:pPr>
              <w:jc w:val="right"/>
              <w:ind w:right="288"/>
              <w:spacing w:after="0"/>
              <w:rPr>
                <w:sz w:val="20"/>
                <w:szCs w:val="20"/>
                <w:color w:val="auto"/>
              </w:rPr>
            </w:pPr>
            <w:r>
              <w:rPr>
                <w:rFonts w:ascii="Arial" w:cs="Arial" w:eastAsia="Arial" w:hAnsi="Arial"/>
                <w:sz w:val="14"/>
                <w:szCs w:val="14"/>
                <w:b w:val="1"/>
                <w:bCs w:val="1"/>
                <w:color w:val="867F7C"/>
              </w:rPr>
              <w:t>2024</w:t>
            </w:r>
          </w:p>
        </w:tc>
        <w:tc>
          <w:tcPr>
            <w:tcW w:w="380" w:type="dxa"/>
            <w:vAlign w:val="bottom"/>
            <w:shd w:val="clear" w:color="auto" w:fill="EFEBE9"/>
          </w:tcPr>
          <w:p>
            <w:pPr>
              <w:spacing w:after="0"/>
              <w:rPr>
                <w:sz w:val="17"/>
                <w:szCs w:val="17"/>
                <w:color w:val="auto"/>
              </w:rPr>
            </w:pPr>
          </w:p>
        </w:tc>
        <w:tc>
          <w:tcPr>
            <w:tcW w:w="720" w:type="dxa"/>
            <w:vAlign w:val="bottom"/>
            <w:shd w:val="clear" w:color="auto" w:fill="EFEBE9"/>
          </w:tcPr>
          <w:p>
            <w:pPr>
              <w:jc w:val="right"/>
              <w:ind w:right="308"/>
              <w:spacing w:after="0"/>
              <w:rPr>
                <w:sz w:val="20"/>
                <w:szCs w:val="20"/>
                <w:color w:val="auto"/>
              </w:rPr>
            </w:pPr>
            <w:r>
              <w:rPr>
                <w:rFonts w:ascii="Arial" w:cs="Arial" w:eastAsia="Arial" w:hAnsi="Arial"/>
                <w:sz w:val="14"/>
                <w:szCs w:val="14"/>
                <w:b w:val="1"/>
                <w:bCs w:val="1"/>
                <w:color w:val="867F7C"/>
              </w:rPr>
              <w:t>2023</w:t>
            </w:r>
          </w:p>
        </w:tc>
      </w:tr>
      <w:tr>
        <w:trPr>
          <w:trHeight w:val="162"/>
        </w:trPr>
        <w:tc>
          <w:tcPr>
            <w:tcW w:w="642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Operating income (loss)</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867F7C"/>
            </w:tcBorders>
          </w:tcPr>
          <w:p>
            <w:pPr>
              <w:jc w:val="right"/>
              <w:ind w:right="8"/>
              <w:spacing w:after="0"/>
              <w:rPr>
                <w:sz w:val="20"/>
                <w:szCs w:val="20"/>
                <w:color w:val="auto"/>
              </w:rPr>
            </w:pPr>
            <w:r>
              <w:rPr>
                <w:rFonts w:ascii="Arial" w:cs="Arial" w:eastAsia="Arial" w:hAnsi="Arial"/>
                <w:sz w:val="14"/>
                <w:szCs w:val="14"/>
                <w:color w:val="auto"/>
              </w:rPr>
              <w:t>(262)</w:t>
            </w:r>
          </w:p>
        </w:tc>
        <w:tc>
          <w:tcPr>
            <w:tcW w:w="5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rPr>
                <w:sz w:val="20"/>
                <w:szCs w:val="20"/>
                <w:color w:val="auto"/>
              </w:rPr>
            </w:pPr>
            <w:r>
              <w:rPr>
                <w:rFonts w:ascii="Arial" w:cs="Arial" w:eastAsia="Arial" w:hAnsi="Arial"/>
                <w:sz w:val="14"/>
                <w:szCs w:val="14"/>
                <w:color w:val="auto"/>
              </w:rPr>
              <w:t>168</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172</w:t>
            </w:r>
          </w:p>
        </w:tc>
      </w:tr>
      <w:tr>
        <w:trPr>
          <w:trHeight w:val="155"/>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Depreciation and amortization</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54</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64</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69</w:t>
            </w:r>
          </w:p>
        </w:tc>
      </w:tr>
      <w:tr>
        <w:trPr>
          <w:trHeight w:val="156"/>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EBITDA</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8"/>
              <w:spacing w:after="0" w:line="155" w:lineRule="exact"/>
              <w:rPr>
                <w:sz w:val="20"/>
                <w:szCs w:val="20"/>
                <w:color w:val="auto"/>
              </w:rPr>
            </w:pPr>
            <w:r>
              <w:rPr>
                <w:rFonts w:ascii="Arial" w:cs="Arial" w:eastAsia="Arial" w:hAnsi="Arial"/>
                <w:sz w:val="14"/>
                <w:szCs w:val="14"/>
                <w:color w:val="auto"/>
              </w:rPr>
              <w:t>(208)</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232</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241</w:t>
            </w:r>
          </w:p>
        </w:tc>
      </w:tr>
      <w:tr>
        <w:trPr>
          <w:trHeight w:val="156"/>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Goodwill impairment</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375</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5"/>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Accelerated depreciation</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21</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6"/>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Other plant optimization costs</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5</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5"/>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Restructuring and other costs</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4</w:t>
            </w:r>
          </w:p>
        </w:tc>
      </w:tr>
      <w:tr>
        <w:trPr>
          <w:trHeight w:val="156"/>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Environmental reserve adjustments</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2</w:t>
            </w:r>
          </w:p>
        </w:tc>
      </w:tr>
      <w:tr>
        <w:trPr>
          <w:trHeight w:val="155"/>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Held for sale for depreciation and amortization</w:t>
            </w:r>
          </w:p>
        </w:tc>
        <w:tc>
          <w:tcPr>
            <w:tcW w:w="380" w:type="dxa"/>
            <w:vAlign w:val="bottom"/>
            <w:tcBorders>
              <w:bottom w:val="single" w:sz="8" w:color="867F7C"/>
            </w:tcBorders>
          </w:tcPr>
          <w:p>
            <w:pPr>
              <w:spacing w:after="0"/>
              <w:rPr>
                <w:sz w:val="13"/>
                <w:szCs w:val="13"/>
                <w:color w:val="auto"/>
              </w:rPr>
            </w:pP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867F7C"/>
            </w:tcBorders>
          </w:tcPr>
          <w:p>
            <w:pPr>
              <w:spacing w:after="0"/>
              <w:rPr>
                <w:sz w:val="13"/>
                <w:szCs w:val="13"/>
                <w:color w:val="auto"/>
              </w:rPr>
            </w:pP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5"/>
        </w:trPr>
        <w:tc>
          <w:tcPr>
            <w:tcW w:w="642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Adjusted EBITDA</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193</w:t>
            </w:r>
          </w:p>
        </w:tc>
        <w:tc>
          <w:tcPr>
            <w:tcW w:w="5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230</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247</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4CCEDE"/>
        </w:rPr>
        <w:t>EBITDA and adjusted EBITDA reconciliation—personal care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EBITDA presentation (as defined and described in the section above) for the years ended September 30, 2025, 2024 and 2023, is provided as a means to enhance the understanding of financial measurements that Ashland has internally determined to be relevant measures of comparison for the results of Personal Care.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shd w:val="clear" w:color="auto" w:fill="EFEBE9"/>
          </w:tcPr>
          <w:p>
            <w:pPr>
              <w:spacing w:after="0"/>
              <w:rPr>
                <w:sz w:val="14"/>
                <w:szCs w:val="14"/>
                <w:color w:val="auto"/>
              </w:rPr>
            </w:pPr>
          </w:p>
        </w:tc>
        <w:tc>
          <w:tcPr>
            <w:tcW w:w="340" w:type="dxa"/>
            <w:vAlign w:val="bottom"/>
            <w:shd w:val="clear" w:color="auto" w:fill="EFEBE9"/>
          </w:tcPr>
          <w:p>
            <w:pPr>
              <w:spacing w:after="0"/>
              <w:rPr>
                <w:sz w:val="14"/>
                <w:szCs w:val="14"/>
                <w:color w:val="auto"/>
              </w:rPr>
            </w:pPr>
          </w:p>
        </w:tc>
        <w:tc>
          <w:tcPr>
            <w:tcW w:w="620" w:type="dxa"/>
            <w:vAlign w:val="bottom"/>
            <w:shd w:val="clear" w:color="auto" w:fill="EFEBE9"/>
          </w:tcPr>
          <w:p>
            <w:pPr>
              <w:spacing w:after="0"/>
              <w:rPr>
                <w:sz w:val="14"/>
                <w:szCs w:val="14"/>
                <w:color w:val="auto"/>
              </w:rPr>
            </w:pPr>
          </w:p>
        </w:tc>
        <w:tc>
          <w:tcPr>
            <w:tcW w:w="1280" w:type="dxa"/>
            <w:vAlign w:val="bottom"/>
            <w:gridSpan w:val="2"/>
            <w:shd w:val="clear" w:color="auto" w:fill="EFEBE9"/>
          </w:tcPr>
          <w:p>
            <w:pPr>
              <w:jc w:val="right"/>
              <w:ind w:right="68"/>
              <w:spacing w:after="0"/>
              <w:rPr>
                <w:sz w:val="20"/>
                <w:szCs w:val="20"/>
                <w:color w:val="auto"/>
              </w:rPr>
            </w:pPr>
            <w:r>
              <w:rPr>
                <w:rFonts w:ascii="Arial" w:cs="Arial" w:eastAsia="Arial" w:hAnsi="Arial"/>
                <w:sz w:val="14"/>
                <w:szCs w:val="14"/>
                <w:b w:val="1"/>
                <w:bCs w:val="1"/>
                <w:color w:val="867F7C"/>
              </w:rPr>
              <w:t>Personal Care</w:t>
            </w:r>
          </w:p>
        </w:tc>
        <w:tc>
          <w:tcPr>
            <w:tcW w:w="260" w:type="dxa"/>
            <w:vAlign w:val="bottom"/>
            <w:shd w:val="clear" w:color="auto" w:fill="EFEBE9"/>
          </w:tcPr>
          <w:p>
            <w:pPr>
              <w:spacing w:after="0"/>
              <w:rPr>
                <w:sz w:val="14"/>
                <w:szCs w:val="14"/>
                <w:color w:val="auto"/>
              </w:rPr>
            </w:pPr>
          </w:p>
        </w:tc>
        <w:tc>
          <w:tcPr>
            <w:tcW w:w="740" w:type="dxa"/>
            <w:vAlign w:val="bottom"/>
            <w:shd w:val="clear" w:color="auto" w:fill="EFEBE9"/>
          </w:tcPr>
          <w:p>
            <w:pPr>
              <w:spacing w:after="0"/>
              <w:rPr>
                <w:sz w:val="14"/>
                <w:szCs w:val="14"/>
                <w:color w:val="auto"/>
              </w:rPr>
            </w:pPr>
          </w:p>
        </w:tc>
      </w:tr>
      <w:tr>
        <w:trPr>
          <w:trHeight w:val="203"/>
        </w:trPr>
        <w:tc>
          <w:tcPr>
            <w:tcW w:w="648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(In millions)</w:t>
            </w:r>
          </w:p>
        </w:tc>
        <w:tc>
          <w:tcPr>
            <w:tcW w:w="340" w:type="dxa"/>
            <w:vAlign w:val="bottom"/>
            <w:shd w:val="clear" w:color="auto" w:fill="EFEBE9"/>
          </w:tcPr>
          <w:p>
            <w:pPr>
              <w:spacing w:after="0"/>
              <w:rPr>
                <w:sz w:val="17"/>
                <w:szCs w:val="17"/>
                <w:color w:val="auto"/>
              </w:rPr>
            </w:pPr>
          </w:p>
        </w:tc>
        <w:tc>
          <w:tcPr>
            <w:tcW w:w="620" w:type="dxa"/>
            <w:vAlign w:val="bottom"/>
            <w:shd w:val="clear" w:color="auto" w:fill="EFEBE9"/>
          </w:tcPr>
          <w:p>
            <w:pPr>
              <w:jc w:val="right"/>
              <w:ind w:right="208"/>
              <w:spacing w:after="0"/>
              <w:rPr>
                <w:sz w:val="20"/>
                <w:szCs w:val="20"/>
                <w:color w:val="auto"/>
              </w:rPr>
            </w:pPr>
            <w:r>
              <w:rPr>
                <w:rFonts w:ascii="Arial" w:cs="Arial" w:eastAsia="Arial" w:hAnsi="Arial"/>
                <w:sz w:val="14"/>
                <w:szCs w:val="14"/>
                <w:b w:val="1"/>
                <w:bCs w:val="1"/>
                <w:color w:val="867F7C"/>
              </w:rPr>
              <w:t>2025</w:t>
            </w:r>
          </w:p>
        </w:tc>
        <w:tc>
          <w:tcPr>
            <w:tcW w:w="460" w:type="dxa"/>
            <w:vAlign w:val="bottom"/>
            <w:shd w:val="clear" w:color="auto" w:fill="EFEBE9"/>
          </w:tcPr>
          <w:p>
            <w:pPr>
              <w:spacing w:after="0"/>
              <w:rPr>
                <w:sz w:val="17"/>
                <w:szCs w:val="17"/>
                <w:color w:val="auto"/>
              </w:rPr>
            </w:pPr>
          </w:p>
        </w:tc>
        <w:tc>
          <w:tcPr>
            <w:tcW w:w="820" w:type="dxa"/>
            <w:vAlign w:val="bottom"/>
            <w:shd w:val="clear" w:color="auto" w:fill="EFEBE9"/>
          </w:tcPr>
          <w:p>
            <w:pPr>
              <w:jc w:val="right"/>
              <w:ind w:right="408"/>
              <w:spacing w:after="0"/>
              <w:rPr>
                <w:sz w:val="20"/>
                <w:szCs w:val="20"/>
                <w:color w:val="auto"/>
              </w:rPr>
            </w:pPr>
            <w:r>
              <w:rPr>
                <w:rFonts w:ascii="Arial" w:cs="Arial" w:eastAsia="Arial" w:hAnsi="Arial"/>
                <w:sz w:val="14"/>
                <w:szCs w:val="14"/>
                <w:b w:val="1"/>
                <w:bCs w:val="1"/>
                <w:color w:val="867F7C"/>
              </w:rPr>
              <w:t>2024</w:t>
            </w:r>
          </w:p>
        </w:tc>
        <w:tc>
          <w:tcPr>
            <w:tcW w:w="260" w:type="dxa"/>
            <w:vAlign w:val="bottom"/>
            <w:shd w:val="clear" w:color="auto" w:fill="EFEBE9"/>
          </w:tcPr>
          <w:p>
            <w:pPr>
              <w:spacing w:after="0"/>
              <w:rPr>
                <w:sz w:val="17"/>
                <w:szCs w:val="17"/>
                <w:color w:val="auto"/>
              </w:rPr>
            </w:pPr>
          </w:p>
        </w:tc>
        <w:tc>
          <w:tcPr>
            <w:tcW w:w="740" w:type="dxa"/>
            <w:vAlign w:val="bottom"/>
            <w:shd w:val="clear" w:color="auto" w:fill="EFEBE9"/>
          </w:tcPr>
          <w:p>
            <w:pPr>
              <w:jc w:val="right"/>
              <w:ind w:right="308"/>
              <w:spacing w:after="0"/>
              <w:rPr>
                <w:sz w:val="20"/>
                <w:szCs w:val="20"/>
                <w:color w:val="auto"/>
              </w:rPr>
            </w:pPr>
            <w:r>
              <w:rPr>
                <w:rFonts w:ascii="Arial" w:cs="Arial" w:eastAsia="Arial" w:hAnsi="Arial"/>
                <w:sz w:val="14"/>
                <w:szCs w:val="14"/>
                <w:b w:val="1"/>
                <w:bCs w:val="1"/>
                <w:color w:val="867F7C"/>
              </w:rPr>
              <w:t>2023</w:t>
            </w:r>
          </w:p>
        </w:tc>
      </w:tr>
      <w:tr>
        <w:trPr>
          <w:trHeight w:val="162"/>
        </w:trPr>
        <w:tc>
          <w:tcPr>
            <w:tcW w:w="648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jc w:val="right"/>
              <w:ind w:right="168"/>
              <w:spacing w:after="0"/>
              <w:rPr>
                <w:sz w:val="20"/>
                <w:szCs w:val="20"/>
                <w:color w:val="auto"/>
              </w:rPr>
            </w:pPr>
            <w:r>
              <w:rPr>
                <w:rFonts w:ascii="Arial" w:cs="Arial" w:eastAsia="Arial" w:hAnsi="Arial"/>
                <w:sz w:val="14"/>
                <w:szCs w:val="14"/>
                <w:color w:val="auto"/>
              </w:rPr>
              <w:t>90</w:t>
            </w:r>
          </w:p>
        </w:tc>
        <w:tc>
          <w:tcPr>
            <w:tcW w:w="4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52</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867F7C"/>
            </w:tcBorders>
          </w:tcPr>
          <w:p>
            <w:pPr>
              <w:spacing w:after="0"/>
              <w:rPr>
                <w:sz w:val="13"/>
                <w:szCs w:val="13"/>
                <w:color w:val="auto"/>
              </w:rPr>
            </w:pPr>
          </w:p>
        </w:tc>
        <w:tc>
          <w:tcPr>
            <w:tcW w:w="62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66</w:t>
            </w:r>
          </w:p>
        </w:tc>
        <w:tc>
          <w:tcPr>
            <w:tcW w:w="46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77</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85</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EBITDA</w:t>
            </w:r>
          </w:p>
        </w:tc>
        <w:tc>
          <w:tcPr>
            <w:tcW w:w="340" w:type="dxa"/>
            <w:vAlign w:val="bottom"/>
            <w:tcBorders>
              <w:bottom w:val="single" w:sz="8" w:color="867F7C"/>
            </w:tcBorders>
          </w:tcPr>
          <w:p>
            <w:pPr>
              <w:spacing w:after="0"/>
              <w:rPr>
                <w:sz w:val="13"/>
                <w:szCs w:val="13"/>
                <w:color w:val="auto"/>
              </w:rPr>
            </w:pPr>
          </w:p>
        </w:tc>
        <w:tc>
          <w:tcPr>
            <w:tcW w:w="62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156</w:t>
            </w:r>
          </w:p>
        </w:tc>
        <w:tc>
          <w:tcPr>
            <w:tcW w:w="46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150</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137</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Accelerated depreciation</w:t>
            </w:r>
          </w:p>
        </w:tc>
        <w:tc>
          <w:tcPr>
            <w:tcW w:w="340" w:type="dxa"/>
            <w:vAlign w:val="bottom"/>
            <w:tcBorders>
              <w:bottom w:val="single" w:sz="8" w:color="867F7C"/>
            </w:tcBorders>
          </w:tcPr>
          <w:p>
            <w:pPr>
              <w:spacing w:after="0"/>
              <w:rPr>
                <w:sz w:val="13"/>
                <w:szCs w:val="13"/>
                <w:color w:val="auto"/>
              </w:rPr>
            </w:pPr>
          </w:p>
        </w:tc>
        <w:tc>
          <w:tcPr>
            <w:tcW w:w="62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1</w:t>
            </w:r>
          </w:p>
        </w:tc>
        <w:tc>
          <w:tcPr>
            <w:tcW w:w="46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Other plant optimization costs</w:t>
            </w:r>
          </w:p>
        </w:tc>
        <w:tc>
          <w:tcPr>
            <w:tcW w:w="340" w:type="dxa"/>
            <w:vAlign w:val="bottom"/>
            <w:tcBorders>
              <w:bottom w:val="single" w:sz="8" w:color="867F7C"/>
            </w:tcBorders>
          </w:tcPr>
          <w:p>
            <w:pPr>
              <w:spacing w:after="0"/>
              <w:rPr>
                <w:sz w:val="13"/>
                <w:szCs w:val="13"/>
                <w:color w:val="auto"/>
              </w:rPr>
            </w:pPr>
          </w:p>
        </w:tc>
        <w:tc>
          <w:tcPr>
            <w:tcW w:w="62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3</w:t>
            </w:r>
          </w:p>
        </w:tc>
        <w:tc>
          <w:tcPr>
            <w:tcW w:w="46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1</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Hold for sale depreciation and amortization</w:t>
            </w:r>
          </w:p>
        </w:tc>
        <w:tc>
          <w:tcPr>
            <w:tcW w:w="340" w:type="dxa"/>
            <w:vAlign w:val="bottom"/>
            <w:tcBorders>
              <w:bottom w:val="single" w:sz="8" w:color="867F7C"/>
            </w:tcBorders>
          </w:tcPr>
          <w:p>
            <w:pPr>
              <w:spacing w:after="0"/>
              <w:rPr>
                <w:sz w:val="13"/>
                <w:szCs w:val="13"/>
                <w:color w:val="auto"/>
              </w:rPr>
            </w:pPr>
          </w:p>
        </w:tc>
        <w:tc>
          <w:tcPr>
            <w:tcW w:w="620" w:type="dxa"/>
            <w:vAlign w:val="bottom"/>
            <w:tcBorders>
              <w:bottom w:val="single" w:sz="8" w:color="867F7C"/>
            </w:tcBorders>
          </w:tcPr>
          <w:p>
            <w:pPr>
              <w:jc w:val="right"/>
              <w:ind w:right="108"/>
              <w:spacing w:after="0" w:line="155" w:lineRule="exact"/>
              <w:rPr>
                <w:sz w:val="20"/>
                <w:szCs w:val="20"/>
                <w:color w:val="auto"/>
              </w:rPr>
            </w:pPr>
            <w:r>
              <w:rPr>
                <w:rFonts w:ascii="Arial" w:cs="Arial" w:eastAsia="Arial" w:hAnsi="Arial"/>
                <w:sz w:val="14"/>
                <w:szCs w:val="14"/>
                <w:color w:val="auto"/>
              </w:rPr>
              <w:t>(2)</w:t>
            </w:r>
          </w:p>
        </w:tc>
        <w:tc>
          <w:tcPr>
            <w:tcW w:w="46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Asset impairment</w:t>
            </w:r>
          </w:p>
        </w:tc>
        <w:tc>
          <w:tcPr>
            <w:tcW w:w="340" w:type="dxa"/>
            <w:vAlign w:val="bottom"/>
            <w:tcBorders>
              <w:bottom w:val="single" w:sz="8" w:color="867F7C"/>
            </w:tcBorders>
          </w:tcPr>
          <w:p>
            <w:pPr>
              <w:spacing w:after="0"/>
              <w:rPr>
                <w:sz w:val="13"/>
                <w:szCs w:val="13"/>
                <w:color w:val="auto"/>
              </w:rPr>
            </w:pPr>
          </w:p>
        </w:tc>
        <w:tc>
          <w:tcPr>
            <w:tcW w:w="62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11</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867F7C"/>
            </w:tcBorders>
          </w:tcPr>
          <w:p>
            <w:pPr>
              <w:jc w:val="right"/>
              <w:ind w:right="168"/>
              <w:spacing w:after="0" w:line="155" w:lineRule="exact"/>
              <w:rPr>
                <w:sz w:val="20"/>
                <w:szCs w:val="20"/>
                <w:color w:val="auto"/>
              </w:rPr>
            </w:pPr>
            <w:r>
              <w:rPr>
                <w:rFonts w:ascii="Arial" w:cs="Arial" w:eastAsia="Arial" w:hAnsi="Arial"/>
                <w:sz w:val="14"/>
                <w:szCs w:val="14"/>
                <w:color w:val="auto"/>
              </w:rPr>
              <w:t>158</w:t>
            </w:r>
          </w:p>
        </w:tc>
        <w:tc>
          <w:tcPr>
            <w:tcW w:w="4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164</w:t>
            </w:r>
          </w:p>
        </w:tc>
        <w:tc>
          <w:tcPr>
            <w:tcW w:w="2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137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4CCEDE"/>
        </w:rPr>
        <w:t>EBITDA and adjusted EBITDA reconciliation — specialty additives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EBITDA presentation (as defined and described in the section above) for the years ended September 30, 2025, 2024 and 2023 below is provided as a means to enhance the understanding of financial measurements that Ashland has internally determined to be relevant measures of comparison for the results of Specialty Additives.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a-4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486410</wp:posOffset>
            </wp:positionV>
            <wp:extent cx="703770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-151765</wp:posOffset>
            </wp:positionV>
            <wp:extent cx="61722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867F7C"/>
        </w:rPr>
        <w:t>appendix a — use of non-GAAP financial measures and non-GAAP reconciliations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shd w:val="clear" w:color="auto" w:fill="EFEBE9"/>
          </w:tcPr>
          <w:p>
            <w:pPr>
              <w:spacing w:after="0"/>
              <w:rPr>
                <w:sz w:val="14"/>
                <w:szCs w:val="14"/>
                <w:color w:val="auto"/>
              </w:rPr>
            </w:pPr>
          </w:p>
        </w:tc>
        <w:tc>
          <w:tcPr>
            <w:tcW w:w="340" w:type="dxa"/>
            <w:vAlign w:val="bottom"/>
            <w:shd w:val="clear" w:color="auto" w:fill="EFEBE9"/>
          </w:tcPr>
          <w:p>
            <w:pPr>
              <w:spacing w:after="0"/>
              <w:rPr>
                <w:sz w:val="14"/>
                <w:szCs w:val="14"/>
                <w:color w:val="auto"/>
              </w:rPr>
            </w:pPr>
          </w:p>
        </w:tc>
        <w:tc>
          <w:tcPr>
            <w:tcW w:w="520" w:type="dxa"/>
            <w:vAlign w:val="bottom"/>
            <w:shd w:val="clear" w:color="auto" w:fill="EFEBE9"/>
          </w:tcPr>
          <w:p>
            <w:pPr>
              <w:spacing w:after="0"/>
              <w:rPr>
                <w:sz w:val="14"/>
                <w:szCs w:val="14"/>
                <w:color w:val="auto"/>
              </w:rPr>
            </w:pPr>
          </w:p>
        </w:tc>
        <w:tc>
          <w:tcPr>
            <w:tcW w:w="1480" w:type="dxa"/>
            <w:vAlign w:val="bottom"/>
            <w:gridSpan w:val="2"/>
            <w:shd w:val="clear" w:color="auto" w:fill="EFEBE9"/>
          </w:tcPr>
          <w:p>
            <w:pPr>
              <w:jc w:val="right"/>
              <w:spacing w:after="0"/>
              <w:rPr>
                <w:sz w:val="20"/>
                <w:szCs w:val="20"/>
                <w:color w:val="auto"/>
              </w:rPr>
            </w:pPr>
            <w:r>
              <w:rPr>
                <w:rFonts w:ascii="Arial" w:cs="Arial" w:eastAsia="Arial" w:hAnsi="Arial"/>
                <w:sz w:val="14"/>
                <w:szCs w:val="14"/>
                <w:b w:val="1"/>
                <w:bCs w:val="1"/>
                <w:color w:val="867F7C"/>
              </w:rPr>
              <w:t>Specialty Additives</w:t>
            </w:r>
          </w:p>
        </w:tc>
        <w:tc>
          <w:tcPr>
            <w:tcW w:w="160" w:type="dxa"/>
            <w:vAlign w:val="bottom"/>
            <w:shd w:val="clear" w:color="auto" w:fill="EFEBE9"/>
          </w:tcPr>
          <w:p>
            <w:pPr>
              <w:spacing w:after="0"/>
              <w:rPr>
                <w:sz w:val="14"/>
                <w:szCs w:val="14"/>
                <w:color w:val="auto"/>
              </w:rPr>
            </w:pPr>
          </w:p>
        </w:tc>
        <w:tc>
          <w:tcPr>
            <w:tcW w:w="740" w:type="dxa"/>
            <w:vAlign w:val="bottom"/>
            <w:shd w:val="clear" w:color="auto" w:fill="EFEBE9"/>
          </w:tcPr>
          <w:p>
            <w:pPr>
              <w:spacing w:after="0"/>
              <w:rPr>
                <w:sz w:val="14"/>
                <w:szCs w:val="14"/>
                <w:color w:val="auto"/>
              </w:rPr>
            </w:pPr>
          </w:p>
        </w:tc>
      </w:tr>
      <w:tr>
        <w:trPr>
          <w:trHeight w:val="203"/>
        </w:trPr>
        <w:tc>
          <w:tcPr>
            <w:tcW w:w="648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(In millions)</w:t>
            </w:r>
          </w:p>
        </w:tc>
        <w:tc>
          <w:tcPr>
            <w:tcW w:w="340" w:type="dxa"/>
            <w:vAlign w:val="bottom"/>
            <w:shd w:val="clear" w:color="auto" w:fill="EFEBE9"/>
          </w:tcPr>
          <w:p>
            <w:pPr>
              <w:spacing w:after="0"/>
              <w:rPr>
                <w:sz w:val="17"/>
                <w:szCs w:val="17"/>
                <w:color w:val="auto"/>
              </w:rPr>
            </w:pPr>
          </w:p>
        </w:tc>
        <w:tc>
          <w:tcPr>
            <w:tcW w:w="520" w:type="dxa"/>
            <w:vAlign w:val="bottom"/>
            <w:shd w:val="clear" w:color="auto" w:fill="EFEBE9"/>
          </w:tcPr>
          <w:p>
            <w:pPr>
              <w:jc w:val="right"/>
              <w:ind w:right="108"/>
              <w:spacing w:after="0"/>
              <w:rPr>
                <w:sz w:val="20"/>
                <w:szCs w:val="20"/>
                <w:color w:val="auto"/>
              </w:rPr>
            </w:pPr>
            <w:r>
              <w:rPr>
                <w:rFonts w:ascii="Arial" w:cs="Arial" w:eastAsia="Arial" w:hAnsi="Arial"/>
                <w:sz w:val="14"/>
                <w:szCs w:val="14"/>
                <w:b w:val="1"/>
                <w:bCs w:val="1"/>
                <w:color w:val="867F7C"/>
              </w:rPr>
              <w:t>2025</w:t>
            </w:r>
          </w:p>
        </w:tc>
        <w:tc>
          <w:tcPr>
            <w:tcW w:w="560" w:type="dxa"/>
            <w:vAlign w:val="bottom"/>
            <w:shd w:val="clear" w:color="auto" w:fill="EFEBE9"/>
          </w:tcPr>
          <w:p>
            <w:pPr>
              <w:spacing w:after="0"/>
              <w:rPr>
                <w:sz w:val="17"/>
                <w:szCs w:val="17"/>
                <w:color w:val="auto"/>
              </w:rPr>
            </w:pPr>
          </w:p>
        </w:tc>
        <w:tc>
          <w:tcPr>
            <w:tcW w:w="920" w:type="dxa"/>
            <w:vAlign w:val="bottom"/>
            <w:shd w:val="clear" w:color="auto" w:fill="EFEBE9"/>
          </w:tcPr>
          <w:p>
            <w:pPr>
              <w:jc w:val="right"/>
              <w:ind w:right="508"/>
              <w:spacing w:after="0"/>
              <w:rPr>
                <w:sz w:val="20"/>
                <w:szCs w:val="20"/>
                <w:color w:val="auto"/>
              </w:rPr>
            </w:pPr>
            <w:r>
              <w:rPr>
                <w:rFonts w:ascii="Arial" w:cs="Arial" w:eastAsia="Arial" w:hAnsi="Arial"/>
                <w:sz w:val="14"/>
                <w:szCs w:val="14"/>
                <w:b w:val="1"/>
                <w:bCs w:val="1"/>
                <w:color w:val="867F7C"/>
              </w:rPr>
              <w:t>2024</w:t>
            </w:r>
          </w:p>
        </w:tc>
        <w:tc>
          <w:tcPr>
            <w:tcW w:w="160" w:type="dxa"/>
            <w:vAlign w:val="bottom"/>
            <w:shd w:val="clear" w:color="auto" w:fill="EFEBE9"/>
          </w:tcPr>
          <w:p>
            <w:pPr>
              <w:spacing w:after="0"/>
              <w:rPr>
                <w:sz w:val="17"/>
                <w:szCs w:val="17"/>
                <w:color w:val="auto"/>
              </w:rPr>
            </w:pPr>
          </w:p>
        </w:tc>
        <w:tc>
          <w:tcPr>
            <w:tcW w:w="740" w:type="dxa"/>
            <w:vAlign w:val="bottom"/>
            <w:shd w:val="clear" w:color="auto" w:fill="EFEBE9"/>
          </w:tcPr>
          <w:p>
            <w:pPr>
              <w:jc w:val="right"/>
              <w:ind w:right="308"/>
              <w:spacing w:after="0"/>
              <w:rPr>
                <w:sz w:val="20"/>
                <w:szCs w:val="20"/>
                <w:color w:val="auto"/>
              </w:rPr>
            </w:pPr>
            <w:r>
              <w:rPr>
                <w:rFonts w:ascii="Arial" w:cs="Arial" w:eastAsia="Arial" w:hAnsi="Arial"/>
                <w:sz w:val="14"/>
                <w:szCs w:val="14"/>
                <w:b w:val="1"/>
                <w:bCs w:val="1"/>
                <w:color w:val="867F7C"/>
              </w:rPr>
              <w:t>2023</w:t>
            </w:r>
          </w:p>
        </w:tc>
      </w:tr>
      <w:tr>
        <w:trPr>
          <w:trHeight w:val="162"/>
        </w:trPr>
        <w:tc>
          <w:tcPr>
            <w:tcW w:w="648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Operating income (loss)</w:t>
            </w:r>
          </w:p>
        </w:tc>
        <w:tc>
          <w:tcPr>
            <w:tcW w:w="34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67F7C"/>
            </w:tcBorders>
          </w:tcPr>
          <w:p>
            <w:pPr>
              <w:jc w:val="right"/>
              <w:ind w:right="8"/>
              <w:spacing w:after="0"/>
              <w:rPr>
                <w:sz w:val="20"/>
                <w:szCs w:val="20"/>
                <w:color w:val="auto"/>
              </w:rPr>
            </w:pPr>
            <w:r>
              <w:rPr>
                <w:rFonts w:ascii="Arial" w:cs="Arial" w:eastAsia="Arial" w:hAnsi="Arial"/>
                <w:sz w:val="14"/>
                <w:szCs w:val="14"/>
                <w:color w:val="auto"/>
              </w:rPr>
              <w:t>(338)</w:t>
            </w:r>
          </w:p>
        </w:tc>
        <w:tc>
          <w:tcPr>
            <w:tcW w:w="5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67F7C"/>
            </w:tcBorders>
          </w:tcPr>
          <w:p>
            <w:pPr>
              <w:jc w:val="right"/>
              <w:ind w:right="408"/>
              <w:spacing w:after="0"/>
              <w:rPr>
                <w:sz w:val="20"/>
                <w:szCs w:val="20"/>
                <w:color w:val="auto"/>
              </w:rPr>
            </w:pPr>
            <w:r>
              <w:rPr>
                <w:rFonts w:ascii="Arial" w:cs="Arial" w:eastAsia="Arial" w:hAnsi="Arial"/>
                <w:sz w:val="14"/>
                <w:szCs w:val="14"/>
                <w:color w:val="auto"/>
              </w:rPr>
              <w:t>(32)</w:t>
            </w:r>
          </w:p>
        </w:tc>
        <w:tc>
          <w:tcPr>
            <w:tcW w:w="1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10</w:t>
            </w:r>
          </w:p>
        </w:tc>
      </w:tr>
      <w:tr>
        <w:trPr>
          <w:trHeight w:val="156"/>
        </w:trPr>
        <w:tc>
          <w:tcPr>
            <w:tcW w:w="6480" w:type="dxa"/>
            <w:vAlign w:val="bottom"/>
            <w:tcBorders>
              <w:bottom w:val="single" w:sz="8" w:color="867F7C"/>
            </w:tcBorders>
          </w:tcPr>
          <w:p>
            <w:pPr>
              <w:ind w:left="100"/>
              <w:spacing w:after="0" w:line="156"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(a)</w:t>
            </w:r>
          </w:p>
        </w:tc>
        <w:tc>
          <w:tcPr>
            <w:tcW w:w="340" w:type="dxa"/>
            <w:vAlign w:val="bottom"/>
            <w:tcBorders>
              <w:bottom w:val="single" w:sz="8" w:color="867F7C"/>
            </w:tcBorders>
          </w:tcPr>
          <w:p>
            <w:pPr>
              <w:spacing w:after="0"/>
              <w:rPr>
                <w:sz w:val="13"/>
                <w:szCs w:val="13"/>
                <w:color w:val="auto"/>
              </w:rPr>
            </w:pPr>
          </w:p>
        </w:tc>
        <w:tc>
          <w:tcPr>
            <w:tcW w:w="52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65</w:t>
            </w:r>
          </w:p>
        </w:tc>
        <w:tc>
          <w:tcPr>
            <w:tcW w:w="56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66</w:t>
            </w:r>
          </w:p>
        </w:tc>
        <w:tc>
          <w:tcPr>
            <w:tcW w:w="1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76</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EBITDA</w:t>
            </w:r>
          </w:p>
        </w:tc>
        <w:tc>
          <w:tcPr>
            <w:tcW w:w="340" w:type="dxa"/>
            <w:vAlign w:val="bottom"/>
            <w:tcBorders>
              <w:bottom w:val="single" w:sz="8" w:color="867F7C"/>
            </w:tcBorders>
          </w:tcPr>
          <w:p>
            <w:pPr>
              <w:spacing w:after="0"/>
              <w:rPr>
                <w:sz w:val="13"/>
                <w:szCs w:val="13"/>
                <w:color w:val="auto"/>
              </w:rPr>
            </w:pPr>
          </w:p>
        </w:tc>
        <w:tc>
          <w:tcPr>
            <w:tcW w:w="520" w:type="dxa"/>
            <w:vAlign w:val="bottom"/>
            <w:tcBorders>
              <w:bottom w:val="single" w:sz="8" w:color="867F7C"/>
            </w:tcBorders>
          </w:tcPr>
          <w:p>
            <w:pPr>
              <w:jc w:val="right"/>
              <w:ind w:right="8"/>
              <w:spacing w:after="0" w:line="155" w:lineRule="exact"/>
              <w:rPr>
                <w:sz w:val="20"/>
                <w:szCs w:val="20"/>
                <w:color w:val="auto"/>
              </w:rPr>
            </w:pPr>
            <w:r>
              <w:rPr>
                <w:rFonts w:ascii="Arial" w:cs="Arial" w:eastAsia="Arial" w:hAnsi="Arial"/>
                <w:sz w:val="14"/>
                <w:szCs w:val="14"/>
                <w:color w:val="auto"/>
              </w:rPr>
              <w:t>(273)</w:t>
            </w:r>
          </w:p>
        </w:tc>
        <w:tc>
          <w:tcPr>
            <w:tcW w:w="56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34</w:t>
            </w:r>
          </w:p>
        </w:tc>
        <w:tc>
          <w:tcPr>
            <w:tcW w:w="1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86</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Goodwill impairment</w:t>
            </w:r>
          </w:p>
        </w:tc>
        <w:tc>
          <w:tcPr>
            <w:tcW w:w="340" w:type="dxa"/>
            <w:vAlign w:val="bottom"/>
            <w:tcBorders>
              <w:bottom w:val="single" w:sz="8" w:color="867F7C"/>
            </w:tcBorders>
          </w:tcPr>
          <w:p>
            <w:pPr>
              <w:spacing w:after="0"/>
              <w:rPr>
                <w:sz w:val="13"/>
                <w:szCs w:val="13"/>
                <w:color w:val="auto"/>
              </w:rPr>
            </w:pPr>
          </w:p>
        </w:tc>
        <w:tc>
          <w:tcPr>
            <w:tcW w:w="52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331</w:t>
            </w:r>
          </w:p>
        </w:tc>
        <w:tc>
          <w:tcPr>
            <w:tcW w:w="56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Accelerated depreciation</w:t>
            </w:r>
          </w:p>
        </w:tc>
        <w:tc>
          <w:tcPr>
            <w:tcW w:w="340" w:type="dxa"/>
            <w:vAlign w:val="bottom"/>
            <w:tcBorders>
              <w:bottom w:val="single" w:sz="8" w:color="867F7C"/>
            </w:tcBorders>
          </w:tcPr>
          <w:p>
            <w:pPr>
              <w:spacing w:after="0"/>
              <w:rPr>
                <w:sz w:val="13"/>
                <w:szCs w:val="13"/>
                <w:color w:val="auto"/>
              </w:rPr>
            </w:pPr>
          </w:p>
        </w:tc>
        <w:tc>
          <w:tcPr>
            <w:tcW w:w="52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19</w:t>
            </w:r>
          </w:p>
        </w:tc>
        <w:tc>
          <w:tcPr>
            <w:tcW w:w="56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55</w:t>
            </w:r>
          </w:p>
        </w:tc>
        <w:tc>
          <w:tcPr>
            <w:tcW w:w="1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Other plant optimization costs</w:t>
            </w:r>
          </w:p>
        </w:tc>
        <w:tc>
          <w:tcPr>
            <w:tcW w:w="340" w:type="dxa"/>
            <w:vAlign w:val="bottom"/>
            <w:tcBorders>
              <w:bottom w:val="single" w:sz="8" w:color="867F7C"/>
            </w:tcBorders>
          </w:tcPr>
          <w:p>
            <w:pPr>
              <w:spacing w:after="0"/>
              <w:rPr>
                <w:sz w:val="13"/>
                <w:szCs w:val="13"/>
                <w:color w:val="auto"/>
              </w:rPr>
            </w:pPr>
          </w:p>
        </w:tc>
        <w:tc>
          <w:tcPr>
            <w:tcW w:w="52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15</w:t>
            </w:r>
          </w:p>
        </w:tc>
        <w:tc>
          <w:tcPr>
            <w:tcW w:w="56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9</w:t>
            </w:r>
          </w:p>
        </w:tc>
        <w:tc>
          <w:tcPr>
            <w:tcW w:w="1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Asset impairment</w:t>
            </w:r>
          </w:p>
        </w:tc>
        <w:tc>
          <w:tcPr>
            <w:tcW w:w="340" w:type="dxa"/>
            <w:vAlign w:val="bottom"/>
            <w:tcBorders>
              <w:bottom w:val="single" w:sz="8" w:color="867F7C"/>
            </w:tcBorders>
          </w:tcPr>
          <w:p>
            <w:pPr>
              <w:spacing w:after="0"/>
              <w:rPr>
                <w:sz w:val="13"/>
                <w:szCs w:val="13"/>
                <w:color w:val="auto"/>
              </w:rPr>
            </w:pPr>
          </w:p>
        </w:tc>
        <w:tc>
          <w:tcPr>
            <w:tcW w:w="52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4</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Environmental reserve adjustments</w:t>
            </w:r>
          </w:p>
        </w:tc>
        <w:tc>
          <w:tcPr>
            <w:tcW w:w="340" w:type="dxa"/>
            <w:vAlign w:val="bottom"/>
            <w:tcBorders>
              <w:bottom w:val="single" w:sz="8" w:color="867F7C"/>
            </w:tcBorders>
          </w:tcPr>
          <w:p>
            <w:pPr>
              <w:spacing w:after="0"/>
              <w:rPr>
                <w:sz w:val="13"/>
                <w:szCs w:val="13"/>
                <w:color w:val="auto"/>
              </w:rPr>
            </w:pPr>
          </w:p>
        </w:tc>
        <w:tc>
          <w:tcPr>
            <w:tcW w:w="52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2</w:t>
            </w:r>
          </w:p>
        </w:tc>
        <w:tc>
          <w:tcPr>
            <w:tcW w:w="560" w:type="dxa"/>
            <w:vAlign w:val="bottom"/>
            <w:tcBorders>
              <w:bottom w:val="single" w:sz="8" w:color="867F7C"/>
            </w:tcBorders>
          </w:tcPr>
          <w:p>
            <w:pPr>
              <w:spacing w:after="0"/>
              <w:rPr>
                <w:sz w:val="13"/>
                <w:szCs w:val="13"/>
                <w:color w:val="auto"/>
              </w:rPr>
            </w:pP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4</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867F7C"/>
            </w:tcBorders>
          </w:tcPr>
          <w:p>
            <w:pPr>
              <w:jc w:val="right"/>
              <w:ind w:right="68"/>
              <w:spacing w:after="0" w:line="155" w:lineRule="exact"/>
              <w:rPr>
                <w:sz w:val="20"/>
                <w:szCs w:val="20"/>
                <w:color w:val="auto"/>
              </w:rPr>
            </w:pPr>
            <w:r>
              <w:rPr>
                <w:rFonts w:ascii="Arial" w:cs="Arial" w:eastAsia="Arial" w:hAnsi="Arial"/>
                <w:sz w:val="14"/>
                <w:szCs w:val="14"/>
                <w:color w:val="auto"/>
              </w:rPr>
              <w:t>94</w:t>
            </w:r>
          </w:p>
        </w:tc>
        <w:tc>
          <w:tcPr>
            <w:tcW w:w="5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867F7C"/>
            </w:tcBorders>
          </w:tcPr>
          <w:p>
            <w:pPr>
              <w:jc w:val="right"/>
              <w:ind w:right="468"/>
              <w:spacing w:after="0" w:line="155" w:lineRule="exact"/>
              <w:rPr>
                <w:sz w:val="20"/>
                <w:szCs w:val="20"/>
                <w:color w:val="auto"/>
              </w:rPr>
            </w:pPr>
            <w:r>
              <w:rPr>
                <w:rFonts w:ascii="Arial" w:cs="Arial" w:eastAsia="Arial" w:hAnsi="Arial"/>
                <w:sz w:val="14"/>
                <w:szCs w:val="14"/>
                <w:color w:val="auto"/>
              </w:rPr>
              <w:t>99</w:t>
            </w:r>
          </w:p>
        </w:tc>
        <w:tc>
          <w:tcPr>
            <w:tcW w:w="16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94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4CCEDE"/>
        </w:rPr>
        <w:t>EBITDA reconciliation—intermediates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EBITDA presentation (as defined and described in the section above) for the years ended 2025, 2024 and 2023 is provided as a means to enhance the understanding of financial measurements that Ashland has internally determined to be relevant measures of comparison for the results of Intermediates. Intermediates had no key items for the years ended September 30, 2025,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shd w:val="clear" w:color="auto" w:fill="EFEBE9"/>
          </w:tcPr>
          <w:p>
            <w:pPr>
              <w:spacing w:after="0"/>
              <w:rPr>
                <w:sz w:val="14"/>
                <w:szCs w:val="14"/>
                <w:color w:val="auto"/>
              </w:rPr>
            </w:pPr>
          </w:p>
        </w:tc>
        <w:tc>
          <w:tcPr>
            <w:tcW w:w="340" w:type="dxa"/>
            <w:vAlign w:val="bottom"/>
            <w:shd w:val="clear" w:color="auto" w:fill="EFEBE9"/>
          </w:tcPr>
          <w:p>
            <w:pPr>
              <w:spacing w:after="0"/>
              <w:rPr>
                <w:sz w:val="14"/>
                <w:szCs w:val="14"/>
                <w:color w:val="auto"/>
              </w:rPr>
            </w:pPr>
          </w:p>
        </w:tc>
        <w:tc>
          <w:tcPr>
            <w:tcW w:w="600" w:type="dxa"/>
            <w:vAlign w:val="bottom"/>
            <w:shd w:val="clear" w:color="auto" w:fill="EFEBE9"/>
          </w:tcPr>
          <w:p>
            <w:pPr>
              <w:spacing w:after="0"/>
              <w:rPr>
                <w:sz w:val="14"/>
                <w:szCs w:val="14"/>
                <w:color w:val="auto"/>
              </w:rPr>
            </w:pPr>
          </w:p>
        </w:tc>
        <w:tc>
          <w:tcPr>
            <w:tcW w:w="1300" w:type="dxa"/>
            <w:vAlign w:val="bottom"/>
            <w:gridSpan w:val="2"/>
            <w:shd w:val="clear" w:color="auto" w:fill="EFEBE9"/>
          </w:tcPr>
          <w:p>
            <w:pPr>
              <w:jc w:val="right"/>
              <w:ind w:right="88"/>
              <w:spacing w:after="0"/>
              <w:rPr>
                <w:sz w:val="20"/>
                <w:szCs w:val="20"/>
                <w:color w:val="auto"/>
              </w:rPr>
            </w:pPr>
            <w:r>
              <w:rPr>
                <w:rFonts w:ascii="Arial" w:cs="Arial" w:eastAsia="Arial" w:hAnsi="Arial"/>
                <w:sz w:val="14"/>
                <w:szCs w:val="14"/>
                <w:b w:val="1"/>
                <w:bCs w:val="1"/>
                <w:color w:val="867F7C"/>
              </w:rPr>
              <w:t>Intermediates</w:t>
            </w:r>
          </w:p>
        </w:tc>
        <w:tc>
          <w:tcPr>
            <w:tcW w:w="260" w:type="dxa"/>
            <w:vAlign w:val="bottom"/>
            <w:shd w:val="clear" w:color="auto" w:fill="EFEBE9"/>
          </w:tcPr>
          <w:p>
            <w:pPr>
              <w:spacing w:after="0"/>
              <w:rPr>
                <w:sz w:val="14"/>
                <w:szCs w:val="14"/>
                <w:color w:val="auto"/>
              </w:rPr>
            </w:pPr>
          </w:p>
        </w:tc>
        <w:tc>
          <w:tcPr>
            <w:tcW w:w="740" w:type="dxa"/>
            <w:vAlign w:val="bottom"/>
            <w:shd w:val="clear" w:color="auto" w:fill="EFEBE9"/>
          </w:tcPr>
          <w:p>
            <w:pPr>
              <w:spacing w:after="0"/>
              <w:rPr>
                <w:sz w:val="14"/>
                <w:szCs w:val="14"/>
                <w:color w:val="auto"/>
              </w:rPr>
            </w:pPr>
          </w:p>
        </w:tc>
      </w:tr>
      <w:tr>
        <w:trPr>
          <w:trHeight w:val="203"/>
        </w:trPr>
        <w:tc>
          <w:tcPr>
            <w:tcW w:w="6480" w:type="dxa"/>
            <w:vAlign w:val="bottom"/>
            <w:shd w:val="clear" w:color="auto" w:fill="EFEBE9"/>
          </w:tcPr>
          <w:p>
            <w:pPr>
              <w:ind w:left="100"/>
              <w:spacing w:after="0"/>
              <w:rPr>
                <w:sz w:val="20"/>
                <w:szCs w:val="20"/>
                <w:color w:val="auto"/>
              </w:rPr>
            </w:pPr>
            <w:r>
              <w:rPr>
                <w:rFonts w:ascii="Arial" w:cs="Arial" w:eastAsia="Arial" w:hAnsi="Arial"/>
                <w:sz w:val="14"/>
                <w:szCs w:val="14"/>
                <w:b w:val="1"/>
                <w:bCs w:val="1"/>
                <w:color w:val="867F7C"/>
              </w:rPr>
              <w:t>(In millions)</w:t>
            </w:r>
          </w:p>
        </w:tc>
        <w:tc>
          <w:tcPr>
            <w:tcW w:w="340" w:type="dxa"/>
            <w:vAlign w:val="bottom"/>
            <w:shd w:val="clear" w:color="auto" w:fill="EFEBE9"/>
          </w:tcPr>
          <w:p>
            <w:pPr>
              <w:spacing w:after="0"/>
              <w:rPr>
                <w:sz w:val="17"/>
                <w:szCs w:val="17"/>
                <w:color w:val="auto"/>
              </w:rPr>
            </w:pPr>
          </w:p>
        </w:tc>
        <w:tc>
          <w:tcPr>
            <w:tcW w:w="600" w:type="dxa"/>
            <w:vAlign w:val="bottom"/>
            <w:shd w:val="clear" w:color="auto" w:fill="EFEBE9"/>
          </w:tcPr>
          <w:p>
            <w:pPr>
              <w:jc w:val="right"/>
              <w:ind w:right="188"/>
              <w:spacing w:after="0"/>
              <w:rPr>
                <w:sz w:val="20"/>
                <w:szCs w:val="20"/>
                <w:color w:val="auto"/>
              </w:rPr>
            </w:pPr>
            <w:r>
              <w:rPr>
                <w:rFonts w:ascii="Arial" w:cs="Arial" w:eastAsia="Arial" w:hAnsi="Arial"/>
                <w:sz w:val="14"/>
                <w:szCs w:val="14"/>
                <w:b w:val="1"/>
                <w:bCs w:val="1"/>
                <w:color w:val="867F7C"/>
              </w:rPr>
              <w:t>2025</w:t>
            </w:r>
          </w:p>
        </w:tc>
        <w:tc>
          <w:tcPr>
            <w:tcW w:w="480" w:type="dxa"/>
            <w:vAlign w:val="bottom"/>
            <w:shd w:val="clear" w:color="auto" w:fill="EFEBE9"/>
          </w:tcPr>
          <w:p>
            <w:pPr>
              <w:spacing w:after="0"/>
              <w:rPr>
                <w:sz w:val="17"/>
                <w:szCs w:val="17"/>
                <w:color w:val="auto"/>
              </w:rPr>
            </w:pPr>
          </w:p>
        </w:tc>
        <w:tc>
          <w:tcPr>
            <w:tcW w:w="820" w:type="dxa"/>
            <w:vAlign w:val="bottom"/>
            <w:shd w:val="clear" w:color="auto" w:fill="EFEBE9"/>
          </w:tcPr>
          <w:p>
            <w:pPr>
              <w:jc w:val="right"/>
              <w:ind w:right="408"/>
              <w:spacing w:after="0"/>
              <w:rPr>
                <w:sz w:val="20"/>
                <w:szCs w:val="20"/>
                <w:color w:val="auto"/>
              </w:rPr>
            </w:pPr>
            <w:r>
              <w:rPr>
                <w:rFonts w:ascii="Arial" w:cs="Arial" w:eastAsia="Arial" w:hAnsi="Arial"/>
                <w:sz w:val="14"/>
                <w:szCs w:val="14"/>
                <w:b w:val="1"/>
                <w:bCs w:val="1"/>
                <w:color w:val="867F7C"/>
              </w:rPr>
              <w:t>2024</w:t>
            </w:r>
          </w:p>
        </w:tc>
        <w:tc>
          <w:tcPr>
            <w:tcW w:w="260" w:type="dxa"/>
            <w:vAlign w:val="bottom"/>
            <w:shd w:val="clear" w:color="auto" w:fill="EFEBE9"/>
          </w:tcPr>
          <w:p>
            <w:pPr>
              <w:spacing w:after="0"/>
              <w:rPr>
                <w:sz w:val="17"/>
                <w:szCs w:val="17"/>
                <w:color w:val="auto"/>
              </w:rPr>
            </w:pPr>
          </w:p>
        </w:tc>
        <w:tc>
          <w:tcPr>
            <w:tcW w:w="740" w:type="dxa"/>
            <w:vAlign w:val="bottom"/>
            <w:shd w:val="clear" w:color="auto" w:fill="EFEBE9"/>
          </w:tcPr>
          <w:p>
            <w:pPr>
              <w:jc w:val="right"/>
              <w:ind w:right="308"/>
              <w:spacing w:after="0"/>
              <w:rPr>
                <w:sz w:val="20"/>
                <w:szCs w:val="20"/>
                <w:color w:val="auto"/>
              </w:rPr>
            </w:pPr>
            <w:r>
              <w:rPr>
                <w:rFonts w:ascii="Arial" w:cs="Arial" w:eastAsia="Arial" w:hAnsi="Arial"/>
                <w:sz w:val="14"/>
                <w:szCs w:val="14"/>
                <w:b w:val="1"/>
                <w:bCs w:val="1"/>
                <w:color w:val="867F7C"/>
              </w:rPr>
              <w:t>2023</w:t>
            </w:r>
          </w:p>
        </w:tc>
      </w:tr>
      <w:tr>
        <w:trPr>
          <w:trHeight w:val="162"/>
        </w:trPr>
        <w:tc>
          <w:tcPr>
            <w:tcW w:w="648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67F7C"/>
            </w:tcBorders>
          </w:tcPr>
          <w:p>
            <w:pPr>
              <w:jc w:val="right"/>
              <w:ind w:right="148"/>
              <w:spacing w:after="0"/>
              <w:rPr>
                <w:sz w:val="20"/>
                <w:szCs w:val="20"/>
                <w:color w:val="auto"/>
              </w:rPr>
            </w:pPr>
            <w:r>
              <w:rPr>
                <w:rFonts w:ascii="Arial" w:cs="Arial" w:eastAsia="Arial" w:hAnsi="Arial"/>
                <w:sz w:val="14"/>
                <w:szCs w:val="14"/>
                <w:color w:val="auto"/>
              </w:rPr>
              <w:t>8</w:t>
            </w:r>
          </w:p>
        </w:tc>
        <w:tc>
          <w:tcPr>
            <w:tcW w:w="4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867F7C"/>
            </w:tcBorders>
          </w:tcPr>
          <w:p>
            <w:pPr>
              <w:jc w:val="right"/>
              <w:ind w:right="368"/>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50</w:t>
            </w:r>
          </w:p>
        </w:tc>
      </w:tr>
      <w:tr>
        <w:trPr>
          <w:trHeight w:val="155"/>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867F7C"/>
            </w:tcBorders>
          </w:tcPr>
          <w:p>
            <w:pPr>
              <w:spacing w:after="0"/>
              <w:rPr>
                <w:sz w:val="13"/>
                <w:szCs w:val="13"/>
                <w:color w:val="auto"/>
              </w:rPr>
            </w:pPr>
          </w:p>
        </w:tc>
        <w:tc>
          <w:tcPr>
            <w:tcW w:w="600" w:type="dxa"/>
            <w:vAlign w:val="bottom"/>
            <w:tcBorders>
              <w:bottom w:val="single" w:sz="8" w:color="867F7C"/>
            </w:tcBorders>
          </w:tcPr>
          <w:p>
            <w:pPr>
              <w:jc w:val="right"/>
              <w:ind w:right="148"/>
              <w:spacing w:after="0" w:line="155" w:lineRule="exact"/>
              <w:rPr>
                <w:sz w:val="20"/>
                <w:szCs w:val="20"/>
                <w:color w:val="auto"/>
              </w:rPr>
            </w:pPr>
            <w:r>
              <w:rPr>
                <w:rFonts w:ascii="Arial" w:cs="Arial" w:eastAsia="Arial" w:hAnsi="Arial"/>
                <w:sz w:val="14"/>
                <w:szCs w:val="14"/>
                <w:color w:val="auto"/>
              </w:rPr>
              <w:t>13</w:t>
            </w:r>
          </w:p>
        </w:tc>
        <w:tc>
          <w:tcPr>
            <w:tcW w:w="48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13</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13</w:t>
            </w:r>
          </w:p>
        </w:tc>
      </w:tr>
      <w:tr>
        <w:trPr>
          <w:trHeight w:val="156"/>
        </w:trPr>
        <w:tc>
          <w:tcPr>
            <w:tcW w:w="6480" w:type="dxa"/>
            <w:vAlign w:val="bottom"/>
            <w:tcBorders>
              <w:bottom w:val="single" w:sz="8" w:color="867F7C"/>
            </w:tcBorders>
          </w:tcPr>
          <w:p>
            <w:pPr>
              <w:ind w:left="100"/>
              <w:spacing w:after="0" w:line="155" w:lineRule="exact"/>
              <w:rPr>
                <w:sz w:val="20"/>
                <w:szCs w:val="20"/>
                <w:color w:val="auto"/>
              </w:rPr>
            </w:pPr>
            <w:r>
              <w:rPr>
                <w:rFonts w:ascii="Arial" w:cs="Arial" w:eastAsia="Arial" w:hAnsi="Arial"/>
                <w:sz w:val="14"/>
                <w:szCs w:val="14"/>
                <w:color w:val="auto"/>
              </w:rPr>
              <w:t>EBITDA</w:t>
            </w:r>
          </w:p>
        </w:tc>
        <w:tc>
          <w:tcPr>
            <w:tcW w:w="340" w:type="dxa"/>
            <w:vAlign w:val="bottom"/>
            <w:tcBorders>
              <w:bottom w:val="single" w:sz="8" w:color="867F7C"/>
            </w:tcBorders>
          </w:tcPr>
          <w:p>
            <w:pPr>
              <w:spacing w:after="0"/>
              <w:rPr>
                <w:sz w:val="13"/>
                <w:szCs w:val="13"/>
                <w:color w:val="auto"/>
              </w:rPr>
            </w:pPr>
          </w:p>
        </w:tc>
        <w:tc>
          <w:tcPr>
            <w:tcW w:w="600" w:type="dxa"/>
            <w:vAlign w:val="bottom"/>
            <w:tcBorders>
              <w:bottom w:val="single" w:sz="8" w:color="867F7C"/>
            </w:tcBorders>
          </w:tcPr>
          <w:p>
            <w:pPr>
              <w:jc w:val="right"/>
              <w:ind w:right="148"/>
              <w:spacing w:after="0" w:line="155" w:lineRule="exact"/>
              <w:rPr>
                <w:sz w:val="20"/>
                <w:szCs w:val="20"/>
                <w:color w:val="auto"/>
              </w:rPr>
            </w:pPr>
            <w:r>
              <w:rPr>
                <w:rFonts w:ascii="Arial" w:cs="Arial" w:eastAsia="Arial" w:hAnsi="Arial"/>
                <w:sz w:val="14"/>
                <w:szCs w:val="14"/>
                <w:color w:val="auto"/>
              </w:rPr>
              <w:t>21</w:t>
            </w:r>
          </w:p>
        </w:tc>
        <w:tc>
          <w:tcPr>
            <w:tcW w:w="480" w:type="dxa"/>
            <w:vAlign w:val="bottom"/>
            <w:tcBorders>
              <w:bottom w:val="single" w:sz="8" w:color="867F7C"/>
            </w:tcBorders>
          </w:tcPr>
          <w:p>
            <w:pPr>
              <w:spacing w:after="0"/>
              <w:rPr>
                <w:sz w:val="13"/>
                <w:szCs w:val="13"/>
                <w:color w:val="auto"/>
              </w:rPr>
            </w:pPr>
          </w:p>
        </w:tc>
        <w:tc>
          <w:tcPr>
            <w:tcW w:w="820" w:type="dxa"/>
            <w:vAlign w:val="bottom"/>
            <w:tcBorders>
              <w:bottom w:val="single" w:sz="8" w:color="867F7C"/>
            </w:tcBorders>
          </w:tcPr>
          <w:p>
            <w:pPr>
              <w:jc w:val="right"/>
              <w:ind w:right="368"/>
              <w:spacing w:after="0" w:line="155" w:lineRule="exact"/>
              <w:rPr>
                <w:sz w:val="20"/>
                <w:szCs w:val="20"/>
                <w:color w:val="auto"/>
              </w:rPr>
            </w:pPr>
            <w:r>
              <w:rPr>
                <w:rFonts w:ascii="Arial" w:cs="Arial" w:eastAsia="Arial" w:hAnsi="Arial"/>
                <w:sz w:val="14"/>
                <w:szCs w:val="14"/>
                <w:color w:val="auto"/>
              </w:rPr>
              <w:t>42</w:t>
            </w:r>
          </w:p>
        </w:tc>
        <w:tc>
          <w:tcPr>
            <w:tcW w:w="26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63</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Ashland inc. and consolidated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reconciliation of other non-GAAP data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867F7C"/>
        </w:rPr>
        <w:t>(preliminary and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CCEDE"/>
        </w:rPr>
        <w:t>adjusted EBITDA used for incentive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Borders>
              <w:bottom w:val="single" w:sz="8" w:color="EFEBE9"/>
            </w:tcBorders>
            <w:shd w:val="clear" w:color="auto" w:fill="EFEBE9"/>
          </w:tcPr>
          <w:p>
            <w:pPr>
              <w:ind w:left="100"/>
              <w:spacing w:after="0"/>
              <w:rPr>
                <w:sz w:val="20"/>
                <w:szCs w:val="20"/>
                <w:color w:val="auto"/>
              </w:rPr>
            </w:pPr>
            <w:r>
              <w:rPr>
                <w:rFonts w:ascii="Arial" w:cs="Arial" w:eastAsia="Arial" w:hAnsi="Arial"/>
                <w:sz w:val="14"/>
                <w:szCs w:val="14"/>
                <w:b w:val="1"/>
                <w:bCs w:val="1"/>
                <w:color w:val="867F7C"/>
              </w:rPr>
              <w:t>(In millions)</w:t>
            </w:r>
          </w:p>
        </w:tc>
        <w:tc>
          <w:tcPr>
            <w:tcW w:w="340" w:type="dxa"/>
            <w:vAlign w:val="bottom"/>
            <w:tcBorders>
              <w:bottom w:val="single" w:sz="8" w:color="EFEBE9"/>
            </w:tcBorders>
            <w:shd w:val="clear" w:color="auto" w:fill="EFEBE9"/>
          </w:tcPr>
          <w:p>
            <w:pPr>
              <w:spacing w:after="0"/>
              <w:rPr>
                <w:sz w:val="15"/>
                <w:szCs w:val="15"/>
                <w:color w:val="auto"/>
              </w:rPr>
            </w:pPr>
          </w:p>
        </w:tc>
        <w:tc>
          <w:tcPr>
            <w:tcW w:w="700" w:type="dxa"/>
            <w:vAlign w:val="bottom"/>
            <w:tcBorders>
              <w:bottom w:val="single" w:sz="8" w:color="EFEBE9"/>
            </w:tcBorders>
            <w:shd w:val="clear" w:color="auto" w:fill="EFEBE9"/>
          </w:tcPr>
          <w:p>
            <w:pPr>
              <w:jc w:val="right"/>
              <w:ind w:right="288"/>
              <w:spacing w:after="0"/>
              <w:rPr>
                <w:sz w:val="20"/>
                <w:szCs w:val="20"/>
                <w:color w:val="auto"/>
              </w:rPr>
            </w:pPr>
            <w:r>
              <w:rPr>
                <w:rFonts w:ascii="Arial" w:cs="Arial" w:eastAsia="Arial" w:hAnsi="Arial"/>
                <w:sz w:val="14"/>
                <w:szCs w:val="14"/>
                <w:b w:val="1"/>
                <w:bCs w:val="1"/>
                <w:color w:val="867F7C"/>
              </w:rPr>
              <w:t>2025</w:t>
            </w:r>
          </w:p>
        </w:tc>
        <w:tc>
          <w:tcPr>
            <w:tcW w:w="380" w:type="dxa"/>
            <w:vAlign w:val="bottom"/>
            <w:tcBorders>
              <w:bottom w:val="single" w:sz="8" w:color="EFEBE9"/>
            </w:tcBorders>
            <w:shd w:val="clear" w:color="auto" w:fill="EFEBE9"/>
          </w:tcPr>
          <w:p>
            <w:pPr>
              <w:spacing w:after="0"/>
              <w:rPr>
                <w:sz w:val="15"/>
                <w:szCs w:val="15"/>
                <w:color w:val="auto"/>
              </w:rPr>
            </w:pPr>
          </w:p>
        </w:tc>
        <w:tc>
          <w:tcPr>
            <w:tcW w:w="700" w:type="dxa"/>
            <w:vAlign w:val="bottom"/>
            <w:tcBorders>
              <w:bottom w:val="single" w:sz="8" w:color="EFEBE9"/>
            </w:tcBorders>
            <w:shd w:val="clear" w:color="auto" w:fill="EFEBE9"/>
          </w:tcPr>
          <w:p>
            <w:pPr>
              <w:jc w:val="right"/>
              <w:ind w:right="288"/>
              <w:spacing w:after="0"/>
              <w:rPr>
                <w:sz w:val="20"/>
                <w:szCs w:val="20"/>
                <w:color w:val="auto"/>
              </w:rPr>
            </w:pPr>
            <w:r>
              <w:rPr>
                <w:rFonts w:ascii="Arial" w:cs="Arial" w:eastAsia="Arial" w:hAnsi="Arial"/>
                <w:sz w:val="14"/>
                <w:szCs w:val="14"/>
                <w:b w:val="1"/>
                <w:bCs w:val="1"/>
                <w:color w:val="867F7C"/>
              </w:rPr>
              <w:t>2024</w:t>
            </w:r>
          </w:p>
        </w:tc>
        <w:tc>
          <w:tcPr>
            <w:tcW w:w="380" w:type="dxa"/>
            <w:vAlign w:val="bottom"/>
            <w:tcBorders>
              <w:bottom w:val="single" w:sz="8" w:color="EFEBE9"/>
            </w:tcBorders>
            <w:shd w:val="clear" w:color="auto" w:fill="EFEBE9"/>
          </w:tcPr>
          <w:p>
            <w:pPr>
              <w:spacing w:after="0"/>
              <w:rPr>
                <w:sz w:val="15"/>
                <w:szCs w:val="15"/>
                <w:color w:val="auto"/>
              </w:rPr>
            </w:pPr>
          </w:p>
        </w:tc>
        <w:tc>
          <w:tcPr>
            <w:tcW w:w="740" w:type="dxa"/>
            <w:vAlign w:val="bottom"/>
            <w:tcBorders>
              <w:bottom w:val="single" w:sz="8" w:color="EFEBE9"/>
            </w:tcBorders>
            <w:shd w:val="clear" w:color="auto" w:fill="EFEBE9"/>
          </w:tcPr>
          <w:p>
            <w:pPr>
              <w:jc w:val="right"/>
              <w:ind w:right="308"/>
              <w:spacing w:after="0"/>
              <w:rPr>
                <w:sz w:val="20"/>
                <w:szCs w:val="20"/>
                <w:color w:val="auto"/>
              </w:rPr>
            </w:pPr>
            <w:r>
              <w:rPr>
                <w:rFonts w:ascii="Arial" w:cs="Arial" w:eastAsia="Arial" w:hAnsi="Arial"/>
                <w:sz w:val="14"/>
                <w:szCs w:val="14"/>
                <w:b w:val="1"/>
                <w:bCs w:val="1"/>
                <w:color w:val="867F7C"/>
              </w:rPr>
              <w:t>2023</w:t>
            </w:r>
          </w:p>
        </w:tc>
      </w:tr>
      <w:tr>
        <w:trPr>
          <w:trHeight w:val="162"/>
        </w:trPr>
        <w:tc>
          <w:tcPr>
            <w:tcW w:w="6480" w:type="dxa"/>
            <w:vAlign w:val="bottom"/>
            <w:tcBorders>
              <w:bottom w:val="single" w:sz="8" w:color="867F7C"/>
            </w:tcBorders>
          </w:tcPr>
          <w:p>
            <w:pPr>
              <w:ind w:left="100"/>
              <w:spacing w:after="0"/>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rPr>
                <w:sz w:val="20"/>
                <w:szCs w:val="20"/>
                <w:color w:val="auto"/>
              </w:rPr>
            </w:pPr>
            <w:r>
              <w:rPr>
                <w:rFonts w:ascii="Arial" w:cs="Arial" w:eastAsia="Arial" w:hAnsi="Arial"/>
                <w:sz w:val="14"/>
                <w:szCs w:val="14"/>
                <w:color w:val="auto"/>
              </w:rPr>
              <w:t>401</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rPr>
                <w:sz w:val="20"/>
                <w:szCs w:val="20"/>
                <w:color w:val="auto"/>
              </w:rPr>
            </w:pPr>
            <w:r>
              <w:rPr>
                <w:rFonts w:ascii="Arial" w:cs="Arial" w:eastAsia="Arial" w:hAnsi="Arial"/>
                <w:sz w:val="14"/>
                <w:szCs w:val="14"/>
                <w:color w:val="auto"/>
              </w:rPr>
              <w:t>459</w:t>
            </w:r>
          </w:p>
        </w:tc>
        <w:tc>
          <w:tcPr>
            <w:tcW w:w="380" w:type="dxa"/>
            <w:vAlign w:val="bottom"/>
            <w:tcBorders>
              <w:bottom w:val="single" w:sz="8" w:color="867F7C"/>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rPr>
                <w:sz w:val="20"/>
                <w:szCs w:val="20"/>
                <w:color w:val="auto"/>
              </w:rPr>
            </w:pPr>
            <w:r>
              <w:rPr>
                <w:rFonts w:ascii="Arial" w:cs="Arial" w:eastAsia="Arial" w:hAnsi="Arial"/>
                <w:sz w:val="14"/>
                <w:szCs w:val="14"/>
                <w:color w:val="auto"/>
              </w:rPr>
              <w:t>459</w:t>
            </w:r>
          </w:p>
        </w:tc>
      </w:tr>
      <w:tr>
        <w:trPr>
          <w:trHeight w:val="156"/>
        </w:trPr>
        <w:tc>
          <w:tcPr>
            <w:tcW w:w="6480" w:type="dxa"/>
            <w:vAlign w:val="bottom"/>
            <w:tcBorders>
              <w:bottom w:val="single" w:sz="8" w:color="867F7C"/>
            </w:tcBorders>
          </w:tcPr>
          <w:p>
            <w:pPr>
              <w:ind w:left="280"/>
              <w:spacing w:after="0" w:line="156" w:lineRule="exact"/>
              <w:rPr>
                <w:sz w:val="20"/>
                <w:szCs w:val="20"/>
                <w:color w:val="auto"/>
              </w:rPr>
            </w:pPr>
            <w:r>
              <w:rPr>
                <w:rFonts w:ascii="Arial" w:cs="Arial" w:eastAsia="Arial" w:hAnsi="Arial"/>
                <w:sz w:val="14"/>
                <w:szCs w:val="14"/>
                <w:color w:val="auto"/>
              </w:rPr>
              <w:t>Management Exceptions</w:t>
            </w:r>
            <w:r>
              <w:rPr>
                <w:rFonts w:ascii="Arial" w:cs="Arial" w:eastAsia="Arial" w:hAnsi="Arial"/>
                <w:sz w:val="18"/>
                <w:szCs w:val="18"/>
                <w:color w:val="auto"/>
                <w:vertAlign w:val="superscript"/>
              </w:rPr>
              <w:t>(1)</w:t>
            </w:r>
          </w:p>
        </w:tc>
        <w:tc>
          <w:tcPr>
            <w:tcW w:w="34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867F7C"/>
            </w:tcBorders>
          </w:tcPr>
          <w:p>
            <w:pPr>
              <w:spacing w:after="0"/>
              <w:rPr>
                <w:sz w:val="13"/>
                <w:szCs w:val="13"/>
                <w:color w:val="auto"/>
              </w:rPr>
            </w:pPr>
          </w:p>
        </w:tc>
        <w:tc>
          <w:tcPr>
            <w:tcW w:w="700" w:type="dxa"/>
            <w:vAlign w:val="bottom"/>
            <w:tcBorders>
              <w:bottom w:val="single" w:sz="8" w:color="867F7C"/>
            </w:tcBorders>
          </w:tcPr>
          <w:p>
            <w:pPr>
              <w:jc w:val="right"/>
              <w:ind w:right="188"/>
              <w:spacing w:after="0" w:line="155" w:lineRule="exact"/>
              <w:rPr>
                <w:sz w:val="20"/>
                <w:szCs w:val="20"/>
                <w:color w:val="auto"/>
              </w:rPr>
            </w:pPr>
            <w:r>
              <w:rPr>
                <w:rFonts w:ascii="Arial" w:cs="Arial" w:eastAsia="Arial" w:hAnsi="Arial"/>
                <w:sz w:val="14"/>
                <w:szCs w:val="14"/>
                <w:color w:val="auto"/>
              </w:rPr>
              <w:t>(5)</w:t>
            </w:r>
          </w:p>
        </w:tc>
        <w:tc>
          <w:tcPr>
            <w:tcW w:w="380" w:type="dxa"/>
            <w:vAlign w:val="bottom"/>
            <w:tcBorders>
              <w:bottom w:val="single" w:sz="8" w:color="867F7C"/>
            </w:tcBorders>
          </w:tcPr>
          <w:p>
            <w:pPr>
              <w:spacing w:after="0"/>
              <w:rPr>
                <w:sz w:val="13"/>
                <w:szCs w:val="13"/>
                <w:color w:val="auto"/>
              </w:rPr>
            </w:pPr>
          </w:p>
        </w:tc>
        <w:tc>
          <w:tcPr>
            <w:tcW w:w="740" w:type="dxa"/>
            <w:vAlign w:val="bottom"/>
            <w:tcBorders>
              <w:bottom w:val="single" w:sz="8" w:color="867F7C"/>
            </w:tcBorders>
          </w:tcPr>
          <w:p>
            <w:pPr>
              <w:jc w:val="right"/>
              <w:ind w:right="208"/>
              <w:spacing w:after="0" w:line="155" w:lineRule="exact"/>
              <w:rPr>
                <w:sz w:val="20"/>
                <w:szCs w:val="20"/>
                <w:color w:val="auto"/>
              </w:rPr>
            </w:pPr>
            <w:r>
              <w:rPr>
                <w:rFonts w:ascii="Arial" w:cs="Arial" w:eastAsia="Arial" w:hAnsi="Arial"/>
                <w:sz w:val="14"/>
                <w:szCs w:val="14"/>
                <w:color w:val="auto"/>
              </w:rPr>
              <w:t>(7)</w:t>
            </w:r>
          </w:p>
        </w:tc>
      </w:tr>
      <w:tr>
        <w:trPr>
          <w:trHeight w:val="155"/>
        </w:trPr>
        <w:tc>
          <w:tcPr>
            <w:tcW w:w="6480" w:type="dxa"/>
            <w:vAlign w:val="bottom"/>
            <w:tcBorders>
              <w:bottom w:val="single" w:sz="8" w:color="867F7C"/>
            </w:tcBorders>
          </w:tcPr>
          <w:p>
            <w:pPr>
              <w:ind w:left="280"/>
              <w:spacing w:after="0" w:line="155" w:lineRule="exact"/>
              <w:rPr>
                <w:sz w:val="20"/>
                <w:szCs w:val="20"/>
                <w:color w:val="auto"/>
              </w:rPr>
            </w:pPr>
            <w:r>
              <w:rPr>
                <w:rFonts w:ascii="Arial" w:cs="Arial" w:eastAsia="Arial" w:hAnsi="Arial"/>
                <w:sz w:val="14"/>
                <w:szCs w:val="14"/>
                <w:color w:val="auto"/>
              </w:rPr>
              <w:t>Adjusted EBITDA used for incentive compensation</w:t>
            </w:r>
          </w:p>
        </w:tc>
        <w:tc>
          <w:tcPr>
            <w:tcW w:w="34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398</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867F7C"/>
            </w:tcBorders>
          </w:tcPr>
          <w:p>
            <w:pPr>
              <w:jc w:val="right"/>
              <w:ind w:right="248"/>
              <w:spacing w:after="0" w:line="155" w:lineRule="exact"/>
              <w:rPr>
                <w:sz w:val="20"/>
                <w:szCs w:val="20"/>
                <w:color w:val="auto"/>
              </w:rPr>
            </w:pPr>
            <w:r>
              <w:rPr>
                <w:rFonts w:ascii="Arial" w:cs="Arial" w:eastAsia="Arial" w:hAnsi="Arial"/>
                <w:sz w:val="14"/>
                <w:szCs w:val="14"/>
                <w:color w:val="auto"/>
              </w:rPr>
              <w:t>454</w:t>
            </w:r>
          </w:p>
        </w:tc>
        <w:tc>
          <w:tcPr>
            <w:tcW w:w="380" w:type="dxa"/>
            <w:vAlign w:val="bottom"/>
            <w:tcBorders>
              <w:bottom w:val="single" w:sz="8" w:color="867F7C"/>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867F7C"/>
            </w:tcBorders>
          </w:tcPr>
          <w:p>
            <w:pPr>
              <w:jc w:val="right"/>
              <w:ind w:right="268"/>
              <w:spacing w:after="0" w:line="155" w:lineRule="exact"/>
              <w:rPr>
                <w:sz w:val="20"/>
                <w:szCs w:val="20"/>
                <w:color w:val="auto"/>
              </w:rPr>
            </w:pPr>
            <w:r>
              <w:rPr>
                <w:rFonts w:ascii="Arial" w:cs="Arial" w:eastAsia="Arial" w:hAnsi="Arial"/>
                <w:sz w:val="14"/>
                <w:szCs w:val="14"/>
                <w:color w:val="auto"/>
              </w:rPr>
              <w:t>452</w:t>
            </w:r>
          </w:p>
        </w:tc>
      </w:tr>
    </w:tbl>
    <w:p>
      <w:pPr>
        <w:spacing w:after="0" w:line="111" w:lineRule="exact"/>
        <w:rPr>
          <w:sz w:val="20"/>
          <w:szCs w:val="20"/>
          <w:color w:val="auto"/>
        </w:rPr>
      </w:pPr>
    </w:p>
    <w:p>
      <w:pPr>
        <w:ind w:left="220" w:hanging="216"/>
        <w:spacing w:after="0"/>
        <w:tabs>
          <w:tab w:leader="none" w:pos="220" w:val="left"/>
        </w:tabs>
        <w:numPr>
          <w:ilvl w:val="0"/>
          <w:numId w:val="136"/>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Includes exceptions for foreign currency exchange and environmental expense.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4CCEDE"/>
        </w:rPr>
        <w:t>forward-looking statements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reports, quarterly reports and other filings with the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risks and uncertainties we face which may cause our actual results to differ materially from the results expressed, projected, or implied in these forward-looking statements include, but are not limited to: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w:t>
      </w:r>
    </w:p>
    <w:p>
      <w:pPr>
        <w:spacing w:after="0" w:line="188" w:lineRule="exact"/>
        <w:rPr>
          <w:sz w:val="20"/>
          <w:szCs w:val="20"/>
          <w:color w:val="auto"/>
        </w:rPr>
      </w:pPr>
    </w:p>
    <w:p>
      <w:pPr>
        <w:ind w:left="7760"/>
        <w:spacing w:after="0"/>
        <w:rPr>
          <w:sz w:val="20"/>
          <w:szCs w:val="20"/>
          <w:color w:val="auto"/>
        </w:rPr>
      </w:pPr>
      <w:r>
        <w:rPr>
          <w:rFonts w:ascii="Arial" w:cs="Arial" w:eastAsia="Arial" w:hAnsi="Arial"/>
          <w:sz w:val="16"/>
          <w:szCs w:val="16"/>
          <w:color w:val="867F7C"/>
        </w:rPr>
        <w:t xml:space="preserve">2026 proxy statement </w:t>
      </w:r>
      <w:r>
        <w:rPr>
          <w:rFonts w:ascii="Arial" w:cs="Arial" w:eastAsia="Arial" w:hAnsi="Arial"/>
          <w:sz w:val="21"/>
          <w:szCs w:val="21"/>
          <w:b w:val="1"/>
          <w:bCs w:val="1"/>
          <w:color w:val="4CCEDE"/>
        </w:rPr>
        <w:t>/</w:t>
      </w:r>
      <w:r>
        <w:rPr>
          <w:rFonts w:ascii="Arial" w:cs="Arial" w:eastAsia="Arial" w:hAnsi="Arial"/>
          <w:sz w:val="16"/>
          <w:szCs w:val="16"/>
          <w:color w:val="867F7C"/>
        </w:rPr>
        <w:t xml:space="preserve"> </w:t>
      </w:r>
      <w:r>
        <w:rPr>
          <w:rFonts w:ascii="Arial" w:cs="Arial" w:eastAsia="Arial" w:hAnsi="Arial"/>
          <w:sz w:val="16"/>
          <w:szCs w:val="16"/>
          <w:b w:val="1"/>
          <w:bCs w:val="1"/>
          <w:color w:val="4CCEDE"/>
        </w:rPr>
        <w:t>a-</w:t>
      </w:r>
      <w:r>
        <w:rPr>
          <w:rFonts w:ascii="Arial" w:cs="Arial" w:eastAsia="Arial" w:hAnsi="Arial"/>
          <w:sz w:val="16"/>
          <w:szCs w:val="16"/>
          <w:b w:val="1"/>
          <w:bCs w:val="1"/>
          <w:color w:val="63D0D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494665</wp:posOffset>
            </wp:positionV>
            <wp:extent cx="703770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-143510</wp:posOffset>
            </wp:positionV>
            <wp:extent cx="61722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867F7C"/>
        </w:rPr>
        <w:t>appendix a — use of non-GAAP financial measures and non-GAAP reconciliations</w:t>
      </w:r>
    </w:p>
    <w:p>
      <w:pPr>
        <w:spacing w:after="0" w:line="3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and changes in taxation or adverse tax rulings. These risks and uncertainties also include, but are not limited to, the risk factors set forth in Item 1A. “Risk Factors” of Ashland’s most recent Form 10-K, and in our other periodic reports filed with the SEC. Ashland believes its expectations and assumptions are reasonable, but there can be no assurance that the expectations reflected herein will be achieved. Unless legally required, Ashland undertakes no obligation to update publicly any forward-looking statements made in this presentation whether as a result of new information, future events or otherwise. Information on Ashland’s website is not incorporated into or a part of this Proxy Statement.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4CCEDE"/>
        </w:rPr>
        <w:t xml:space="preserve">a-6 </w:t>
      </w:r>
      <w:r>
        <w:rPr>
          <w:rFonts w:ascii="Arial" w:cs="Arial" w:eastAsia="Arial" w:hAnsi="Arial"/>
          <w:sz w:val="21"/>
          <w:szCs w:val="21"/>
          <w:b w:val="1"/>
          <w:bCs w:val="1"/>
          <w:color w:val="4CCEDE"/>
        </w:rPr>
        <w:t>/</w:t>
      </w:r>
      <w:r>
        <w:rPr>
          <w:rFonts w:ascii="Arial" w:cs="Arial" w:eastAsia="Arial" w:hAnsi="Arial"/>
          <w:sz w:val="16"/>
          <w:szCs w:val="16"/>
          <w:b w:val="1"/>
          <w:bCs w:val="1"/>
          <w:color w:val="4CCEDE"/>
        </w:rPr>
        <w:t xml:space="preserve"> </w:t>
      </w:r>
      <w:r>
        <w:rPr>
          <w:rFonts w:ascii="Arial" w:cs="Arial" w:eastAsia="Arial" w:hAnsi="Arial"/>
          <w:sz w:val="16"/>
          <w:szCs w:val="16"/>
          <w:color w:val="867F7C"/>
        </w:rPr>
        <w:t>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494665</wp:posOffset>
            </wp:positionV>
            <wp:extent cx="703770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-143510</wp:posOffset>
            </wp:positionV>
            <wp:extent cx="61722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645795</wp:posOffset>
            </wp:positionV>
            <wp:extent cx="7037705" cy="8422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037705" cy="8422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9222740</wp:posOffset>
            </wp:positionV>
            <wp:extent cx="703770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696595</wp:posOffset>
            </wp:positionH>
            <wp:positionV relativeFrom="page">
              <wp:posOffset>637540</wp:posOffset>
            </wp:positionV>
            <wp:extent cx="6017895" cy="7774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6017895" cy="7774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lvl w:ilvl="1">
      <w:lvlJc w:val="left"/>
      <w:lvlText w:val="(%2)"/>
      <w:numFmt w:val="decimal"/>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1"/>
      <w:numFmt w:val="lowerRoman"/>
      <w:start w:val="2"/>
    </w:lvl>
  </w:abstractNum>
  <w:abstractNum w:abstractNumId="9">
    <w:nsid w:val="1EBA5D23"/>
    <w:multiLevelType w:val="hybridMultilevel"/>
    <w:lvl w:ilvl="0">
      <w:lvlJc w:val="left"/>
      <w:lvlText w:val="(%1)"/>
      <w:numFmt w:val="decimal"/>
      <w:start w:val="2"/>
    </w:lvl>
  </w:abstractNum>
  <w:abstractNum w:abstractNumId="10">
    <w:nsid w:val="661E3F1E"/>
    <w:multiLevelType w:val="hybridMultilevel"/>
    <w:lvl w:ilvl="0">
      <w:lvlJc w:val="left"/>
      <w:lvlText w:val="4"/>
      <w:numFmt w:val="bullet"/>
      <w:start w:val="1"/>
    </w:lvl>
  </w:abstractNum>
  <w:abstractNum w:abstractNumId="11">
    <w:nsid w:val="5DC79EA8"/>
    <w:multiLevelType w:val="hybridMultilevel"/>
    <w:lvl w:ilvl="0">
      <w:lvlJc w:val="left"/>
      <w:lvlText w:val="%1"/>
      <w:numFmt w:val="decimal"/>
      <w:start w:val="11"/>
    </w:lvl>
  </w:abstractNum>
  <w:abstractNum w:abstractNumId="12">
    <w:nsid w:val="540A471C"/>
    <w:multiLevelType w:val="hybridMultilevel"/>
    <w:lvl w:ilvl="0">
      <w:lvlJc w:val="left"/>
      <w:lvlText w:val="%1"/>
      <w:numFmt w:val="decimal"/>
      <w:start w:val="14"/>
    </w:lvl>
  </w:abstractNum>
  <w:abstractNum w:abstractNumId="13">
    <w:nsid w:val="7BD3EE7B"/>
    <w:multiLevelType w:val="hybridMultilevel"/>
    <w:lvl w:ilvl="0">
      <w:lvlJc w:val="left"/>
      <w:lvlText w:val="%1"/>
      <w:numFmt w:val="decimal"/>
      <w:start w:val="14"/>
    </w:lvl>
  </w:abstractNum>
  <w:abstractNum w:abstractNumId="14">
    <w:nsid w:val="51D9C564"/>
    <w:multiLevelType w:val="hybridMultilevel"/>
    <w:lvl w:ilvl="0">
      <w:lvlJc w:val="left"/>
      <w:lvlText w:val="%1"/>
      <w:numFmt w:val="decimal"/>
      <w:start w:val="17"/>
    </w:lvl>
  </w:abstractNum>
  <w:abstractNum w:abstractNumId="15">
    <w:nsid w:val="613EFDC5"/>
    <w:multiLevelType w:val="hybridMultilevel"/>
    <w:lvl w:ilvl="0">
      <w:lvlJc w:val="left"/>
      <w:lvlText w:val="%1"/>
      <w:numFmt w:val="decimal"/>
      <w:start w:val="17"/>
    </w:lvl>
  </w:abstractNum>
  <w:abstractNum w:abstractNumId="16">
    <w:nsid w:val="BF72B14"/>
    <w:multiLevelType w:val="hybridMultilevel"/>
    <w:lvl w:ilvl="0">
      <w:lvlJc w:val="left"/>
      <w:lvlText w:val="%1"/>
      <w:numFmt w:val="decimal"/>
      <w:start w:val="32"/>
    </w:lvl>
  </w:abstractNum>
  <w:abstractNum w:abstractNumId="17">
    <w:nsid w:val="11447B73"/>
    <w:multiLevelType w:val="hybridMultilevel"/>
    <w:lvl w:ilvl="0">
      <w:lvlJc w:val="left"/>
      <w:lvlText w:val="%1"/>
      <w:numFmt w:val="lowerRoman"/>
      <w:start w:val="4"/>
    </w:lvl>
  </w:abstractNum>
  <w:abstractNum w:abstractNumId="18">
    <w:nsid w:val="42963E5A"/>
    <w:multiLevelType w:val="hybridMultilevel"/>
    <w:lvl w:ilvl="0">
      <w:lvlJc w:val="left"/>
      <w:lvlText w:val="(%1)"/>
      <w:numFmt w:val="decimal"/>
      <w:start w:val="1"/>
    </w:lvl>
  </w:abstractNum>
  <w:abstractNum w:abstractNumId="19">
    <w:nsid w:val="A0382C5"/>
    <w:multiLevelType w:val="hybridMultilevel"/>
    <w:lvl w:ilvl="0">
      <w:lvlJc w:val="left"/>
      <w:lvlText w:val="o"/>
      <w:numFmt w:val="bullet"/>
      <w:start w:val="1"/>
    </w:lvl>
  </w:abstractNum>
  <w:abstractNum w:abstractNumId="20">
    <w:nsid w:val="8F2B15E"/>
    <w:multiLevelType w:val="hybridMultilevel"/>
    <w:lvl w:ilvl="0">
      <w:lvlJc w:val="left"/>
      <w:lvlText w:val="(%1)"/>
      <w:numFmt w:val="decimal"/>
      <w:start w:val="1"/>
    </w:lvl>
  </w:abstractNum>
  <w:abstractNum w:abstractNumId="21">
    <w:nsid w:val="1A32234B"/>
    <w:multiLevelType w:val="hybridMultilevel"/>
    <w:lvl w:ilvl="0">
      <w:lvlJc w:val="left"/>
      <w:lvlText w:val="o"/>
      <w:numFmt w:val="bullet"/>
      <w:start w:val="1"/>
    </w:lvl>
  </w:abstractNum>
  <w:abstractNum w:abstractNumId="22">
    <w:nsid w:val="3B0FD379"/>
    <w:multiLevelType w:val="hybridMultilevel"/>
    <w:lvl w:ilvl="0">
      <w:lvlJc w:val="left"/>
      <w:lvlText w:val="(%1)"/>
      <w:numFmt w:val="decimal"/>
      <w:start w:val="1"/>
    </w:lvl>
  </w:abstractNum>
  <w:abstractNum w:abstractNumId="23">
    <w:nsid w:val="68EB2F63"/>
    <w:multiLevelType w:val="hybridMultilevel"/>
    <w:lvl w:ilvl="0">
      <w:lvlJc w:val="left"/>
      <w:lvlText w:val="(%1)"/>
      <w:numFmt w:val="decimal"/>
      <w:start w:val="1"/>
    </w:lvl>
  </w:abstractNum>
  <w:abstractNum w:abstractNumId="24">
    <w:nsid w:val="4962813B"/>
    <w:multiLevelType w:val="hybridMultilevel"/>
    <w:lvl w:ilvl="0">
      <w:lvlJc w:val="left"/>
      <w:lvlText w:val="(%1)"/>
      <w:numFmt w:val="decimal"/>
      <w:start w:val="3"/>
    </w:lvl>
  </w:abstractNum>
  <w:abstractNum w:abstractNumId="25">
    <w:nsid w:val="60B6DF70"/>
    <w:multiLevelType w:val="hybridMultilevel"/>
    <w:lvl w:ilvl="0">
      <w:lvlJc w:val="left"/>
      <w:lvlText w:val="o"/>
      <w:numFmt w:val="bullet"/>
      <w:start w:val="1"/>
    </w:lvl>
  </w:abstractNum>
  <w:abstractNum w:abstractNumId="26">
    <w:nsid w:val="6A5EE64"/>
    <w:multiLevelType w:val="hybridMultilevel"/>
    <w:lvl w:ilvl="0">
      <w:lvlJc w:val="left"/>
      <w:lvlText w:val="o"/>
      <w:numFmt w:val="bullet"/>
      <w:start w:val="1"/>
    </w:lvl>
  </w:abstractNum>
  <w:abstractNum w:abstractNumId="27">
    <w:nsid w:val="14330624"/>
    <w:multiLevelType w:val="hybridMultilevel"/>
    <w:lvl w:ilvl="0">
      <w:lvlJc w:val="left"/>
      <w:lvlText w:val="o"/>
      <w:numFmt w:val="bullet"/>
      <w:start w:val="1"/>
    </w:lvl>
  </w:abstractNum>
  <w:abstractNum w:abstractNumId="28">
    <w:nsid w:val="7FFFCA11"/>
    <w:multiLevelType w:val="hybridMultilevel"/>
    <w:lvl w:ilvl="0">
      <w:lvlJc w:val="left"/>
      <w:lvlText w:val="o"/>
      <w:numFmt w:val="bullet"/>
      <w:start w:val="1"/>
    </w:lvl>
  </w:abstractNum>
  <w:abstractNum w:abstractNumId="29">
    <w:nsid w:val="1A27709E"/>
    <w:multiLevelType w:val="hybridMultilevel"/>
    <w:lvl w:ilvl="0">
      <w:lvlJc w:val="left"/>
      <w:lvlText w:val="o"/>
      <w:numFmt w:val="bullet"/>
      <w:start w:val="1"/>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o"/>
      <w:numFmt w:val="bullet"/>
      <w:start w:val="1"/>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1)"/>
      <w:numFmt w:val="decimal"/>
      <w:start w:val="1"/>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o"/>
      <w:numFmt w:val="bullet"/>
      <w:start w:val="1"/>
    </w:lvl>
  </w:abstractNum>
  <w:abstractNum w:abstractNumId="40">
    <w:nsid w:val="14E17E33"/>
    <w:multiLevelType w:val="hybridMultilevel"/>
    <w:lvl w:ilvl="0">
      <w:lvlJc w:val="left"/>
      <w:lvlText w:val="(%1)"/>
      <w:numFmt w:val="decimal"/>
      <w:start w:val="2"/>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1"/>
    </w:lvl>
  </w:abstractNum>
  <w:abstractNum w:abstractNumId="43">
    <w:nsid w:val="68EBC550"/>
    <w:multiLevelType w:val="hybridMultilevel"/>
    <w:lvl w:ilvl="0">
      <w:lvlJc w:val="left"/>
      <w:lvlText w:val="o"/>
      <w:numFmt w:val="bullet"/>
      <w:start w:val="1"/>
    </w:lvl>
  </w:abstractNum>
  <w:abstractNum w:abstractNumId="44">
    <w:nsid w:val="2DF6D648"/>
    <w:multiLevelType w:val="hybridMultilevel"/>
    <w:lvl w:ilvl="0">
      <w:lvlJc w:val="left"/>
      <w:lvlText w:val="ü"/>
      <w:numFmt w:val="bullet"/>
      <w:start w:val="1"/>
    </w:lvl>
  </w:abstractNum>
  <w:abstractNum w:abstractNumId="45">
    <w:nsid w:val="46B7D447"/>
    <w:multiLevelType w:val="hybridMultilevel"/>
    <w:lvl w:ilvl="0">
      <w:lvlJc w:val="left"/>
      <w:lvlText w:val="ü"/>
      <w:numFmt w:val="bullet"/>
      <w:start w:val="1"/>
    </w:lvl>
  </w:abstractNum>
  <w:abstractNum w:abstractNumId="46">
    <w:nsid w:val="4A2AC315"/>
    <w:multiLevelType w:val="hybridMultilevel"/>
    <w:lvl w:ilvl="0">
      <w:lvlJc w:val="left"/>
      <w:lvlText w:val="(%1)"/>
      <w:numFmt w:val="decimal"/>
      <w:start w:val="1"/>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decimal"/>
      <w:start w:val="1"/>
    </w:lvl>
    <w:lvl w:ilvl="1">
      <w:lvlJc w:val="left"/>
      <w:lvlText w:val="%2."/>
      <w:numFmt w:val="lowerLetter"/>
      <w:start w:val="1"/>
    </w:lvl>
  </w:abstractNum>
  <w:abstractNum w:abstractNumId="49">
    <w:nsid w:val="CC1016F"/>
    <w:multiLevelType w:val="hybridMultilevel"/>
    <w:lvl w:ilvl="0">
      <w:lvlJc w:val="left"/>
      <w:lvlText w:val="(%1)"/>
      <w:numFmt w:val="decimal"/>
      <w:start w:val="1"/>
    </w:lvl>
  </w:abstractNum>
  <w:abstractNum w:abstractNumId="50">
    <w:nsid w:val="43F18422"/>
    <w:multiLevelType w:val="hybridMultilevel"/>
    <w:lvl w:ilvl="0">
      <w:lvlJc w:val="left"/>
      <w:lvlText w:val="(%1)"/>
      <w:numFmt w:val="decimal"/>
      <w:start w:val="1"/>
    </w:lvl>
  </w:abstractNum>
  <w:abstractNum w:abstractNumId="51">
    <w:nsid w:val="60EF0119"/>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3"/>
    </w:lvl>
  </w:abstractNum>
  <w:abstractNum w:abstractNumId="52">
    <w:nsid w:val="26F324BA"/>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53">
    <w:nsid w:val="7F01579B"/>
    <w:multiLevelType w:val="hybridMultilevel"/>
    <w:lvl w:ilvl="0">
      <w:lvlJc w:val="left"/>
      <w:lvlText w:val="%1"/>
      <w:numFmt w:val="lowerRoman"/>
      <w:start w:val="1"/>
    </w:lvl>
    <w:lvl w:ilvl="1">
      <w:lvlJc w:val="left"/>
      <w:lvlText w:val="(%2)"/>
      <w:numFmt w:val="lowerRoman"/>
      <w:start w:val="5"/>
    </w:lvl>
    <w:lvl w:ilvl="2">
      <w:lvlJc w:val="left"/>
      <w:lvlText w:val="%3"/>
      <w:numFmt w:val="lowerRoman"/>
      <w:start w:val="1"/>
    </w:lvl>
  </w:abstractNum>
  <w:abstractNum w:abstractNumId="54">
    <w:nsid w:val="49DA307D"/>
    <w:multiLevelType w:val="hybridMultilevel"/>
    <w:lvl w:ilvl="0">
      <w:lvlJc w:val="left"/>
      <w:lvlText w:val="(%1)"/>
      <w:numFmt w:val="lowerRoman"/>
      <w:start w:val="1"/>
    </w:lvl>
  </w:abstractNum>
  <w:abstractNum w:abstractNumId="55">
    <w:nsid w:val="7055A5F5"/>
    <w:multiLevelType w:val="hybridMultilevel"/>
    <w:lvl w:ilvl="0">
      <w:lvlJc w:val="left"/>
      <w:lvlText w:val="(%1)"/>
      <w:numFmt w:val="lowerRoman"/>
      <w:start w:val="1"/>
    </w:lvl>
  </w:abstractNum>
  <w:abstractNum w:abstractNumId="56">
    <w:nsid w:val="5FB8370B"/>
    <w:multiLevelType w:val="hybridMultilevel"/>
    <w:lvl w:ilvl="0">
      <w:lvlJc w:val="left"/>
      <w:lvlText w:val="%1"/>
      <w:numFmt w:val="lowerRoman"/>
      <w:start w:val="1"/>
    </w:lvl>
    <w:lvl w:ilvl="1">
      <w:lvlJc w:val="left"/>
      <w:lvlText w:val="(%2)"/>
      <w:numFmt w:val="lowerRoman"/>
      <w:start w:val="4"/>
    </w:lvl>
  </w:abstractNum>
  <w:abstractNum w:abstractNumId="57">
    <w:nsid w:val="50801EE1"/>
    <w:multiLevelType w:val="hybridMultilevel"/>
    <w:lvl w:ilvl="0">
      <w:lvlJc w:val="left"/>
      <w:lvlText w:val="(%1)"/>
      <w:numFmt w:val="lowerRoman"/>
      <w:start w:val="1"/>
    </w:lvl>
    <w:lvl w:ilvl="1">
      <w:lvlJc w:val="left"/>
      <w:lvlText w:val="%2"/>
      <w:numFmt w:val="lowerRoman"/>
      <w:start w:val="1"/>
    </w:lvl>
  </w:abstractNum>
  <w:abstractNum w:abstractNumId="58">
    <w:nsid w:val="488AC1A"/>
    <w:multiLevelType w:val="hybridMultilevel"/>
    <w:lvl w:ilvl="0">
      <w:lvlJc w:val="left"/>
      <w:lvlText w:val="(%1)"/>
      <w:numFmt w:val="lowerRoman"/>
      <w:start w:val="1"/>
    </w:lvl>
    <w:lvl w:ilvl="1">
      <w:lvlJc w:val="left"/>
      <w:lvlText w:val="(%2)"/>
      <w:numFmt w:val="lowerRoman"/>
      <w:start w:val="3"/>
    </w:lvl>
  </w:abstractNum>
  <w:abstractNum w:abstractNumId="59">
    <w:nsid w:val="5FB8011C"/>
    <w:multiLevelType w:val="hybridMultilevel"/>
    <w:lvl w:ilvl="0">
      <w:lvlJc w:val="left"/>
      <w:lvlText w:val="(%1)"/>
      <w:numFmt w:val="decimal"/>
      <w:start w:val="1"/>
    </w:lvl>
    <w:lvl w:ilvl="1">
      <w:lvlJc w:val="left"/>
      <w:lvlText w:val="(%2)"/>
      <w:numFmt w:val="lowerRoman"/>
      <w:start w:val="1"/>
    </w:lvl>
  </w:abstractNum>
  <w:abstractNum w:abstractNumId="60">
    <w:nsid w:val="6AA78F7F"/>
    <w:multiLevelType w:val="hybridMultilevel"/>
    <w:lvl w:ilvl="0">
      <w:lvlJc w:val="left"/>
      <w:lvlText w:val="%1"/>
      <w:numFmt w:val="decimal"/>
      <w:start w:val="1"/>
    </w:lvl>
    <w:lvl w:ilvl="1">
      <w:lvlJc w:val="left"/>
      <w:lvlText w:val="(%2)"/>
      <w:numFmt w:val="lowerRoman"/>
      <w:start w:val="1"/>
    </w:lvl>
  </w:abstractNum>
  <w:abstractNum w:abstractNumId="61">
    <w:nsid w:val="7672BD23"/>
    <w:multiLevelType w:val="hybridMultilevel"/>
    <w:lvl w:ilvl="0">
      <w:lvlJc w:val="left"/>
      <w:lvlText w:val="(%1)"/>
      <w:numFmt w:val="decimal"/>
      <w:start w:val="2"/>
    </w:lvl>
    <w:lvl w:ilvl="1">
      <w:lvlJc w:val="left"/>
      <w:lvlText w:val="%2"/>
      <w:numFmt w:val="lowerRoman"/>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lowerRoman"/>
      <w:start w:val="1"/>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1)"/>
      <w:numFmt w:val="decimal"/>
      <w:start w:val="1"/>
    </w:lvl>
  </w:abstractNum>
  <w:abstractNum w:abstractNumId="66">
    <w:nsid w:val="73A1821B"/>
    <w:multiLevelType w:val="hybridMultilevel"/>
    <w:lvl w:ilvl="0">
      <w:lvlJc w:val="left"/>
      <w:lvlText w:val="(%1)"/>
      <w:numFmt w:val="decimal"/>
      <w:start w:val="10"/>
    </w:lvl>
  </w:abstractNum>
  <w:abstractNum w:abstractNumId="67">
    <w:nsid w:val="7DE67713"/>
    <w:multiLevelType w:val="hybridMultilevel"/>
    <w:lvl w:ilvl="0">
      <w:lvlJc w:val="left"/>
      <w:lvlText w:val="o"/>
      <w:numFmt w:val="bullet"/>
      <w:start w:val="1"/>
    </w:lvl>
  </w:abstractNum>
  <w:abstractNum w:abstractNumId="68">
    <w:nsid w:val="555C55B5"/>
    <w:multiLevelType w:val="hybridMultilevel"/>
    <w:lvl w:ilvl="0">
      <w:lvlJc w:val="left"/>
      <w:lvlText w:val="o"/>
      <w:numFmt w:val="bullet"/>
      <w:start w:val="1"/>
    </w:lvl>
  </w:abstractNum>
  <w:abstractNum w:abstractNumId="69">
    <w:nsid w:val="3FA62ACA"/>
    <w:multiLevelType w:val="hybridMultilevel"/>
    <w:lvl w:ilvl="0">
      <w:lvlJc w:val="left"/>
      <w:lvlText w:val="o"/>
      <w:numFmt w:val="bullet"/>
      <w:start w:val="1"/>
    </w:lvl>
  </w:abstractNum>
  <w:abstractNum w:abstractNumId="70">
    <w:nsid w:val="14FCE74E"/>
    <w:multiLevelType w:val="hybridMultilevel"/>
    <w:lvl w:ilvl="0">
      <w:lvlJc w:val="left"/>
      <w:lvlText w:val="o"/>
      <w:numFmt w:val="bullet"/>
      <w:start w:val="1"/>
    </w:lvl>
  </w:abstractNum>
  <w:abstractNum w:abstractNumId="71">
    <w:nsid w:val="6A3DD3E8"/>
    <w:multiLevelType w:val="hybridMultilevel"/>
    <w:lvl w:ilvl="0">
      <w:lvlJc w:val="left"/>
      <w:lvlText w:val="o"/>
      <w:numFmt w:val="bullet"/>
      <w:start w:val="1"/>
    </w:lvl>
  </w:abstractNum>
  <w:abstractNum w:abstractNumId="72">
    <w:nsid w:val="71C91298"/>
    <w:multiLevelType w:val="hybridMultilevel"/>
    <w:lvl w:ilvl="0">
      <w:lvlJc w:val="left"/>
      <w:lvlText w:val="o"/>
      <w:numFmt w:val="bullet"/>
      <w:start w:val="1"/>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1)"/>
      <w:numFmt w:val="decimal"/>
      <w:start w:val="2"/>
    </w:lvl>
  </w:abstractNum>
  <w:abstractNum w:abstractNumId="75">
    <w:nsid w:val="1FBFE8E0"/>
    <w:multiLevelType w:val="hybridMultilevel"/>
    <w:lvl w:ilvl="0">
      <w:lvlJc w:val="left"/>
      <w:lvlText w:val="(%1)"/>
      <w:numFmt w:val="decimal"/>
      <w:start w:val="3"/>
    </w:lvl>
  </w:abstractNum>
  <w:abstractNum w:abstractNumId="76">
    <w:nsid w:val="5092CA79"/>
    <w:multiLevelType w:val="hybridMultilevel"/>
    <w:lvl w:ilvl="0">
      <w:lvlJc w:val="left"/>
      <w:lvlText w:val="(%1)"/>
      <w:numFmt w:val="decimal"/>
      <w:start w:val="1"/>
    </w:lvl>
  </w:abstractNum>
  <w:abstractNum w:abstractNumId="77">
    <w:nsid w:val="1D545C4D"/>
    <w:multiLevelType w:val="hybridMultilevel"/>
    <w:lvl w:ilvl="0">
      <w:lvlJc w:val="left"/>
      <w:lvlText w:val="(%1)"/>
      <w:numFmt w:val="decimal"/>
      <w:start w:val="1"/>
    </w:lvl>
  </w:abstractNum>
  <w:abstractNum w:abstractNumId="78">
    <w:nsid w:val="59ADEA3D"/>
    <w:multiLevelType w:val="hybridMultilevel"/>
    <w:lvl w:ilvl="0">
      <w:lvlJc w:val="left"/>
      <w:lvlText w:val="(%1)"/>
      <w:numFmt w:val="decimal"/>
      <w:start w:val="4"/>
    </w:lvl>
    <w:lvl w:ilvl="1">
      <w:lvlJc w:val="left"/>
      <w:lvlText w:val="(%2)"/>
      <w:numFmt w:val="lowerLetter"/>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lvl w:ilvl="1">
      <w:lvlJc w:val="left"/>
      <w:lvlText w:val="(%2)"/>
      <w:numFmt w:val="decimal"/>
      <w:start w:val="1"/>
    </w:lvl>
  </w:abstractNum>
  <w:abstractNum w:abstractNumId="81">
    <w:nsid w:val="1D9F6E5F"/>
    <w:multiLevelType w:val="hybridMultilevel"/>
    <w:lvl w:ilvl="0">
      <w:lvlJc w:val="left"/>
      <w:lvlText w:val="%1:"/>
      <w:numFmt w:val="lowerLetter"/>
      <w:start w:val="17"/>
    </w:lvl>
  </w:abstractNum>
  <w:abstractNum w:abstractNumId="82">
    <w:nsid w:val="97E1B4E"/>
    <w:multiLevelType w:val="hybridMultilevel"/>
    <w:lvl w:ilvl="0">
      <w:lvlJc w:val="left"/>
      <w:lvlText w:val="%1:"/>
      <w:numFmt w:val="lowerLetter"/>
      <w:start w:val="1"/>
    </w:lvl>
  </w:abstractNum>
  <w:abstractNum w:abstractNumId="83">
    <w:nsid w:val="51088277"/>
    <w:multiLevelType w:val="hybridMultilevel"/>
    <w:lvl w:ilvl="0">
      <w:lvlJc w:val="left"/>
      <w:lvlText w:val="%1:"/>
      <w:numFmt w:val="lowerLetter"/>
      <w:start w:val="17"/>
    </w:lvl>
  </w:abstractNum>
  <w:abstractNum w:abstractNumId="84">
    <w:nsid w:val="1CA0C5FA"/>
    <w:multiLevelType w:val="hybridMultilevel"/>
    <w:lvl w:ilvl="0">
      <w:lvlJc w:val="left"/>
      <w:lvlText w:val="%1:"/>
      <w:numFmt w:val="lowerLetter"/>
      <w:start w:val="1"/>
    </w:lvl>
    <w:lvl w:ilvl="1">
      <w:lvlJc w:val="left"/>
      <w:lvlText w:val="•"/>
      <w:numFmt w:val="bullet"/>
      <w:start w:val="1"/>
    </w:lvl>
  </w:abstractNum>
  <w:abstractNum w:abstractNumId="85">
    <w:nsid w:val="53584BCB"/>
    <w:multiLevelType w:val="hybridMultilevel"/>
    <w:lvl w:ilvl="0">
      <w:lvlJc w:val="left"/>
      <w:lvlText w:val="%1:"/>
      <w:numFmt w:val="lowerLetter"/>
      <w:start w:val="17"/>
    </w:lvl>
  </w:abstractNum>
  <w:abstractNum w:abstractNumId="86">
    <w:nsid w:val="415E286C"/>
    <w:multiLevelType w:val="hybridMultilevel"/>
    <w:lvl w:ilvl="0">
      <w:lvlJc w:val="left"/>
      <w:lvlText w:val="%1:"/>
      <w:numFmt w:val="lowerLetter"/>
      <w:start w:val="1"/>
    </w:lvl>
  </w:abstractNum>
  <w:abstractNum w:abstractNumId="87">
    <w:nsid w:val="7C58FD05"/>
    <w:multiLevelType w:val="hybridMultilevel"/>
    <w:lvl w:ilvl="0">
      <w:lvlJc w:val="left"/>
      <w:lvlText w:val="%1:"/>
      <w:numFmt w:val="lowerLetter"/>
      <w:start w:val="17"/>
    </w:lvl>
  </w:abstractNum>
  <w:abstractNum w:abstractNumId="88">
    <w:nsid w:val="23D86AAC"/>
    <w:multiLevelType w:val="hybridMultilevel"/>
    <w:lvl w:ilvl="0">
      <w:lvlJc w:val="left"/>
      <w:lvlText w:val="%1:"/>
      <w:numFmt w:val="lowerLetter"/>
      <w:start w:val="1"/>
    </w:lvl>
  </w:abstractNum>
  <w:abstractNum w:abstractNumId="89">
    <w:nsid w:val="45E6D486"/>
    <w:multiLevelType w:val="hybridMultilevel"/>
    <w:lvl w:ilvl="0">
      <w:lvlJc w:val="left"/>
      <w:lvlText w:val="%1:"/>
      <w:numFmt w:val="lowerLetter"/>
      <w:start w:val="17"/>
    </w:lvl>
  </w:abstractNum>
  <w:abstractNum w:abstractNumId="90">
    <w:nsid w:val="5C10FE21"/>
    <w:multiLevelType w:val="hybridMultilevel"/>
    <w:lvl w:ilvl="0">
      <w:lvlJc w:val="left"/>
      <w:lvlText w:val="%1:"/>
      <w:numFmt w:val="lowerLetter"/>
      <w:start w:val="1"/>
    </w:lvl>
  </w:abstractNum>
  <w:abstractNum w:abstractNumId="91">
    <w:nsid w:val="E7FFA2B"/>
    <w:multiLevelType w:val="hybridMultilevel"/>
    <w:lvl w:ilvl="0">
      <w:lvlJc w:val="left"/>
      <w:lvlText w:val="%1:"/>
      <w:numFmt w:val="lowerLetter"/>
      <w:start w:val="17"/>
    </w:lvl>
  </w:abstractNum>
  <w:abstractNum w:abstractNumId="92">
    <w:nsid w:val="3C5991AA"/>
    <w:multiLevelType w:val="hybridMultilevel"/>
    <w:lvl w:ilvl="0">
      <w:lvlJc w:val="left"/>
      <w:lvlText w:val="%1:"/>
      <w:numFmt w:val="lowerLetter"/>
      <w:start w:val="1"/>
    </w:lvl>
  </w:abstractNum>
  <w:abstractNum w:abstractNumId="93">
    <w:nsid w:val="4BD8591A"/>
    <w:multiLevelType w:val="hybridMultilevel"/>
    <w:lvl w:ilvl="0">
      <w:lvlJc w:val="left"/>
      <w:lvlText w:val="%1:"/>
      <w:numFmt w:val="lowerLetter"/>
      <w:start w:val="17"/>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17"/>
    </w:lvl>
  </w:abstractNum>
  <w:abstractNum w:abstractNumId="97">
    <w:nsid w:val="6C80EC70"/>
    <w:multiLevelType w:val="hybridMultilevel"/>
    <w:lvl w:ilvl="0">
      <w:lvlJc w:val="left"/>
      <w:lvlText w:val="%1:"/>
      <w:numFmt w:val="lowerLetter"/>
      <w:start w:val="1"/>
    </w:lvl>
    <w:lvl w:ilvl="1">
      <w:lvlJc w:val="left"/>
      <w:lvlText w:val="(%2)"/>
      <w:numFmt w:val="decimal"/>
      <w:start w:val="2"/>
    </w:lvl>
  </w:abstractNum>
  <w:abstractNum w:abstractNumId="98">
    <w:nsid w:val="379E21B5"/>
    <w:multiLevelType w:val="hybridMultilevel"/>
    <w:lvl w:ilvl="0">
      <w:lvlJc w:val="left"/>
      <w:lvlText w:val="%1:"/>
      <w:numFmt w:val="lowerLetter"/>
      <w:start w:val="17"/>
    </w:lvl>
  </w:abstractNum>
  <w:abstractNum w:abstractNumId="99">
    <w:nsid w:val="69E373"/>
    <w:multiLevelType w:val="hybridMultilevel"/>
    <w:lvl w:ilvl="0">
      <w:lvlJc w:val="left"/>
      <w:lvlText w:val="%1:"/>
      <w:numFmt w:val="lowerLetter"/>
      <w:start w:val="1"/>
    </w:lvl>
    <w:lvl w:ilvl="1">
      <w:lvlJc w:val="left"/>
      <w:lvlText w:val="(%2)"/>
      <w:numFmt w:val="decimal"/>
      <w:start w:val="1"/>
    </w:lvl>
  </w:abstractNum>
  <w:abstractNum w:abstractNumId="100">
    <w:nsid w:val="2C27173B"/>
    <w:multiLevelType w:val="hybridMultilevel"/>
    <w:lvl w:ilvl="0">
      <w:lvlJc w:val="left"/>
      <w:lvlText w:val="%1:"/>
      <w:numFmt w:val="lowerLetter"/>
      <w:start w:val="17"/>
    </w:lvl>
  </w:abstractNum>
  <w:abstractNum w:abstractNumId="101">
    <w:nsid w:val="4C9B0904"/>
    <w:multiLevelType w:val="hybridMultilevel"/>
    <w:lvl w:ilvl="0">
      <w:lvlJc w:val="left"/>
      <w:lvlText w:val="%1:"/>
      <w:numFmt w:val="lowerLetter"/>
      <w:start w:val="1"/>
    </w:lvl>
  </w:abstractNum>
  <w:abstractNum w:abstractNumId="102">
    <w:nsid w:val="6AA7B75C"/>
    <w:multiLevelType w:val="hybridMultilevel"/>
    <w:lvl w:ilvl="0">
      <w:lvlJc w:val="left"/>
      <w:lvlText w:val="%1:"/>
      <w:numFmt w:val="lowerLetter"/>
      <w:start w:val="17"/>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1"/>
    </w:lvl>
  </w:abstractNum>
  <w:abstractNum w:abstractNumId="105">
    <w:nsid w:val="3DD15094"/>
    <w:multiLevelType w:val="hybridMultilevel"/>
    <w:lvl w:ilvl="0">
      <w:lvlJc w:val="left"/>
      <w:lvlText w:val="%1:"/>
      <w:numFmt w:val="lowerLetter"/>
      <w:start w:val="17"/>
    </w:lvl>
  </w:abstractNum>
  <w:abstractNum w:abstractNumId="106">
    <w:nsid w:val="3DB012B3"/>
    <w:multiLevelType w:val="hybridMultilevel"/>
    <w:lvl w:ilvl="0">
      <w:lvlJc w:val="left"/>
      <w:lvlText w:val="%1:"/>
      <w:numFmt w:val="lowerLetter"/>
      <w:start w:val="1"/>
    </w:lvl>
  </w:abstractNum>
  <w:abstractNum w:abstractNumId="107">
    <w:nsid w:val="2708C9AF"/>
    <w:multiLevelType w:val="hybridMultilevel"/>
    <w:lvl w:ilvl="0">
      <w:lvlJc w:val="left"/>
      <w:lvlText w:val="%1:"/>
      <w:numFmt w:val="lowerLetter"/>
      <w:start w:val="17"/>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1:"/>
      <w:numFmt w:val="lowerLetter"/>
      <w:start w:val="17"/>
    </w:lvl>
  </w:abstractNum>
  <w:abstractNum w:abstractNumId="110">
    <w:nsid w:val="4F97E3E4"/>
    <w:multiLevelType w:val="hybridMultilevel"/>
    <w:lvl w:ilvl="0">
      <w:lvlJc w:val="left"/>
      <w:lvlText w:val="%1:"/>
      <w:numFmt w:val="lowerLetter"/>
      <w:start w:val="1"/>
    </w:lvl>
  </w:abstractNum>
  <w:abstractNum w:abstractNumId="111">
    <w:nsid w:val="53B0A9E"/>
    <w:multiLevelType w:val="hybridMultilevel"/>
    <w:lvl w:ilvl="0">
      <w:lvlJc w:val="left"/>
      <w:lvlText w:val="%1:"/>
      <w:numFmt w:val="lowerLetter"/>
      <w:start w:val="17"/>
    </w:lvl>
  </w:abstractNum>
  <w:abstractNum w:abstractNumId="112">
    <w:nsid w:val="34FD6B4F"/>
    <w:multiLevelType w:val="hybridMultilevel"/>
    <w:lvl w:ilvl="0">
      <w:lvlJc w:val="left"/>
      <w:lvlText w:val="%1:"/>
      <w:numFmt w:val="lowerLetter"/>
      <w:start w:val="1"/>
    </w:lvl>
  </w:abstractNum>
  <w:abstractNum w:abstractNumId="113">
    <w:nsid w:val="5915FF32"/>
    <w:multiLevelType w:val="hybridMultilevel"/>
    <w:lvl w:ilvl="0">
      <w:lvlJc w:val="left"/>
      <w:lvlText w:val="%1:"/>
      <w:numFmt w:val="lowerLetter"/>
      <w:start w:val="17"/>
    </w:lvl>
  </w:abstractNum>
  <w:abstractNum w:abstractNumId="114">
    <w:nsid w:val="56438D15"/>
    <w:multiLevelType w:val="hybridMultilevel"/>
    <w:lvl w:ilvl="0">
      <w:lvlJc w:val="left"/>
      <w:lvlText w:val="%1:"/>
      <w:numFmt w:val="lowerLetter"/>
      <w:start w:val="1"/>
    </w:lvl>
  </w:abstractNum>
  <w:abstractNum w:abstractNumId="115">
    <w:nsid w:val="519E3149"/>
    <w:multiLevelType w:val="hybridMultilevel"/>
    <w:lvl w:ilvl="0">
      <w:lvlJc w:val="left"/>
      <w:lvlText w:val="%1:"/>
      <w:numFmt w:val="lowerLetter"/>
      <w:start w:val="17"/>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17"/>
    </w:lvl>
  </w:abstractNum>
  <w:abstractNum w:abstractNumId="118">
    <w:nsid w:val="4DF72E4E"/>
    <w:multiLevelType w:val="hybridMultilevel"/>
    <w:lvl w:ilvl="0">
      <w:lvlJc w:val="left"/>
      <w:lvlText w:val="%1:"/>
      <w:numFmt w:val="lowerLetter"/>
      <w:start w:val="1"/>
    </w:lvl>
    <w:lvl w:ilvl="1">
      <w:lvlJc w:val="left"/>
      <w:lvlText w:val="(%2)"/>
      <w:numFmt w:val="decimal"/>
      <w:start w:val="2"/>
    </w:lvl>
  </w:abstractNum>
  <w:abstractNum w:abstractNumId="119">
    <w:nsid w:val="5046B5A9"/>
    <w:multiLevelType w:val="hybridMultilevel"/>
    <w:lvl w:ilvl="0">
      <w:lvlJc w:val="left"/>
      <w:lvlText w:val="%1:"/>
      <w:numFmt w:val="lowerLetter"/>
      <w:start w:val="17"/>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17"/>
    </w:lvl>
  </w:abstractNum>
  <w:abstractNum w:abstractNumId="122">
    <w:nsid w:val="5EC6AFD4"/>
    <w:multiLevelType w:val="hybridMultilevel"/>
    <w:lvl w:ilvl="0">
      <w:lvlJc w:val="left"/>
      <w:lvlText w:val="%1:"/>
      <w:numFmt w:val="lowerLetter"/>
      <w:start w:val="1"/>
    </w:lvl>
  </w:abstractNum>
  <w:abstractNum w:abstractNumId="123">
    <w:nsid w:val="19E21BB2"/>
    <w:multiLevelType w:val="hybridMultilevel"/>
    <w:lvl w:ilvl="0">
      <w:lvlJc w:val="left"/>
      <w:lvlText w:val="%1:"/>
      <w:numFmt w:val="lowerLetter"/>
      <w:start w:val="17"/>
    </w:lvl>
  </w:abstractNum>
  <w:abstractNum w:abstractNumId="124">
    <w:nsid w:val="75E0858A"/>
    <w:multiLevelType w:val="hybridMultilevel"/>
    <w:lvl w:ilvl="0">
      <w:lvlJc w:val="left"/>
      <w:lvlText w:val="%1:"/>
      <w:numFmt w:val="lowerLetter"/>
      <w:start w:val="1"/>
    </w:lvl>
  </w:abstractNum>
  <w:abstractNum w:abstractNumId="125">
    <w:nsid w:val="57A61A29"/>
    <w:multiLevelType w:val="hybridMultilevel"/>
    <w:lvl w:ilvl="0">
      <w:lvlJc w:val="left"/>
      <w:lvlText w:val="%1:"/>
      <w:numFmt w:val="lowerLetter"/>
      <w:start w:val="17"/>
    </w:lvl>
  </w:abstractNum>
  <w:abstractNum w:abstractNumId="126">
    <w:nsid w:val="5399C654"/>
    <w:multiLevelType w:val="hybridMultilevel"/>
    <w:lvl w:ilvl="0">
      <w:lvlJc w:val="left"/>
      <w:lvlText w:val="%1:"/>
      <w:numFmt w:val="lowerLetter"/>
      <w:start w:val="1"/>
    </w:lvl>
  </w:abstractNum>
  <w:abstractNum w:abstractNumId="127">
    <w:nsid w:val="20EE1348"/>
    <w:multiLevelType w:val="hybridMultilevel"/>
    <w:lvl w:ilvl="0">
      <w:lvlJc w:val="left"/>
      <w:lvlText w:val="%1:"/>
      <w:numFmt w:val="lowerLetter"/>
      <w:start w:val="17"/>
    </w:lvl>
  </w:abstractNum>
  <w:abstractNum w:abstractNumId="128">
    <w:nsid w:val="4427069A"/>
    <w:multiLevelType w:val="hybridMultilevel"/>
    <w:lvl w:ilvl="0">
      <w:lvlJc w:val="left"/>
      <w:lvlText w:val="%1:"/>
      <w:numFmt w:val="lowerLetter"/>
      <w:start w:val="1"/>
    </w:lvl>
  </w:abstractNum>
  <w:abstractNum w:abstractNumId="129">
    <w:nsid w:val="B37E80A"/>
    <w:multiLevelType w:val="hybridMultilevel"/>
    <w:lvl w:ilvl="0">
      <w:lvlJc w:val="left"/>
      <w:lvlText w:val="%1:"/>
      <w:numFmt w:val="lowerLetter"/>
      <w:start w:val="17"/>
    </w:lvl>
  </w:abstractNum>
  <w:abstractNum w:abstractNumId="130">
    <w:nsid w:val="2157F6BC"/>
    <w:multiLevelType w:val="hybridMultilevel"/>
    <w:lvl w:ilvl="0">
      <w:lvlJc w:val="left"/>
      <w:lvlText w:val="a"/>
      <w:numFmt w:val="bullet"/>
      <w:start w:val="1"/>
    </w:lvl>
  </w:abstractNum>
  <w:abstractNum w:abstractNumId="131">
    <w:nsid w:val="704E1DD5"/>
    <w:multiLevelType w:val="hybridMultilevel"/>
    <w:lvl w:ilvl="0">
      <w:lvlJc w:val="left"/>
      <w:lvlText w:val="o"/>
      <w:numFmt w:val="bullet"/>
      <w:start w:val="1"/>
    </w:lvl>
  </w:abstractNum>
  <w:abstractNum w:abstractNumId="132">
    <w:nsid w:val="57D2F10E"/>
    <w:multiLevelType w:val="hybridMultilevel"/>
    <w:lvl w:ilvl="0">
      <w:lvlJc w:val="left"/>
      <w:lvlText w:val="(%1)"/>
      <w:numFmt w:val="lowerLetter"/>
      <w:start w:val="1"/>
    </w:lvl>
  </w:abstractNum>
  <w:abstractNum w:abstractNumId="133">
    <w:nsid w:val="BFFAE18"/>
    <w:multiLevelType w:val="hybridMultilevel"/>
    <w:lvl w:ilvl="0">
      <w:lvlJc w:val="left"/>
      <w:lvlText w:val="(%1)"/>
      <w:numFmt w:val="lowerLetter"/>
      <w:start w:val="1"/>
    </w:lvl>
  </w:abstractNum>
  <w:abstractNum w:abstractNumId="134">
    <w:nsid w:val="E3E47A8"/>
    <w:multiLevelType w:val="hybridMultilevel"/>
    <w:lvl w:ilvl="0">
      <w:lvlJc w:val="left"/>
      <w:lvlText w:val="(%1)"/>
      <w:numFmt w:val="lowerLetter"/>
      <w:start w:val="3"/>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2025-12-09T15:30:05Z</dcterms:created>
  <dcterms:modified xsi:type="dcterms:W3CDTF">2025-12-09T15:30:05Z</dcterms:modified>
</cp:coreProperties>
</file>