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910590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9" w:lineRule="exact"/>
        <w:rPr>
          <w:sz w:val="24"/>
          <w:szCs w:val="24"/>
          <w:color w:val="auto"/>
        </w:rPr>
      </w:pPr>
    </w:p>
    <w:p>
      <w:pPr>
        <w:ind w:left="3920" w:right="3080" w:hanging="3914"/>
        <w:spacing w:after="0" w:line="324" w:lineRule="auto"/>
        <w:tabs>
          <w:tab w:leader="none" w:pos="44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September 30, 2025</w:t>
      </w:r>
    </w:p>
    <w:p>
      <w:pPr>
        <w:ind w:left="51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OR</w:t>
      </w:r>
    </w:p>
    <w:p>
      <w:pPr>
        <w:spacing w:after="0" w:line="91" w:lineRule="exact"/>
        <w:rPr>
          <w:sz w:val="24"/>
          <w:szCs w:val="24"/>
          <w:color w:val="auto"/>
        </w:rPr>
      </w:pPr>
    </w:p>
    <w:p>
      <w:pPr>
        <w:ind w:left="3600" w:right="2780" w:hanging="3594"/>
        <w:spacing w:after="0" w:line="334" w:lineRule="auto"/>
        <w:tabs>
          <w:tab w:leader="none" w:pos="43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color w:val="auto"/>
        </w:rPr>
        <w:t>For the transition period from _________ to ___________</w:t>
      </w:r>
    </w:p>
    <w:p>
      <w:pPr>
        <w:ind w:left="420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Commission file number 333-211719</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ASHLAND INC.</w:t>
      </w:r>
    </w:p>
    <w:p>
      <w:pPr>
        <w:spacing w:after="0" w:line="107" w:lineRule="exact"/>
        <w:rPr>
          <w:sz w:val="24"/>
          <w:szCs w:val="24"/>
          <w:color w:val="auto"/>
        </w:rPr>
      </w:pPr>
    </w:p>
    <w:tbl>
      <w:tblPr>
        <w:tblLayout w:type="fixed"/>
        <w:tblInd w:w="360" w:type="dxa"/>
        <w:tblCellMar>
          <w:top w:w="0" w:type="dxa"/>
          <w:left w:w="0" w:type="dxa"/>
          <w:bottom w:w="0" w:type="dxa"/>
          <w:right w:w="0" w:type="dxa"/>
        </w:tblCellMar>
      </w:tblPr>
      <w:tr>
        <w:trPr>
          <w:trHeight w:val="180"/>
        </w:trPr>
        <w:tc>
          <w:tcPr>
            <w:tcW w:w="404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Delaware</w:t>
            </w:r>
          </w:p>
        </w:tc>
        <w:tc>
          <w:tcPr>
            <w:tcW w:w="2900" w:type="dxa"/>
            <w:vAlign w:val="bottom"/>
          </w:tcPr>
          <w:p>
            <w:pPr>
              <w:spacing w:after="0"/>
              <w:rPr>
                <w:sz w:val="15"/>
                <w:szCs w:val="15"/>
                <w:color w:val="auto"/>
              </w:rPr>
            </w:pPr>
          </w:p>
        </w:tc>
        <w:tc>
          <w:tcPr>
            <w:tcW w:w="2680" w:type="dxa"/>
            <w:vAlign w:val="bottom"/>
            <w:gridSpan w:val="2"/>
          </w:tcPr>
          <w:p>
            <w:pPr>
              <w:jc w:val="right"/>
              <w:ind w:right="1626"/>
              <w:spacing w:after="0"/>
              <w:rPr>
                <w:sz w:val="20"/>
                <w:szCs w:val="20"/>
                <w:color w:val="auto"/>
              </w:rPr>
            </w:pPr>
            <w:r>
              <w:rPr>
                <w:rFonts w:ascii="Times New Roman" w:cs="Times New Roman" w:eastAsia="Times New Roman" w:hAnsi="Times New Roman"/>
                <w:sz w:val="14"/>
                <w:szCs w:val="14"/>
                <w:color w:val="auto"/>
              </w:rPr>
              <w:t>81-2587835</w:t>
            </w:r>
          </w:p>
        </w:tc>
        <w:tc>
          <w:tcPr>
            <w:tcW w:w="0" w:type="dxa"/>
            <w:vAlign w:val="bottom"/>
          </w:tcPr>
          <w:p>
            <w:pPr>
              <w:spacing w:after="0"/>
              <w:rPr>
                <w:sz w:val="1"/>
                <w:szCs w:val="1"/>
                <w:color w:val="auto"/>
              </w:rPr>
            </w:pPr>
          </w:p>
        </w:tc>
      </w:tr>
      <w:tr>
        <w:trPr>
          <w:trHeight w:val="188"/>
        </w:trPr>
        <w:tc>
          <w:tcPr>
            <w:tcW w:w="404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580" w:type="dxa"/>
            <w:vAlign w:val="bottom"/>
            <w:gridSpan w:val="3"/>
          </w:tcPr>
          <w:p>
            <w:pPr>
              <w:jc w:val="center"/>
              <w:ind w:left="14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2900" w:type="dxa"/>
            <w:vAlign w:val="bottom"/>
          </w:tcPr>
          <w:p>
            <w:pPr>
              <w:jc w:val="center"/>
              <w:ind w:right="1048"/>
              <w:spacing w:after="0"/>
              <w:rPr>
                <w:sz w:val="20"/>
                <w:szCs w:val="20"/>
                <w:color w:val="auto"/>
              </w:rPr>
            </w:pPr>
            <w:r>
              <w:rPr>
                <w:rFonts w:ascii="Times New Roman" w:cs="Times New Roman" w:eastAsia="Times New Roman" w:hAnsi="Times New Roman"/>
                <w:sz w:val="14"/>
                <w:szCs w:val="14"/>
                <w:color w:val="auto"/>
              </w:rPr>
              <w:t>8145 Blazer Drive</w:t>
            </w:r>
          </w:p>
        </w:tc>
        <w:tc>
          <w:tcPr>
            <w:tcW w:w="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290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Wilmington, Delaware 19808</w:t>
            </w:r>
          </w:p>
        </w:tc>
        <w:tc>
          <w:tcPr>
            <w:tcW w:w="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940" w:type="dxa"/>
            <w:vAlign w:val="bottom"/>
            <w:gridSpan w:val="2"/>
          </w:tcPr>
          <w:p>
            <w:pPr>
              <w:jc w:val="center"/>
              <w:ind w:left="2848"/>
              <w:spacing w:after="0"/>
              <w:rPr>
                <w:sz w:val="20"/>
                <w:szCs w:val="20"/>
                <w:color w:val="auto"/>
              </w:rPr>
            </w:pPr>
            <w:r>
              <w:rPr>
                <w:rFonts w:ascii="Times New Roman" w:cs="Times New Roman" w:eastAsia="Times New Roman" w:hAnsi="Times New Roman"/>
                <w:sz w:val="14"/>
                <w:szCs w:val="14"/>
                <w:color w:val="auto"/>
              </w:rPr>
              <w:t>Telephone Number (302) 995-3000</w:t>
            </w:r>
          </w:p>
        </w:tc>
        <w:tc>
          <w:tcPr>
            <w:tcW w:w="5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jc w:val="center"/>
              <w:ind w:left="28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40" w:type="dxa"/>
            <w:vAlign w:val="bottom"/>
          </w:tcPr>
          <w:p>
            <w:pPr>
              <w:jc w:val="center"/>
              <w:ind w:right="1148"/>
              <w:spacing w:after="0"/>
              <w:rPr>
                <w:sz w:val="20"/>
                <w:szCs w:val="20"/>
                <w:color w:val="auto"/>
              </w:rPr>
            </w:pPr>
            <w:r>
              <w:rPr>
                <w:rFonts w:ascii="Times New Roman" w:cs="Times New Roman" w:eastAsia="Times New Roman" w:hAnsi="Times New Roman"/>
                <w:sz w:val="13"/>
                <w:szCs w:val="13"/>
                <w:color w:val="auto"/>
                <w:w w:val="99"/>
              </w:rPr>
              <w:t>Title of each class</w:t>
            </w:r>
          </w:p>
        </w:tc>
        <w:tc>
          <w:tcPr>
            <w:tcW w:w="2900" w:type="dxa"/>
            <w:vAlign w:val="bottom"/>
          </w:tcPr>
          <w:p>
            <w:pPr>
              <w:jc w:val="center"/>
              <w:ind w:right="1048"/>
              <w:spacing w:after="0"/>
              <w:rPr>
                <w:sz w:val="20"/>
                <w:szCs w:val="20"/>
                <w:color w:val="auto"/>
              </w:rPr>
            </w:pPr>
            <w:r>
              <w:rPr>
                <w:rFonts w:ascii="Times New Roman" w:cs="Times New Roman" w:eastAsia="Times New Roman" w:hAnsi="Times New Roman"/>
                <w:sz w:val="13"/>
                <w:szCs w:val="13"/>
                <w:color w:val="auto"/>
              </w:rPr>
              <w:t>Trading Symbol</w:t>
            </w:r>
          </w:p>
        </w:tc>
        <w:tc>
          <w:tcPr>
            <w:tcW w:w="2680" w:type="dxa"/>
            <w:vAlign w:val="bottom"/>
            <w:gridSpan w:val="2"/>
          </w:tcPr>
          <w:p>
            <w:pPr>
              <w:jc w:val="center"/>
              <w:ind w:left="269"/>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210"/>
        </w:trPr>
        <w:tc>
          <w:tcPr>
            <w:tcW w:w="4040" w:type="dxa"/>
            <w:vAlign w:val="bottom"/>
          </w:tcPr>
          <w:p>
            <w:pPr>
              <w:jc w:val="center"/>
              <w:ind w:right="1148"/>
              <w:spacing w:after="0"/>
              <w:rPr>
                <w:sz w:val="20"/>
                <w:szCs w:val="20"/>
                <w:color w:val="auto"/>
              </w:rPr>
            </w:pPr>
            <w:r>
              <w:rPr>
                <w:rFonts w:ascii="Times New Roman" w:cs="Times New Roman" w:eastAsia="Times New Roman" w:hAnsi="Times New Roman"/>
                <w:sz w:val="16"/>
                <w:szCs w:val="16"/>
                <w:color w:val="auto"/>
                <w:w w:val="97"/>
              </w:rPr>
              <w:t>Common Stock, par value $.01 per share</w:t>
            </w:r>
          </w:p>
        </w:tc>
        <w:tc>
          <w:tcPr>
            <w:tcW w:w="2900" w:type="dxa"/>
            <w:vAlign w:val="bottom"/>
          </w:tcPr>
          <w:p>
            <w:pPr>
              <w:jc w:val="center"/>
              <w:ind w:right="1048"/>
              <w:spacing w:after="0"/>
              <w:rPr>
                <w:sz w:val="20"/>
                <w:szCs w:val="20"/>
                <w:color w:val="auto"/>
              </w:rPr>
            </w:pPr>
            <w:r>
              <w:rPr>
                <w:rFonts w:ascii="Times New Roman" w:cs="Times New Roman" w:eastAsia="Times New Roman" w:hAnsi="Times New Roman"/>
                <w:sz w:val="16"/>
                <w:szCs w:val="16"/>
                <w:color w:val="auto"/>
                <w:w w:val="93"/>
              </w:rPr>
              <w:t>ASH</w:t>
            </w:r>
          </w:p>
        </w:tc>
        <w:tc>
          <w:tcPr>
            <w:tcW w:w="560" w:type="dxa"/>
            <w:vAlign w:val="bottom"/>
          </w:tcPr>
          <w:p>
            <w:pPr>
              <w:spacing w:after="0"/>
              <w:rPr>
                <w:sz w:val="18"/>
                <w:szCs w:val="18"/>
                <w:color w:val="auto"/>
              </w:rPr>
            </w:pPr>
          </w:p>
        </w:tc>
        <w:tc>
          <w:tcPr>
            <w:tcW w:w="2120" w:type="dxa"/>
            <w:vAlign w:val="bottom"/>
          </w:tcPr>
          <w:p>
            <w:pPr>
              <w:jc w:val="center"/>
              <w:ind w:right="146"/>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226"/>
        </w:trPr>
        <w:tc>
          <w:tcPr>
            <w:tcW w:w="6940" w:type="dxa"/>
            <w:vAlign w:val="bottom"/>
            <w:gridSpan w:val="2"/>
          </w:tcPr>
          <w:p>
            <w:pPr>
              <w:jc w:val="center"/>
              <w:ind w:left="282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560" w:type="dxa"/>
            <w:vAlign w:val="bottom"/>
          </w:tcPr>
          <w:p>
            <w:pPr>
              <w:spacing w:after="0"/>
              <w:rPr>
                <w:sz w:val="19"/>
                <w:szCs w:val="19"/>
                <w:color w:val="auto"/>
              </w:rPr>
            </w:pPr>
          </w:p>
        </w:tc>
        <w:tc>
          <w:tcPr>
            <w:tcW w:w="212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2"/>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1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540"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380" w:firstLine="348"/>
        <w:spacing w:after="0" w:line="28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60"/>
          </w:cols>
          <w:pgMar w:left="660" w:top="1440" w:right="680" w:bottom="1440" w:gutter="0" w:footer="0" w:header="0"/>
        </w:sectPr>
      </w:pPr>
    </w:p>
    <w:p>
      <w:pPr>
        <w:spacing w:after="0" w:line="32"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ectPr>
          <w:pgSz w:w="11900" w:h="16840" w:orient="portrait"/>
          <w:cols w:equalWidth="0" w:num="4">
            <w:col w:w="3240" w:space="40"/>
            <w:col w:w="3320" w:space="720"/>
            <w:col w:w="1000" w:space="80"/>
            <w:col w:w="2160"/>
          </w:cols>
          <w:pgMar w:left="660" w:top="1440" w:right="680" w:bottom="1440" w:gutter="0" w:footer="0" w:header="0"/>
          <w:type w:val="continuous"/>
        </w:sectPr>
      </w:pPr>
    </w:p>
    <w:p>
      <w:pPr>
        <w:spacing w:after="0" w:line="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5" w:lineRule="exact"/>
        <w:rPr>
          <w:sz w:val="24"/>
          <w:szCs w:val="24"/>
          <w:color w:val="auto"/>
        </w:rPr>
      </w:pPr>
    </w:p>
    <w:p>
      <w:pPr>
        <w:sectPr>
          <w:pgSz w:w="11900" w:h="16840" w:orient="portrait"/>
          <w:cols w:equalWidth="0" w:num="4">
            <w:col w:w="3200" w:space="60"/>
            <w:col w:w="3020" w:space="720"/>
            <w:col w:w="1660" w:space="60"/>
            <w:col w:w="1840"/>
          </w:cols>
          <w:pgMar w:left="660" w:top="1440" w:right="680" w:bottom="1440" w:gutter="0" w:footer="0" w:header="0"/>
          <w:type w:val="continuous"/>
        </w:sectPr>
      </w:pPr>
    </w:p>
    <w:p>
      <w:pPr>
        <w:spacing w:after="0" w:line="6"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3" w:lineRule="exact"/>
        <w:rPr>
          <w:sz w:val="24"/>
          <w:szCs w:val="24"/>
          <w:color w:val="auto"/>
        </w:rPr>
      </w:pPr>
    </w:p>
    <w:p>
      <w:pPr>
        <w:sectPr>
          <w:pgSz w:w="11900" w:h="16840" w:orient="portrait"/>
          <w:cols w:equalWidth="0" w:num="2">
            <w:col w:w="3360" w:space="80"/>
            <w:col w:w="7120"/>
          </w:cols>
          <w:pgMar w:left="660" w:top="1440" w:right="680" w:bottom="1440" w:gutter="0" w:footer="0" w:header="0"/>
          <w:type w:val="continuous"/>
        </w:sectPr>
      </w:pPr>
    </w:p>
    <w:p>
      <w:pPr>
        <w:ind w:right="140"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attestation to its management’s assessment of the effectiveness of its internal control over financial reporting under section 404(b) of the Sarbanes-Oxley Act (15 U.S.C 7262 (b))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60"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520" w:firstLine="348"/>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360"/>
        <w:spacing w:after="0" w:line="161" w:lineRule="exact"/>
        <w:tabs>
          <w:tab w:leader="none" w:pos="6460" w:val="left"/>
          <w:tab w:leader="none" w:pos="70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61" w:lineRule="exact"/>
        <w:rPr>
          <w:sz w:val="24"/>
          <w:szCs w:val="24"/>
          <w:color w:val="auto"/>
        </w:rPr>
      </w:pPr>
    </w:p>
    <w:p>
      <w:pPr>
        <w:ind w:right="140" w:firstLine="348"/>
        <w:spacing w:after="0" w:line="286" w:lineRule="auto"/>
        <w:rPr>
          <w:sz w:val="20"/>
          <w:szCs w:val="20"/>
          <w:color w:val="auto"/>
        </w:rPr>
      </w:pPr>
      <w:r>
        <w:rPr>
          <w:rFonts w:ascii="Times New Roman" w:cs="Times New Roman" w:eastAsia="Times New Roman" w:hAnsi="Times New Roman"/>
          <w:sz w:val="14"/>
          <w:szCs w:val="14"/>
          <w:color w:val="auto"/>
        </w:rPr>
        <w:t>As of March 31, 2025, the aggregate market value of the registrant’s common stock held by non-affiliates of the registrant was approximately $2.7 billion based on the closing price as reported on the New York Stock Exchange.</w:t>
      </w:r>
    </w:p>
    <w:p>
      <w:pPr>
        <w:ind w:left="360"/>
        <w:spacing w:after="0"/>
        <w:rPr>
          <w:sz w:val="20"/>
          <w:szCs w:val="20"/>
          <w:color w:val="auto"/>
        </w:rPr>
      </w:pPr>
      <w:r>
        <w:rPr>
          <w:rFonts w:ascii="Times New Roman" w:cs="Times New Roman" w:eastAsia="Times New Roman" w:hAnsi="Times New Roman"/>
          <w:sz w:val="14"/>
          <w:szCs w:val="14"/>
          <w:color w:val="auto"/>
        </w:rPr>
        <w:t>As of October 31, 2025, there were 45,718,113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541020</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 w:name="page2"/>
    <w:bookmarkEnd w:id="1"/>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4"/>
          <w:szCs w:val="14"/>
          <w:color w:val="auto"/>
        </w:rPr>
        <w:t>Portions of Registrant’s proxy statement for its 2026 Annual Meeting of Stockholders are incorporated by reference into Part III of this Form 10-K to the extent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638810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95250</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140"/>
          </w:cols>
          <w:pgMar w:left="660" w:top="1395" w:right="110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40" w:type="dxa"/>
            <w:vAlign w:val="bottom"/>
            <w:gridSpan w:val="10"/>
          </w:tcPr>
          <w:p>
            <w:pPr>
              <w:ind w:left="1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1800" w:type="dxa"/>
            <w:vAlign w:val="bottom"/>
            <w:gridSpan w:val="5"/>
            <w:vMerge w:val="restart"/>
          </w:tcPr>
          <w:p>
            <w:pPr>
              <w:spacing w:after="0"/>
              <w:rPr>
                <w:rFonts w:ascii="Times New Roman" w:cs="Times New Roman" w:eastAsia="Times New Roman" w:hAnsi="Times New Roman"/>
                <w:sz w:val="16"/>
                <w:szCs w:val="16"/>
                <w:b w:val="1"/>
                <w:bCs w:val="1"/>
                <w:color w:val="auto"/>
              </w:rPr>
            </w:pPr>
            <w:hyperlink w:anchor="page4">
              <w:r>
                <w:rPr>
                  <w:rFonts w:ascii="Times New Roman" w:cs="Times New Roman" w:eastAsia="Times New Roman" w:hAnsi="Times New Roman"/>
                  <w:sz w:val="16"/>
                  <w:szCs w:val="16"/>
                  <w:b w:val="1"/>
                  <w:bCs w:val="1"/>
                  <w:color w:val="auto"/>
                </w:rPr>
                <w:t>PART I</w:t>
              </w:r>
            </w:hyperlink>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w w:val="96"/>
              </w:rPr>
              <w:t>Page</w:t>
            </w:r>
          </w:p>
        </w:tc>
        <w:tc>
          <w:tcPr>
            <w:tcW w:w="0" w:type="dxa"/>
            <w:vAlign w:val="bottom"/>
          </w:tcPr>
          <w:p>
            <w:pPr>
              <w:spacing w:after="0"/>
              <w:rPr>
                <w:sz w:val="1"/>
                <w:szCs w:val="1"/>
                <w:color w:val="auto"/>
              </w:rPr>
            </w:pPr>
          </w:p>
        </w:tc>
      </w:tr>
      <w:tr>
        <w:trPr>
          <w:trHeight w:val="146"/>
        </w:trPr>
        <w:tc>
          <w:tcPr>
            <w:tcW w:w="18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4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1.</w:t>
            </w:r>
          </w:p>
        </w:tc>
        <w:tc>
          <w:tcPr>
            <w:tcW w:w="7020" w:type="dxa"/>
            <w:vAlign w:val="bottom"/>
            <w:gridSpan w:val="27"/>
          </w:tcPr>
          <w:p>
            <w:pPr>
              <w:spacing w:after="0" w:line="160" w:lineRule="exact"/>
              <w:rPr>
                <w:rFonts w:ascii="Times New Roman" w:cs="Times New Roman" w:eastAsia="Times New Roman" w:hAnsi="Times New Roman"/>
                <w:sz w:val="16"/>
                <w:szCs w:val="16"/>
                <w:color w:val="auto"/>
              </w:rPr>
            </w:pPr>
            <w:hyperlink w:anchor="page4">
              <w:r>
                <w:rPr>
                  <w:rFonts w:ascii="Times New Roman" w:cs="Times New Roman" w:eastAsia="Times New Roman" w:hAnsi="Times New Roman"/>
                  <w:sz w:val="16"/>
                  <w:szCs w:val="16"/>
                  <w:color w:val="auto"/>
                </w:rPr>
                <w:t>Business</w:t>
              </w:r>
            </w:hyperlink>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740" w:type="dxa"/>
            <w:vAlign w:val="bottom"/>
            <w:gridSpan w:val="26"/>
          </w:tcPr>
          <w:p>
            <w:pPr>
              <w:spacing w:after="0" w:line="160" w:lineRule="exact"/>
              <w:rPr>
                <w:rFonts w:ascii="Times New Roman" w:cs="Times New Roman" w:eastAsia="Times New Roman" w:hAnsi="Times New Roman"/>
                <w:sz w:val="16"/>
                <w:szCs w:val="16"/>
                <w:color w:val="auto"/>
              </w:rPr>
            </w:pPr>
            <w:hyperlink w:anchor="page4">
              <w:r>
                <w:rPr>
                  <w:rFonts w:ascii="Times New Roman" w:cs="Times New Roman" w:eastAsia="Times New Roman" w:hAnsi="Times New Roman"/>
                  <w:sz w:val="16"/>
                  <w:szCs w:val="16"/>
                  <w:color w:val="auto"/>
                </w:rPr>
                <w:t>General</w:t>
              </w:r>
            </w:hyperlink>
          </w:p>
        </w:tc>
        <w:tc>
          <w:tcPr>
            <w:tcW w:w="1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740" w:type="dxa"/>
            <w:vAlign w:val="bottom"/>
            <w:gridSpan w:val="26"/>
          </w:tcPr>
          <w:p>
            <w:pPr>
              <w:spacing w:after="0" w:line="160" w:lineRule="exact"/>
              <w:rPr>
                <w:rFonts w:ascii="Times New Roman" w:cs="Times New Roman" w:eastAsia="Times New Roman" w:hAnsi="Times New Roman"/>
                <w:sz w:val="16"/>
                <w:szCs w:val="16"/>
                <w:color w:val="auto"/>
              </w:rPr>
            </w:pPr>
            <w:hyperlink w:anchor="page5">
              <w:r>
                <w:rPr>
                  <w:rFonts w:ascii="Times New Roman" w:cs="Times New Roman" w:eastAsia="Times New Roman" w:hAnsi="Times New Roman"/>
                  <w:sz w:val="16"/>
                  <w:szCs w:val="16"/>
                  <w:color w:val="auto"/>
                </w:rPr>
                <w:t>Life Sciences</w:t>
              </w:r>
            </w:hyperlink>
          </w:p>
        </w:tc>
        <w:tc>
          <w:tcPr>
            <w:tcW w:w="1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auto"/>
                <w:w w:val="91"/>
              </w:rPr>
            </w:pPr>
            <w:hyperlink w:anchor="page5">
              <w:r>
                <w:rPr>
                  <w:rFonts w:ascii="Times New Roman" w:cs="Times New Roman" w:eastAsia="Times New Roman" w:hAnsi="Times New Roman"/>
                  <w:sz w:val="16"/>
                  <w:szCs w:val="16"/>
                  <w:color w:val="auto"/>
                  <w:w w:val="91"/>
                </w:rPr>
                <w:t>Personal Care</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740" w:type="dxa"/>
            <w:vAlign w:val="bottom"/>
            <w:gridSpan w:val="26"/>
          </w:tcPr>
          <w:p>
            <w:pPr>
              <w:spacing w:after="0" w:line="160" w:lineRule="exact"/>
              <w:rPr>
                <w:rFonts w:ascii="Times New Roman" w:cs="Times New Roman" w:eastAsia="Times New Roman" w:hAnsi="Times New Roman"/>
                <w:sz w:val="16"/>
                <w:szCs w:val="16"/>
                <w:color w:val="auto"/>
              </w:rPr>
            </w:pPr>
            <w:hyperlink w:anchor="page6">
              <w:r>
                <w:rPr>
                  <w:rFonts w:ascii="Times New Roman" w:cs="Times New Roman" w:eastAsia="Times New Roman" w:hAnsi="Times New Roman"/>
                  <w:sz w:val="16"/>
                  <w:szCs w:val="16"/>
                  <w:color w:val="auto"/>
                </w:rPr>
                <w:t>Specialty Additives</w:t>
              </w:r>
            </w:hyperlink>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auto"/>
              </w:rPr>
            </w:pPr>
            <w:hyperlink w:anchor="page7">
              <w:r>
                <w:rPr>
                  <w:rFonts w:ascii="Times New Roman" w:cs="Times New Roman" w:eastAsia="Times New Roman" w:hAnsi="Times New Roman"/>
                  <w:sz w:val="16"/>
                  <w:szCs w:val="16"/>
                  <w:color w:val="auto"/>
                </w:rPr>
                <w:t>Intermediates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auto"/>
                <w:w w:val="90"/>
              </w:rPr>
            </w:pPr>
            <w:hyperlink w:anchor="page7">
              <w:r>
                <w:rPr>
                  <w:rFonts w:ascii="Times New Roman" w:cs="Times New Roman" w:eastAsia="Times New Roman" w:hAnsi="Times New Roman"/>
                  <w:sz w:val="16"/>
                  <w:szCs w:val="16"/>
                  <w:color w:val="auto"/>
                  <w:w w:val="90"/>
                </w:rPr>
                <w:t>Miscellaneous</w:t>
              </w:r>
            </w:hyperlink>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1A.</w:t>
            </w:r>
          </w:p>
        </w:tc>
        <w:tc>
          <w:tcPr>
            <w:tcW w:w="280" w:type="dxa"/>
            <w:vAlign w:val="bottom"/>
          </w:tcPr>
          <w:p>
            <w:pPr>
              <w:spacing w:after="0" w:line="160" w:lineRule="exact"/>
              <w:rPr>
                <w:rFonts w:ascii="Times New Roman" w:cs="Times New Roman" w:eastAsia="Times New Roman" w:hAnsi="Times New Roman"/>
                <w:sz w:val="16"/>
                <w:szCs w:val="16"/>
                <w:color w:val="auto"/>
                <w:w w:val="88"/>
              </w:rPr>
            </w:pPr>
            <w:hyperlink w:anchor="page13">
              <w:r>
                <w:rPr>
                  <w:rFonts w:ascii="Times New Roman" w:cs="Times New Roman" w:eastAsia="Times New Roman" w:hAnsi="Times New Roman"/>
                  <w:sz w:val="16"/>
                  <w:szCs w:val="16"/>
                  <w:color w:val="auto"/>
                  <w:w w:val="88"/>
                </w:rPr>
                <w:t>Risk</w:t>
              </w:r>
            </w:hyperlink>
          </w:p>
        </w:tc>
        <w:tc>
          <w:tcPr>
            <w:tcW w:w="920" w:type="dxa"/>
            <w:vAlign w:val="bottom"/>
            <w:gridSpan w:val="10"/>
          </w:tcPr>
          <w:p>
            <w:pPr>
              <w:ind w:left="60"/>
              <w:spacing w:after="0" w:line="160" w:lineRule="exact"/>
              <w:rPr>
                <w:rFonts w:ascii="Times New Roman" w:cs="Times New Roman" w:eastAsia="Times New Roman" w:hAnsi="Times New Roman"/>
                <w:sz w:val="16"/>
                <w:szCs w:val="16"/>
                <w:color w:val="auto"/>
              </w:rPr>
            </w:pPr>
            <w:hyperlink w:anchor="page13">
              <w:r>
                <w:rPr>
                  <w:rFonts w:ascii="Times New Roman" w:cs="Times New Roman" w:eastAsia="Times New Roman" w:hAnsi="Times New Roman"/>
                  <w:sz w:val="16"/>
                  <w:szCs w:val="16"/>
                  <w:color w:val="auto"/>
                </w:rPr>
                <w:t>Factors</w:t>
              </w:r>
            </w:hyperlink>
          </w:p>
        </w:tc>
        <w:tc>
          <w:tcPr>
            <w:tcW w:w="1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1B.</w:t>
            </w:r>
          </w:p>
        </w:tc>
        <w:tc>
          <w:tcPr>
            <w:tcW w:w="80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auto"/>
              </w:rPr>
            </w:pPr>
            <w:hyperlink w:anchor="page21">
              <w:r>
                <w:rPr>
                  <w:rFonts w:ascii="Times New Roman" w:cs="Times New Roman" w:eastAsia="Times New Roman" w:hAnsi="Times New Roman"/>
                  <w:sz w:val="16"/>
                  <w:szCs w:val="16"/>
                  <w:color w:val="auto"/>
                </w:rPr>
                <w:t>Unresolved</w:t>
              </w:r>
            </w:hyperlink>
          </w:p>
        </w:tc>
        <w:tc>
          <w:tcPr>
            <w:tcW w:w="6220" w:type="dxa"/>
            <w:vAlign w:val="bottom"/>
            <w:gridSpan w:val="22"/>
          </w:tcPr>
          <w:p>
            <w:pPr>
              <w:spacing w:after="0" w:line="160" w:lineRule="exact"/>
              <w:rPr>
                <w:rFonts w:ascii="Times New Roman" w:cs="Times New Roman" w:eastAsia="Times New Roman" w:hAnsi="Times New Roman"/>
                <w:sz w:val="16"/>
                <w:szCs w:val="16"/>
                <w:color w:val="auto"/>
              </w:rPr>
            </w:pPr>
            <w:hyperlink w:anchor="page21">
              <w:r>
                <w:rPr>
                  <w:rFonts w:ascii="Times New Roman" w:cs="Times New Roman" w:eastAsia="Times New Roman" w:hAnsi="Times New Roman"/>
                  <w:sz w:val="16"/>
                  <w:szCs w:val="16"/>
                  <w:color w:val="auto"/>
                </w:rPr>
                <w:t>Staff Comments</w:t>
              </w:r>
            </w:hyperlink>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Item 1C.</w:t>
            </w:r>
          </w:p>
        </w:tc>
        <w:tc>
          <w:tcPr>
            <w:tcW w:w="178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auto"/>
              </w:rPr>
            </w:pPr>
            <w:hyperlink w:anchor="page22">
              <w:r>
                <w:rPr>
                  <w:rFonts w:ascii="Times New Roman" w:cs="Times New Roman" w:eastAsia="Times New Roman" w:hAnsi="Times New Roman"/>
                  <w:sz w:val="16"/>
                  <w:szCs w:val="16"/>
                  <w:color w:val="auto"/>
                </w:rPr>
                <w:t>Cybersecurity</w:t>
              </w:r>
            </w:hyperlink>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80" w:type="dxa"/>
            <w:vAlign w:val="bottom"/>
            <w:tcBorders>
              <w:top w:val="single" w:sz="8" w:color="0000EE"/>
            </w:tcBorders>
          </w:tcPr>
          <w:p>
            <w:pPr>
              <w:spacing w:after="0"/>
              <w:rPr>
                <w:sz w:val="9"/>
                <w:szCs w:val="9"/>
                <w:color w:val="auto"/>
              </w:rPr>
            </w:pPr>
          </w:p>
        </w:tc>
        <w:tc>
          <w:tcPr>
            <w:tcW w:w="28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2.</w:t>
            </w:r>
          </w:p>
        </w:tc>
        <w:tc>
          <w:tcPr>
            <w:tcW w:w="640" w:type="dxa"/>
            <w:vAlign w:val="bottom"/>
            <w:tcBorders>
              <w:bottom w:val="single" w:sz="8" w:color="0000EE"/>
            </w:tcBorders>
            <w:gridSpan w:val="3"/>
          </w:tcPr>
          <w:p>
            <w:pPr>
              <w:spacing w:after="0" w:line="169" w:lineRule="exact"/>
              <w:rPr>
                <w:rFonts w:ascii="Times New Roman" w:cs="Times New Roman" w:eastAsia="Times New Roman" w:hAnsi="Times New Roman"/>
                <w:sz w:val="16"/>
                <w:szCs w:val="16"/>
                <w:color w:val="auto"/>
                <w:w w:val="95"/>
              </w:rPr>
            </w:pPr>
            <w:hyperlink w:anchor="page22">
              <w:r>
                <w:rPr>
                  <w:rFonts w:ascii="Times New Roman" w:cs="Times New Roman" w:eastAsia="Times New Roman" w:hAnsi="Times New Roman"/>
                  <w:sz w:val="16"/>
                  <w:szCs w:val="16"/>
                  <w:color w:val="auto"/>
                  <w:w w:val="95"/>
                </w:rPr>
                <w:t>Properties</w:t>
              </w:r>
            </w:hyperlink>
          </w:p>
        </w:tc>
        <w:tc>
          <w:tcPr>
            <w:tcW w:w="6380" w:type="dxa"/>
            <w:vAlign w:val="bottom"/>
            <w:gridSpan w:val="24"/>
          </w:tcPr>
          <w:p>
            <w:pPr>
              <w:spacing w:after="0"/>
              <w:rPr>
                <w:sz w:val="14"/>
                <w:szCs w:val="14"/>
                <w:color w:val="auto"/>
              </w:rPr>
            </w:pPr>
          </w:p>
        </w:tc>
        <w:tc>
          <w:tcPr>
            <w:tcW w:w="17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1180" w:type="dxa"/>
            <w:vAlign w:val="bottom"/>
            <w:tcBorders>
              <w:bottom w:val="single" w:sz="8" w:color="0000EE"/>
            </w:tcBorders>
            <w:gridSpan w:val="10"/>
          </w:tcPr>
          <w:p>
            <w:pPr>
              <w:spacing w:after="0" w:line="160" w:lineRule="exact"/>
              <w:rPr>
                <w:rFonts w:ascii="Times New Roman" w:cs="Times New Roman" w:eastAsia="Times New Roman" w:hAnsi="Times New Roman"/>
                <w:sz w:val="16"/>
                <w:szCs w:val="16"/>
                <w:color w:val="auto"/>
                <w:w w:val="97"/>
              </w:rPr>
            </w:pPr>
            <w:hyperlink w:anchor="page23">
              <w:r>
                <w:rPr>
                  <w:rFonts w:ascii="Times New Roman" w:cs="Times New Roman" w:eastAsia="Times New Roman" w:hAnsi="Times New Roman"/>
                  <w:sz w:val="16"/>
                  <w:szCs w:val="16"/>
                  <w:color w:val="auto"/>
                  <w:w w:val="97"/>
                </w:rPr>
                <w:t>Legal Proceedings</w:t>
              </w:r>
            </w:hyperlink>
          </w:p>
        </w:tc>
        <w:tc>
          <w:tcPr>
            <w:tcW w:w="5840" w:type="dxa"/>
            <w:vAlign w:val="bottom"/>
            <w:gridSpan w:val="17"/>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7020" w:type="dxa"/>
            <w:vAlign w:val="bottom"/>
            <w:gridSpan w:val="27"/>
          </w:tcPr>
          <w:p>
            <w:pPr>
              <w:spacing w:after="0" w:line="160" w:lineRule="exact"/>
              <w:rPr>
                <w:rFonts w:ascii="Times New Roman" w:cs="Times New Roman" w:eastAsia="Times New Roman" w:hAnsi="Times New Roman"/>
                <w:sz w:val="16"/>
                <w:szCs w:val="16"/>
                <w:color w:val="auto"/>
              </w:rPr>
            </w:pPr>
            <w:hyperlink w:anchor="page24">
              <w:r>
                <w:rPr>
                  <w:rFonts w:ascii="Times New Roman" w:cs="Times New Roman" w:eastAsia="Times New Roman" w:hAnsi="Times New Roman"/>
                  <w:sz w:val="16"/>
                  <w:szCs w:val="16"/>
                  <w:color w:val="auto"/>
                </w:rPr>
                <w:t>Mine Safety Disclosures</w:t>
              </w:r>
            </w:hyperlink>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800" w:type="dxa"/>
            <w:vAlign w:val="bottom"/>
            <w:gridSpan w:val="5"/>
          </w:tcPr>
          <w:p>
            <w:pPr>
              <w:spacing w:after="0"/>
              <w:rPr>
                <w:rFonts w:ascii="Times New Roman" w:cs="Times New Roman" w:eastAsia="Times New Roman" w:hAnsi="Times New Roman"/>
                <w:sz w:val="16"/>
                <w:szCs w:val="16"/>
                <w:b w:val="1"/>
                <w:bCs w:val="1"/>
                <w:color w:val="auto"/>
              </w:rPr>
            </w:pPr>
            <w:hyperlink w:anchor="page25">
              <w:r>
                <w:rPr>
                  <w:rFonts w:ascii="Times New Roman" w:cs="Times New Roman" w:eastAsia="Times New Roman" w:hAnsi="Times New Roman"/>
                  <w:sz w:val="16"/>
                  <w:szCs w:val="16"/>
                  <w:b w:val="1"/>
                  <w:bCs w:val="1"/>
                  <w:color w:val="auto"/>
                </w:rPr>
                <w:t>PART II</w:t>
              </w:r>
            </w:hyperlink>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5.</w:t>
            </w:r>
          </w:p>
        </w:tc>
        <w:tc>
          <w:tcPr>
            <w:tcW w:w="7020" w:type="dxa"/>
            <w:vAlign w:val="bottom"/>
            <w:tcBorders>
              <w:bottom w:val="single" w:sz="8" w:color="0000EE"/>
            </w:tcBorders>
            <w:gridSpan w:val="27"/>
          </w:tcPr>
          <w:p>
            <w:pPr>
              <w:spacing w:after="0" w:line="160" w:lineRule="exact"/>
              <w:rPr>
                <w:rFonts w:ascii="Times New Roman" w:cs="Times New Roman" w:eastAsia="Times New Roman" w:hAnsi="Times New Roman"/>
                <w:sz w:val="16"/>
                <w:szCs w:val="16"/>
                <w:color w:val="auto"/>
                <w:w w:val="97"/>
              </w:rPr>
            </w:pPr>
            <w:hyperlink w:anchor="page25">
              <w:r>
                <w:rPr>
                  <w:rFonts w:ascii="Times New Roman" w:cs="Times New Roman" w:eastAsia="Times New Roman" w:hAnsi="Times New Roman"/>
                  <w:sz w:val="16"/>
                  <w:szCs w:val="16"/>
                  <w:color w:val="auto"/>
                  <w:w w:val="97"/>
                </w:rPr>
                <w:t>Market for Registrant’s Common Equity, Related Stockholder Matters and Issuer Purchases of Equity Securities</w:t>
              </w:r>
            </w:hyperlink>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6.</w:t>
            </w:r>
          </w:p>
        </w:tc>
        <w:tc>
          <w:tcPr>
            <w:tcW w:w="760" w:type="dxa"/>
            <w:vAlign w:val="bottom"/>
            <w:tcBorders>
              <w:bottom w:val="single" w:sz="8" w:color="0000EE"/>
            </w:tcBorders>
            <w:gridSpan w:val="4"/>
          </w:tcPr>
          <w:p>
            <w:pPr>
              <w:spacing w:after="0" w:line="160" w:lineRule="exact"/>
              <w:rPr>
                <w:rFonts w:ascii="Times New Roman" w:cs="Times New Roman" w:eastAsia="Times New Roman" w:hAnsi="Times New Roman"/>
                <w:sz w:val="16"/>
                <w:szCs w:val="16"/>
                <w:color w:val="auto"/>
              </w:rPr>
            </w:pPr>
            <w:hyperlink w:anchor="page26">
              <w:r>
                <w:rPr>
                  <w:rFonts w:ascii="Times New Roman" w:cs="Times New Roman" w:eastAsia="Times New Roman" w:hAnsi="Times New Roman"/>
                  <w:sz w:val="16"/>
                  <w:szCs w:val="16"/>
                  <w:color w:val="auto"/>
                </w:rPr>
                <w:t>[Reserved]</w:t>
              </w:r>
            </w:hyperlink>
          </w:p>
        </w:tc>
        <w:tc>
          <w:tcPr>
            <w:tcW w:w="6260" w:type="dxa"/>
            <w:vAlign w:val="bottom"/>
            <w:gridSpan w:val="23"/>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7.</w:t>
            </w:r>
          </w:p>
        </w:tc>
        <w:tc>
          <w:tcPr>
            <w:tcW w:w="7020" w:type="dxa"/>
            <w:vAlign w:val="bottom"/>
            <w:gridSpan w:val="27"/>
          </w:tcPr>
          <w:p>
            <w:pPr>
              <w:spacing w:after="0" w:line="160" w:lineRule="exact"/>
              <w:rPr>
                <w:rFonts w:ascii="Times New Roman" w:cs="Times New Roman" w:eastAsia="Times New Roman" w:hAnsi="Times New Roman"/>
                <w:sz w:val="16"/>
                <w:szCs w:val="16"/>
                <w:color w:val="auto"/>
              </w:rPr>
            </w:pPr>
            <w:hyperlink w:anchor="page26">
              <w:r>
                <w:rPr>
                  <w:rFonts w:ascii="Times New Roman" w:cs="Times New Roman" w:eastAsia="Times New Roman" w:hAnsi="Times New Roman"/>
                  <w:sz w:val="16"/>
                  <w:szCs w:val="16"/>
                  <w:color w:val="auto"/>
                </w:rPr>
                <w:t>Management’s Discussion and Analysis of Financial Condition and Results of Operation</w:t>
              </w:r>
            </w:hyperlink>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7A.</w:t>
            </w:r>
          </w:p>
        </w:tc>
        <w:tc>
          <w:tcPr>
            <w:tcW w:w="556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auto"/>
              </w:rPr>
            </w:pPr>
            <w:hyperlink w:anchor="page26">
              <w:r>
                <w:rPr>
                  <w:rFonts w:ascii="Times New Roman" w:cs="Times New Roman" w:eastAsia="Times New Roman" w:hAnsi="Times New Roman"/>
                  <w:sz w:val="16"/>
                  <w:szCs w:val="16"/>
                  <w:color w:val="auto"/>
                </w:rPr>
                <w:t>Quantitative and Qualitative Disclosures about Market Risk</w:t>
              </w:r>
            </w:hyperlink>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8.</w:t>
            </w:r>
          </w:p>
        </w:tc>
        <w:tc>
          <w:tcPr>
            <w:tcW w:w="37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auto"/>
              </w:rPr>
            </w:pPr>
            <w:hyperlink w:anchor="page26">
              <w:r>
                <w:rPr>
                  <w:rFonts w:ascii="Times New Roman" w:cs="Times New Roman" w:eastAsia="Times New Roman" w:hAnsi="Times New Roman"/>
                  <w:sz w:val="16"/>
                  <w:szCs w:val="16"/>
                  <w:color w:val="auto"/>
                </w:rPr>
                <w:t>Financial Statements and Supplementary Data</w:t>
              </w:r>
            </w:hyperlink>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9.</w:t>
            </w:r>
          </w:p>
        </w:tc>
        <w:tc>
          <w:tcPr>
            <w:tcW w:w="2900" w:type="dxa"/>
            <w:vAlign w:val="bottom"/>
            <w:tcBorders>
              <w:top w:val="single" w:sz="8" w:color="0000EE"/>
              <w:bottom w:val="single" w:sz="8" w:color="0000EE"/>
            </w:tcBorders>
            <w:gridSpan w:val="19"/>
          </w:tcPr>
          <w:p>
            <w:pPr>
              <w:spacing w:after="0" w:line="160" w:lineRule="exact"/>
              <w:rPr>
                <w:rFonts w:ascii="Times New Roman" w:cs="Times New Roman" w:eastAsia="Times New Roman" w:hAnsi="Times New Roman"/>
                <w:sz w:val="16"/>
                <w:szCs w:val="16"/>
                <w:color w:val="auto"/>
                <w:w w:val="91"/>
              </w:rPr>
            </w:pPr>
            <w:hyperlink w:anchor="page26">
              <w:r>
                <w:rPr>
                  <w:rFonts w:ascii="Times New Roman" w:cs="Times New Roman" w:eastAsia="Times New Roman" w:hAnsi="Times New Roman"/>
                  <w:sz w:val="16"/>
                  <w:szCs w:val="16"/>
                  <w:color w:val="auto"/>
                  <w:w w:val="91"/>
                </w:rPr>
                <w:t>Changes in and Disagreements with Accountants</w:t>
              </w:r>
            </w:hyperlink>
          </w:p>
        </w:tc>
        <w:tc>
          <w:tcPr>
            <w:tcW w:w="2720" w:type="dxa"/>
            <w:vAlign w:val="bottom"/>
            <w:tcBorders>
              <w:bottom w:val="single" w:sz="8" w:color="0000EE"/>
            </w:tcBorders>
            <w:gridSpan w:val="6"/>
          </w:tcPr>
          <w:p>
            <w:pPr>
              <w:ind w:left="200"/>
              <w:spacing w:after="0" w:line="160" w:lineRule="exact"/>
              <w:rPr>
                <w:rFonts w:ascii="Times New Roman" w:cs="Times New Roman" w:eastAsia="Times New Roman" w:hAnsi="Times New Roman"/>
                <w:sz w:val="16"/>
                <w:szCs w:val="16"/>
                <w:color w:val="auto"/>
                <w:w w:val="96"/>
              </w:rPr>
            </w:pPr>
            <w:hyperlink w:anchor="page26">
              <w:r>
                <w:rPr>
                  <w:rFonts w:ascii="Times New Roman" w:cs="Times New Roman" w:eastAsia="Times New Roman" w:hAnsi="Times New Roman"/>
                  <w:sz w:val="16"/>
                  <w:szCs w:val="16"/>
                  <w:color w:val="auto"/>
                  <w:w w:val="96"/>
                </w:rPr>
                <w:t>on Accounting and Financial Disclosure</w:t>
              </w:r>
            </w:hyperlink>
          </w:p>
        </w:tc>
        <w:tc>
          <w:tcPr>
            <w:tcW w:w="1400" w:type="dxa"/>
            <w:vAlign w:val="bottom"/>
            <w:gridSpan w:val="2"/>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Item 9A.</w:t>
            </w:r>
          </w:p>
        </w:tc>
        <w:tc>
          <w:tcPr>
            <w:tcW w:w="7020" w:type="dxa"/>
            <w:vAlign w:val="bottom"/>
            <w:gridSpan w:val="27"/>
          </w:tcPr>
          <w:p>
            <w:pPr>
              <w:spacing w:after="0"/>
              <w:rPr>
                <w:rFonts w:ascii="Times New Roman" w:cs="Times New Roman" w:eastAsia="Times New Roman" w:hAnsi="Times New Roman"/>
                <w:sz w:val="16"/>
                <w:szCs w:val="16"/>
                <w:color w:val="auto"/>
              </w:rPr>
            </w:pPr>
            <w:hyperlink w:anchor="page26">
              <w:r>
                <w:rPr>
                  <w:rFonts w:ascii="Times New Roman" w:cs="Times New Roman" w:eastAsia="Times New Roman" w:hAnsi="Times New Roman"/>
                  <w:sz w:val="16"/>
                  <w:szCs w:val="16"/>
                  <w:color w:val="auto"/>
                </w:rPr>
                <w:t>Controls and Procedures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9B.</w:t>
            </w:r>
          </w:p>
        </w:tc>
        <w:tc>
          <w:tcPr>
            <w:tcW w:w="116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w:anchor="page26">
              <w:r>
                <w:rPr>
                  <w:rFonts w:ascii="Times New Roman" w:cs="Times New Roman" w:eastAsia="Times New Roman" w:hAnsi="Times New Roman"/>
                  <w:sz w:val="16"/>
                  <w:szCs w:val="16"/>
                  <w:color w:val="auto"/>
                  <w:w w:val="97"/>
                </w:rPr>
                <w:t>Other Information</w:t>
              </w:r>
            </w:hyperlink>
          </w:p>
        </w:tc>
        <w:tc>
          <w:tcPr>
            <w:tcW w:w="38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70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9C.</w:t>
            </w:r>
          </w:p>
        </w:tc>
        <w:tc>
          <w:tcPr>
            <w:tcW w:w="7020" w:type="dxa"/>
            <w:vAlign w:val="bottom"/>
            <w:gridSpan w:val="27"/>
          </w:tcPr>
          <w:p>
            <w:pPr>
              <w:spacing w:after="0" w:line="160" w:lineRule="exact"/>
              <w:rPr>
                <w:rFonts w:ascii="Times New Roman" w:cs="Times New Roman" w:eastAsia="Times New Roman" w:hAnsi="Times New Roman"/>
                <w:sz w:val="16"/>
                <w:szCs w:val="16"/>
                <w:color w:val="auto"/>
              </w:rPr>
            </w:pPr>
            <w:hyperlink w:anchor="page27">
              <w:r>
                <w:rPr>
                  <w:rFonts w:ascii="Times New Roman" w:cs="Times New Roman" w:eastAsia="Times New Roman" w:hAnsi="Times New Roman"/>
                  <w:sz w:val="16"/>
                  <w:szCs w:val="16"/>
                  <w:color w:val="auto"/>
                </w:rPr>
                <w:t>Disclosure Regarding Foreign Jurisdictions that Prevent Inspections</w:t>
              </w:r>
            </w:hyperlink>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800" w:type="dxa"/>
            <w:vAlign w:val="bottom"/>
            <w:gridSpan w:val="5"/>
          </w:tcPr>
          <w:p>
            <w:pPr>
              <w:spacing w:after="0"/>
              <w:rPr>
                <w:rFonts w:ascii="Times New Roman" w:cs="Times New Roman" w:eastAsia="Times New Roman" w:hAnsi="Times New Roman"/>
                <w:sz w:val="16"/>
                <w:szCs w:val="16"/>
                <w:b w:val="1"/>
                <w:bCs w:val="1"/>
                <w:color w:val="auto"/>
              </w:rPr>
            </w:pPr>
            <w:hyperlink w:anchor="page28">
              <w:r>
                <w:rPr>
                  <w:rFonts w:ascii="Times New Roman" w:cs="Times New Roman" w:eastAsia="Times New Roman" w:hAnsi="Times New Roman"/>
                  <w:sz w:val="16"/>
                  <w:szCs w:val="16"/>
                  <w:b w:val="1"/>
                  <w:bCs w:val="1"/>
                  <w:color w:val="auto"/>
                </w:rPr>
                <w:t>PART III</w:t>
              </w:r>
            </w:hyperlink>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Item 10.</w:t>
            </w:r>
          </w:p>
        </w:tc>
        <w:tc>
          <w:tcPr>
            <w:tcW w:w="7020" w:type="dxa"/>
            <w:vAlign w:val="bottom"/>
            <w:gridSpan w:val="27"/>
          </w:tcPr>
          <w:p>
            <w:pPr>
              <w:spacing w:after="0"/>
              <w:rPr>
                <w:rFonts w:ascii="Times New Roman" w:cs="Times New Roman" w:eastAsia="Times New Roman" w:hAnsi="Times New Roman"/>
                <w:sz w:val="16"/>
                <w:szCs w:val="16"/>
                <w:color w:val="auto"/>
              </w:rPr>
            </w:pPr>
            <w:hyperlink w:anchor="page28">
              <w:r>
                <w:rPr>
                  <w:rFonts w:ascii="Times New Roman" w:cs="Times New Roman" w:eastAsia="Times New Roman" w:hAnsi="Times New Roman"/>
                  <w:sz w:val="16"/>
                  <w:szCs w:val="16"/>
                  <w:color w:val="auto"/>
                </w:rPr>
                <w:t>Directors, Executive Officers and Corporate Governance</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11.</w:t>
            </w:r>
          </w:p>
        </w:tc>
        <w:tc>
          <w:tcPr>
            <w:tcW w:w="356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auto"/>
              </w:rPr>
            </w:pPr>
            <w:hyperlink w:anchor="page28">
              <w:r>
                <w:rPr>
                  <w:rFonts w:ascii="Times New Roman" w:cs="Times New Roman" w:eastAsia="Times New Roman" w:hAnsi="Times New Roman"/>
                  <w:sz w:val="16"/>
                  <w:szCs w:val="16"/>
                  <w:color w:val="auto"/>
                </w:rPr>
                <w:t>Executive Compensation</w:t>
              </w:r>
            </w:hyperlink>
          </w:p>
        </w:tc>
        <w:tc>
          <w:tcPr>
            <w:tcW w:w="1180" w:type="dxa"/>
            <w:vAlign w:val="bottom"/>
            <w:gridSpan w:val="3"/>
          </w:tcPr>
          <w:p>
            <w:pPr>
              <w:spacing w:after="0"/>
              <w:rPr>
                <w:sz w:val="13"/>
                <w:szCs w:val="13"/>
                <w:color w:val="auto"/>
              </w:rPr>
            </w:pPr>
          </w:p>
        </w:tc>
        <w:tc>
          <w:tcPr>
            <w:tcW w:w="15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12.</w:t>
            </w:r>
          </w:p>
        </w:tc>
        <w:tc>
          <w:tcPr>
            <w:tcW w:w="156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auto"/>
              </w:rPr>
            </w:pPr>
            <w:hyperlink w:anchor="page28">
              <w:r>
                <w:rPr>
                  <w:rFonts w:ascii="Times New Roman" w:cs="Times New Roman" w:eastAsia="Times New Roman" w:hAnsi="Times New Roman"/>
                  <w:sz w:val="16"/>
                  <w:szCs w:val="16"/>
                  <w:color w:val="auto"/>
                </w:rPr>
                <w:t>Security Ownership of</w:t>
              </w:r>
            </w:hyperlink>
          </w:p>
        </w:tc>
        <w:tc>
          <w:tcPr>
            <w:tcW w:w="5460" w:type="dxa"/>
            <w:vAlign w:val="bottom"/>
            <w:gridSpan w:val="12"/>
          </w:tcPr>
          <w:p>
            <w:pPr>
              <w:spacing w:after="0" w:line="160" w:lineRule="exact"/>
              <w:rPr>
                <w:rFonts w:ascii="Times New Roman" w:cs="Times New Roman" w:eastAsia="Times New Roman" w:hAnsi="Times New Roman"/>
                <w:sz w:val="16"/>
                <w:szCs w:val="16"/>
                <w:color w:val="auto"/>
              </w:rPr>
            </w:pPr>
            <w:hyperlink w:anchor="page28">
              <w:r>
                <w:rPr>
                  <w:rFonts w:ascii="Times New Roman" w:cs="Times New Roman" w:eastAsia="Times New Roman" w:hAnsi="Times New Roman"/>
                  <w:sz w:val="16"/>
                  <w:szCs w:val="16"/>
                  <w:color w:val="auto"/>
                </w:rPr>
                <w:t>Certain Beneficial Owners and Management and Related Stockholder Matters</w:t>
              </w:r>
            </w:hyperlink>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13.</w:t>
            </w:r>
          </w:p>
        </w:tc>
        <w:tc>
          <w:tcPr>
            <w:tcW w:w="632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Certain Relationships and Related Transactions, and Director Independence</w:t>
              </w:r>
            </w:hyperlink>
          </w:p>
        </w:tc>
        <w:tc>
          <w:tcPr>
            <w:tcW w:w="700" w:type="dxa"/>
            <w:vAlign w:val="bottom"/>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14.</w:t>
            </w:r>
          </w:p>
        </w:tc>
        <w:tc>
          <w:tcPr>
            <w:tcW w:w="474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Principal Accountant Fees and Services</w:t>
              </w:r>
            </w:hyperlink>
          </w:p>
        </w:tc>
        <w:tc>
          <w:tcPr>
            <w:tcW w:w="2280" w:type="dxa"/>
            <w:vAlign w:val="bottom"/>
            <w:gridSpan w:val="4"/>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800" w:type="dxa"/>
            <w:vAlign w:val="bottom"/>
            <w:gridSpan w:val="5"/>
          </w:tcPr>
          <w:p>
            <w:pPr>
              <w:spacing w:after="0"/>
              <w:rPr>
                <w:rFonts w:ascii="Times New Roman" w:cs="Times New Roman" w:eastAsia="Times New Roman" w:hAnsi="Times New Roman"/>
                <w:sz w:val="16"/>
                <w:szCs w:val="16"/>
                <w:b w:val="1"/>
                <w:bCs w:val="1"/>
                <w:color w:val="auto"/>
              </w:rPr>
            </w:pPr>
            <w:hyperlink w:anchor="page30">
              <w:r>
                <w:rPr>
                  <w:rFonts w:ascii="Times New Roman" w:cs="Times New Roman" w:eastAsia="Times New Roman" w:hAnsi="Times New Roman"/>
                  <w:sz w:val="16"/>
                  <w:szCs w:val="16"/>
                  <w:b w:val="1"/>
                  <w:bCs w:val="1"/>
                  <w:color w:val="auto"/>
                </w:rPr>
                <w:t>PART IV</w:t>
              </w:r>
            </w:hyperlink>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15.</w:t>
            </w:r>
          </w:p>
        </w:tc>
        <w:tc>
          <w:tcPr>
            <w:tcW w:w="7020" w:type="dxa"/>
            <w:vAlign w:val="bottom"/>
            <w:gridSpan w:val="27"/>
          </w:tcPr>
          <w:p>
            <w:pPr>
              <w:spacing w:after="0" w:line="160" w:lineRule="exact"/>
              <w:rPr>
                <w:rFonts w:ascii="Times New Roman" w:cs="Times New Roman" w:eastAsia="Times New Roman" w:hAnsi="Times New Roman"/>
                <w:sz w:val="16"/>
                <w:szCs w:val="16"/>
                <w:color w:val="auto"/>
              </w:rPr>
            </w:pPr>
            <w:hyperlink w:anchor="page30">
              <w:r>
                <w:rPr>
                  <w:rFonts w:ascii="Times New Roman" w:cs="Times New Roman" w:eastAsia="Times New Roman" w:hAnsi="Times New Roman"/>
                  <w:sz w:val="16"/>
                  <w:szCs w:val="16"/>
                  <w:color w:val="auto"/>
                </w:rPr>
                <w:t>Exhibits and Financial Statement Schedules</w:t>
              </w:r>
            </w:hyperlink>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rPr>
              <w:t>Item 16.</w:t>
            </w:r>
          </w:p>
        </w:tc>
        <w:tc>
          <w:tcPr>
            <w:tcW w:w="274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auto"/>
              </w:rPr>
            </w:pPr>
            <w:hyperlink w:anchor="page38">
              <w:r>
                <w:rPr>
                  <w:rFonts w:ascii="Times New Roman" w:cs="Times New Roman" w:eastAsia="Times New Roman" w:hAnsi="Times New Roman"/>
                  <w:sz w:val="16"/>
                  <w:szCs w:val="16"/>
                  <w:color w:val="auto"/>
                </w:rPr>
                <w:t>Form 10-K Summary</w:t>
              </w:r>
            </w:hyperlink>
          </w:p>
        </w:tc>
        <w:tc>
          <w:tcPr>
            <w:tcW w:w="4280" w:type="dxa"/>
            <w:vAlign w:val="bottom"/>
            <w:gridSpan w:val="9"/>
          </w:tcPr>
          <w:p>
            <w:pPr>
              <w:spacing w:after="0"/>
              <w:rPr>
                <w:sz w:val="13"/>
                <w:szCs w:val="13"/>
                <w:color w:val="auto"/>
              </w:rPr>
            </w:pPr>
          </w:p>
        </w:tc>
        <w:tc>
          <w:tcPr>
            <w:tcW w:w="1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8"/>
        </w:trPr>
        <w:tc>
          <w:tcPr>
            <w:tcW w:w="5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280" w:type="dxa"/>
            <w:vAlign w:val="bottom"/>
            <w:tcBorders>
              <w:top w:val="single" w:sz="8" w:color="0000EE"/>
              <w:bottom w:val="single" w:sz="8" w:color="EEEEEE"/>
            </w:tcBorders>
          </w:tcPr>
          <w:p>
            <w:pPr>
              <w:spacing w:after="0"/>
              <w:rPr>
                <w:sz w:val="24"/>
                <w:szCs w:val="24"/>
                <w:color w:val="auto"/>
              </w:rPr>
            </w:pPr>
          </w:p>
        </w:tc>
        <w:tc>
          <w:tcPr>
            <w:tcW w:w="280" w:type="dxa"/>
            <w:vAlign w:val="bottom"/>
            <w:tcBorders>
              <w:top w:val="single" w:sz="8" w:color="0000EE"/>
              <w:bottom w:val="single" w:sz="8" w:color="EEEEEE"/>
            </w:tcBorders>
          </w:tcPr>
          <w:p>
            <w:pPr>
              <w:spacing w:after="0"/>
              <w:rPr>
                <w:sz w:val="24"/>
                <w:szCs w:val="24"/>
                <w:color w:val="auto"/>
              </w:rPr>
            </w:pPr>
          </w:p>
        </w:tc>
        <w:tc>
          <w:tcPr>
            <w:tcW w:w="80" w:type="dxa"/>
            <w:vAlign w:val="bottom"/>
            <w:tcBorders>
              <w:top w:val="single" w:sz="8" w:color="0000EE"/>
              <w:bottom w:val="single" w:sz="8" w:color="EEEEEE"/>
            </w:tcBorders>
          </w:tcPr>
          <w:p>
            <w:pPr>
              <w:spacing w:after="0"/>
              <w:rPr>
                <w:sz w:val="24"/>
                <w:szCs w:val="24"/>
                <w:color w:val="auto"/>
              </w:rPr>
            </w:pPr>
          </w:p>
        </w:tc>
        <w:tc>
          <w:tcPr>
            <w:tcW w:w="12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0000EE"/>
              <w:bottom w:val="single" w:sz="8" w:color="EEEEEE"/>
            </w:tcBorders>
          </w:tcPr>
          <w:p>
            <w:pPr>
              <w:spacing w:after="0"/>
              <w:rPr>
                <w:sz w:val="24"/>
                <w:szCs w:val="24"/>
                <w:color w:val="auto"/>
              </w:rPr>
            </w:pPr>
          </w:p>
        </w:tc>
        <w:tc>
          <w:tcPr>
            <w:tcW w:w="80" w:type="dxa"/>
            <w:vAlign w:val="bottom"/>
            <w:tcBorders>
              <w:top w:val="single" w:sz="8" w:color="0000EE"/>
              <w:bottom w:val="single" w:sz="8" w:color="EEEEEE"/>
            </w:tcBorders>
          </w:tcPr>
          <w:p>
            <w:pPr>
              <w:spacing w:after="0"/>
              <w:rPr>
                <w:sz w:val="24"/>
                <w:szCs w:val="24"/>
                <w:color w:val="auto"/>
              </w:rPr>
            </w:pPr>
          </w:p>
        </w:tc>
        <w:tc>
          <w:tcPr>
            <w:tcW w:w="240" w:type="dxa"/>
            <w:vAlign w:val="bottom"/>
            <w:tcBorders>
              <w:top w:val="single" w:sz="8" w:color="0000EE"/>
              <w:bottom w:val="single" w:sz="8" w:color="EEEEEE"/>
            </w:tcBorders>
          </w:tcPr>
          <w:p>
            <w:pPr>
              <w:spacing w:after="0"/>
              <w:rPr>
                <w:sz w:val="24"/>
                <w:szCs w:val="24"/>
                <w:color w:val="auto"/>
              </w:rPr>
            </w:pPr>
          </w:p>
        </w:tc>
        <w:tc>
          <w:tcPr>
            <w:tcW w:w="20" w:type="dxa"/>
            <w:vAlign w:val="bottom"/>
            <w:tcBorders>
              <w:top w:val="single" w:sz="8" w:color="0000EE"/>
              <w:bottom w:val="single" w:sz="8" w:color="EEEEEE"/>
            </w:tcBorders>
          </w:tcPr>
          <w:p>
            <w:pPr>
              <w:spacing w:after="0"/>
              <w:rPr>
                <w:sz w:val="24"/>
                <w:szCs w:val="24"/>
                <w:color w:val="auto"/>
              </w:rPr>
            </w:pPr>
          </w:p>
        </w:tc>
        <w:tc>
          <w:tcPr>
            <w:tcW w:w="20" w:type="dxa"/>
            <w:vAlign w:val="bottom"/>
            <w:tcBorders>
              <w:top w:val="single" w:sz="8" w:color="0000EE"/>
              <w:bottom w:val="single" w:sz="8" w:color="EEEEEE"/>
            </w:tcBorders>
          </w:tcPr>
          <w:p>
            <w:pPr>
              <w:spacing w:after="0"/>
              <w:rPr>
                <w:sz w:val="24"/>
                <w:szCs w:val="24"/>
                <w:color w:val="auto"/>
              </w:rPr>
            </w:pPr>
          </w:p>
        </w:tc>
        <w:tc>
          <w:tcPr>
            <w:tcW w:w="20" w:type="dxa"/>
            <w:vAlign w:val="bottom"/>
            <w:tcBorders>
              <w:top w:val="single" w:sz="8" w:color="0000EE"/>
              <w:bottom w:val="single" w:sz="8" w:color="EEEEEE"/>
            </w:tcBorders>
          </w:tcPr>
          <w:p>
            <w:pPr>
              <w:spacing w:after="0"/>
              <w:rPr>
                <w:sz w:val="24"/>
                <w:szCs w:val="24"/>
                <w:color w:val="auto"/>
              </w:rPr>
            </w:pPr>
          </w:p>
        </w:tc>
        <w:tc>
          <w:tcPr>
            <w:tcW w:w="20" w:type="dxa"/>
            <w:vAlign w:val="bottom"/>
            <w:tcBorders>
              <w:top w:val="single" w:sz="8" w:color="0000EE"/>
              <w:bottom w:val="single" w:sz="8" w:color="EEEEEE"/>
            </w:tcBorders>
          </w:tcPr>
          <w:p>
            <w:pPr>
              <w:spacing w:after="0"/>
              <w:rPr>
                <w:sz w:val="24"/>
                <w:szCs w:val="24"/>
                <w:color w:val="auto"/>
              </w:rPr>
            </w:pPr>
          </w:p>
        </w:tc>
        <w:tc>
          <w:tcPr>
            <w:tcW w:w="160" w:type="dxa"/>
            <w:vAlign w:val="bottom"/>
            <w:tcBorders>
              <w:top w:val="single" w:sz="8" w:color="0000EE"/>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174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47" w:right="66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ind w:right="120" w:firstLine="348"/>
        <w:spacing w:after="0" w:line="247" w:lineRule="auto"/>
        <w:rPr>
          <w:sz w:val="20"/>
          <w:szCs w:val="20"/>
          <w:color w:val="auto"/>
        </w:rPr>
      </w:pPr>
      <w:r>
        <w:rPr>
          <w:rFonts w:ascii="Times New Roman" w:cs="Times New Roman" w:eastAsia="Times New Roman" w:hAnsi="Times New Roman"/>
          <w:sz w:val="16"/>
          <w:szCs w:val="16"/>
          <w:color w:val="auto"/>
        </w:rPr>
        <w:t>Ashland Inc. is a global additives and specialty ingredients company with a conscious and proactive mindset for sustainability. Our common stock is listed on the New York Stock Exchange (“NYSE”) under the ticker symbol “ASH”. The terms “Ashland,” the “Company,” “we” and “our” used herein refer to Ashland Inc., a Delaware Corporation, and its predecessors, and its consolidated subsidiaries, except where the context indicates otherwise.</w:t>
      </w:r>
    </w:p>
    <w:p>
      <w:pPr>
        <w:spacing w:after="0" w:line="68" w:lineRule="exact"/>
        <w:rPr>
          <w:sz w:val="20"/>
          <w:szCs w:val="20"/>
          <w:color w:val="auto"/>
        </w:rPr>
      </w:pPr>
    </w:p>
    <w:p>
      <w:pPr>
        <w:ind w:right="320" w:firstLine="348"/>
        <w:spacing w:after="0" w:line="259" w:lineRule="auto"/>
        <w:rPr>
          <w:sz w:val="20"/>
          <w:szCs w:val="20"/>
          <w:color w:val="auto"/>
        </w:rPr>
      </w:pPr>
      <w:r>
        <w:rPr>
          <w:rFonts w:ascii="Times New Roman" w:cs="Times New Roman" w:eastAsia="Times New Roman" w:hAnsi="Times New Roman"/>
          <w:sz w:val="16"/>
          <w:szCs w:val="16"/>
          <w:color w:val="auto"/>
        </w:rPr>
        <w:t>The Company serves customers in a wide range of consumer and industrial markets including, architectural coatings, construction, energy, food and beverage, personal care and pharmaceutical. With approximately 2,900 employees worldwide, Ashland serves customers in more than 100 countries.</w:t>
      </w:r>
    </w:p>
    <w:p>
      <w:pPr>
        <w:spacing w:after="0" w:line="59"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6"/>
          <w:szCs w:val="16"/>
          <w:color w:val="auto"/>
        </w:rPr>
        <w:t>Ashland’s reportable operating segments ("reportable segments") include: Life Sciences; Personal Care; Specialty Additives; and Intermediates. Unallocated and Other includes corporate governance activities and certain legacy matters.</w:t>
      </w:r>
    </w:p>
    <w:p>
      <w:pPr>
        <w:spacing w:after="0" w:line="59" w:lineRule="exact"/>
        <w:rPr>
          <w:sz w:val="20"/>
          <w:szCs w:val="20"/>
          <w:color w:val="auto"/>
        </w:rPr>
      </w:pPr>
    </w:p>
    <w:p>
      <w:pPr>
        <w:ind w:right="140" w:firstLine="348"/>
        <w:spacing w:after="0" w:line="289" w:lineRule="auto"/>
        <w:rPr>
          <w:sz w:val="20"/>
          <w:szCs w:val="20"/>
          <w:color w:val="auto"/>
        </w:rPr>
      </w:pPr>
      <w:r>
        <w:rPr>
          <w:rFonts w:ascii="Times New Roman" w:cs="Times New Roman" w:eastAsia="Times New Roman" w:hAnsi="Times New Roman"/>
          <w:sz w:val="14"/>
          <w:szCs w:val="14"/>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 The nutraceuticals business was sold in August 2024.</w:t>
      </w:r>
    </w:p>
    <w:p>
      <w:pPr>
        <w:spacing w:after="0" w:line="41" w:lineRule="exact"/>
        <w:rPr>
          <w:sz w:val="20"/>
          <w:szCs w:val="20"/>
          <w:color w:val="auto"/>
        </w:rPr>
      </w:pPr>
    </w:p>
    <w:p>
      <w:pPr>
        <w:ind w:right="100" w:firstLine="348"/>
        <w:spacing w:after="0" w:line="284" w:lineRule="auto"/>
        <w:rPr>
          <w:sz w:val="20"/>
          <w:szCs w:val="20"/>
          <w:color w:val="auto"/>
        </w:rPr>
      </w:pPr>
      <w:r>
        <w:rPr>
          <w:rFonts w:ascii="Times New Roman" w:cs="Times New Roman" w:eastAsia="Times New Roman" w:hAnsi="Times New Roman"/>
          <w:sz w:val="14"/>
          <w:szCs w:val="14"/>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44"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77"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reportable segments for use as a raw material.</w:t>
      </w:r>
    </w:p>
    <w:p>
      <w:pPr>
        <w:spacing w:after="0" w:line="71" w:lineRule="exact"/>
        <w:rPr>
          <w:sz w:val="20"/>
          <w:szCs w:val="20"/>
          <w:color w:val="auto"/>
        </w:rPr>
      </w:pPr>
    </w:p>
    <w:p>
      <w:pPr>
        <w:ind w:right="180" w:firstLine="348"/>
        <w:spacing w:after="0" w:line="259" w:lineRule="auto"/>
        <w:rPr>
          <w:sz w:val="20"/>
          <w:szCs w:val="20"/>
          <w:color w:val="auto"/>
        </w:rPr>
      </w:pPr>
      <w:r>
        <w:rPr>
          <w:rFonts w:ascii="Times New Roman" w:cs="Times New Roman" w:eastAsia="Times New Roman" w:hAnsi="Times New Roman"/>
          <w:sz w:val="16"/>
          <w:szCs w:val="16"/>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4" w:name="page5"/>
    <w:bookmarkEnd w:id="4"/>
    <w:p>
      <w:pPr>
        <w:ind w:left="360"/>
        <w:spacing w:after="0"/>
        <w:rPr>
          <w:sz w:val="20"/>
          <w:szCs w:val="20"/>
          <w:color w:val="auto"/>
        </w:rPr>
      </w:pPr>
      <w:r>
        <w:rPr>
          <w:rFonts w:ascii="Times New Roman" w:cs="Times New Roman" w:eastAsia="Times New Roman" w:hAnsi="Times New Roman"/>
          <w:sz w:val="16"/>
          <w:szCs w:val="16"/>
          <w:color w:val="auto"/>
        </w:rPr>
        <w:t>Available Information -</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principal executive offices are located at 8145 Blazer Drive, Wilmington, Delaware 19808.</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On the Investor Relations section of our website, </w:t>
      </w:r>
      <w:r>
        <w:rPr>
          <w:rFonts w:ascii="Times New Roman" w:cs="Times New Roman" w:eastAsia="Times New Roman" w:hAnsi="Times New Roman"/>
          <w:sz w:val="16"/>
          <w:szCs w:val="16"/>
          <w:i w:val="1"/>
          <w:iCs w:val="1"/>
          <w:color w:val="auto"/>
        </w:rPr>
        <w:t>www.ashland.com</w:t>
      </w:r>
      <w:r>
        <w:rPr>
          <w:rFonts w:ascii="Times New Roman" w:cs="Times New Roman" w:eastAsia="Times New Roman" w:hAnsi="Times New Roman"/>
          <w:sz w:val="16"/>
          <w:szCs w:val="16"/>
          <w:color w:val="auto"/>
        </w:rPr>
        <w:t>, you may obtain additional information about us, free of charge, including:</w:t>
      </w:r>
    </w:p>
    <w:p>
      <w:pPr>
        <w:spacing w:after="0" w:line="94" w:lineRule="exact"/>
        <w:rPr>
          <w:sz w:val="20"/>
          <w:szCs w:val="20"/>
          <w:color w:val="auto"/>
        </w:rPr>
      </w:pPr>
    </w:p>
    <w:p>
      <w:pPr>
        <w:ind w:left="480" w:right="80"/>
        <w:spacing w:after="0" w:line="246" w:lineRule="auto"/>
        <w:rPr>
          <w:sz w:val="20"/>
          <w:szCs w:val="20"/>
          <w:color w:val="auto"/>
        </w:rPr>
      </w:pPr>
      <w:r>
        <w:rPr>
          <w:rFonts w:ascii="Times New Roman" w:cs="Times New Roman" w:eastAsia="Times New Roman" w:hAnsi="Times New Roman"/>
          <w:sz w:val="16"/>
          <w:szCs w:val="16"/>
          <w:color w:val="auto"/>
        </w:rPr>
        <w:t>•our annual reports on Form 10-K, quarterly reports on Form 10-Q, current reports on Form 8-K and other documents as soon as reasonably practicable after we file them with or furnish them to the Securities and Exchange Commission ("SEC");</w:t>
      </w:r>
    </w:p>
    <w:p>
      <w:pPr>
        <w:spacing w:after="0" w:line="1" w:lineRule="exact"/>
        <w:rPr>
          <w:sz w:val="20"/>
          <w:szCs w:val="20"/>
          <w:color w:val="auto"/>
        </w:rPr>
      </w:pPr>
    </w:p>
    <w:p>
      <w:pPr>
        <w:ind w:left="480" w:right="120"/>
        <w:spacing w:after="0" w:line="234" w:lineRule="auto"/>
        <w:rPr>
          <w:sz w:val="20"/>
          <w:szCs w:val="20"/>
          <w:color w:val="auto"/>
        </w:rPr>
      </w:pPr>
      <w:r>
        <w:rPr>
          <w:rFonts w:ascii="Times New Roman" w:cs="Times New Roman" w:eastAsia="Times New Roman" w:hAnsi="Times New Roman"/>
          <w:sz w:val="16"/>
          <w:szCs w:val="16"/>
          <w:color w:val="auto"/>
        </w:rPr>
        <w:t>•beneficial ownership reports filed by officers, directors, and principal security holders under Section 16(a) of the Securities exchange Act of 1934, as amended (or the “Exchange Act”); and</w:t>
      </w:r>
    </w:p>
    <w:p>
      <w:pPr>
        <w:ind w:left="480"/>
        <w:spacing w:after="0" w:line="236" w:lineRule="auto"/>
        <w:rPr>
          <w:sz w:val="20"/>
          <w:szCs w:val="20"/>
          <w:color w:val="auto"/>
        </w:rPr>
      </w:pPr>
      <w:r>
        <w:rPr>
          <w:rFonts w:ascii="Times New Roman" w:cs="Times New Roman" w:eastAsia="Times New Roman" w:hAnsi="Times New Roman"/>
          <w:sz w:val="16"/>
          <w:szCs w:val="16"/>
          <w:color w:val="auto"/>
        </w:rPr>
        <w:t>•corporate governance information that includes our:</w:t>
      </w:r>
    </w:p>
    <w:p>
      <w:pPr>
        <w:ind w:left="960"/>
        <w:spacing w:after="0" w:line="235" w:lineRule="auto"/>
        <w:rPr>
          <w:sz w:val="20"/>
          <w:szCs w:val="20"/>
          <w:color w:val="auto"/>
        </w:rPr>
      </w:pPr>
      <w:r>
        <w:rPr>
          <w:rFonts w:ascii="Times New Roman" w:cs="Times New Roman" w:eastAsia="Times New Roman" w:hAnsi="Times New Roman"/>
          <w:sz w:val="16"/>
          <w:szCs w:val="16"/>
          <w:color w:val="auto"/>
        </w:rPr>
        <w:t>ocorporate governance guidelines,</w:t>
      </w:r>
    </w:p>
    <w:p>
      <w:pPr>
        <w:ind w:left="960"/>
        <w:spacing w:after="0" w:line="235" w:lineRule="auto"/>
        <w:rPr>
          <w:sz w:val="20"/>
          <w:szCs w:val="20"/>
          <w:color w:val="auto"/>
        </w:rPr>
      </w:pPr>
      <w:r>
        <w:rPr>
          <w:rFonts w:ascii="Times New Roman" w:cs="Times New Roman" w:eastAsia="Times New Roman" w:hAnsi="Times New Roman"/>
          <w:sz w:val="16"/>
          <w:szCs w:val="16"/>
          <w:color w:val="auto"/>
        </w:rPr>
        <w:t>oaudit committee charter,</w:t>
      </w:r>
    </w:p>
    <w:p>
      <w:pPr>
        <w:ind w:left="960"/>
        <w:spacing w:after="0" w:line="235" w:lineRule="auto"/>
        <w:rPr>
          <w:sz w:val="20"/>
          <w:szCs w:val="20"/>
          <w:color w:val="auto"/>
        </w:rPr>
      </w:pPr>
      <w:r>
        <w:rPr>
          <w:rFonts w:ascii="Times New Roman" w:cs="Times New Roman" w:eastAsia="Times New Roman" w:hAnsi="Times New Roman"/>
          <w:sz w:val="16"/>
          <w:szCs w:val="16"/>
          <w:color w:val="auto"/>
        </w:rPr>
        <w:t>ocompensation committee charter,</w:t>
      </w:r>
    </w:p>
    <w:p>
      <w:pPr>
        <w:ind w:left="960"/>
        <w:spacing w:after="0" w:line="235" w:lineRule="auto"/>
        <w:rPr>
          <w:sz w:val="20"/>
          <w:szCs w:val="20"/>
          <w:color w:val="auto"/>
        </w:rPr>
      </w:pPr>
      <w:r>
        <w:rPr>
          <w:rFonts w:ascii="Times New Roman" w:cs="Times New Roman" w:eastAsia="Times New Roman" w:hAnsi="Times New Roman"/>
          <w:sz w:val="16"/>
          <w:szCs w:val="16"/>
          <w:color w:val="auto"/>
        </w:rPr>
        <w:t>oenvironmental, health, safety and quality committee charter,</w:t>
      </w:r>
    </w:p>
    <w:p>
      <w:pPr>
        <w:ind w:left="960"/>
        <w:spacing w:after="0" w:line="234" w:lineRule="auto"/>
        <w:rPr>
          <w:sz w:val="20"/>
          <w:szCs w:val="20"/>
          <w:color w:val="auto"/>
        </w:rPr>
      </w:pPr>
      <w:r>
        <w:rPr>
          <w:rFonts w:ascii="Times New Roman" w:cs="Times New Roman" w:eastAsia="Times New Roman" w:hAnsi="Times New Roman"/>
          <w:sz w:val="16"/>
          <w:szCs w:val="16"/>
          <w:color w:val="auto"/>
        </w:rPr>
        <w:t>ogovernance and nominating committee charter, and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odirector independence standards.</w:t>
      </w:r>
    </w:p>
    <w:p>
      <w:pPr>
        <w:spacing w:after="0" w:line="72"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6"/>
          <w:szCs w:val="16"/>
          <w:color w:val="auto"/>
        </w:rPr>
        <w:t>We also provide printed copies of any of these documents to any stockholder free of charge upon request. The SEC also maintains a website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that contains reports, proxy and information statements and other information that is filed electronically with the SEC.</w:t>
      </w:r>
    </w:p>
    <w:p>
      <w:pPr>
        <w:spacing w:after="0" w:line="2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LIFE SCIENCES</w:t>
      </w:r>
    </w:p>
    <w:p>
      <w:pPr>
        <w:spacing w:after="0" w:line="94" w:lineRule="exact"/>
        <w:rPr>
          <w:sz w:val="20"/>
          <w:szCs w:val="20"/>
          <w:color w:val="auto"/>
        </w:rPr>
      </w:pPr>
    </w:p>
    <w:p>
      <w:pPr>
        <w:ind w:firstLine="348"/>
        <w:spacing w:after="0" w:line="239" w:lineRule="auto"/>
        <w:rPr>
          <w:sz w:val="20"/>
          <w:szCs w:val="20"/>
          <w:color w:val="auto"/>
        </w:rPr>
      </w:pPr>
      <w:r>
        <w:rPr>
          <w:rFonts w:ascii="Times New Roman" w:cs="Times New Roman" w:eastAsia="Times New Roman" w:hAnsi="Times New Roman"/>
          <w:sz w:val="16"/>
          <w:szCs w:val="16"/>
          <w:color w:val="auto"/>
        </w:rPr>
        <w:t>Life Sciences is a leading supplier of excipients and tablet coating systems to the pharmaceutical and nutrition industries. Excipients include a comprehensive range of polymers for use as tablet binders, super disintegrants, sustained-release agents and drug solubilizers, as well as a variety of coating formulations for immediate, delayed, and sustained release applications. Core products include cellulosics and vinyl pyrrolidone polymers which are used primarily in oral solid dosage drug formulations. Its nutrition portfolio provides functional benefits in areas such as thickening, texture control, thermal gelation, structure enhancement, water binding, clarification and stabilization. Its core products include cellulose gums and vinyl pyrrolidone polymers which are used in a wide range of offerings for bakery, beverage, dairy, desserts, meat products, pet food, prepared foods, sauces and savory products.</w:t>
      </w:r>
    </w:p>
    <w:p>
      <w:pPr>
        <w:spacing w:after="0" w:line="77" w:lineRule="exact"/>
        <w:rPr>
          <w:sz w:val="20"/>
          <w:szCs w:val="20"/>
          <w:color w:val="auto"/>
        </w:rPr>
      </w:pPr>
    </w:p>
    <w:p>
      <w:pPr>
        <w:jc w:val="both"/>
        <w:ind w:right="180" w:firstLine="348"/>
        <w:spacing w:after="0" w:line="247" w:lineRule="auto"/>
        <w:rPr>
          <w:sz w:val="20"/>
          <w:szCs w:val="20"/>
          <w:color w:val="auto"/>
        </w:rPr>
      </w:pPr>
      <w:r>
        <w:rPr>
          <w:rFonts w:ascii="Times New Roman" w:cs="Times New Roman" w:eastAsia="Times New Roman" w:hAnsi="Times New Roman"/>
          <w:sz w:val="16"/>
          <w:szCs w:val="16"/>
          <w:color w:val="auto"/>
        </w:rPr>
        <w:t>Life Sciences operates throughout the Americas, Europe and Asia Pacific. It has 11 manufacturing and lab facilities in nine countries which serve its various end markets. It has manufacturing facilities and labs in the United States in Wilmington, Delaware and Bridgewater Township, New Jersey; and internationally in Brazil; China; Germany; India; Ireland; Mexico; Thailand; and Turkey.</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Life Science markets and distributes its products in the Americas, Europe, the Middle East, Africa and Asia Pacific.</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 fiscal 2025, the following Life Sciences product categories were 10% or greater of Ashland’s total consolidated sales: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40" w:type="dxa"/>
            <w:vAlign w:val="bottom"/>
            <w:tcBorders>
              <w:top w:val="single" w:sz="8" w:color="auto"/>
              <w:bottom w:val="single" w:sz="8" w:color="auto"/>
            </w:tcBorders>
          </w:tcPr>
          <w:p>
            <w:pPr>
              <w:ind w:left="148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3540" w:type="dxa"/>
            <w:vAlign w:val="bottom"/>
            <w:tcBorders>
              <w:top w:val="single" w:sz="8" w:color="auto"/>
              <w:bottom w:val="single" w:sz="8" w:color="auto"/>
            </w:tcBorders>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7"/>
              </w:rPr>
              <w:t>% of Life Sciences sales</w:t>
            </w:r>
          </w:p>
        </w:tc>
        <w:tc>
          <w:tcPr>
            <w:tcW w:w="3760" w:type="dxa"/>
            <w:vAlign w:val="bottom"/>
            <w:tcBorders>
              <w:top w:val="single" w:sz="8" w:color="auto"/>
              <w:bottom w:val="single" w:sz="8" w:color="auto"/>
            </w:tcBorders>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7"/>
              </w:rPr>
              <w:t>% of Ashland total consolidated sales</w:t>
            </w:r>
          </w:p>
        </w:tc>
      </w:tr>
      <w:tr>
        <w:trPr>
          <w:trHeight w:val="172"/>
        </w:trPr>
        <w:tc>
          <w:tcPr>
            <w:tcW w:w="20" w:type="dxa"/>
            <w:vAlign w:val="bottom"/>
          </w:tcPr>
          <w:p>
            <w:pPr>
              <w:spacing w:after="0"/>
              <w:rPr>
                <w:sz w:val="14"/>
                <w:szCs w:val="14"/>
                <w:color w:val="auto"/>
              </w:rPr>
            </w:pPr>
          </w:p>
        </w:tc>
        <w:tc>
          <w:tcPr>
            <w:tcW w:w="32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6"/>
                <w:szCs w:val="16"/>
                <w:color w:val="auto"/>
              </w:rPr>
              <w:t>Cellulosics</w:t>
            </w:r>
          </w:p>
        </w:tc>
        <w:tc>
          <w:tcPr>
            <w:tcW w:w="3540" w:type="dxa"/>
            <w:vAlign w:val="bottom"/>
            <w:shd w:val="clear" w:color="auto" w:fill="CFF0FC"/>
          </w:tcPr>
          <w:p>
            <w:pPr>
              <w:jc w:val="center"/>
              <w:ind w:left="402"/>
              <w:spacing w:after="0" w:line="172" w:lineRule="exact"/>
              <w:rPr>
                <w:sz w:val="20"/>
                <w:szCs w:val="20"/>
                <w:color w:val="auto"/>
              </w:rPr>
            </w:pPr>
            <w:r>
              <w:rPr>
                <w:rFonts w:ascii="Times New Roman" w:cs="Times New Roman" w:eastAsia="Times New Roman" w:hAnsi="Times New Roman"/>
                <w:sz w:val="16"/>
                <w:szCs w:val="16"/>
                <w:color w:val="auto"/>
              </w:rPr>
              <w:t>43%</w:t>
            </w:r>
          </w:p>
        </w:tc>
        <w:tc>
          <w:tcPr>
            <w:tcW w:w="3760" w:type="dxa"/>
            <w:vAlign w:val="bottom"/>
            <w:shd w:val="clear" w:color="auto" w:fill="CFF0FC"/>
          </w:tcPr>
          <w:p>
            <w:pPr>
              <w:jc w:val="center"/>
              <w:ind w:left="122"/>
              <w:spacing w:after="0" w:line="172" w:lineRule="exact"/>
              <w:rPr>
                <w:sz w:val="20"/>
                <w:szCs w:val="20"/>
                <w:color w:val="auto"/>
              </w:rPr>
            </w:pPr>
            <w:r>
              <w:rPr>
                <w:rFonts w:ascii="Times New Roman" w:cs="Times New Roman" w:eastAsia="Times New Roman" w:hAnsi="Times New Roman"/>
                <w:sz w:val="16"/>
                <w:szCs w:val="16"/>
                <w:color w:val="auto"/>
                <w:w w:val="95"/>
              </w:rPr>
              <w:t>39%</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Polyvinylpyrrolidones (PVP)</w:t>
            </w:r>
          </w:p>
        </w:tc>
        <w:tc>
          <w:tcPr>
            <w:tcW w:w="3540" w:type="dxa"/>
            <w:vAlign w:val="bottom"/>
          </w:tcPr>
          <w:p>
            <w:pPr>
              <w:jc w:val="center"/>
              <w:ind w:left="402"/>
              <w:spacing w:after="0"/>
              <w:rPr>
                <w:sz w:val="20"/>
                <w:szCs w:val="20"/>
                <w:color w:val="auto"/>
              </w:rPr>
            </w:pPr>
            <w:r>
              <w:rPr>
                <w:rFonts w:ascii="Times New Roman" w:cs="Times New Roman" w:eastAsia="Times New Roman" w:hAnsi="Times New Roman"/>
                <w:sz w:val="16"/>
                <w:szCs w:val="16"/>
                <w:color w:val="auto"/>
              </w:rPr>
              <w:t>42%</w:t>
            </w:r>
          </w:p>
        </w:tc>
        <w:tc>
          <w:tcPr>
            <w:tcW w:w="376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5"/>
              </w:rPr>
              <w:t>25%</w:t>
            </w:r>
          </w:p>
        </w:tc>
      </w:tr>
    </w:tbl>
    <w:p>
      <w:pPr>
        <w:spacing w:after="0" w:line="2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PERSONAL CARE</w:t>
      </w:r>
    </w:p>
    <w:p>
      <w:pPr>
        <w:spacing w:after="0" w:line="94" w:lineRule="exact"/>
        <w:rPr>
          <w:sz w:val="20"/>
          <w:szCs w:val="20"/>
          <w:color w:val="auto"/>
        </w:rPr>
      </w:pPr>
    </w:p>
    <w:p>
      <w:pPr>
        <w:ind w:right="400" w:firstLine="348"/>
        <w:spacing w:after="0" w:line="259" w:lineRule="auto"/>
        <w:rPr>
          <w:sz w:val="20"/>
          <w:szCs w:val="20"/>
          <w:color w:val="auto"/>
        </w:rPr>
      </w:pPr>
      <w:r>
        <w:rPr>
          <w:rFonts w:ascii="Times New Roman" w:cs="Times New Roman" w:eastAsia="Times New Roman" w:hAnsi="Times New Roman"/>
          <w:sz w:val="16"/>
          <w:szCs w:val="16"/>
          <w:color w:val="auto"/>
        </w:rPr>
        <w:t>The Personal Care portfolio of oral care products delivers active ingredients in toothpaste and mouthwashes; provides bioadhesive functionality for dentures; delivers flavor, texture and other functional properties; and provides product binding to ensure form and function throughout product lifecycle.</w:t>
      </w:r>
    </w:p>
    <w:p>
      <w:pPr>
        <w:spacing w:after="0" w:line="59" w:lineRule="exact"/>
        <w:rPr>
          <w:sz w:val="20"/>
          <w:szCs w:val="20"/>
          <w:color w:val="auto"/>
        </w:rPr>
      </w:pPr>
    </w:p>
    <w:p>
      <w:pPr>
        <w:ind w:right="460" w:firstLine="348"/>
        <w:spacing w:after="0" w:line="259" w:lineRule="auto"/>
        <w:rPr>
          <w:sz w:val="20"/>
          <w:szCs w:val="20"/>
          <w:color w:val="auto"/>
        </w:rPr>
      </w:pPr>
      <w:r>
        <w:rPr>
          <w:rFonts w:ascii="Times New Roman" w:cs="Times New Roman" w:eastAsia="Times New Roman" w:hAnsi="Times New Roman"/>
          <w:sz w:val="16"/>
          <w:szCs w:val="16"/>
          <w:color w:val="auto"/>
        </w:rPr>
        <w:t>The Personal Care portfolio of hair care products includes advanced styling polymers, fixatives, conditioning polymers, emulsifiers, preservatives, rheology modifiers and biofunctional actives.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5" w:name="page6"/>
    <w:bookmarkEnd w:id="5"/>
    <w:p>
      <w:pPr>
        <w:ind w:right="60" w:firstLine="348"/>
        <w:spacing w:after="0" w:line="285" w:lineRule="auto"/>
        <w:rPr>
          <w:sz w:val="20"/>
          <w:szCs w:val="20"/>
          <w:color w:val="auto"/>
        </w:rPr>
      </w:pPr>
      <w:r>
        <w:rPr>
          <w:rFonts w:ascii="Times New Roman" w:cs="Times New Roman" w:eastAsia="Times New Roman" w:hAnsi="Times New Roman"/>
          <w:sz w:val="14"/>
          <w:szCs w:val="14"/>
          <w:color w:val="auto"/>
        </w:rPr>
        <w:t>The Personal Care portfolio of ingredients and solutions for skin care, sun care, and cosmetics focuses on natural and sustainable solutions. Personal Care includes biofunctional actives, preservatives, and specialty polymers to provide functionality such as water resistance and rheology. Ashland’s natural ingredients include a wide</w:t>
      </w:r>
    </w:p>
    <w:p>
      <w:pPr>
        <w:spacing w:after="0" w:line="1"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6"/>
          <w:szCs w:val="16"/>
          <w:color w:val="auto"/>
        </w:rPr>
        <w:t>range of cellulose, guar, and cassia derivatives; unique active ingredients derived from botanical sources using exclusive Ashland technologies such as Zeta Fraction</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and plant small RNAs ("PSR") technology; emollients based on natural chemistries; encapsulation technology derived from alginates; and efficacious preservative blends inspired by nature.</w:t>
      </w:r>
    </w:p>
    <w:p>
      <w:pPr>
        <w:spacing w:after="0" w:line="73" w:lineRule="exact"/>
        <w:rPr>
          <w:sz w:val="20"/>
          <w:szCs w:val="20"/>
          <w:color w:val="auto"/>
        </w:rPr>
      </w:pPr>
    </w:p>
    <w:p>
      <w:pPr>
        <w:jc w:val="both"/>
        <w:ind w:right="480" w:firstLine="348"/>
        <w:spacing w:after="0" w:line="247" w:lineRule="auto"/>
        <w:rPr>
          <w:sz w:val="20"/>
          <w:szCs w:val="20"/>
          <w:color w:val="auto"/>
        </w:rPr>
      </w:pPr>
      <w:r>
        <w:rPr>
          <w:rFonts w:ascii="Times New Roman" w:cs="Times New Roman" w:eastAsia="Times New Roman" w:hAnsi="Times New Roman"/>
          <w:sz w:val="16"/>
          <w:szCs w:val="16"/>
          <w:color w:val="auto"/>
        </w:rPr>
        <w:t>The Personal Care portfolio of products and technologies is used in many types of cleaning and fragrance applications, including fabric care, home care and dishwashing. Personal Care products are used in a variety of applications for viscosity enhancement, particle suspension, rheology modification, stabilization and fragrance enhancement.</w:t>
      </w:r>
    </w:p>
    <w:p>
      <w:pPr>
        <w:spacing w:after="0" w:line="68" w:lineRule="exact"/>
        <w:rPr>
          <w:sz w:val="20"/>
          <w:szCs w:val="20"/>
          <w:color w:val="auto"/>
        </w:rPr>
      </w:pPr>
    </w:p>
    <w:p>
      <w:pPr>
        <w:ind w:right="160" w:firstLine="348"/>
        <w:spacing w:after="0" w:line="247" w:lineRule="auto"/>
        <w:rPr>
          <w:sz w:val="20"/>
          <w:szCs w:val="20"/>
          <w:color w:val="auto"/>
        </w:rPr>
      </w:pPr>
      <w:r>
        <w:rPr>
          <w:rFonts w:ascii="Times New Roman" w:cs="Times New Roman" w:eastAsia="Times New Roman" w:hAnsi="Times New Roman"/>
          <w:sz w:val="16"/>
          <w:szCs w:val="16"/>
          <w:color w:val="auto"/>
        </w:rPr>
        <w:t>Personal Care operates throughout the Americas, Europe and Asia Pacific. It has 9 manufacturing and lab facilities in ten countries which serve its various end markets and participates in one joint venture. It has manufacturing facilities and labs in the United States in Bridgewater Township, New Jersey; and internationally in Brazil; China; France; Germany; India; Mexico; Netherlands; Thailand; and the United Kingdom.</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Personal Care markets and distributes its products in the Americas, Europe, the Middle East, Africa and Asia Pacific.</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 fiscal 2025, the following Personal Care product categories were 10% or greater of Ashland’s total consolidated sales: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20" w:type="dxa"/>
            <w:vAlign w:val="bottom"/>
            <w:tcBorders>
              <w:top w:val="single" w:sz="8" w:color="auto"/>
              <w:bottom w:val="single" w:sz="8" w:color="auto"/>
            </w:tcBorders>
          </w:tcPr>
          <w:p>
            <w:pPr>
              <w:ind w:left="148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3580" w:type="dxa"/>
            <w:vAlign w:val="bottom"/>
            <w:tcBorders>
              <w:top w:val="single" w:sz="8" w:color="auto"/>
              <w:bottom w:val="single" w:sz="8" w:color="auto"/>
            </w:tcBorders>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7"/>
              </w:rPr>
              <w:t>% of Personal Care sales</w:t>
            </w:r>
          </w:p>
        </w:tc>
        <w:tc>
          <w:tcPr>
            <w:tcW w:w="3740" w:type="dxa"/>
            <w:vAlign w:val="bottom"/>
            <w:tcBorders>
              <w:top w:val="single" w:sz="8" w:color="auto"/>
              <w:bottom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 of Ashland total consolidated sales</w:t>
            </w:r>
          </w:p>
        </w:tc>
      </w:tr>
      <w:tr>
        <w:trPr>
          <w:trHeight w:val="172"/>
        </w:trPr>
        <w:tc>
          <w:tcPr>
            <w:tcW w:w="20" w:type="dxa"/>
            <w:vAlign w:val="bottom"/>
          </w:tcPr>
          <w:p>
            <w:pPr>
              <w:spacing w:after="0"/>
              <w:rPr>
                <w:sz w:val="14"/>
                <w:szCs w:val="14"/>
                <w:color w:val="auto"/>
              </w:rPr>
            </w:pPr>
          </w:p>
        </w:tc>
        <w:tc>
          <w:tcPr>
            <w:tcW w:w="32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6"/>
                <w:szCs w:val="16"/>
                <w:color w:val="auto"/>
              </w:rPr>
              <w:t>Cellulosics</w:t>
            </w:r>
          </w:p>
        </w:tc>
        <w:tc>
          <w:tcPr>
            <w:tcW w:w="3580" w:type="dxa"/>
            <w:vAlign w:val="bottom"/>
            <w:shd w:val="clear" w:color="auto" w:fill="CFF0FC"/>
          </w:tcPr>
          <w:p>
            <w:pPr>
              <w:jc w:val="center"/>
              <w:ind w:left="402"/>
              <w:spacing w:after="0" w:line="172" w:lineRule="exact"/>
              <w:rPr>
                <w:sz w:val="20"/>
                <w:szCs w:val="20"/>
                <w:color w:val="auto"/>
              </w:rPr>
            </w:pPr>
            <w:r>
              <w:rPr>
                <w:rFonts w:ascii="Times New Roman" w:cs="Times New Roman" w:eastAsia="Times New Roman" w:hAnsi="Times New Roman"/>
                <w:sz w:val="16"/>
                <w:szCs w:val="16"/>
                <w:color w:val="auto"/>
              </w:rPr>
              <w:t>20%</w:t>
            </w:r>
          </w:p>
        </w:tc>
        <w:tc>
          <w:tcPr>
            <w:tcW w:w="3740" w:type="dxa"/>
            <w:vAlign w:val="bottom"/>
            <w:shd w:val="clear" w:color="auto" w:fill="CFF0FC"/>
          </w:tcPr>
          <w:p>
            <w:pPr>
              <w:jc w:val="center"/>
              <w:ind w:left="102"/>
              <w:spacing w:after="0" w:line="172" w:lineRule="exact"/>
              <w:rPr>
                <w:sz w:val="20"/>
                <w:szCs w:val="20"/>
                <w:color w:val="auto"/>
              </w:rPr>
            </w:pPr>
            <w:r>
              <w:rPr>
                <w:rFonts w:ascii="Times New Roman" w:cs="Times New Roman" w:eastAsia="Times New Roman" w:hAnsi="Times New Roman"/>
                <w:sz w:val="16"/>
                <w:szCs w:val="16"/>
                <w:color w:val="auto"/>
                <w:w w:val="95"/>
              </w:rPr>
              <w:t>39%</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Polyvinylpyrrolidones (PVP)</w:t>
            </w:r>
          </w:p>
        </w:tc>
        <w:tc>
          <w:tcPr>
            <w:tcW w:w="3580" w:type="dxa"/>
            <w:vAlign w:val="bottom"/>
          </w:tcPr>
          <w:p>
            <w:pPr>
              <w:jc w:val="center"/>
              <w:ind w:left="402"/>
              <w:spacing w:after="0"/>
              <w:rPr>
                <w:sz w:val="20"/>
                <w:szCs w:val="20"/>
                <w:color w:val="auto"/>
              </w:rPr>
            </w:pPr>
            <w:r>
              <w:rPr>
                <w:rFonts w:ascii="Times New Roman" w:cs="Times New Roman" w:eastAsia="Times New Roman" w:hAnsi="Times New Roman"/>
                <w:sz w:val="16"/>
                <w:szCs w:val="16"/>
                <w:color w:val="auto"/>
              </w:rPr>
              <w:t>23%</w:t>
            </w:r>
          </w:p>
        </w:tc>
        <w:tc>
          <w:tcPr>
            <w:tcW w:w="374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5"/>
              </w:rPr>
              <w:t>25%</w:t>
            </w: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SPECIALTY ADDITIVES</w:t>
      </w:r>
    </w:p>
    <w:p>
      <w:pPr>
        <w:spacing w:after="0" w:line="94" w:lineRule="exact"/>
        <w:rPr>
          <w:sz w:val="20"/>
          <w:szCs w:val="20"/>
          <w:color w:val="auto"/>
        </w:rPr>
      </w:pPr>
    </w:p>
    <w:p>
      <w:pPr>
        <w:jc w:val="both"/>
        <w:ind w:right="60" w:firstLine="348"/>
        <w:spacing w:after="0" w:line="247" w:lineRule="auto"/>
        <w:rPr>
          <w:sz w:val="20"/>
          <w:szCs w:val="20"/>
          <w:color w:val="auto"/>
        </w:rPr>
      </w:pPr>
      <w:r>
        <w:rPr>
          <w:rFonts w:ascii="Times New Roman" w:cs="Times New Roman" w:eastAsia="Times New Roman" w:hAnsi="Times New Roman"/>
          <w:sz w:val="16"/>
          <w:szCs w:val="16"/>
          <w:color w:val="auto"/>
        </w:rPr>
        <w:t>Specialty Additives offers industry-leading products, technologies and resources for solving formulation and product-performance challenges. Using synthetic and semisynthetic polymers derived from polyester and polyurethane-based adhesives, and plant and seed extract, Specialty Additives offers comprehensive and innovative solutions for industrial applications.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Key customers include manufacturers of paint, coatings and construction materials; packaging and converting companies; and oilfield service companies.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areas of expertise include organic and synthetic chemistry, colloid science, rheology, structural analysis and microbiology.</w:t>
      </w:r>
    </w:p>
    <w:p>
      <w:pPr>
        <w:spacing w:after="0" w:line="92" w:lineRule="exact"/>
        <w:rPr>
          <w:sz w:val="20"/>
          <w:szCs w:val="20"/>
          <w:color w:val="auto"/>
        </w:rPr>
      </w:pPr>
    </w:p>
    <w:p>
      <w:pPr>
        <w:ind w:right="460" w:firstLine="348"/>
        <w:spacing w:after="0" w:line="259" w:lineRule="auto"/>
        <w:rPr>
          <w:sz w:val="20"/>
          <w:szCs w:val="20"/>
          <w:color w:val="auto"/>
        </w:rPr>
      </w:pPr>
      <w:r>
        <w:rPr>
          <w:rFonts w:ascii="Times New Roman" w:cs="Times New Roman" w:eastAsia="Times New Roman" w:hAnsi="Times New Roman"/>
          <w:sz w:val="16"/>
          <w:szCs w:val="16"/>
          <w:color w:val="auto"/>
        </w:rPr>
        <w:t>The solutions provide an array of properties, including thickening and rheology control, binding power, film formation, conditioning and deposition, colloid stabilization and suspension.</w:t>
      </w:r>
    </w:p>
    <w:p>
      <w:pPr>
        <w:spacing w:after="0" w:line="59" w:lineRule="exact"/>
        <w:rPr>
          <w:sz w:val="20"/>
          <w:szCs w:val="20"/>
          <w:color w:val="auto"/>
        </w:rPr>
      </w:pPr>
    </w:p>
    <w:p>
      <w:pPr>
        <w:ind w:right="280" w:firstLine="348"/>
        <w:spacing w:after="0" w:line="259" w:lineRule="auto"/>
        <w:rPr>
          <w:sz w:val="20"/>
          <w:szCs w:val="20"/>
          <w:color w:val="auto"/>
        </w:rPr>
      </w:pPr>
      <w:r>
        <w:rPr>
          <w:rFonts w:ascii="Times New Roman" w:cs="Times New Roman" w:eastAsia="Times New Roman" w:hAnsi="Times New Roman"/>
          <w:sz w:val="16"/>
          <w:szCs w:val="16"/>
          <w:color w:val="auto"/>
        </w:rPr>
        <w:t>Specialty Additives is composed of various end use markets. Many of the products of the end markets are produced in shared manufacturing facilities, to better manage capacity and achieve desired returns.</w:t>
      </w:r>
    </w:p>
    <w:p>
      <w:pPr>
        <w:spacing w:after="0" w:line="59" w:lineRule="exact"/>
        <w:rPr>
          <w:sz w:val="20"/>
          <w:szCs w:val="20"/>
          <w:color w:val="auto"/>
        </w:rPr>
      </w:pPr>
    </w:p>
    <w:p>
      <w:pPr>
        <w:ind w:right="80" w:firstLine="348"/>
        <w:spacing w:after="0" w:line="241" w:lineRule="auto"/>
        <w:rPr>
          <w:sz w:val="20"/>
          <w:szCs w:val="20"/>
          <w:color w:val="auto"/>
        </w:rPr>
      </w:pPr>
      <w:r>
        <w:rPr>
          <w:rFonts w:ascii="Times New Roman" w:cs="Times New Roman" w:eastAsia="Times New Roman" w:hAnsi="Times New Roman"/>
          <w:sz w:val="16"/>
          <w:szCs w:val="16"/>
          <w:color w:val="auto"/>
        </w:rPr>
        <w:t>Specialty Additives provides products and services to over 30 industries. Ashland offers a broad spectrum of organo- and water-soluble polymers that are derived from both natural and synthetic resources. Product lines include derivatized cellulose polymers, synthetics, and vinyl pyrrolidone polymers that impart effective functionalities to serve a variety of industrial markets and specialized applications. Many of the products within Specialty Additives function as performance additives that deliver high levels of end-user value in formulated products. In other areas, such as plastics and textiles, Specialty Additives’ products function as a processing aid, improving the quality of end products and reducing manufacturing costs.</w:t>
      </w:r>
    </w:p>
    <w:p>
      <w:pPr>
        <w:spacing w:after="0" w:line="73" w:lineRule="exact"/>
        <w:rPr>
          <w:sz w:val="20"/>
          <w:szCs w:val="20"/>
          <w:color w:val="auto"/>
        </w:rPr>
      </w:pPr>
    </w:p>
    <w:p>
      <w:pPr>
        <w:ind w:right="100" w:firstLine="348"/>
        <w:spacing w:after="0" w:line="243" w:lineRule="auto"/>
        <w:rPr>
          <w:sz w:val="20"/>
          <w:szCs w:val="20"/>
          <w:color w:val="auto"/>
        </w:rPr>
      </w:pPr>
      <w:r>
        <w:rPr>
          <w:rFonts w:ascii="Times New Roman" w:cs="Times New Roman" w:eastAsia="Times New Roman" w:hAnsi="Times New Roman"/>
          <w:sz w:val="16"/>
          <w:szCs w:val="16"/>
          <w:color w:val="auto"/>
        </w:rPr>
        <w:t>Specialty Additives is a recognized leader in rheology solutions for waterborne architectural paint and coatings. Products include hydroxyethylcellulose ("HEC"), which provides thickening and application properties for interior and exterior paints, and nonionic synthetic associative thickeners ("NSATs"), which are APEO-free liquid synthetics for high-performance paint and industrial coatings. The Specialty Additives market complements its rheology offering with a broad portfolio of performance foam-control agents, surfactants and wetting agents, dispersants and pH neutralizers.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6" w:name="page7"/>
    <w:bookmarkEnd w:id="6"/>
    <w:p>
      <w:pPr>
        <w:ind w:right="200" w:firstLine="348"/>
        <w:spacing w:after="0" w:line="247" w:lineRule="auto"/>
        <w:rPr>
          <w:sz w:val="20"/>
          <w:szCs w:val="20"/>
          <w:color w:val="auto"/>
        </w:rPr>
      </w:pPr>
      <w:r>
        <w:rPr>
          <w:rFonts w:ascii="Times New Roman" w:cs="Times New Roman" w:eastAsia="Times New Roman" w:hAnsi="Times New Roman"/>
          <w:sz w:val="16"/>
          <w:szCs w:val="16"/>
          <w:color w:val="auto"/>
        </w:rPr>
        <w:t>Specialty Additives is a major producer and supplier of cellulose ethers and companion products for the construction industry. These products control properties such as water retention, open time, workability, adhesion, stabilization, pumping, sag resistance, rheology, strength, appearance and performance in dry-mortar formulations.</w:t>
      </w:r>
    </w:p>
    <w:p>
      <w:pPr>
        <w:spacing w:after="0" w:line="68" w:lineRule="exact"/>
        <w:rPr>
          <w:sz w:val="20"/>
          <w:szCs w:val="20"/>
          <w:color w:val="auto"/>
        </w:rPr>
      </w:pPr>
    </w:p>
    <w:p>
      <w:pPr>
        <w:ind w:right="20" w:firstLine="348"/>
        <w:spacing w:after="0" w:line="247" w:lineRule="auto"/>
        <w:rPr>
          <w:sz w:val="20"/>
          <w:szCs w:val="20"/>
          <w:color w:val="auto"/>
        </w:rPr>
      </w:pPr>
      <w:r>
        <w:rPr>
          <w:rFonts w:ascii="Times New Roman" w:cs="Times New Roman" w:eastAsia="Times New Roman" w:hAnsi="Times New Roman"/>
          <w:sz w:val="16"/>
          <w:szCs w:val="16"/>
          <w:color w:val="auto"/>
        </w:rPr>
        <w:t>Specialty Additives is a leading global manufacturer of synthetic - and cellulosic-based products for drilling fluids, oil-well cement slurries, completion and workover fluids, fracturing fluids and production chemicals. Specialty Additives offers the oil and gas industry solutions for drilling, stimulation, completion, cementing and production applications.</w:t>
      </w:r>
    </w:p>
    <w:p>
      <w:pPr>
        <w:spacing w:after="0" w:line="68" w:lineRule="exact"/>
        <w:rPr>
          <w:sz w:val="20"/>
          <w:szCs w:val="20"/>
          <w:color w:val="auto"/>
        </w:rPr>
      </w:pPr>
    </w:p>
    <w:p>
      <w:pPr>
        <w:ind w:right="100" w:firstLine="348"/>
        <w:spacing w:after="0" w:line="247" w:lineRule="auto"/>
        <w:rPr>
          <w:sz w:val="20"/>
          <w:szCs w:val="20"/>
          <w:color w:val="auto"/>
        </w:rPr>
      </w:pPr>
      <w:r>
        <w:rPr>
          <w:rFonts w:ascii="Times New Roman" w:cs="Times New Roman" w:eastAsia="Times New Roman" w:hAnsi="Times New Roman"/>
          <w:sz w:val="16"/>
          <w:szCs w:val="16"/>
          <w:color w:val="auto"/>
        </w:rPr>
        <w:t>Specialty Additives operates throughout the Americas, Europe and Asia Pacific. It has 8 manufacturing and lab facilities in eight countries which serve its various end markets. Specialty Additives has manufacturing facilities and labs in the United States in Wilmington, Delaware and internationally in Brazil; China; Germany; India; Netherlands; Singapore and the United Kingdom.</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Specialty Additives markets and distributes its products in the Americas, Europe, the Middle East, Africa and Asia Pacific.</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 fiscal 2025, the following Specialty Additives products were 10% or greater of Ashland’s total consolidated sales: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140" w:type="dxa"/>
            <w:vAlign w:val="bottom"/>
            <w:tcBorders>
              <w:top w:val="single" w:sz="8" w:color="auto"/>
              <w:bottom w:val="single" w:sz="8" w:color="auto"/>
            </w:tcBorders>
          </w:tcPr>
          <w:p>
            <w:pPr>
              <w:ind w:left="148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37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 of Specialty Additives sales</w:t>
            </w:r>
          </w:p>
        </w:tc>
        <w:tc>
          <w:tcPr>
            <w:tcW w:w="3660" w:type="dxa"/>
            <w:vAlign w:val="bottom"/>
            <w:tcBorders>
              <w:top w:val="single" w:sz="8" w:color="auto"/>
              <w:bottom w:val="single" w:sz="8" w:color="auto"/>
            </w:tcBorders>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7"/>
              </w:rPr>
              <w:t>% of Ashland total consolidated sales</w:t>
            </w:r>
          </w:p>
        </w:tc>
      </w:tr>
      <w:tr>
        <w:trPr>
          <w:trHeight w:val="172"/>
        </w:trPr>
        <w:tc>
          <w:tcPr>
            <w:tcW w:w="20" w:type="dxa"/>
            <w:vAlign w:val="bottom"/>
          </w:tcPr>
          <w:p>
            <w:pPr>
              <w:spacing w:after="0"/>
              <w:rPr>
                <w:sz w:val="14"/>
                <w:szCs w:val="14"/>
                <w:color w:val="auto"/>
              </w:rPr>
            </w:pPr>
          </w:p>
        </w:tc>
        <w:tc>
          <w:tcPr>
            <w:tcW w:w="31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6"/>
                <w:szCs w:val="16"/>
                <w:color w:val="auto"/>
              </w:rPr>
              <w:t>Cellulosics</w:t>
            </w:r>
          </w:p>
        </w:tc>
        <w:tc>
          <w:tcPr>
            <w:tcW w:w="3740" w:type="dxa"/>
            <w:vAlign w:val="bottom"/>
            <w:shd w:val="clear" w:color="auto" w:fill="CFF0FC"/>
          </w:tcPr>
          <w:p>
            <w:pPr>
              <w:jc w:val="right"/>
              <w:ind w:right="1402"/>
              <w:spacing w:after="0" w:line="172" w:lineRule="exact"/>
              <w:rPr>
                <w:sz w:val="20"/>
                <w:szCs w:val="20"/>
                <w:color w:val="auto"/>
              </w:rPr>
            </w:pPr>
            <w:r>
              <w:rPr>
                <w:rFonts w:ascii="Times New Roman" w:cs="Times New Roman" w:eastAsia="Times New Roman" w:hAnsi="Times New Roman"/>
                <w:sz w:val="16"/>
                <w:szCs w:val="16"/>
                <w:color w:val="auto"/>
              </w:rPr>
              <w:t>62%</w:t>
            </w:r>
          </w:p>
        </w:tc>
        <w:tc>
          <w:tcPr>
            <w:tcW w:w="3660" w:type="dxa"/>
            <w:vAlign w:val="bottom"/>
            <w:shd w:val="clear" w:color="auto" w:fill="CFF0FC"/>
          </w:tcPr>
          <w:p>
            <w:pPr>
              <w:jc w:val="center"/>
              <w:ind w:left="22"/>
              <w:spacing w:after="0" w:line="172" w:lineRule="exact"/>
              <w:rPr>
                <w:sz w:val="20"/>
                <w:szCs w:val="20"/>
                <w:color w:val="auto"/>
              </w:rPr>
            </w:pPr>
            <w:r>
              <w:rPr>
                <w:rFonts w:ascii="Times New Roman" w:cs="Times New Roman" w:eastAsia="Times New Roman" w:hAnsi="Times New Roman"/>
                <w:sz w:val="16"/>
                <w:szCs w:val="16"/>
                <w:color w:val="auto"/>
                <w:w w:val="95"/>
              </w:rPr>
              <w:t>39%</w:t>
            </w: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Polyvinylpyrrolidones (PVP)</w:t>
            </w:r>
          </w:p>
        </w:tc>
        <w:tc>
          <w:tcPr>
            <w:tcW w:w="3740" w:type="dxa"/>
            <w:vAlign w:val="bottom"/>
          </w:tcPr>
          <w:p>
            <w:pPr>
              <w:jc w:val="right"/>
              <w:ind w:right="1442"/>
              <w:spacing w:after="0"/>
              <w:rPr>
                <w:sz w:val="20"/>
                <w:szCs w:val="20"/>
                <w:color w:val="auto"/>
              </w:rPr>
            </w:pPr>
            <w:r>
              <w:rPr>
                <w:rFonts w:ascii="Times New Roman" w:cs="Times New Roman" w:eastAsia="Times New Roman" w:hAnsi="Times New Roman"/>
                <w:sz w:val="16"/>
                <w:szCs w:val="16"/>
                <w:color w:val="auto"/>
              </w:rPr>
              <w:t>7%</w:t>
            </w:r>
          </w:p>
        </w:tc>
        <w:tc>
          <w:tcPr>
            <w:tcW w:w="366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5"/>
              </w:rPr>
              <w:t>25%</w:t>
            </w: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INTERMEDIATES</w:t>
      </w:r>
    </w:p>
    <w:p>
      <w:pPr>
        <w:spacing w:after="0" w:line="94" w:lineRule="exact"/>
        <w:rPr>
          <w:sz w:val="20"/>
          <w:szCs w:val="20"/>
          <w:color w:val="auto"/>
        </w:rPr>
      </w:pPr>
    </w:p>
    <w:p>
      <w:pPr>
        <w:ind w:right="400" w:firstLine="348"/>
        <w:spacing w:after="0" w:line="299" w:lineRule="auto"/>
        <w:rPr>
          <w:sz w:val="20"/>
          <w:szCs w:val="20"/>
          <w:color w:val="auto"/>
        </w:rPr>
      </w:pPr>
      <w:r>
        <w:rPr>
          <w:rFonts w:ascii="Times New Roman" w:cs="Times New Roman" w:eastAsia="Times New Roman" w:hAnsi="Times New Roman"/>
          <w:sz w:val="14"/>
          <w:szCs w:val="14"/>
          <w:color w:val="auto"/>
        </w:rPr>
        <w:t>Intermediates is a leading producer of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34" w:lineRule="exact"/>
        <w:rPr>
          <w:sz w:val="20"/>
          <w:szCs w:val="20"/>
          <w:color w:val="auto"/>
        </w:rPr>
      </w:pPr>
    </w:p>
    <w:p>
      <w:pPr>
        <w:ind w:right="600" w:firstLine="348"/>
        <w:spacing w:after="0" w:line="259" w:lineRule="auto"/>
        <w:rPr>
          <w:sz w:val="20"/>
          <w:szCs w:val="20"/>
          <w:color w:val="auto"/>
        </w:rPr>
      </w:pPr>
      <w:r>
        <w:rPr>
          <w:rFonts w:ascii="Times New Roman" w:cs="Times New Roman" w:eastAsia="Times New Roman" w:hAnsi="Times New Roman"/>
          <w:sz w:val="16"/>
          <w:szCs w:val="16"/>
          <w:color w:val="auto"/>
        </w:rPr>
        <w:t>Key customers include Ashland’s Life Sciences, Personal Care and Specialty Additives segments, general industrial manufacturers, plastics and polymers producers, pharmaceutical companies, agricultural firms and producers of electronic components and systems.</w:t>
      </w:r>
    </w:p>
    <w:p>
      <w:pPr>
        <w:spacing w:after="0" w:line="59" w:lineRule="exact"/>
        <w:rPr>
          <w:sz w:val="20"/>
          <w:szCs w:val="20"/>
          <w:color w:val="auto"/>
        </w:rPr>
      </w:pPr>
    </w:p>
    <w:p>
      <w:pPr>
        <w:ind w:right="240" w:firstLine="348"/>
        <w:spacing w:after="0" w:line="259" w:lineRule="auto"/>
        <w:rPr>
          <w:sz w:val="20"/>
          <w:szCs w:val="20"/>
          <w:color w:val="auto"/>
        </w:rPr>
      </w:pPr>
      <w:r>
        <w:rPr>
          <w:rFonts w:ascii="Times New Roman" w:cs="Times New Roman" w:eastAsia="Times New Roman" w:hAnsi="Times New Roman"/>
          <w:sz w:val="16"/>
          <w:szCs w:val="16"/>
          <w:color w:val="auto"/>
        </w:rPr>
        <w:t>Intermediates has a manufacturing facility in Lima, Ohio, while some derivatives are produced at Life Sciences facilities in Texas City, Texas and Calvert City, Kentucky. Intermediates markets and distributes its products in the Americas, Europe, and Asia Pacific.</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Matters</w:t>
      </w:r>
    </w:p>
    <w:p>
      <w:pPr>
        <w:spacing w:after="0" w:line="94" w:lineRule="exact"/>
        <w:rPr>
          <w:sz w:val="20"/>
          <w:szCs w:val="20"/>
          <w:color w:val="auto"/>
        </w:rPr>
      </w:pPr>
    </w:p>
    <w:p>
      <w:pPr>
        <w:ind w:right="20" w:firstLine="348"/>
        <w:spacing w:after="0" w:line="280" w:lineRule="auto"/>
        <w:rPr>
          <w:sz w:val="20"/>
          <w:szCs w:val="20"/>
          <w:color w:val="auto"/>
        </w:rPr>
      </w:pPr>
      <w:r>
        <w:rPr>
          <w:rFonts w:ascii="Times New Roman" w:cs="Times New Roman" w:eastAsia="Times New Roman" w:hAnsi="Times New Roman"/>
          <w:sz w:val="14"/>
          <w:szCs w:val="14"/>
          <w:color w:val="auto"/>
        </w:rPr>
        <w:t>Ashland maintains a company- wide environmental policy overseen by the Sustainability and Productivity Committee of Ashland’s Board of Directors (the "Board"). Ashland’s Environmental, Health, Safety, Quality and Regulatory Affairs ("EHSQ&amp;RA") department has the responsibility to ensure that Ashland’s businesses worldwide maintain environmental compliance in accordance with applicable laws and regulations. This responsibility is carried out via training; widespread communication of EHSQ&amp;RA policies; information and regulatory updates; formulation of relevant policies, procedures and work practices; design and implementation of EHSQ&amp;RA management systems; internal auditing; monitoring of legislative and regulatory developments that may affect Ashland’s operations; assistance to the businesses in identifying compliance issues and opportunities for voluntary actions that go beyond compliance; and incident response planning and implementation.</w:t>
      </w:r>
    </w:p>
    <w:p>
      <w:pPr>
        <w:spacing w:after="0" w:line="49" w:lineRule="exact"/>
        <w:rPr>
          <w:sz w:val="20"/>
          <w:szCs w:val="20"/>
          <w:color w:val="auto"/>
        </w:rPr>
      </w:pPr>
    </w:p>
    <w:p>
      <w:pPr>
        <w:ind w:right="120" w:firstLine="348"/>
        <w:spacing w:after="0" w:line="241" w:lineRule="auto"/>
        <w:rPr>
          <w:sz w:val="20"/>
          <w:szCs w:val="20"/>
          <w:color w:val="auto"/>
        </w:rPr>
      </w:pPr>
      <w:r>
        <w:rPr>
          <w:rFonts w:ascii="Times New Roman" w:cs="Times New Roman" w:eastAsia="Times New Roman" w:hAnsi="Times New Roman"/>
          <w:sz w:val="16"/>
          <w:szCs w:val="16"/>
          <w:color w:val="auto"/>
        </w:rPr>
        <w:t>Federal, state and local laws and regulations relating to the protection of the environment have a significant impact on how Ashland conducts its businesses. In addition, Ashland’s operations outside the United States are subject to the environmental laws of the countries in which they are located. These laws include regulation of air emissions and water discharges, waste handling, remediation and product inventory, registration and regulation.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7" w:name="page8"/>
    <w:bookmarkEnd w:id="7"/>
    <w:p>
      <w:pPr>
        <w:ind w:right="80" w:firstLine="348"/>
        <w:spacing w:after="0" w:line="276" w:lineRule="auto"/>
        <w:rPr>
          <w:sz w:val="20"/>
          <w:szCs w:val="20"/>
          <w:color w:val="auto"/>
        </w:rPr>
      </w:pPr>
      <w:r>
        <w:rPr>
          <w:rFonts w:ascii="Times New Roman" w:cs="Times New Roman" w:eastAsia="Times New Roman" w:hAnsi="Times New Roman"/>
          <w:sz w:val="14"/>
          <w:szCs w:val="14"/>
          <w:color w:val="auto"/>
        </w:rPr>
        <w:t>At September 30, 2025, Ashland’s reserves for environmental remediation and related environmental litigation amounted to $226 million, reflecting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$ 495 million. The largest reserve for any site is 21% of the total environmental remediation reserves. Ashland regularly adjusts its reserves as environmental remediation continues. Environmental remediation expense, net of insurance receivables, amounted to $48 million in 2025 compared to $56 million in 2024 and $59 million in 2023.</w:t>
      </w:r>
    </w:p>
    <w:p>
      <w:pPr>
        <w:spacing w:after="0" w:line="233" w:lineRule="exact"/>
        <w:rPr>
          <w:sz w:val="20"/>
          <w:szCs w:val="20"/>
          <w:color w:val="auto"/>
        </w:rPr>
      </w:pPr>
    </w:p>
    <w:p>
      <w:pPr>
        <w:ind w:right="40" w:firstLine="348"/>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Product Control, Registration and Inventory </w:t>
      </w:r>
      <w:r>
        <w:rPr>
          <w:rFonts w:ascii="Times New Roman" w:cs="Times New Roman" w:eastAsia="Times New Roman" w:hAnsi="Times New Roman"/>
          <w:sz w:val="16"/>
          <w:szCs w:val="16"/>
          <w:color w:val="auto"/>
        </w:rPr>
        <w:t>- Many of Ashland’s products and operations are subject to chemical control laws of the countries in which they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located. These laws include regulation of chemical substances and inventories under the Toxic Substances Control Act ("TSCA") in the United States and the Registration, Evaluation and Authorization of Chemicals ("REACH") regulation in Europe as well as new cosmetic ingredients filings in China under the Cosmetics Supervision and Administration Regulation ("CSAR"). Under TSCA, REACH, and CSAR additional testing requirements, documentation, risk assessments and registrations are occurring and will continue to occur and may adversely affect Ashland’s costs of products produced in or imported into the European Union ("EU"). Examples of other product control regulations include right to know laws under the Global Harmonized System ("GHS") for hazard communication, regulation of chemicals used in the manufacture of pharmaceuticals and personal care products and that contact food under the Food, Drug and Cosmetics Act in the United States, the Framework Regulation in Europe and other product control requirements for chemical weapons, drug precursors and import/export. The Green Deal in the EU, specifically Chemicals Strategy for Sustainability, will require additional information to be developed on hazard communication and risk assessment of both chemical substances and finished products.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78" w:lineRule="exact"/>
        <w:rPr>
          <w:sz w:val="20"/>
          <w:szCs w:val="20"/>
          <w:color w:val="auto"/>
        </w:rPr>
      </w:pPr>
    </w:p>
    <w:p>
      <w:pPr>
        <w:ind w:right="180" w:firstLine="348"/>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Remediation </w:t>
      </w:r>
      <w:r>
        <w:rPr>
          <w:rFonts w:ascii="Times New Roman" w:cs="Times New Roman" w:eastAsia="Times New Roman" w:hAnsi="Times New Roman"/>
          <w:sz w:val="16"/>
          <w:szCs w:val="16"/>
          <w:color w:val="auto"/>
        </w:rPr>
        <w:t>- Ashland currently operates, and in the past has operated, various facilities at which, during the normal course of business, releases of hazardous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substances have occurred. Additionally, Ashland has known or alleged potential environmental liabilities at a number of third-party sites. Federal and state laws, including but not limited to the Resource Conservation and Recovery Act ("RCRA"), the Comprehensive Environmental Response, Compensation and Liability Act of 1980 ("CERCLA") and various other remediation laws, require that contamination caused by hazardous substance releases be assessed and, if necessary, remediated to meet applicable standards. Some of these laws also provide for liability for related damage to natural resources, and claims for alleged property and personal injury damage which can also arise related to contaminated sites. Laws in other jurisdictions in which Ashland operates require that contamination caused by such releases at these sites be assessed and, if necessary, remediated to meet applicable standards.</w:t>
      </w:r>
    </w:p>
    <w:p>
      <w:pPr>
        <w:spacing w:after="0" w:line="74" w:lineRule="exact"/>
        <w:rPr>
          <w:sz w:val="20"/>
          <w:szCs w:val="20"/>
          <w:color w:val="auto"/>
        </w:rPr>
      </w:pPr>
    </w:p>
    <w:p>
      <w:pPr>
        <w:ind w:firstLine="348"/>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Air </w:t>
      </w:r>
      <w:r>
        <w:rPr>
          <w:rFonts w:ascii="Times New Roman" w:cs="Times New Roman" w:eastAsia="Times New Roman" w:hAnsi="Times New Roman"/>
          <w:sz w:val="16"/>
          <w:szCs w:val="16"/>
          <w:color w:val="auto"/>
        </w:rPr>
        <w:t>- In the United States, the Clean Air Act ("CAA") imposes stringent limits on facility air emissions, establishes a federally mandated operating permit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program, allows for civil and criminal enforcement actions and sets limits on the volatile or toxic content of many types of industrial materials and consumer products. The CAA establishes national ambient air quality standards ("NAAQS") with attainment deadlines and control requirements based on the severity of air pollution in a given geographical area. Various state clean air acts implement, complement and, in many instances, add to the requirements of the federal CAA. The requirements of the CAA and its state counterparts have a significant impact on the daily operation of Ashland’s businesses and, in many cases, on product formulation and other long-term business decisions. Other countries where Ashland operates also have laws and regulations relating to air quality. Ashland maintains numerous permits and emission control devices pursuant to these clean air laws.</w:t>
      </w:r>
    </w:p>
    <w:p>
      <w:pPr>
        <w:spacing w:after="0" w:line="76" w:lineRule="exact"/>
        <w:rPr>
          <w:sz w:val="20"/>
          <w:szCs w:val="20"/>
          <w:color w:val="auto"/>
        </w:rPr>
      </w:pPr>
    </w:p>
    <w:p>
      <w:pPr>
        <w:ind w:right="60" w:firstLine="348"/>
        <w:spacing w:after="0" w:line="243" w:lineRule="auto"/>
        <w:rPr>
          <w:sz w:val="20"/>
          <w:szCs w:val="20"/>
          <w:color w:val="auto"/>
        </w:rPr>
      </w:pPr>
      <w:r>
        <w:rPr>
          <w:rFonts w:ascii="Times New Roman" w:cs="Times New Roman" w:eastAsia="Times New Roman" w:hAnsi="Times New Roman"/>
          <w:sz w:val="16"/>
          <w:szCs w:val="16"/>
          <w:color w:val="auto"/>
        </w:rPr>
        <w:t>The United States Environmental Protection Agency ("USEPA") has increased its frequency in reviewing the NAAQS. The USEPA has stringent standards for particulate matter, ozone and sulfur dioxide. Throughout 2023, 2024 and 2025, state and local agencies continued to implement options for meeting the newest standards. Particulate matter strategies include dust control measures for construction sites and reductions in emission rates allowed for industrial operations. Options for ozone include</w:t>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09" w:right="620" w:bottom="1440" w:gutter="0" w:footer="0" w:header="0"/>
        </w:sectPr>
      </w:pPr>
    </w:p>
    <w:bookmarkStart w:id="8" w:name="page9"/>
    <w:bookmarkEnd w:id="8"/>
    <w:p>
      <w:pPr>
        <w:ind w:right="60"/>
        <w:spacing w:after="0" w:line="243" w:lineRule="auto"/>
        <w:rPr>
          <w:sz w:val="20"/>
          <w:szCs w:val="20"/>
          <w:color w:val="auto"/>
        </w:rPr>
      </w:pPr>
      <w:r>
        <w:rPr>
          <w:rFonts w:ascii="Times New Roman" w:cs="Times New Roman" w:eastAsia="Times New Roman" w:hAnsi="Times New Roman"/>
          <w:sz w:val="16"/>
          <w:szCs w:val="16"/>
          <w:color w:val="auto"/>
        </w:rPr>
        <w:t>emission controls for certain types of sources, reduced limits on the volatile organic compound content of industrial materials and consumer products, and requirements on the transportation sector. Most options for sulfur dioxide focus on coal and diesel fuel combustion sources. It is not possible at this time to estimate the potential financial impact that these newest standards may have on Ashland’s operations or products. Ashland will continue to monitor and evaluate these standards to meet these and all air quality requirements.</w:t>
      </w:r>
    </w:p>
    <w:p>
      <w:pPr>
        <w:spacing w:after="0" w:line="69" w:lineRule="exact"/>
        <w:rPr>
          <w:sz w:val="20"/>
          <w:szCs w:val="20"/>
          <w:color w:val="auto"/>
        </w:rPr>
      </w:pPr>
    </w:p>
    <w:p>
      <w:pPr>
        <w:ind w:right="20" w:firstLine="348"/>
        <w:spacing w:after="0"/>
        <w:rPr>
          <w:sz w:val="20"/>
          <w:szCs w:val="20"/>
          <w:color w:val="auto"/>
        </w:rPr>
      </w:pPr>
      <w:r>
        <w:rPr>
          <w:rFonts w:ascii="Times New Roman" w:cs="Times New Roman" w:eastAsia="Times New Roman" w:hAnsi="Times New Roman"/>
          <w:sz w:val="16"/>
          <w:szCs w:val="16"/>
          <w:i w:val="1"/>
          <w:iCs w:val="1"/>
          <w:color w:val="auto"/>
        </w:rPr>
        <w:t xml:space="preserve">Solid Waste </w:t>
      </w:r>
      <w:r>
        <w:rPr>
          <w:rFonts w:ascii="Times New Roman" w:cs="Times New Roman" w:eastAsia="Times New Roman" w:hAnsi="Times New Roman"/>
          <w:sz w:val="16"/>
          <w:szCs w:val="16"/>
          <w:color w:val="auto"/>
        </w:rPr>
        <w:t>- Ashland is subject to various laws relating to and establishing standards for the management of hazardous and solid waste. In the United States,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Ashland’s facilities are subject to RCRA and its regulations governing generators of hazardous waste. Ashland has implemented systems to oversee compliance with the RCRA regulations. In addition to regulating current waste disposal practices, RCRA also addresses the environmental effects of certain past waste disposal operations, the recycling of wastes and the storage of regulated substances in underground tanks. Ashland has the remediation liability for certain facilities subject to these regulations. Other countries where Ashland operates also have laws and regulations relating to hazardous and solid waste, and Ashland has systems in place to oversee compliance.</w:t>
      </w:r>
    </w:p>
    <w:p>
      <w:pPr>
        <w:spacing w:after="0" w:line="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 xml:space="preserve">Water </w:t>
      </w:r>
      <w:r>
        <w:rPr>
          <w:rFonts w:ascii="Times New Roman" w:cs="Times New Roman" w:eastAsia="Times New Roman" w:hAnsi="Times New Roman"/>
          <w:sz w:val="16"/>
          <w:szCs w:val="16"/>
          <w:color w:val="auto"/>
        </w:rPr>
        <w:t>- Ashland maintains numerous discharge permits. In the United States, such permits may be required by the National Pollutant Discharge Elimination</w:t>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System of the Clean Water Act and similar state programs. Other countries have similar laws and regulations requiring permits and controls relating to water discharge.</w:t>
      </w:r>
    </w:p>
    <w:p>
      <w:pPr>
        <w:spacing w:after="0" w:line="95" w:lineRule="exact"/>
        <w:rPr>
          <w:sz w:val="20"/>
          <w:szCs w:val="20"/>
          <w:color w:val="auto"/>
        </w:rPr>
      </w:pPr>
    </w:p>
    <w:p>
      <w:pPr>
        <w:ind w:right="20" w:firstLine="348"/>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Climate Change and Related Regulatory Developments </w:t>
      </w:r>
      <w:r>
        <w:rPr>
          <w:rFonts w:ascii="Times New Roman" w:cs="Times New Roman" w:eastAsia="Times New Roman" w:hAnsi="Times New Roman"/>
          <w:sz w:val="16"/>
          <w:szCs w:val="16"/>
          <w:color w:val="auto"/>
        </w:rPr>
        <w:t>- Ashland has been collecting energy use data and calculating greenhouse gas ("GHG") emissions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many years. Ashland evaluates the physical and transitional risks and opportunities from both climate change and the anticipated GHG regulations to facilities, products and other business interests, as well as the strategies commonly considered by the industrial sector to reduce the potential impact of these risks. These risks are generally grouped as impacts from legislative, regulatory and international developments, impacts from business and investment trends and impacts to Company assets from the physical effects of climate change. North American, European and other regional regulatory developments (most notably the pending SEC and approved Corporate Sustainability Reporting Directive ("CSRD") climate disclosure regulations) are monitored continuously for material impacts to Ashland’s operations, and some facilities and subsidiaries are subject to promulgated rules. Proposed and pending climate legislation is monitored for impact and Ashland is taking steps to strengthen climate reporting to meet anticipated disclosure requirements. Other requirements requiring additional product level climate disclosures or supply chain transparency are also approved and in draft or finalized status and could impact the requirements for disclosure and restrictions on sourcing of raw materials. Regulations such as the PFAS restrictions and microplastics ban in the EU have potential business interruption impacts where they limit the type and availability of raw materials that may be used.</w:t>
      </w:r>
    </w:p>
    <w:p>
      <w:pPr>
        <w:spacing w:after="0" w:line="80"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4"/>
          <w:szCs w:val="14"/>
          <w:color w:val="auto"/>
        </w:rPr>
        <w:t>Business and investment trends are expected to drive an increase in the demand for products that improve energy efficiency, reduce energy use and increase the use of renewable resources. At this time, Ashland cannot estimate the impact of this expected demand increase to its businesses. Physical effects from climate change have the potential to affect Ashland’s assets in areas prone to sea level rise or extreme weather events much as they do the general public and other businesses. Due to the uncertainty of these matters, Ashland cannot estimate the impact at this time of GHG-related developments on its operations or financial condition.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94" w:lineRule="exact"/>
        <w:rPr>
          <w:sz w:val="20"/>
          <w:szCs w:val="20"/>
          <w:color w:val="auto"/>
        </w:rPr>
      </w:pPr>
    </w:p>
    <w:p>
      <w:pPr>
        <w:ind w:right="20" w:firstLine="348"/>
        <w:spacing w:after="0" w:line="238" w:lineRule="auto"/>
        <w:rPr>
          <w:sz w:val="20"/>
          <w:szCs w:val="20"/>
          <w:color w:val="auto"/>
        </w:rPr>
      </w:pPr>
      <w:r>
        <w:rPr>
          <w:rFonts w:ascii="Times New Roman" w:cs="Times New Roman" w:eastAsia="Times New Roman" w:hAnsi="Times New Roman"/>
          <w:sz w:val="16"/>
          <w:szCs w:val="16"/>
          <w:color w:val="auto"/>
        </w:rPr>
        <w:t>Ashland competes in the highly fragmented additives and specialty ingredients industries. The participants in these industries offer a varied and broad array of product lines designed to meet specific customer requirements. Participants compete with service and product offerings on a global, regional and/or local level subject to the nature of the businesses and products, as well as the end -markets and customers served. Competition is based on several key criteria, including product performance and quality, product price, product availability and security of supply, responsiveness of product development in cooperation with customers, customer service, industry knowledge and technical capability. Certain key competitors are significantly larger than Ashland and have greater financial resources, leading to greater operating and financial flexibility. The industry has become increasingly global as participants have focused on establishing and maintaining leadership positions outside of their home markets. Many of these segments’ product lines face domestic and international competition, due to industry consolidation, pricing pressures and competing technologies. Through a more focused approach, the Company is leveraging the Ashland brand and global scale 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9" w:name="page10"/>
    <w:bookmarkEnd w:id="9"/>
    <w:p>
      <w:pPr>
        <w:ind w:right="60"/>
        <w:spacing w:after="0" w:line="259" w:lineRule="auto"/>
        <w:rPr>
          <w:sz w:val="20"/>
          <w:szCs w:val="20"/>
          <w:color w:val="auto"/>
        </w:rPr>
      </w:pPr>
      <w:r>
        <w:rPr>
          <w:rFonts w:ascii="Times New Roman" w:cs="Times New Roman" w:eastAsia="Times New Roman" w:hAnsi="Times New Roman"/>
          <w:sz w:val="16"/>
          <w:szCs w:val="16"/>
          <w:color w:val="auto"/>
        </w:rPr>
        <w:t>combine operational agility with disciplined investment in targeted areas, while expanding beyond its core technologies with differentiated new technology platforms to support the introduction of new product lines and applications.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94" w:lineRule="exact"/>
        <w:rPr>
          <w:sz w:val="20"/>
          <w:szCs w:val="20"/>
          <w:color w:val="auto"/>
        </w:rPr>
      </w:pPr>
    </w:p>
    <w:p>
      <w:pPr>
        <w:ind w:right="160" w:firstLine="348"/>
        <w:spacing w:after="0" w:line="247" w:lineRule="auto"/>
        <w:rPr>
          <w:sz w:val="20"/>
          <w:szCs w:val="20"/>
          <w:color w:val="auto"/>
        </w:rPr>
      </w:pPr>
      <w:r>
        <w:rPr>
          <w:rFonts w:ascii="Times New Roman" w:cs="Times New Roman" w:eastAsia="Times New Roman" w:hAnsi="Times New Roman"/>
          <w:sz w:val="16"/>
          <w:szCs w:val="16"/>
          <w:color w:val="auto"/>
        </w:rPr>
        <w:t>Ashland has a broad intellectual property portfolio which is an important component of its business. Ashland relies on patents, trade secrets, formulae and know-how to protect and differentiate its products and technologies. In addition, the reportable segments own valuable trademarks which identify and differentiate their products from Ashland's competitors. Ashland also uses licensed intellectual property rights from third-parties.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Raw Materials and Energy</w:t>
      </w:r>
    </w:p>
    <w:p>
      <w:pPr>
        <w:spacing w:after="0" w:line="94" w:lineRule="exact"/>
        <w:rPr>
          <w:sz w:val="20"/>
          <w:szCs w:val="20"/>
          <w:color w:val="auto"/>
        </w:rPr>
      </w:pPr>
    </w:p>
    <w:p>
      <w:pPr>
        <w:ind w:right="120" w:firstLine="348"/>
        <w:spacing w:after="0" w:line="299" w:lineRule="auto"/>
        <w:rPr>
          <w:sz w:val="20"/>
          <w:szCs w:val="20"/>
          <w:color w:val="auto"/>
        </w:rPr>
      </w:pPr>
      <w:r>
        <w:rPr>
          <w:rFonts w:ascii="Times New Roman" w:cs="Times New Roman" w:eastAsia="Times New Roman" w:hAnsi="Times New Roman"/>
          <w:sz w:val="14"/>
          <w:szCs w:val="14"/>
          <w:color w:val="auto"/>
        </w:rPr>
        <w:t>Ashland purchases its raw materials from multiple sources of supply in the United States and other countries. Raw material supplies were available in quantities sufficient to meet demand in fiscal 2025, 2024 and 2023, which was a significant improvement over fiscal 2022 when raw and packaging materials were globally constrained. Similarly, energy costs, which are a significant component of production costs, stabilized in fiscal 2025, 2024 and 2023 after significant volatility in 2022.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94" w:lineRule="exact"/>
        <w:rPr>
          <w:sz w:val="20"/>
          <w:szCs w:val="20"/>
          <w:color w:val="auto"/>
        </w:rPr>
      </w:pPr>
    </w:p>
    <w:p>
      <w:pPr>
        <w:ind w:right="120" w:firstLine="348"/>
        <w:spacing w:after="0" w:line="299" w:lineRule="auto"/>
        <w:rPr>
          <w:sz w:val="20"/>
          <w:szCs w:val="20"/>
          <w:color w:val="auto"/>
        </w:rPr>
      </w:pPr>
      <w:r>
        <w:rPr>
          <w:rFonts w:ascii="Times New Roman" w:cs="Times New Roman" w:eastAsia="Times New Roman" w:hAnsi="Times New Roman"/>
          <w:sz w:val="14"/>
          <w:szCs w:val="14"/>
          <w:color w:val="auto"/>
        </w:rPr>
        <w:t>Ashland’s program of research and development is focused on defining the needs of the marketplace and framing those needs into technology platforms. Ashland has the capability to develop and deliver the intellectual property required to grow and protect those platforms. Ashland is focused on developing new chemistries, market-changing technologies and customer driven solutions at numerous technology centers located in the Americas, Europe and the Asia Pacific regions.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Ashland’s business may vary due to seasonality. Ashland’s reportable segments typically experience stronger demand during warmer weather months.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92" w:lineRule="exact"/>
        <w:rPr>
          <w:sz w:val="20"/>
          <w:szCs w:val="20"/>
          <w:color w:val="auto"/>
        </w:rPr>
      </w:pPr>
    </w:p>
    <w:p>
      <w:pPr>
        <w:ind w:firstLine="34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Employee Health and Safety - </w:t>
      </w:r>
      <w:r>
        <w:rPr>
          <w:rFonts w:ascii="Times New Roman" w:cs="Times New Roman" w:eastAsia="Times New Roman" w:hAnsi="Times New Roman"/>
          <w:sz w:val="16"/>
          <w:szCs w:val="16"/>
          <w:color w:val="auto"/>
        </w:rPr>
        <w:t>Cultivating a safety culture is intentional at Ashland and is best shown by its commitment to a Zero Incident Culture ("ZIC"). ZIC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begins with the vision, values, beliefs, and actions of Ashland’s leaders demonstrating that zero incidents is possible. It means developing processes where compliance is the minimum expectation, allowing employees to proactively manage safety above compliance on the journey to zero.</w:t>
      </w:r>
    </w:p>
    <w:p>
      <w:pPr>
        <w:spacing w:after="0" w:line="68" w:lineRule="exact"/>
        <w:rPr>
          <w:sz w:val="20"/>
          <w:szCs w:val="20"/>
          <w:color w:val="auto"/>
        </w:rPr>
      </w:pPr>
    </w:p>
    <w:p>
      <w:pPr>
        <w:ind w:right="120" w:firstLine="348"/>
        <w:spacing w:after="0" w:line="243" w:lineRule="auto"/>
        <w:rPr>
          <w:sz w:val="20"/>
          <w:szCs w:val="20"/>
          <w:color w:val="auto"/>
        </w:rPr>
      </w:pPr>
      <w:r>
        <w:rPr>
          <w:rFonts w:ascii="Times New Roman" w:cs="Times New Roman" w:eastAsia="Times New Roman" w:hAnsi="Times New Roman"/>
          <w:sz w:val="16"/>
          <w:szCs w:val="16"/>
          <w:color w:val="auto"/>
        </w:rPr>
        <w:t>As an indication of its commitment to Responsible Care, Ashland obtained a third-party certification to RC14001, which includes the internationally recognized ISO 14001 certification and adds additional health, safety, security, and chemical industry requirements. Currently, Ashland has 25 sites participating on a group RC14001 certification, including 12 international sites. Also, as part of its commitment to health and safety, 20 of the Company's sites have obtained an additional ISO 45001 certification, an international health and safety management system.</w:t>
      </w:r>
    </w:p>
    <w:p>
      <w:pPr>
        <w:spacing w:after="0" w:line="71"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6"/>
          <w:szCs w:val="16"/>
          <w:color w:val="auto"/>
        </w:rPr>
        <w:t>As part of ZIC, the Company strives every day to achieve zero incidents. Ashland continues to make good progress on its journey. For the year ended September 30, 2025, the Company had a Total Preventable Recordable Rate ("TPRR") of 0.41 compared to 0.46 for the year ended September 30, 2024.</w:t>
      </w:r>
    </w:p>
    <w:p>
      <w:pPr>
        <w:spacing w:after="0" w:line="59" w:lineRule="exact"/>
        <w:rPr>
          <w:sz w:val="20"/>
          <w:szCs w:val="20"/>
          <w:color w:val="auto"/>
        </w:rPr>
      </w:pPr>
    </w:p>
    <w:p>
      <w:pPr>
        <w:ind w:right="160" w:firstLine="348"/>
        <w:spacing w:after="0" w:line="241" w:lineRule="auto"/>
        <w:rPr>
          <w:sz w:val="20"/>
          <w:szCs w:val="20"/>
          <w:color w:val="auto"/>
        </w:rPr>
      </w:pPr>
      <w:r>
        <w:rPr>
          <w:rFonts w:ascii="Times New Roman" w:cs="Times New Roman" w:eastAsia="Times New Roman" w:hAnsi="Times New Roman"/>
          <w:sz w:val="16"/>
          <w:szCs w:val="16"/>
          <w:color w:val="auto"/>
        </w:rPr>
        <w:t>Ashland has implemented several tools for communicating lessons learned from injuries, process safety incidents, and environmental releases. Immediately following an event, flash reports are developed and shared to communicate key lessons learned across the Company with a review call within 48 hours with Ashland’s Environmental, Health and Safety (“EHS”) leadership team and Operations Leadership. Additionally, incidents and root causes/corrective and preventive actions are reviewed monthly with Company leadership and EHS leaders globally to discuss areas for improvement and highlight the importance of identifying and addressing management system errors.</w:t>
      </w:r>
    </w:p>
    <w:p>
      <w:pPr>
        <w:spacing w:after="0" w:line="73" w:lineRule="exact"/>
        <w:rPr>
          <w:sz w:val="20"/>
          <w:szCs w:val="20"/>
          <w:color w:val="auto"/>
        </w:rPr>
      </w:pPr>
    </w:p>
    <w:p>
      <w:pPr>
        <w:ind w:right="20" w:firstLine="348"/>
        <w:spacing w:after="0" w:line="247" w:lineRule="auto"/>
        <w:rPr>
          <w:sz w:val="20"/>
          <w:szCs w:val="20"/>
          <w:color w:val="auto"/>
        </w:rPr>
      </w:pPr>
      <w:r>
        <w:rPr>
          <w:rFonts w:ascii="Times New Roman" w:cs="Times New Roman" w:eastAsia="Times New Roman" w:hAnsi="Times New Roman"/>
          <w:sz w:val="16"/>
          <w:szCs w:val="16"/>
          <w:color w:val="auto"/>
        </w:rPr>
        <w:t>Ashland has implemented the “Good Catch” Program aimed at identifying underlying unsafe conditions or behaviors that could lead to an undesirable outcome. Employees are encouraged to report good catches that fall into one of three categories – substandard conditions, near misses, and suggestions. These are tracked with the goal of continuing to increase overall reporting of identified good catches year to year.</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0" w:name="page11"/>
    <w:bookmarkEnd w:id="10"/>
    <w:p>
      <w:pPr>
        <w:ind w:firstLine="348"/>
        <w:spacing w:after="0"/>
        <w:rPr>
          <w:sz w:val="20"/>
          <w:szCs w:val="20"/>
          <w:color w:val="auto"/>
        </w:rPr>
      </w:pPr>
      <w:r>
        <w:rPr>
          <w:rFonts w:ascii="Times New Roman" w:cs="Times New Roman" w:eastAsia="Times New Roman" w:hAnsi="Times New Roman"/>
          <w:sz w:val="16"/>
          <w:szCs w:val="16"/>
          <w:i w:val="1"/>
          <w:iCs w:val="1"/>
          <w:color w:val="auto"/>
        </w:rPr>
        <w:t xml:space="preserve">Environmental - </w:t>
      </w:r>
      <w:r>
        <w:rPr>
          <w:rFonts w:ascii="Times New Roman" w:cs="Times New Roman" w:eastAsia="Times New Roman" w:hAnsi="Times New Roman"/>
          <w:sz w:val="16"/>
          <w:szCs w:val="16"/>
          <w:color w:val="auto"/>
        </w:rPr>
        <w:t>Ashland has a conscious and proactive mindset for sustainability and has established a renewable annual trust for ongoing and future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environmental remediation and related litigation cash outlays. The initiative follows Ashland's announcement in February 2021 to align its operations with the ambitious aim of the Paris Climate Accord to limit global temperature rise to 1.5°C above preindustrial levels. At that time, Ashland also became a signatory to the United Nations Global Compact and is making the United Nations principles part of the Company's business strategy, culture, and day-to -day operations. Ashland has targets to reduce its environmental footprint (including energy usage, GHG emissions, and hazardous waste generation). These targets and progress towards meeting them can be found on: https://www.ashland.com/esg/esg-overview, which is not incorporated by reference into the Annual Report on Form 10-K.</w:t>
      </w:r>
    </w:p>
    <w:p>
      <w:pPr>
        <w:spacing w:after="0" w:line="74" w:lineRule="exact"/>
        <w:rPr>
          <w:sz w:val="20"/>
          <w:szCs w:val="20"/>
          <w:color w:val="auto"/>
        </w:rPr>
      </w:pPr>
    </w:p>
    <w:p>
      <w:pPr>
        <w:ind w:right="120" w:firstLine="348"/>
        <w:spacing w:after="0" w:line="243" w:lineRule="auto"/>
        <w:rPr>
          <w:sz w:val="20"/>
          <w:szCs w:val="20"/>
          <w:color w:val="auto"/>
        </w:rPr>
      </w:pPr>
      <w:r>
        <w:rPr>
          <w:rFonts w:ascii="Times New Roman" w:cs="Times New Roman" w:eastAsia="Times New Roman" w:hAnsi="Times New Roman"/>
          <w:sz w:val="16"/>
          <w:szCs w:val="16"/>
          <w:color w:val="auto"/>
        </w:rPr>
        <w:t>Ashland is committed to ensuring compliance with applicable environmental, health, safety and security laws, regulations, technical specifications, and internal standards, while adhering to high ethical standards. We are committed to continuously improving our processes and to providing products and services that throughout their life cycle involve minimum risk to people and the environment, while best meeting the needs of our customers. We strive to eliminate or reduce emissions, discharges, and wastes from our operations and to promote energy efficiency and resource conservation throughout the value chain.</w:t>
      </w:r>
    </w:p>
    <w:p>
      <w:pPr>
        <w:spacing w:after="0" w:line="71" w:lineRule="exact"/>
        <w:rPr>
          <w:sz w:val="20"/>
          <w:szCs w:val="20"/>
          <w:color w:val="auto"/>
        </w:rPr>
      </w:pPr>
    </w:p>
    <w:p>
      <w:pPr>
        <w:ind w:right="140" w:firstLine="348"/>
        <w:spacing w:after="0" w:line="247" w:lineRule="auto"/>
        <w:rPr>
          <w:sz w:val="20"/>
          <w:szCs w:val="20"/>
          <w:color w:val="auto"/>
        </w:rPr>
      </w:pPr>
      <w:r>
        <w:rPr>
          <w:rFonts w:ascii="Times New Roman" w:cs="Times New Roman" w:eastAsia="Times New Roman" w:hAnsi="Times New Roman"/>
          <w:sz w:val="16"/>
          <w:szCs w:val="16"/>
          <w:color w:val="auto"/>
        </w:rPr>
        <w:t>Ashland also maintains an open dialogue with our employees and communities about environmental, health, safety, security, and product stewardship issues. We also work with governments, policy makers, advocacy groups and value chain partners to develop and promote laws, regulations and practices that improve human health and the environment.</w:t>
      </w:r>
    </w:p>
    <w:p>
      <w:pPr>
        <w:spacing w:after="0" w:line="66" w:lineRule="exact"/>
        <w:rPr>
          <w:sz w:val="20"/>
          <w:szCs w:val="20"/>
          <w:color w:val="auto"/>
        </w:rPr>
      </w:pPr>
    </w:p>
    <w:p>
      <w:pPr>
        <w:ind w:right="360" w:firstLine="348"/>
        <w:spacing w:after="0" w:line="301" w:lineRule="auto"/>
        <w:rPr>
          <w:sz w:val="20"/>
          <w:szCs w:val="20"/>
          <w:color w:val="auto"/>
        </w:rPr>
      </w:pPr>
      <w:r>
        <w:rPr>
          <w:rFonts w:ascii="Times New Roman" w:cs="Times New Roman" w:eastAsia="Times New Roman" w:hAnsi="Times New Roman"/>
          <w:sz w:val="14"/>
          <w:szCs w:val="14"/>
          <w:i w:val="1"/>
          <w:iCs w:val="1"/>
          <w:color w:val="auto"/>
        </w:rPr>
        <w:t xml:space="preserve">Human Capital Management - </w:t>
      </w:r>
      <w:r>
        <w:rPr>
          <w:rFonts w:ascii="Times New Roman" w:cs="Times New Roman" w:eastAsia="Times New Roman" w:hAnsi="Times New Roman"/>
          <w:sz w:val="14"/>
          <w:szCs w:val="14"/>
          <w:color w:val="auto"/>
        </w:rPr>
        <w:t>Ashland’s people are the foundation of its innovation, performance, and long-term success. The Company is committed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cultivating a growth -minded, high-integrity culture that empowers employees to thrive, contribute meaningfully, and lead with purpose. Ashland’s human capital strategy is designed to attract, develop, and retain exceptional global talent while fostering a workplace where everyone feels they belong and are inspired to excel.</w:t>
      </w:r>
    </w:p>
    <w:p>
      <w:pPr>
        <w:spacing w:after="0" w:line="32" w:lineRule="exact"/>
        <w:rPr>
          <w:sz w:val="20"/>
          <w:szCs w:val="20"/>
          <w:color w:val="auto"/>
        </w:rPr>
      </w:pPr>
    </w:p>
    <w:p>
      <w:pPr>
        <w:ind w:right="640" w:firstLine="348"/>
        <w:spacing w:after="0" w:line="259" w:lineRule="auto"/>
        <w:rPr>
          <w:sz w:val="20"/>
          <w:szCs w:val="20"/>
          <w:color w:val="auto"/>
        </w:rPr>
      </w:pPr>
      <w:r>
        <w:rPr>
          <w:rFonts w:ascii="Times New Roman" w:cs="Times New Roman" w:eastAsia="Times New Roman" w:hAnsi="Times New Roman"/>
          <w:sz w:val="16"/>
          <w:szCs w:val="16"/>
          <w:color w:val="auto"/>
        </w:rPr>
        <w:t>As of September 30, 2025, Ashland had approximately 2,900 employees in more than 100 countries. The Company’s workforce reflects a broad range of experiences and perspectives, united by a shared commitment to solving complex challenges for customers.</w:t>
      </w:r>
    </w:p>
    <w:p>
      <w:pPr>
        <w:spacing w:after="0" w:line="57"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Culture and Values </w:t>
      </w:r>
      <w:r>
        <w:rPr>
          <w:rFonts w:ascii="Times New Roman" w:cs="Times New Roman" w:eastAsia="Times New Roman" w:hAnsi="Times New Roman"/>
          <w:sz w:val="16"/>
          <w:szCs w:val="16"/>
          <w:color w:val="auto"/>
        </w:rPr>
        <w:t>– Ashland fosters a workplace environment that is rooted in respect, integrity, and opportunity. All programs and practices are conducted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accordance with applicable nondiscrimination laws and are designed to support equitable access and merit-based advancement for all employees.</w:t>
      </w:r>
    </w:p>
    <w:p>
      <w:pPr>
        <w:spacing w:after="0" w:line="56" w:lineRule="exact"/>
        <w:rPr>
          <w:sz w:val="20"/>
          <w:szCs w:val="20"/>
          <w:color w:val="auto"/>
        </w:rPr>
      </w:pPr>
    </w:p>
    <w:p>
      <w:pPr>
        <w:ind w:right="60" w:firstLine="348"/>
        <w:spacing w:after="0" w:line="247" w:lineRule="auto"/>
        <w:rPr>
          <w:sz w:val="20"/>
          <w:szCs w:val="20"/>
          <w:color w:val="auto"/>
        </w:rPr>
      </w:pPr>
      <w:r>
        <w:rPr>
          <w:rFonts w:ascii="Times New Roman" w:cs="Times New Roman" w:eastAsia="Times New Roman" w:hAnsi="Times New Roman"/>
          <w:sz w:val="16"/>
          <w:szCs w:val="16"/>
          <w:color w:val="auto"/>
        </w:rPr>
        <w:t>Ashland believes that inclusion is essential to innovation and performance. In 2025, the Company advanced its global talent strategy with a focus on engagement, connection, and well-being. These efforts are designed to create a collaborative environment that leverages the talents of a diverse global workforce and supports sustainable growth.</w:t>
      </w:r>
    </w:p>
    <w:p>
      <w:pPr>
        <w:spacing w:after="0" w:line="68" w:lineRule="exact"/>
        <w:rPr>
          <w:sz w:val="20"/>
          <w:szCs w:val="20"/>
          <w:color w:val="auto"/>
        </w:rPr>
      </w:pPr>
    </w:p>
    <w:p>
      <w:pPr>
        <w:ind w:right="60" w:firstLine="348"/>
        <w:spacing w:after="0" w:line="247" w:lineRule="auto"/>
        <w:rPr>
          <w:sz w:val="20"/>
          <w:szCs w:val="20"/>
          <w:color w:val="auto"/>
        </w:rPr>
      </w:pPr>
      <w:r>
        <w:rPr>
          <w:rFonts w:ascii="Times New Roman" w:cs="Times New Roman" w:eastAsia="Times New Roman" w:hAnsi="Times New Roman"/>
          <w:sz w:val="16"/>
          <w:szCs w:val="16"/>
          <w:color w:val="auto"/>
        </w:rPr>
        <w:t>Ashland’s focus on advancing its culture starts at the top. The Board of Directors is comprised of individuals with diverse experience and credentials, selected for their business acumen, deep expertise and insight, and ability to challenge and add value to the management team. Both the Board of Directors and Executive Committee are engaged in shaping a culture that amplifies the Company values: we care, we commit, we solve together.</w:t>
      </w:r>
    </w:p>
    <w:p>
      <w:pPr>
        <w:spacing w:after="0" w:line="68" w:lineRule="exact"/>
        <w:rPr>
          <w:sz w:val="20"/>
          <w:szCs w:val="20"/>
          <w:color w:val="auto"/>
        </w:rPr>
      </w:pPr>
    </w:p>
    <w:p>
      <w:pPr>
        <w:ind w:right="20" w:firstLine="348"/>
        <w:spacing w:after="0" w:line="241" w:lineRule="auto"/>
        <w:rPr>
          <w:sz w:val="20"/>
          <w:szCs w:val="20"/>
          <w:color w:val="auto"/>
        </w:rPr>
      </w:pPr>
      <w:r>
        <w:rPr>
          <w:rFonts w:ascii="Times New Roman" w:cs="Times New Roman" w:eastAsia="Times New Roman" w:hAnsi="Times New Roman"/>
          <w:sz w:val="16"/>
          <w:szCs w:val="16"/>
          <w:color w:val="auto"/>
        </w:rPr>
        <w:t>The Company also recognizes and celebrates employees who exemplify its values through programs such as the Ashland Way Awards and Responsible Solvers™. As part of its commitment to community engagement and global citizenship, Ashland encourages employee participation in the Responsible Solvers™ program. This initiative combines the Company’s philanthropic focus on STEM education with volunteer opportunities, empowering employees to make a meaningful impact in the communities where they live and work. Eligible employees may receive up to 16 hours of paid time-off annually to engage in manager-approved volunteer activities during regular work hours.</w:t>
      </w:r>
    </w:p>
    <w:p>
      <w:pPr>
        <w:spacing w:after="0" w:line="71" w:lineRule="exact"/>
        <w:rPr>
          <w:sz w:val="20"/>
          <w:szCs w:val="20"/>
          <w:color w:val="auto"/>
        </w:rPr>
      </w:pPr>
    </w:p>
    <w:p>
      <w:pPr>
        <w:ind w:right="520" w:firstLine="34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Talent Development and Leadership </w:t>
      </w:r>
      <w:r>
        <w:rPr>
          <w:rFonts w:ascii="Times New Roman" w:cs="Times New Roman" w:eastAsia="Times New Roman" w:hAnsi="Times New Roman"/>
          <w:sz w:val="16"/>
          <w:szCs w:val="16"/>
          <w:color w:val="auto"/>
        </w:rPr>
        <w:t>– Ashland is building a people ecosystem that enables personal and professional growth at every level.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conducts disciplined annual talent reviews and succession planning to strengthen its leadership</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7" w:right="700" w:bottom="1440" w:gutter="0" w:footer="0" w:header="0"/>
        </w:sectPr>
      </w:pPr>
    </w:p>
    <w:bookmarkStart w:id="11" w:name="page12"/>
    <w:bookmarkEnd w:id="11"/>
    <w:p>
      <w:pPr>
        <w:spacing w:after="0" w:line="259" w:lineRule="auto"/>
        <w:rPr>
          <w:sz w:val="20"/>
          <w:szCs w:val="20"/>
          <w:color w:val="auto"/>
        </w:rPr>
      </w:pPr>
      <w:r>
        <w:rPr>
          <w:rFonts w:ascii="Times New Roman" w:cs="Times New Roman" w:eastAsia="Times New Roman" w:hAnsi="Times New Roman"/>
          <w:sz w:val="16"/>
          <w:szCs w:val="16"/>
          <w:color w:val="auto"/>
        </w:rPr>
        <w:t>pipeline, promote internal mobility, and minimize attrition. The performance management process provides employees with ongoing feedback not only on performance, but also on their developmental progress and how they live the Ashland values.</w:t>
      </w:r>
    </w:p>
    <w:p>
      <w:pPr>
        <w:spacing w:after="0" w:line="59" w:lineRule="exact"/>
        <w:rPr>
          <w:sz w:val="20"/>
          <w:szCs w:val="20"/>
          <w:color w:val="auto"/>
        </w:rPr>
      </w:pPr>
    </w:p>
    <w:p>
      <w:pPr>
        <w:ind w:right="140" w:firstLine="348"/>
        <w:spacing w:after="0" w:line="247" w:lineRule="auto"/>
        <w:rPr>
          <w:sz w:val="20"/>
          <w:szCs w:val="20"/>
          <w:color w:val="auto"/>
        </w:rPr>
      </w:pPr>
      <w:r>
        <w:rPr>
          <w:rFonts w:ascii="Times New Roman" w:cs="Times New Roman" w:eastAsia="Times New Roman" w:hAnsi="Times New Roman"/>
          <w:sz w:val="16"/>
          <w:szCs w:val="16"/>
          <w:color w:val="auto"/>
        </w:rPr>
        <w:t>In 2025, Ashland elevated the capabilities of its leaders through targeted development and mentorship programs, and continuous learning opportunities that were delivered both proactively and on-demand. Ashland also provided tuition assistance for undergraduate, graduate, and PhD programs, as well as technical and professional development opportunities.</w:t>
      </w:r>
    </w:p>
    <w:p>
      <w:pPr>
        <w:spacing w:after="0" w:line="66" w:lineRule="exact"/>
        <w:rPr>
          <w:sz w:val="20"/>
          <w:szCs w:val="20"/>
          <w:color w:val="auto"/>
        </w:rPr>
      </w:pPr>
    </w:p>
    <w:p>
      <w:pPr>
        <w:ind w:firstLine="34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Well-being and Engagement </w:t>
      </w:r>
      <w:r>
        <w:rPr>
          <w:rFonts w:ascii="Times New Roman" w:cs="Times New Roman" w:eastAsia="Times New Roman" w:hAnsi="Times New Roman"/>
          <w:sz w:val="16"/>
          <w:szCs w:val="16"/>
          <w:color w:val="auto"/>
        </w:rPr>
        <w:t>– Ashland continues to focus on employee wellness and executing the global vision to empower employees and their families to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healthy decisions that lead to positive outcomes in and outside of work. The Company’s well-being initiatives focus on four pillars: health, work-life balance, physical fitness, and financial stability. To that end, Ashland offers its employees wellness programs and events, including global Employee Assistance Programs, preventative care resources, and flexible leave benefits.</w:t>
      </w:r>
    </w:p>
    <w:p>
      <w:pPr>
        <w:spacing w:after="0" w:line="70"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The Company also conducts its annual global Culture Survey to measure engagement, and gain valuable insights which guide our investments in tools, resources, and practices that will enhance both employee and organizational productivity, effectiveness, and commitment.</w:t>
      </w:r>
    </w:p>
    <w:p>
      <w:pPr>
        <w:spacing w:after="0" w:line="57" w:lineRule="exact"/>
        <w:rPr>
          <w:sz w:val="20"/>
          <w:szCs w:val="20"/>
          <w:color w:val="auto"/>
        </w:rPr>
      </w:pPr>
    </w:p>
    <w:p>
      <w:pPr>
        <w:jc w:val="both"/>
        <w:ind w:right="420" w:firstLine="34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Ethical Standards and Human Rights </w:t>
      </w:r>
      <w:r>
        <w:rPr>
          <w:rFonts w:ascii="Times New Roman" w:cs="Times New Roman" w:eastAsia="Times New Roman" w:hAnsi="Times New Roman"/>
          <w:sz w:val="16"/>
          <w:szCs w:val="16"/>
          <w:color w:val="auto"/>
        </w:rPr>
        <w:t>– Ashland is committed to respecting the human and economic rights of others and does not tolerate the use of child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forced labor, slavery, or human trafficking in any of its facilities or operations. Ashland does not tolerate the physical punishment, abuse, involuntary servitude or exploitation of any worker and we expect our suppliers and contractors with whom we do business to uphold the same standards and will discontinue the business relationship with any individual or company that does not follow the same standards.</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Ashland's global footprint is geographically 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66675</wp:posOffset>
            </wp:positionV>
            <wp:extent cx="5205730" cy="2926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05730" cy="292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40" w:firstLine="34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Competitive Pay and Benefits </w:t>
      </w:r>
      <w:r>
        <w:rPr>
          <w:rFonts w:ascii="Times New Roman" w:cs="Times New Roman" w:eastAsia="Times New Roman" w:hAnsi="Times New Roman"/>
          <w:sz w:val="16"/>
          <w:szCs w:val="16"/>
          <w:color w:val="auto"/>
        </w:rPr>
        <w:t>– Ashland is committed to paying its employees in a fair and equitable manner and has implemented global total rewards tools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promote equitable remuneration. The Company provides a total compensation package that is designed to be competitive with the markets in which it competes for talent. Ashland believes employees should be compensated equitably based on performance, skills, and experience.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12" w:name="page13"/>
    <w:bookmarkEnd w:id="12"/>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Ashland reviews pay equity annually in conjunction with its annual performance review, merit, bonus and promotion processes. The Company annually completes an in-depth analysis of its pay equity globally using a number of factors to determine if a pay gap exists. Overall findings continue to be encouraging, identifying only a few employees annually that had a disparity in pay requiring further analysis and corrective action. Ashland reviews each process annually to ensure that its policies, procedures, and training continue to provide pay equity within the Company.</w:t>
      </w:r>
    </w:p>
    <w:p>
      <w:pPr>
        <w:spacing w:after="0" w:line="71" w:lineRule="exact"/>
        <w:rPr>
          <w:sz w:val="20"/>
          <w:szCs w:val="20"/>
          <w:color w:val="auto"/>
        </w:rPr>
      </w:pPr>
    </w:p>
    <w:p>
      <w:pPr>
        <w:ind w:right="200" w:firstLine="348"/>
        <w:spacing w:after="0" w:line="247" w:lineRule="auto"/>
        <w:rPr>
          <w:sz w:val="20"/>
          <w:szCs w:val="20"/>
          <w:color w:val="auto"/>
        </w:rPr>
      </w:pPr>
      <w:r>
        <w:rPr>
          <w:rFonts w:ascii="Times New Roman" w:cs="Times New Roman" w:eastAsia="Times New Roman" w:hAnsi="Times New Roman"/>
          <w:sz w:val="16"/>
          <w:szCs w:val="16"/>
          <w:color w:val="auto"/>
        </w:rPr>
        <w:t>The Company’s compensation programs are globally aligned, and, where possible, its total rewards plans include base salary, short and long-term incentives, benefits, financial, and special recognition programs. The Company routinely reviews its total rewards practices in the markets in which it operates to ensure its plans allow for the recruitment and retention of the talent it needs to be successful.</w:t>
      </w:r>
    </w:p>
    <w:p>
      <w:pPr>
        <w:spacing w:after="0" w:line="68" w:lineRule="exact"/>
        <w:rPr>
          <w:sz w:val="20"/>
          <w:szCs w:val="20"/>
          <w:color w:val="auto"/>
        </w:rPr>
      </w:pPr>
    </w:p>
    <w:p>
      <w:pPr>
        <w:ind w:right="300" w:firstLine="348"/>
        <w:spacing w:after="0" w:line="259" w:lineRule="auto"/>
        <w:rPr>
          <w:sz w:val="20"/>
          <w:szCs w:val="20"/>
          <w:color w:val="auto"/>
        </w:rPr>
      </w:pPr>
      <w:r>
        <w:rPr>
          <w:rFonts w:ascii="Times New Roman" w:cs="Times New Roman" w:eastAsia="Times New Roman" w:hAnsi="Times New Roman"/>
          <w:sz w:val="16"/>
          <w:szCs w:val="16"/>
          <w:color w:val="auto"/>
        </w:rPr>
        <w:t>Ashland also offers a competitive global benefits program to support employees through all life stages. The following benefit plans are available to employees depending on local markets in which the Company operates that include plan specific features such as on-site and on-demand resources: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•Health care benefits including medical, prescription, dental and/or vision</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•Wellness initiatives:</w:t>
      </w:r>
    </w:p>
    <w:p>
      <w:pPr>
        <w:ind w:left="960"/>
        <w:spacing w:after="0" w:line="234" w:lineRule="auto"/>
        <w:rPr>
          <w:sz w:val="20"/>
          <w:szCs w:val="20"/>
          <w:color w:val="auto"/>
        </w:rPr>
      </w:pPr>
      <w:r>
        <w:rPr>
          <w:rFonts w:ascii="Times New Roman" w:cs="Times New Roman" w:eastAsia="Times New Roman" w:hAnsi="Times New Roman"/>
          <w:sz w:val="16"/>
          <w:szCs w:val="16"/>
          <w:color w:val="auto"/>
        </w:rPr>
        <w:t>oGlobal EAP (employee assistance program)</w:t>
      </w:r>
    </w:p>
    <w:p>
      <w:pPr>
        <w:ind w:left="960"/>
        <w:spacing w:after="0" w:line="235" w:lineRule="auto"/>
        <w:rPr>
          <w:sz w:val="20"/>
          <w:szCs w:val="20"/>
          <w:color w:val="auto"/>
        </w:rPr>
      </w:pPr>
      <w:r>
        <w:rPr>
          <w:rFonts w:ascii="Times New Roman" w:cs="Times New Roman" w:eastAsia="Times New Roman" w:hAnsi="Times New Roman"/>
          <w:sz w:val="16"/>
          <w:szCs w:val="16"/>
          <w:color w:val="auto"/>
        </w:rPr>
        <w:t>oFlu vaccination resources</w:t>
      </w:r>
    </w:p>
    <w:p>
      <w:pPr>
        <w:ind w:left="480"/>
        <w:spacing w:after="0" w:line="235" w:lineRule="auto"/>
        <w:rPr>
          <w:sz w:val="20"/>
          <w:szCs w:val="20"/>
          <w:color w:val="auto"/>
        </w:rPr>
      </w:pPr>
      <w:r>
        <w:rPr>
          <w:rFonts w:ascii="Times New Roman" w:cs="Times New Roman" w:eastAsia="Times New Roman" w:hAnsi="Times New Roman"/>
          <w:sz w:val="16"/>
          <w:szCs w:val="16"/>
          <w:color w:val="auto"/>
        </w:rPr>
        <w:t>•Paid time off</w:t>
      </w:r>
    </w:p>
    <w:p>
      <w:pPr>
        <w:ind w:left="480"/>
        <w:spacing w:after="0" w:line="235" w:lineRule="auto"/>
        <w:rPr>
          <w:sz w:val="20"/>
          <w:szCs w:val="20"/>
          <w:color w:val="auto"/>
        </w:rPr>
      </w:pPr>
      <w:r>
        <w:rPr>
          <w:rFonts w:ascii="Times New Roman" w:cs="Times New Roman" w:eastAsia="Times New Roman" w:hAnsi="Times New Roman"/>
          <w:sz w:val="16"/>
          <w:szCs w:val="16"/>
          <w:color w:val="auto"/>
        </w:rPr>
        <w:t>•Voluntary benefits</w:t>
      </w:r>
    </w:p>
    <w:p>
      <w:pPr>
        <w:ind w:left="480"/>
        <w:spacing w:after="0" w:line="235" w:lineRule="auto"/>
        <w:rPr>
          <w:sz w:val="20"/>
          <w:szCs w:val="20"/>
          <w:color w:val="auto"/>
        </w:rPr>
      </w:pPr>
      <w:r>
        <w:rPr>
          <w:rFonts w:ascii="Times New Roman" w:cs="Times New Roman" w:eastAsia="Times New Roman" w:hAnsi="Times New Roman"/>
          <w:sz w:val="16"/>
          <w:szCs w:val="16"/>
          <w:color w:val="auto"/>
        </w:rPr>
        <w:t>•Life and accident coverage</w:t>
      </w:r>
    </w:p>
    <w:p>
      <w:pPr>
        <w:ind w:left="480"/>
        <w:spacing w:after="0" w:line="235" w:lineRule="auto"/>
        <w:rPr>
          <w:sz w:val="20"/>
          <w:szCs w:val="20"/>
          <w:color w:val="auto"/>
        </w:rPr>
      </w:pPr>
      <w:r>
        <w:rPr>
          <w:rFonts w:ascii="Times New Roman" w:cs="Times New Roman" w:eastAsia="Times New Roman" w:hAnsi="Times New Roman"/>
          <w:sz w:val="16"/>
          <w:szCs w:val="16"/>
          <w:color w:val="auto"/>
        </w:rPr>
        <w:t>•Disability coverage</w:t>
      </w:r>
    </w:p>
    <w:p>
      <w:pPr>
        <w:ind w:left="480"/>
        <w:spacing w:after="0" w:line="235" w:lineRule="auto"/>
        <w:rPr>
          <w:sz w:val="20"/>
          <w:szCs w:val="20"/>
          <w:color w:val="auto"/>
        </w:rPr>
      </w:pPr>
      <w:r>
        <w:rPr>
          <w:rFonts w:ascii="Times New Roman" w:cs="Times New Roman" w:eastAsia="Times New Roman" w:hAnsi="Times New Roman"/>
          <w:sz w:val="16"/>
          <w:szCs w:val="16"/>
          <w:color w:val="auto"/>
        </w:rPr>
        <w:t>•Retirement plans</w:t>
      </w:r>
    </w:p>
    <w:p>
      <w:pPr>
        <w:ind w:left="480"/>
        <w:spacing w:after="0" w:line="234" w:lineRule="auto"/>
        <w:rPr>
          <w:sz w:val="20"/>
          <w:szCs w:val="20"/>
          <w:color w:val="auto"/>
        </w:rPr>
      </w:pPr>
      <w:r>
        <w:rPr>
          <w:rFonts w:ascii="Times New Roman" w:cs="Times New Roman" w:eastAsia="Times New Roman" w:hAnsi="Times New Roman"/>
          <w:sz w:val="16"/>
          <w:szCs w:val="16"/>
          <w:color w:val="auto"/>
        </w:rPr>
        <w:t>•Tuition reimbursement</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•Business travel accident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94" w:lineRule="exact"/>
        <w:rPr>
          <w:sz w:val="20"/>
          <w:szCs w:val="20"/>
          <w:color w:val="auto"/>
        </w:rPr>
      </w:pPr>
    </w:p>
    <w:p>
      <w:pPr>
        <w:ind w:right="20" w:firstLine="348"/>
        <w:spacing w:after="0" w:line="277" w:lineRule="auto"/>
        <w:rPr>
          <w:sz w:val="20"/>
          <w:szCs w:val="20"/>
          <w:color w:val="auto"/>
        </w:rPr>
      </w:pPr>
      <w:r>
        <w:rPr>
          <w:rFonts w:ascii="Times New Roman" w:cs="Times New Roman" w:eastAsia="Times New Roman" w:hAnsi="Times New Roman"/>
          <w:sz w:val="14"/>
          <w:szCs w:val="14"/>
          <w:color w:val="auto"/>
        </w:rPr>
        <w:t>This Annual Report on Form 10- K contains forward-looking statements within the meaning of Section 27A of the Securities Act of 1933, as amended, and Section 21E of the Securities Exchange Act of 1934, as amended (the “Exchange Act”). These forward-looking statements are not historical facts and generally are identified by words such as “anticipates,” “believes,” “estimates,” “expects,” “is likely,” “predicts,” “projects,” “forecasts,” “objectives,” “may,” “will,” “should,” “plans,” and “intends” and the negative of these words or other comparable terminology. Although Ashland believes that its expectations are based on reasonable assumptions, such expectations are subject to risks and uncertainties that are difficult to predict and may be beyond Ashland’s control. As a result, Ashland cannot assure that the expectations contained in such statements will be achieved. Important factors that could cause actual results to differ materially from those contained in such statements are discussed under “Use of estimates, risks and uncertainties” in Note A of Notes to Consolidated Financial Statements in this Annual Report on Form 10-K. For a discussion of other factors and risks that could affect Ashland’s expectations and operations, see “Item 1A. Risk Factors” in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The following discussion identifies risk factors that may adversely affect Ashland’s business, operations, financial position or future financial performance or make an investment in Ashland speculative or risky. It is designed to highlight what Ashland believes are important factors to consider when evaluating its expectations. This information should be read in conjunction with the description of our business, Management's Discussion and Analysis, and the consolidated financial statements and related notes contained in this Annual Report on Form 10-K. These factors could cause future results to differ from those in forward-looking statements and from historical trends.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the Company’s Business Operations, Financial Performance and Growth</w:t>
      </w:r>
    </w:p>
    <w:p>
      <w:pPr>
        <w:spacing w:after="0" w:line="94" w:lineRule="exact"/>
        <w:rPr>
          <w:sz w:val="20"/>
          <w:szCs w:val="20"/>
          <w:color w:val="auto"/>
        </w:rPr>
      </w:pPr>
    </w:p>
    <w:p>
      <w:pPr>
        <w:jc w:val="both"/>
        <w:ind w:right="440"/>
        <w:spacing w:after="0" w:line="248" w:lineRule="auto"/>
        <w:rPr>
          <w:sz w:val="20"/>
          <w:szCs w:val="20"/>
          <w:color w:val="auto"/>
        </w:rPr>
      </w:pPr>
      <w:r>
        <w:rPr>
          <w:rFonts w:ascii="Times New Roman" w:cs="Times New Roman" w:eastAsia="Times New Roman" w:hAnsi="Times New Roman"/>
          <w:sz w:val="16"/>
          <w:szCs w:val="16"/>
          <w:b w:val="1"/>
          <w:bCs w:val="1"/>
          <w:color w:val="auto"/>
        </w:rPr>
        <w:t>Ashland has set aggressive growth goals for its reportable segments which may be impacted by such risks as the failure to optimize the use of Ashland’s tangible and intangible assets, the failure to identify and successfully integrate acquisition targets, and/or unexpected costs and liabilities associated with strategic acquisitions. These risks could lead to reduced</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13" w:name="page14"/>
    <w:bookmarkEnd w:id="13"/>
    <w:p>
      <w:pPr>
        <w:ind w:right="320"/>
        <w:spacing w:after="0" w:line="262" w:lineRule="auto"/>
        <w:rPr>
          <w:sz w:val="20"/>
          <w:szCs w:val="20"/>
          <w:color w:val="auto"/>
        </w:rPr>
      </w:pPr>
      <w:r>
        <w:rPr>
          <w:rFonts w:ascii="Times New Roman" w:cs="Times New Roman" w:eastAsia="Times New Roman" w:hAnsi="Times New Roman"/>
          <w:sz w:val="16"/>
          <w:szCs w:val="16"/>
          <w:b w:val="1"/>
          <w:bCs w:val="1"/>
          <w:color w:val="auto"/>
        </w:rPr>
        <w:t>sales, increased expenses, impairment of goodwill or other intangible assets, and other adverse effects on the Company’s financial condition and results of operations.</w:t>
      </w:r>
    </w:p>
    <w:p>
      <w:pPr>
        <w:spacing w:after="0" w:line="56" w:lineRule="exact"/>
        <w:rPr>
          <w:sz w:val="20"/>
          <w:szCs w:val="20"/>
          <w:color w:val="auto"/>
        </w:rPr>
      </w:pPr>
    </w:p>
    <w:p>
      <w:pPr>
        <w:ind w:firstLine="348"/>
        <w:spacing w:after="0" w:line="237" w:lineRule="auto"/>
        <w:rPr>
          <w:sz w:val="20"/>
          <w:szCs w:val="20"/>
          <w:color w:val="auto"/>
        </w:rPr>
      </w:pPr>
      <w:r>
        <w:rPr>
          <w:rFonts w:ascii="Times New Roman" w:cs="Times New Roman" w:eastAsia="Times New Roman" w:hAnsi="Times New Roman"/>
          <w:sz w:val="16"/>
          <w:szCs w:val="16"/>
          <w:color w:val="auto"/>
        </w:rPr>
        <w:t>Ashland’s failure to fully achieve one or more of its aggressive growth goals or meet its long-term objectives could negatively impact Ashland’s potential value and its reportable segments. Such failure may result if Ashland is unable to effectively execute its business strategy and growth plans by failing to optimize the use of its physical and intangible assets. Such optimization failure may result from changes to the global economic environment, changes to the competitive landscape, attraction and retention of skilled employees, the potential failure of product innovation plans, failure to comply with existing or new regulatory schemes, failure to maintain a competitive cost structure and other risks outlined in greater detail in this Item 1A. In addition, Ashland, as part of its growth goals, continuously evaluates acquisition candidates. If Ashland is unable to successfully identify and integrate acquired businesses, Ashland could fail to achieve any expected increases in sales and operating results, which could have a material adverse effect on Ashland’s financial results. Ashland’s ability to achieve the anticipated financial benefits from any acquisition transactions may not be realized due to any number of factors, including, but not limited to, unsuccessful integration efforts, unexpected or underestimated liabilities or increased costs, fees, expenses and charges related to such transactions. Such adverse events could result in a decrease in the estimated fair value of goodwill or other intangible assets established as a result of such transactions, triggering an impairment as experienced in 2025. These and other factors could have a material adverse effect on our financial condition and results of operations.</w:t>
      </w:r>
    </w:p>
    <w:p>
      <w:pPr>
        <w:spacing w:after="0" w:line="76" w:lineRule="exact"/>
        <w:rPr>
          <w:sz w:val="20"/>
          <w:szCs w:val="20"/>
          <w:color w:val="auto"/>
        </w:rPr>
      </w:pPr>
    </w:p>
    <w:p>
      <w:pPr>
        <w:jc w:val="both"/>
        <w:ind w:right="600"/>
        <w:spacing w:after="0" w:line="248" w:lineRule="auto"/>
        <w:rPr>
          <w:sz w:val="20"/>
          <w:szCs w:val="20"/>
          <w:color w:val="auto"/>
        </w:rPr>
      </w:pPr>
      <w:r>
        <w:rPr>
          <w:rFonts w:ascii="Times New Roman" w:cs="Times New Roman" w:eastAsia="Times New Roman" w:hAnsi="Times New Roman"/>
          <w:sz w:val="16"/>
          <w:szCs w:val="16"/>
          <w:b w:val="1"/>
          <w:bCs w:val="1"/>
          <w:color w:val="auto"/>
        </w:rPr>
        <w:t>Business disruptions from natural, operational and other catastrophic risks could seriously harm Ashland’s operations and financial performance. In addition, a catastrophic event at one of Ashland’s facilities or involving its products or employees could lead to liabilities that could further impair its operations and financial performance.</w:t>
      </w:r>
    </w:p>
    <w:p>
      <w:pPr>
        <w:spacing w:after="0" w:line="68" w:lineRule="exact"/>
        <w:rPr>
          <w:sz w:val="20"/>
          <w:szCs w:val="20"/>
          <w:color w:val="auto"/>
        </w:rPr>
      </w:pPr>
    </w:p>
    <w:p>
      <w:pPr>
        <w:ind w:right="60" w:firstLine="348"/>
        <w:spacing w:after="0" w:line="238" w:lineRule="auto"/>
        <w:rPr>
          <w:sz w:val="20"/>
          <w:szCs w:val="20"/>
          <w:color w:val="auto"/>
        </w:rPr>
      </w:pPr>
      <w:r>
        <w:rPr>
          <w:rFonts w:ascii="Times New Roman" w:cs="Times New Roman" w:eastAsia="Times New Roman" w:hAnsi="Times New Roman"/>
          <w:sz w:val="16"/>
          <w:szCs w:val="16"/>
          <w:color w:val="auto"/>
        </w:rPr>
        <w:t>Business disruptions (including those related to operating hazards inherent with the production of chemicals) stemming from events such as natural disasters, severe weather conditions, supply or logistics disruptions, increasing costs for energy, temporary plant and/or power outages, information technology systems and network disruptions, cyber-security breaches, terrorist attacks, armed conflicts, war, public health crises, fires, floods or other catastrophic events, could seriously harm Ashland’s operations, as well as the operations of its customers and suppliers, and may adversely impact Ashland’s financial performance. These events could result in reduced demand for Ashland’s products, make it difficult or impossible for Ashland to manufacture its products or deliver products to its customers or to receive raw materials from suppliers, or create delays and inefficiencies in the supply chain. In addition to leading to a serious disruption of Ashland’s reportable segments, a catastrophic event at one of our facilities or involving our products or employees could lead to substantial legal liability to or claims by parties allegedly harmed by the event.</w:t>
      </w:r>
    </w:p>
    <w:p>
      <w:pPr>
        <w:spacing w:after="0" w:line="77" w:lineRule="exact"/>
        <w:rPr>
          <w:sz w:val="20"/>
          <w:szCs w:val="20"/>
          <w:color w:val="auto"/>
        </w:rPr>
      </w:pPr>
    </w:p>
    <w:p>
      <w:pPr>
        <w:ind w:right="20" w:firstLine="348"/>
        <w:spacing w:after="0" w:line="241" w:lineRule="auto"/>
        <w:rPr>
          <w:sz w:val="20"/>
          <w:szCs w:val="20"/>
          <w:color w:val="auto"/>
        </w:rPr>
      </w:pPr>
      <w:r>
        <w:rPr>
          <w:rFonts w:ascii="Times New Roman" w:cs="Times New Roman" w:eastAsia="Times New Roman" w:hAnsi="Times New Roman"/>
          <w:sz w:val="16"/>
          <w:szCs w:val="16"/>
          <w:color w:val="auto"/>
        </w:rPr>
        <w:t>Furthermore, because catastrophic events are inherently uncertain, Ashland's business continuity plans may not address every potential scenario and may not fully protect it from all such events. In addition, insurance maintained by Ashland to protect against property damage, loss of business and other related consequences resulting from catastrophic events is subject to various deductibles and coverage limitations, depending on the nature of the risk insured. This insurance may not be sufficient to cover all of Ashland’s damages or damages to others in the event of a catastrophe. In addition, insurance related to these types of risks may not be available now or, if available, may not be available in the future at commercially reasonable rates.</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b w:val="1"/>
          <w:bCs w:val="1"/>
          <w:color w:val="auto"/>
        </w:rPr>
        <w:t>Climate change and related resource impacts may lead to supply chain disruptions, operational impacts, and geopolitical events which could result in impacts to raw material pricing, lack of product availability, and decreased sales.</w:t>
      </w:r>
    </w:p>
    <w:p>
      <w:pPr>
        <w:spacing w:after="0" w:line="56" w:lineRule="exact"/>
        <w:rPr>
          <w:sz w:val="20"/>
          <w:szCs w:val="20"/>
          <w:color w:val="auto"/>
        </w:rPr>
      </w:pPr>
    </w:p>
    <w:p>
      <w:pPr>
        <w:jc w:val="both"/>
        <w:ind w:right="280" w:firstLine="348"/>
        <w:spacing w:after="0" w:line="243" w:lineRule="auto"/>
        <w:rPr>
          <w:sz w:val="20"/>
          <w:szCs w:val="20"/>
          <w:color w:val="auto"/>
        </w:rPr>
      </w:pPr>
      <w:r>
        <w:rPr>
          <w:rFonts w:ascii="Times New Roman" w:cs="Times New Roman" w:eastAsia="Times New Roman" w:hAnsi="Times New Roman"/>
          <w:sz w:val="16"/>
          <w:szCs w:val="16"/>
          <w:color w:val="auto"/>
        </w:rPr>
        <w:t>Ashland sources a large number of raw materials from third party suppliers globally. These products include both natural and synthetic materials derived from plants, animal products, organic and petroleum based raw materials. Disruptions to the global supply chain due to climate related impacts or geopolitical events are possible and exist as external risk factors that the Company cannot control. These events could limit the supply of key raw materials to the Company, or could have significant impacts to pricing.</w:t>
      </w:r>
    </w:p>
    <w:p>
      <w:pPr>
        <w:spacing w:after="0" w:line="71" w:lineRule="exact"/>
        <w:rPr>
          <w:sz w:val="20"/>
          <w:szCs w:val="20"/>
          <w:color w:val="auto"/>
        </w:rPr>
      </w:pPr>
    </w:p>
    <w:p>
      <w:pPr>
        <w:ind w:firstLine="348"/>
        <w:spacing w:after="0" w:line="247" w:lineRule="auto"/>
        <w:rPr>
          <w:sz w:val="20"/>
          <w:szCs w:val="20"/>
          <w:color w:val="auto"/>
        </w:rPr>
      </w:pPr>
      <w:r>
        <w:rPr>
          <w:rFonts w:ascii="Times New Roman" w:cs="Times New Roman" w:eastAsia="Times New Roman" w:hAnsi="Times New Roman"/>
          <w:sz w:val="16"/>
          <w:szCs w:val="16"/>
          <w:color w:val="auto"/>
        </w:rPr>
        <w:t>Ashland has manufacturing operations in areas vulnerable to coastal storms which may increase in magnitude and impact due to climate change. Increasingly large and unprecedented weather events may pose a risk to business operations in vulnerable areas. Storms could cause business interruptions, incur additional restoration costs, and impact product availability and pricing.</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07" w:right="720" w:bottom="1440" w:gutter="0" w:footer="0" w:header="0"/>
        </w:sectPr>
      </w:pPr>
    </w:p>
    <w:bookmarkStart w:id="14" w:name="page15"/>
    <w:bookmarkEnd w:id="14"/>
    <w:p>
      <w:pPr>
        <w:jc w:val="both"/>
        <w:ind w:right="80" w:firstLine="348"/>
        <w:spacing w:after="0" w:line="247" w:lineRule="auto"/>
        <w:rPr>
          <w:sz w:val="20"/>
          <w:szCs w:val="20"/>
          <w:color w:val="auto"/>
        </w:rPr>
      </w:pPr>
      <w:r>
        <w:rPr>
          <w:rFonts w:ascii="Times New Roman" w:cs="Times New Roman" w:eastAsia="Times New Roman" w:hAnsi="Times New Roman"/>
          <w:sz w:val="16"/>
          <w:szCs w:val="16"/>
          <w:color w:val="auto"/>
        </w:rPr>
        <w:t>Consumer preference is increasingly impacted by awareness of and a response to climate change. Consumers are increasingly demanding responsibly sourced and manufactured products. An inability to respond to consumer demands through environmental, social and governance ("ESG") innovation could lead to a loss of sales to competitors providing more sustainable product offerings.</w:t>
      </w:r>
    </w:p>
    <w:p>
      <w:pPr>
        <w:spacing w:after="0" w:line="68" w:lineRule="exact"/>
        <w:rPr>
          <w:sz w:val="20"/>
          <w:szCs w:val="20"/>
          <w:color w:val="auto"/>
        </w:rPr>
      </w:pPr>
    </w:p>
    <w:p>
      <w:pPr>
        <w:jc w:val="both"/>
        <w:ind w:right="20" w:firstLine="348"/>
        <w:spacing w:after="0" w:line="243" w:lineRule="auto"/>
        <w:rPr>
          <w:sz w:val="20"/>
          <w:szCs w:val="20"/>
          <w:color w:val="auto"/>
        </w:rPr>
      </w:pPr>
      <w:r>
        <w:rPr>
          <w:rFonts w:ascii="Times New Roman" w:cs="Times New Roman" w:eastAsia="Times New Roman" w:hAnsi="Times New Roman"/>
          <w:sz w:val="16"/>
          <w:szCs w:val="16"/>
          <w:color w:val="auto"/>
        </w:rPr>
        <w:t>Energy availability and pricing has been impacted by geopolitical events and may be impacted by climate-related legislation and regulations. As climate legislation increases in many countries, the availability of conventional and nonrenewable energy may be increasingly limited and prices may continue to increase. Where demand exceeds energy capacity, energy disruptions such as brown out or black out events are possible, leading to business interruption and quality/operational impacts. Failure to respond to or mitigate this risk could lead to increased cost and business impacts.</w:t>
      </w:r>
    </w:p>
    <w:p>
      <w:pPr>
        <w:spacing w:after="0" w:line="71" w:lineRule="exact"/>
        <w:rPr>
          <w:sz w:val="20"/>
          <w:szCs w:val="20"/>
          <w:color w:val="auto"/>
        </w:rPr>
      </w:pPr>
    </w:p>
    <w:p>
      <w:pPr>
        <w:ind w:right="160" w:firstLine="348"/>
        <w:spacing w:after="0" w:line="299" w:lineRule="auto"/>
        <w:rPr>
          <w:sz w:val="20"/>
          <w:szCs w:val="20"/>
          <w:color w:val="auto"/>
        </w:rPr>
      </w:pPr>
      <w:r>
        <w:rPr>
          <w:rFonts w:ascii="Times New Roman" w:cs="Times New Roman" w:eastAsia="Times New Roman" w:hAnsi="Times New Roman"/>
          <w:sz w:val="14"/>
          <w:szCs w:val="14"/>
          <w:color w:val="auto"/>
        </w:rPr>
        <w:t>Globally, the availability of fresh, potable water is a growing concern, where water withdrawal can exceed the rates of surface and groundwater replenishment in critical basins, rivers, or other bodies of water. This concern continues to increase for Ashland and for the global supply chain where fresh water is a key resource for manufacturing operations. Failure to respond to this risk could lead to business interruptions and impact the availability and pricing of product.</w:t>
      </w:r>
    </w:p>
    <w:p>
      <w:pPr>
        <w:spacing w:after="0" w:line="34" w:lineRule="exact"/>
        <w:rPr>
          <w:sz w:val="20"/>
          <w:szCs w:val="20"/>
          <w:color w:val="auto"/>
        </w:rPr>
      </w:pPr>
    </w:p>
    <w:p>
      <w:pPr>
        <w:ind w:right="80" w:firstLine="348"/>
        <w:spacing w:after="0" w:line="243" w:lineRule="auto"/>
        <w:rPr>
          <w:sz w:val="20"/>
          <w:szCs w:val="20"/>
          <w:color w:val="auto"/>
        </w:rPr>
      </w:pPr>
      <w:r>
        <w:rPr>
          <w:rFonts w:ascii="Times New Roman" w:cs="Times New Roman" w:eastAsia="Times New Roman" w:hAnsi="Times New Roman"/>
          <w:sz w:val="16"/>
          <w:szCs w:val="16"/>
          <w:color w:val="auto"/>
        </w:rPr>
        <w:t>Ashland sources several key natural raw materials that contain processed timber, palm, soy, and other harvested or farmed raw materials. Deforestation is an increasing concern where the irresponsible harvest of these raw materials can lead to loss of critical forests and habitats. Additional sourcing of these materials is under increasing scrutiny due to deforestation, and the availability of these raw materials may be limited in the future. Failure to source responsibly and respond to or mitigate the risk could lead to business impacts and increased cost.</w:t>
      </w:r>
    </w:p>
    <w:p>
      <w:pPr>
        <w:spacing w:after="0" w:line="71" w:lineRule="exact"/>
        <w:rPr>
          <w:sz w:val="20"/>
          <w:szCs w:val="20"/>
          <w:color w:val="auto"/>
        </w:rPr>
      </w:pPr>
    </w:p>
    <w:p>
      <w:pPr>
        <w:ind w:right="260" w:firstLine="348"/>
        <w:spacing w:after="0" w:line="243" w:lineRule="auto"/>
        <w:rPr>
          <w:sz w:val="20"/>
          <w:szCs w:val="20"/>
          <w:color w:val="auto"/>
        </w:rPr>
      </w:pPr>
      <w:r>
        <w:rPr>
          <w:rFonts w:ascii="Times New Roman" w:cs="Times New Roman" w:eastAsia="Times New Roman" w:hAnsi="Times New Roman"/>
          <w:sz w:val="16"/>
          <w:szCs w:val="16"/>
          <w:color w:val="auto"/>
        </w:rPr>
        <w:t>As part of its commitment to supporting climate change response efforts, Ashland has committed to 2032 targets through the Science Based Targets Initiative ("SBTi") which were approved by SBTi in October of 2023. These targets are aligned with the objective of limiting global warming to no more than 1.5C above preindustrial levels. Ashland’s sustainability commitments are key to stakeholders and a differentiator for Ashland. Failure to meet stated commitments could lead to reputational and business impacts.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Ashland’s customers could change their products in a way that reduces the demand for Ashland’s products.</w:t>
      </w:r>
    </w:p>
    <w:p>
      <w:pPr>
        <w:spacing w:after="0" w:line="94" w:lineRule="exact"/>
        <w:rPr>
          <w:sz w:val="20"/>
          <w:szCs w:val="20"/>
          <w:color w:val="auto"/>
        </w:rPr>
      </w:pPr>
    </w:p>
    <w:p>
      <w:pPr>
        <w:ind w:right="240" w:firstLine="348"/>
        <w:spacing w:after="0" w:line="243" w:lineRule="auto"/>
        <w:rPr>
          <w:sz w:val="20"/>
          <w:szCs w:val="20"/>
          <w:color w:val="auto"/>
        </w:rPr>
      </w:pPr>
      <w:r>
        <w:rPr>
          <w:rFonts w:ascii="Times New Roman" w:cs="Times New Roman" w:eastAsia="Times New Roman" w:hAnsi="Times New Roman"/>
          <w:sz w:val="16"/>
          <w:szCs w:val="16"/>
          <w:color w:val="auto"/>
        </w:rPr>
        <w:t>Ashland produces and sells specialty materials that are used by its customers for a broad range of applications. Many of these Ashland materials become part of end products that are sold to consumers. Changes in consumer preferences and demands can lead to certain Ashland customers making changes to their products. In other instances, Ashland’s customers may change their products or production techniques to take advantage of newer technologies, alternative chemistries, more effective formulations, or improved processes, or in response to various market, technical or regulatory changes.</w:t>
      </w:r>
    </w:p>
    <w:p>
      <w:pPr>
        <w:spacing w:after="0" w:line="71"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Such changes in Ashland’s customers’ products or production techniques may cause these customers to reduce consumption of Ashland’s products or eliminate their need entirely. Ashland may not be able to supply products that meet the customers’ new requirements. Such lost sales opportunities may not be replaced by those offering equal revenue potential or margin. If Ashland fails to develop new products and new applications of existing products, it may face loss of market share, margins and cash flow.</w:t>
      </w:r>
    </w:p>
    <w:p>
      <w:pPr>
        <w:spacing w:after="0" w:line="6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b w:val="1"/>
          <w:bCs w:val="1"/>
          <w:color w:val="auto"/>
        </w:rPr>
        <w:t>Ashland’s substantial global operations subject it to risks inherent in doing business in foreign countries, including changes to tariffs and trade policy, geopolitical instability, and challenges in hiring and managing a diverse workforce across jurisdictions with differing labor and employment laws and cultural practices, any of which could adversely affect Ashland's business, financial condition and results of operations.</w:t>
      </w:r>
    </w:p>
    <w:p>
      <w:pPr>
        <w:spacing w:after="0" w:line="68" w:lineRule="exact"/>
        <w:rPr>
          <w:sz w:val="20"/>
          <w:szCs w:val="20"/>
          <w:color w:val="auto"/>
        </w:rPr>
      </w:pPr>
    </w:p>
    <w:p>
      <w:pPr>
        <w:jc w:val="both"/>
        <w:ind w:firstLine="348"/>
        <w:spacing w:after="0" w:line="243" w:lineRule="auto"/>
        <w:rPr>
          <w:sz w:val="20"/>
          <w:szCs w:val="20"/>
          <w:color w:val="auto"/>
        </w:rPr>
      </w:pPr>
      <w:r>
        <w:rPr>
          <w:rFonts w:ascii="Times New Roman" w:cs="Times New Roman" w:eastAsia="Times New Roman" w:hAnsi="Times New Roman"/>
          <w:sz w:val="16"/>
          <w:szCs w:val="16"/>
          <w:color w:val="auto"/>
        </w:rPr>
        <w:t>Greater than half of Ashland’s net sales for fiscal 2025 were to customers outside of North America. Ashland expects sales from international markets to continue to represent an even larger portion of the Company’s sales in the future. Also, a significant portion of Ashland’s manufacturing capacity is located outside of the United States. Accordingly, Ashland’s business is subject to risks related to the differing legal, political, cultural, social and regulatory requirements and economic conditions of many jurisdictions</w:t>
      </w:r>
    </w:p>
    <w:p>
      <w:pPr>
        <w:spacing w:after="0" w:line="71" w:lineRule="exact"/>
        <w:rPr>
          <w:sz w:val="20"/>
          <w:szCs w:val="20"/>
          <w:color w:val="auto"/>
        </w:rPr>
      </w:pPr>
    </w:p>
    <w:p>
      <w:pPr>
        <w:jc w:val="both"/>
        <w:ind w:right="20" w:firstLine="348"/>
        <w:spacing w:after="0" w:line="247" w:lineRule="auto"/>
        <w:rPr>
          <w:sz w:val="20"/>
          <w:szCs w:val="20"/>
          <w:color w:val="auto"/>
        </w:rPr>
      </w:pPr>
      <w:r>
        <w:rPr>
          <w:rFonts w:ascii="Times New Roman" w:cs="Times New Roman" w:eastAsia="Times New Roman" w:hAnsi="Times New Roman"/>
          <w:sz w:val="16"/>
          <w:szCs w:val="16"/>
          <w:color w:val="auto"/>
        </w:rPr>
        <w:t>Ashland’s global business operations present a range of challenges, particularly related to tariffs, trade policy, and geopolitical risks. The imposition of new tariffs or trade quotas, or the impairment of existing trade agreements, risks that have become more pronounced amid ongoing global trade tensions and protectionist measures, could significantly impair Ashland’s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5" w:name="page16"/>
    <w:bookmarkEnd w:id="15"/>
    <w:p>
      <w:pPr>
        <w:spacing w:after="0" w:line="243" w:lineRule="auto"/>
        <w:rPr>
          <w:sz w:val="20"/>
          <w:szCs w:val="20"/>
          <w:color w:val="auto"/>
        </w:rPr>
      </w:pPr>
      <w:r>
        <w:rPr>
          <w:rFonts w:ascii="Times New Roman" w:cs="Times New Roman" w:eastAsia="Times New Roman" w:hAnsi="Times New Roman"/>
          <w:sz w:val="16"/>
          <w:szCs w:val="16"/>
          <w:color w:val="auto"/>
        </w:rPr>
        <w:t>financial performance. The uncertainty and volatility created by these policies, including heightened trade disputes, renegotiations of major agreements, and the risk of additional withholding taxes or restrictions on foreign trade and investment (such as currency exchange controls), may disrupt supply chains, increase costs, limit market access for Ashland’s products, and adversely affect profitability in U.S. dollars for products and services provided abroad. Ongoing trade disputes between the United States and Europe, Latin America, and the Asia-Pacific region could further negatively impact Ashland if they worsen.</w:t>
      </w:r>
    </w:p>
    <w:p>
      <w:pPr>
        <w:spacing w:after="0" w:line="71" w:lineRule="exact"/>
        <w:rPr>
          <w:sz w:val="20"/>
          <w:szCs w:val="20"/>
          <w:color w:val="auto"/>
        </w:rPr>
      </w:pPr>
    </w:p>
    <w:p>
      <w:pPr>
        <w:ind w:right="200" w:firstLine="348"/>
        <w:spacing w:after="0" w:line="284" w:lineRule="auto"/>
        <w:rPr>
          <w:sz w:val="20"/>
          <w:szCs w:val="20"/>
          <w:color w:val="auto"/>
        </w:rPr>
      </w:pPr>
      <w:r>
        <w:rPr>
          <w:rFonts w:ascii="Times New Roman" w:cs="Times New Roman" w:eastAsia="Times New Roman" w:hAnsi="Times New Roman"/>
          <w:sz w:val="14"/>
          <w:szCs w:val="14"/>
          <w:color w:val="auto"/>
        </w:rPr>
        <w:t>Ashland also faces significant geopolitical risks inherent in operating a global business. The outbreak or escalation of armed conflicts, including the ongoing Israel/Hamas conflict, can disrupt supply chains, limit market access, and increase operational uncertainty, particularly in the Middle East and surrounding regions. Additionally, terrorist activities and the responses to such threats in certain countries may pose a greater risk to Ashland’s operations than in the United States. In Europe, economic sanctions imposed on Russia and/or Russia's reaction to these sanctions may adversely affect Ashland’s performance and results of operations. The risks associated with localized or regional armed conflict in many areas remain high and could disrupt or negatively impact Ashland worldwide.</w:t>
      </w:r>
    </w:p>
    <w:p>
      <w:pPr>
        <w:spacing w:after="0" w:line="44" w:lineRule="exact"/>
        <w:rPr>
          <w:sz w:val="20"/>
          <w:szCs w:val="20"/>
          <w:color w:val="auto"/>
        </w:rPr>
      </w:pPr>
    </w:p>
    <w:p>
      <w:pPr>
        <w:ind w:right="20" w:firstLine="348"/>
        <w:spacing w:after="0" w:line="241" w:lineRule="auto"/>
        <w:rPr>
          <w:sz w:val="20"/>
          <w:szCs w:val="20"/>
          <w:color w:val="auto"/>
        </w:rPr>
      </w:pPr>
      <w:r>
        <w:rPr>
          <w:rFonts w:ascii="Times New Roman" w:cs="Times New Roman" w:eastAsia="Times New Roman" w:hAnsi="Times New Roman"/>
          <w:sz w:val="16"/>
          <w:szCs w:val="16"/>
          <w:color w:val="auto"/>
        </w:rPr>
        <w:t>Other legal and political risks include difficulties in hiring and maintaining a workforce in certain countries, challenges in enforcing agreements or collecting receivables through foreign legal systems, and the possibility that foreign governments may nationalize private enterprises. Social and cultural norms in some regions may not align with Ashland’s corporate policies, including those related to compliance with substantive laws and regulations. Furthermore, changes in general economic and political conditions in countries where Ashland operates, particularly in Europe, the Middle East, and emerging markets, pose ongoing risks to Ashland’s financial performance.</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Ashland continues to operate its business globally, its success will depend, in part, on its ability to anticipate and effectively manage these and other related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w:t>
      </w:r>
    </w:p>
    <w:p>
      <w:pPr>
        <w:spacing w:after="0" w:line="7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6"/>
          <w:szCs w:val="16"/>
          <w:b w:val="1"/>
          <w:bCs w:val="1"/>
          <w:color w:val="auto"/>
        </w:rPr>
        <w:t>Adverse developments in the global economy and potential disruptions of financial markets could negatively impact Ashland’s customers and suppliers, and therefore have a negative impact on Ashland’s results of operations.</w:t>
      </w:r>
    </w:p>
    <w:p>
      <w:pPr>
        <w:spacing w:after="0" w:line="56" w:lineRule="exact"/>
        <w:rPr>
          <w:sz w:val="20"/>
          <w:szCs w:val="20"/>
          <w:color w:val="auto"/>
        </w:rPr>
      </w:pPr>
    </w:p>
    <w:p>
      <w:pPr>
        <w:ind w:right="60" w:firstLine="348"/>
        <w:spacing w:after="0" w:line="238" w:lineRule="auto"/>
        <w:rPr>
          <w:sz w:val="20"/>
          <w:szCs w:val="20"/>
          <w:color w:val="auto"/>
        </w:rPr>
      </w:pPr>
      <w:r>
        <w:rPr>
          <w:rFonts w:ascii="Times New Roman" w:cs="Times New Roman" w:eastAsia="Times New Roman" w:hAnsi="Times New Roman"/>
          <w:sz w:val="16"/>
          <w:szCs w:val="16"/>
          <w:color w:val="auto"/>
        </w:rPr>
        <w:t>A global or regional economic downturn may reduce customer demand or inhibit Ashland’s ability to produce and sell products. Ashland’s business and operating results are sensitive to global and regional economic downturns, credit market tightness, declining consumer and business confidence, fluctuating commodity prices, volatile exchange rates, inflation or changes in interest rates, sovereign debt defaults and other challenges, including those related to international sanctions and acts of aggression or threatened aggression that can affect the global economy. In the event of adverse developments or stagnation in the economy or financial markets, Ashland’s customers may experience deterioration of their businesses, reduced demand for their products, cash flow shortages and difficulty obtaining financing. As a result, existing or potential customers might delay or cancel plans to purchase products, which includes customer destocking of their own inventories, and may not be able to fulfill their obligations to Ashland in a timely fashion. Further, suppliers may experience similar conditions, which could impact their ability to fulfill their obligations to Ashland. A weakening or reversal of the current economic conditions in the global economy or a substantial part of it could negatively impact Ashland’s business, results of operations, financial condition and ability to grow.</w:t>
      </w:r>
    </w:p>
    <w:p>
      <w:pPr>
        <w:spacing w:after="0" w:line="72"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6"/>
          <w:szCs w:val="16"/>
          <w:b w:val="1"/>
          <w:bCs w:val="1"/>
          <w:color w:val="auto"/>
        </w:rPr>
        <w:t>Ashland’s substantial indebtedness may adversely affect our ability to pursue certain strategic acquisitions and other business opportunities, inhibit our flexibility in responding to changing market conditions, and impede our ability to generate revenue.</w:t>
      </w:r>
    </w:p>
    <w:p>
      <w:pPr>
        <w:spacing w:after="0" w:line="56"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6"/>
          <w:szCs w:val="16"/>
          <w:color w:val="auto"/>
        </w:rPr>
        <w:t>Ashland maintains a substantial amount of debt. Ashland’s substantial indebtedness could adversely affect its business, results of operations and financial condition by, among other things:</w:t>
      </w:r>
    </w:p>
    <w:p>
      <w:pPr>
        <w:spacing w:after="0" w:line="59" w:lineRule="exact"/>
        <w:rPr>
          <w:sz w:val="20"/>
          <w:szCs w:val="20"/>
          <w:color w:val="auto"/>
        </w:rPr>
      </w:pPr>
    </w:p>
    <w:p>
      <w:pPr>
        <w:ind w:left="480" w:right="60"/>
        <w:spacing w:after="0" w:line="331" w:lineRule="auto"/>
        <w:rPr>
          <w:sz w:val="20"/>
          <w:szCs w:val="20"/>
          <w:color w:val="auto"/>
        </w:rPr>
      </w:pPr>
      <w:r>
        <w:rPr>
          <w:rFonts w:ascii="Times New Roman" w:cs="Times New Roman" w:eastAsia="Times New Roman" w:hAnsi="Times New Roman"/>
          <w:sz w:val="14"/>
          <w:szCs w:val="14"/>
          <w:color w:val="auto"/>
        </w:rPr>
        <w:t>•requiring Ashland to dedicate a substantial portion of its cash flow from operations to pay principal and interest on its debt, which would reduce the availability of Ashland’s cash flow to fund working capital, capital expenditures, acquisitions, execution of its growth strategy and other general corporate purposes;</w:t>
      </w:r>
    </w:p>
    <w:p>
      <w:pPr>
        <w:spacing w:after="0" w:line="12"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•limiting Ashland’s ability to borrow additional amounts to fund working capital, capital expenditures, acquisitions, debt service requirements, execution of its growth strategy and other purposes;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6" w:name="page17"/>
    <w:bookmarkEnd w:id="16"/>
    <w:p>
      <w:pPr>
        <w:ind w:left="480" w:right="620"/>
        <w:spacing w:after="0" w:line="259" w:lineRule="auto"/>
        <w:rPr>
          <w:sz w:val="20"/>
          <w:szCs w:val="20"/>
          <w:color w:val="auto"/>
        </w:rPr>
      </w:pPr>
      <w:r>
        <w:rPr>
          <w:rFonts w:ascii="Times New Roman" w:cs="Times New Roman" w:eastAsia="Times New Roman" w:hAnsi="Times New Roman"/>
          <w:sz w:val="16"/>
          <w:szCs w:val="16"/>
          <w:color w:val="auto"/>
        </w:rPr>
        <w:t>•making Ashland more vulnerable to adverse changes in general economic, industry and regulatory conditions and in its business by limiting Ashland’s flexibility in planning for, and making it more difficult for Ashland to react quickly to, changing conditions;</w:t>
      </w:r>
    </w:p>
    <w:p>
      <w:pPr>
        <w:spacing w:after="0" w:line="59" w:lineRule="exact"/>
        <w:rPr>
          <w:sz w:val="20"/>
          <w:szCs w:val="20"/>
          <w:color w:val="auto"/>
        </w:rPr>
      </w:pPr>
    </w:p>
    <w:p>
      <w:pPr>
        <w:ind w:left="480" w:right="1120"/>
        <w:spacing w:after="0" w:line="360" w:lineRule="auto"/>
        <w:rPr>
          <w:sz w:val="20"/>
          <w:szCs w:val="20"/>
          <w:color w:val="auto"/>
        </w:rPr>
      </w:pPr>
      <w:r>
        <w:rPr>
          <w:rFonts w:ascii="Times New Roman" w:cs="Times New Roman" w:eastAsia="Times New Roman" w:hAnsi="Times New Roman"/>
          <w:sz w:val="16"/>
          <w:szCs w:val="16"/>
          <w:color w:val="auto"/>
        </w:rPr>
        <w:t>•placing Ashland at a competitive disadvantage compared with those of its competitors that have less debt and lower debt service requirements; •making Ashland more vulnerable to increases in interest rates if debt is refinanced; and •making it more difficult for Ashland to satisfy its financial obligations.</w:t>
      </w:r>
    </w:p>
    <w:p>
      <w:pPr>
        <w:ind w:right="120" w:firstLine="348"/>
        <w:spacing w:after="0" w:line="241" w:lineRule="auto"/>
        <w:rPr>
          <w:sz w:val="20"/>
          <w:szCs w:val="20"/>
          <w:color w:val="auto"/>
        </w:rPr>
      </w:pPr>
      <w:r>
        <w:rPr>
          <w:rFonts w:ascii="Times New Roman" w:cs="Times New Roman" w:eastAsia="Times New Roman" w:hAnsi="Times New Roman"/>
          <w:sz w:val="16"/>
          <w:szCs w:val="16"/>
          <w:color w:val="auto"/>
        </w:rPr>
        <w:t>In addition, Ashland may not be able to generate sufficient cash flow from its operations to repay its indebtedness when it becomes due and to meet its other cash needs. If Ashland is not able to pay its debts as they become due, it could be in default under its credit facility or other indebtedness. Ashland might also be required to pursue one or more alternative strategies to repay indebtedness, such as selling assets, refinancing or restructuring its indebtedness or selling additional debt or equity securities. Ashland may not be able to refinance its debt or sell additional debt or equity securities or its assets on favorable terms, if at all, and if Ashland must sell its assets, it may negatively affect its ability to generate sales.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Competition</w:t>
      </w:r>
    </w:p>
    <w:p>
      <w:pPr>
        <w:spacing w:after="0" w:line="9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b w:val="1"/>
          <w:bCs w:val="1"/>
          <w:color w:val="auto"/>
        </w:rPr>
        <w:t>Failure to develop and market new products and production technologies could impact Ashland’s competitive position and have an adverse effect on its sales, businesses, and results of operations.</w:t>
      </w:r>
    </w:p>
    <w:p>
      <w:pPr>
        <w:spacing w:after="0" w:line="56" w:lineRule="exact"/>
        <w:rPr>
          <w:sz w:val="20"/>
          <w:szCs w:val="20"/>
          <w:color w:val="auto"/>
        </w:rPr>
      </w:pPr>
    </w:p>
    <w:p>
      <w:pPr>
        <w:ind w:right="160" w:firstLine="348"/>
        <w:spacing w:after="0" w:line="238" w:lineRule="auto"/>
        <w:rPr>
          <w:sz w:val="20"/>
          <w:szCs w:val="20"/>
          <w:color w:val="auto"/>
        </w:rPr>
      </w:pPr>
      <w:r>
        <w:rPr>
          <w:rFonts w:ascii="Times New Roman" w:cs="Times New Roman" w:eastAsia="Times New Roman" w:hAnsi="Times New Roman"/>
          <w:sz w:val="16"/>
          <w:szCs w:val="16"/>
          <w:color w:val="auto"/>
        </w:rPr>
        <w:t>The specialty additives and materials industry is subject to periodic technological change and ongoing product improvements. In order to maintain margins and remain competitive, Ashland must successfully develop and introduce new products or improvements that appeal to its customers and ultimately to global consumers. Ashland plans to grow earnings, in part, by focusing on developing markets and solutions to meet increasing demand in those markets, including demand for personal care and pharmaceutical products which are subject to lengthy regulatory approval processes. The fast change in Ashland’s industry and those of its customers necessitates that Ashland continue the development of new technologies to replace older technologies whose demand or market position may be fading. Ashland’s efforts to respond to changes in customer demand in a timely and cost-efficient manner to drive growth could be adversely affected by difficulties or delays in product development, including the inability to identify viable new products, successfully complete research and development, obtain regulatory approvals, obtain intellectual property protection or gain market acceptance of new products. Due to the lengthy development process, technological challenges and intense competition, Ashland’s products may not achieve substantial commercial success.</w:t>
      </w:r>
    </w:p>
    <w:p>
      <w:pPr>
        <w:spacing w:after="0" w:line="74"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In all reportable segments and especially within Personal Care, there is an increasing awareness of and competition for innovations relating to more sustainable products with increasing attributes such as naturality and biodegradability, or materials sourced from bio-based raw materials. Ashland sees increasing pressure to innovate and provide solutions with these features to stay competitive and to differentiate the Company from competitors in key markets. Failure to innovate could result in a loss of business to competitors who offer similar or improved sustainable product portfolios.</w:t>
      </w:r>
    </w:p>
    <w:p>
      <w:pPr>
        <w:spacing w:after="0" w:line="6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b w:val="1"/>
          <w:bCs w:val="1"/>
          <w:color w:val="auto"/>
        </w:rPr>
        <w:t>The competitive nature of Ashland’s markets may delay or prevent Ashland from passing increases in raw materials or energy costs on to its customers. In addition, certain of Ashland’s suppliers may be unable to deliver products or raw materials or fulfill contractual requirements. The occurrence of either event could result in decreased sales, increased costs, and adverse impacts to the valuation of Ashland’s inventory.</w:t>
      </w:r>
    </w:p>
    <w:p>
      <w:pPr>
        <w:spacing w:after="0" w:line="68" w:lineRule="exact"/>
        <w:rPr>
          <w:sz w:val="20"/>
          <w:szCs w:val="20"/>
          <w:color w:val="auto"/>
        </w:rPr>
      </w:pPr>
    </w:p>
    <w:p>
      <w:pPr>
        <w:ind w:right="60" w:firstLine="348"/>
        <w:spacing w:after="0" w:line="243" w:lineRule="auto"/>
        <w:rPr>
          <w:sz w:val="20"/>
          <w:szCs w:val="20"/>
          <w:color w:val="auto"/>
        </w:rPr>
      </w:pPr>
      <w:r>
        <w:rPr>
          <w:rFonts w:ascii="Times New Roman" w:cs="Times New Roman" w:eastAsia="Times New Roman" w:hAnsi="Times New Roman"/>
          <w:sz w:val="16"/>
          <w:szCs w:val="16"/>
          <w:color w:val="auto"/>
        </w:rPr>
        <w:t>Rising and volatile raw material prices, especially those of hydrocarbon derivatives, cotton linters or wood pulp, may negatively impact Ashland’s costs, results of operations and the valuation of its inventory. Similarly, energy costs are a significant component of certain of Ashland’s product costs. Ashland is not always able to raise prices in response to such increased costs, and its ability to pass on the costs of such price increases is dependent upon market conditions. Likewise, reductions in the valuation of Ashland’s inventory due to market volatility may not be recovered and could result in losses.</w:t>
      </w:r>
    </w:p>
    <w:p>
      <w:pPr>
        <w:spacing w:after="0" w:line="71" w:lineRule="exact"/>
        <w:rPr>
          <w:sz w:val="20"/>
          <w:szCs w:val="20"/>
          <w:color w:val="auto"/>
        </w:rPr>
      </w:pPr>
    </w:p>
    <w:p>
      <w:pPr>
        <w:ind w:right="200" w:firstLine="348"/>
        <w:spacing w:after="0" w:line="243" w:lineRule="auto"/>
        <w:rPr>
          <w:sz w:val="20"/>
          <w:szCs w:val="20"/>
          <w:color w:val="auto"/>
        </w:rPr>
      </w:pPr>
      <w:r>
        <w:rPr>
          <w:rFonts w:ascii="Times New Roman" w:cs="Times New Roman" w:eastAsia="Times New Roman" w:hAnsi="Times New Roman"/>
          <w:sz w:val="16"/>
          <w:szCs w:val="16"/>
          <w:color w:val="auto"/>
        </w:rPr>
        <w:t>Ashland purchases certain products and raw materials from suppliers, often pursuant to written supply contracts. If those suppliers are unable to meet Ashland’s orders in a timely manner or choose to terminate or not fulfill contractual arrangements, Ashland may not be able to make alternative supply arrangements. Also, domestic and global government regulations related to the manufacture, transport or import of certain raw materials may impede Ashland’s ability to obtain those raw materials 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7" w:name="page18"/>
    <w:bookmarkEnd w:id="17"/>
    <w:p>
      <w:pPr>
        <w:ind w:right="140"/>
        <w:spacing w:after="0" w:line="299" w:lineRule="auto"/>
        <w:rPr>
          <w:sz w:val="20"/>
          <w:szCs w:val="20"/>
          <w:color w:val="auto"/>
        </w:rPr>
      </w:pPr>
      <w:r>
        <w:rPr>
          <w:rFonts w:ascii="Times New Roman" w:cs="Times New Roman" w:eastAsia="Times New Roman" w:hAnsi="Times New Roman"/>
          <w:sz w:val="14"/>
          <w:szCs w:val="14"/>
          <w:color w:val="auto"/>
        </w:rPr>
        <w:t>commercially reasonable terms. Certain Ashland businesses rely on agricultural output of clary sage, guar, and cotton linters, and the availability of these materials can be severely impacted by crop yields, weather events, and other factors. If Ashland is unable to obtain and retain qualified suppliers under commercially acceptable terms, its ability to manufacture and deliver products in a timely, competitive and profitable manner or grow its business successfully could be adversely affected.</w:t>
      </w:r>
    </w:p>
    <w:p>
      <w:pPr>
        <w:spacing w:after="0" w:line="117"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6"/>
          <w:szCs w:val="16"/>
          <w:b w:val="1"/>
          <w:bCs w:val="1"/>
          <w:color w:val="auto"/>
        </w:rPr>
        <w:t>Ashland operates in highly competitive markets which places downward pressure on prices and margins and may adversely affect Ashland’s reportable segments and results of operations.</w:t>
      </w:r>
    </w:p>
    <w:p>
      <w:pPr>
        <w:spacing w:after="0" w:line="56" w:lineRule="exact"/>
        <w:rPr>
          <w:sz w:val="20"/>
          <w:szCs w:val="20"/>
          <w:color w:val="auto"/>
        </w:rPr>
      </w:pPr>
    </w:p>
    <w:p>
      <w:pPr>
        <w:ind w:firstLine="348"/>
        <w:spacing w:after="0" w:line="237" w:lineRule="auto"/>
        <w:rPr>
          <w:sz w:val="20"/>
          <w:szCs w:val="20"/>
          <w:color w:val="auto"/>
        </w:rPr>
      </w:pPr>
      <w:r>
        <w:rPr>
          <w:rFonts w:ascii="Times New Roman" w:cs="Times New Roman" w:eastAsia="Times New Roman" w:hAnsi="Times New Roman"/>
          <w:sz w:val="16"/>
          <w:szCs w:val="16"/>
          <w:color w:val="auto"/>
        </w:rPr>
        <w:t>Ashland operates in highly competitive markets, competing against a number of domestic and foreign companies. Competition is based on several key criteria, including product performance and quality, product price, product availability and security of supply, responsiveness of product development in cooperation with customers and customer service, as well as the ability to bring innovative products or services to the marketplace. Certain key competitors are significantly larger than Ashland and have greater financial resources, leading to greater operating and financial flexibility. As a result, these competitors may be better able to withstand changes in conditions within the relevant industry, changes in the prices of raw materials and energy and changes in general economic conditions. In addition, competitors’ pricing decisions could compel Ashland to decrease its prices, which could negatively affect its margins and profitability. Additional competition in markets served by Ashland could adversely affect margins and profitability and could lead to a reduction in market share. Also, Ashland competes in certain markets that are declining and has targeted other markets for growth opportunities. Competitive and pricing pressures could also impact Ashland’s production volumes, which can in turn reduce cost efficiency. If Ashland’s strategies for dealing with declining markets and leveraging opportunity markets are not successful, its reportable segments and results of operations could be negatively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Human Capital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Ashland’s success depends upon its ability to attract and retain key employees and the identification and development of talent to succeed senior management.</w:t>
      </w:r>
    </w:p>
    <w:p>
      <w:pPr>
        <w:spacing w:after="0" w:line="117" w:lineRule="exact"/>
        <w:rPr>
          <w:sz w:val="20"/>
          <w:szCs w:val="20"/>
          <w:color w:val="auto"/>
        </w:rPr>
      </w:pPr>
    </w:p>
    <w:p>
      <w:pPr>
        <w:ind w:right="140" w:firstLine="348"/>
        <w:spacing w:after="0" w:line="241" w:lineRule="auto"/>
        <w:rPr>
          <w:sz w:val="20"/>
          <w:szCs w:val="20"/>
          <w:color w:val="auto"/>
        </w:rPr>
      </w:pPr>
      <w:r>
        <w:rPr>
          <w:rFonts w:ascii="Times New Roman" w:cs="Times New Roman" w:eastAsia="Times New Roman" w:hAnsi="Times New Roman"/>
          <w:sz w:val="16"/>
          <w:szCs w:val="16"/>
          <w:color w:val="auto"/>
        </w:rPr>
        <w:t>Ashland’s success depends on its ability to attract and retain key personnel. The inability to recruit, and develop key personnel or the unexpected loss, voluntarily or otherwise, of key personnel may adversely affect Ashland's operations. Ashland relies heavily on its senior management team as these executives are primarily responsible for determining the strategic direction of Ashland’s business and for executing its growth strategy. Therefore, Ashland’s future success depends, in part, on the continued service of its senior management team. The loss of any member of the senior management team could impact the Company’s execution of its growth strategy and also be viewed negatively by investors and analysts, which could cause the price of Ashland’s common stock to decline.</w:t>
      </w:r>
    </w:p>
    <w:p>
      <w:pPr>
        <w:spacing w:after="0" w:line="73" w:lineRule="exact"/>
        <w:rPr>
          <w:sz w:val="20"/>
          <w:szCs w:val="20"/>
          <w:color w:val="auto"/>
        </w:rPr>
      </w:pPr>
    </w:p>
    <w:p>
      <w:pPr>
        <w:ind w:right="200" w:firstLine="348"/>
        <w:spacing w:after="0" w:line="286" w:lineRule="auto"/>
        <w:rPr>
          <w:sz w:val="20"/>
          <w:szCs w:val="20"/>
          <w:color w:val="auto"/>
        </w:rPr>
      </w:pPr>
      <w:r>
        <w:rPr>
          <w:rFonts w:ascii="Times New Roman" w:cs="Times New Roman" w:eastAsia="Times New Roman" w:hAnsi="Times New Roman"/>
          <w:sz w:val="14"/>
          <w:szCs w:val="14"/>
          <w:color w:val="auto"/>
        </w:rPr>
        <w:t>Ashland’s success further depends on its ability to identify and develop talent to succeed its senior management team and other key positions throughout the organization. If Ashland fails to engage in effective succession planning, it may inhibit the effective transfer of knowledge, prevent smooth transitions involving these</w:t>
      </w:r>
    </w:p>
    <w:p>
      <w:pPr>
        <w:spacing w:after="0"/>
        <w:rPr>
          <w:sz w:val="20"/>
          <w:szCs w:val="20"/>
          <w:color w:val="auto"/>
        </w:rPr>
      </w:pPr>
      <w:r>
        <w:rPr>
          <w:rFonts w:ascii="Times New Roman" w:cs="Times New Roman" w:eastAsia="Times New Roman" w:hAnsi="Times New Roman"/>
          <w:sz w:val="16"/>
          <w:szCs w:val="16"/>
          <w:color w:val="auto"/>
        </w:rPr>
        <w:t>key employees, and negatively impact our strategic planning and long-term growth.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Information Technology, Cybersecurity and Intellectual Property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Ashland uses information technology ("IT") systems to conduct business and these IT systems are at risk of potential disruption and cybersecurity threats.</w:t>
      </w:r>
    </w:p>
    <w:p>
      <w:pPr>
        <w:spacing w:after="0" w:line="94" w:lineRule="exact"/>
        <w:rPr>
          <w:sz w:val="20"/>
          <w:szCs w:val="20"/>
          <w:color w:val="auto"/>
        </w:rPr>
      </w:pPr>
    </w:p>
    <w:p>
      <w:pPr>
        <w:ind w:right="40" w:firstLine="348"/>
        <w:spacing w:after="0" w:line="289" w:lineRule="auto"/>
        <w:rPr>
          <w:sz w:val="20"/>
          <w:szCs w:val="20"/>
          <w:color w:val="auto"/>
        </w:rPr>
      </w:pPr>
      <w:r>
        <w:rPr>
          <w:rFonts w:ascii="Times New Roman" w:cs="Times New Roman" w:eastAsia="Times New Roman" w:hAnsi="Times New Roman"/>
          <w:sz w:val="14"/>
          <w:szCs w:val="14"/>
          <w:color w:val="auto"/>
        </w:rPr>
        <w:t>Ashland’s businesses rely on IT systems to operate efficiently and in some cases, to operate at all. Ashland employs third parties to manage and maintain a significant portion of its IT systems, including, but not limited to data centers, IT infrastructure, network, client support and end user services, as well as the functions of backing up and securing those systems. A partial or complete failure of Ashland’s IT systems or those of our third parties managing, providing or servicing them for any amount of time more than several hours could result in significant business disruption causing harm to Ashland’s reputation, results of operations or financial condition.</w:t>
      </w:r>
    </w:p>
    <w:p>
      <w:pPr>
        <w:spacing w:after="0" w:line="41" w:lineRule="exact"/>
        <w:rPr>
          <w:sz w:val="20"/>
          <w:szCs w:val="20"/>
          <w:color w:val="auto"/>
        </w:rPr>
      </w:pPr>
    </w:p>
    <w:p>
      <w:pPr>
        <w:jc w:val="both"/>
        <w:ind w:right="620" w:firstLine="348"/>
        <w:spacing w:after="0" w:line="247" w:lineRule="auto"/>
        <w:rPr>
          <w:sz w:val="20"/>
          <w:szCs w:val="20"/>
          <w:color w:val="auto"/>
        </w:rPr>
      </w:pPr>
      <w:r>
        <w:rPr>
          <w:rFonts w:ascii="Times New Roman" w:cs="Times New Roman" w:eastAsia="Times New Roman" w:hAnsi="Times New Roman"/>
          <w:sz w:val="16"/>
          <w:szCs w:val="16"/>
          <w:color w:val="auto"/>
        </w:rPr>
        <w:t>The nature of our businesses, the markets we serve, and the extensive geographic profile of our operations make Ashland a target of cybersecurity threats. Cybersecurity threats in general are increasing and becoming more advanced and could occur as a result of the activity of hackers, employee error or employee misconduct. In addition, bad actors are becoming more</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8" w:name="page19"/>
    <w:bookmarkEnd w:id="18"/>
    <w:p>
      <w:pPr>
        <w:spacing w:after="0" w:line="238" w:lineRule="auto"/>
        <w:rPr>
          <w:sz w:val="20"/>
          <w:szCs w:val="20"/>
          <w:color w:val="auto"/>
        </w:rPr>
      </w:pPr>
      <w:r>
        <w:rPr>
          <w:rFonts w:ascii="Times New Roman" w:cs="Times New Roman" w:eastAsia="Times New Roman" w:hAnsi="Times New Roman"/>
          <w:sz w:val="16"/>
          <w:szCs w:val="16"/>
          <w:color w:val="auto"/>
        </w:rPr>
        <w:t>sophisticated in using various techniques and tools, including artificial intelligence, for malicious purposes. We have in the past experienced cybersecurity threats and other incidents, and we expect such incidents to continue in varying degrees. Ashland utilizes various cybersecurity controls and governance procedures to protect against such disruptions; however, these measures may not be sufficient for all eventualities. A failure in these controls and procedures may prevent us from detecting a failure or breach of our information systems and delay our ability to respond. Such failure of our controls and procedures and/or a breach of our IT systems could lead to the loss and destruction of trade secrets, confidential information, proprietary data, intellectual property, customer and supplier data, and employee personal information and we may be required by law to notify the impacted individuals and/or make other disclosures. These events could expose us to customer litigation, regulatory actions and costs related to the reporting and handling of such a failure or breach, all of which could disrupt our business operations and adversely affect Ashland’s relationships with business partners and harm our brands, reputation, and financial results.</w:t>
      </w:r>
    </w:p>
    <w:p>
      <w:pPr>
        <w:spacing w:after="0" w:line="7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b w:val="1"/>
          <w:bCs w:val="1"/>
          <w:color w:val="auto"/>
        </w:rPr>
        <w:t>Ashland may not be able to effectively protect or enforce its intellectual property rights. Any such failure could, in part, result in loss of valuable proprietary information, harm our competitive position and reputation, and expose us to added liabilities.</w:t>
      </w:r>
    </w:p>
    <w:p>
      <w:pPr>
        <w:spacing w:after="0" w:line="56" w:lineRule="exact"/>
        <w:rPr>
          <w:sz w:val="20"/>
          <w:szCs w:val="20"/>
          <w:color w:val="auto"/>
        </w:rPr>
      </w:pPr>
    </w:p>
    <w:p>
      <w:pPr>
        <w:ind w:right="80" w:firstLine="348"/>
        <w:spacing w:after="0" w:line="243" w:lineRule="auto"/>
        <w:rPr>
          <w:sz w:val="20"/>
          <w:szCs w:val="20"/>
          <w:color w:val="auto"/>
        </w:rPr>
      </w:pPr>
      <w:r>
        <w:rPr>
          <w:rFonts w:ascii="Times New Roman" w:cs="Times New Roman" w:eastAsia="Times New Roman" w:hAnsi="Times New Roman"/>
          <w:sz w:val="16"/>
          <w:szCs w:val="16"/>
          <w:color w:val="auto"/>
        </w:rPr>
        <w:t>Ashland relies on the patent, trademark, trade secret and copyright laws of the United States and other countries to protect its intellectual property rights. The laws of some countries may not protect Ashland’s intellectual property rights to the same extent as the laws of the United States. Failure of foreign countries to have laws to protect Ashland’s intellectual property rights or an inability to effectively enforce such rights in foreign countries could result in the loss of valuable proprietary information, which could have an adverse effect on Ashland’s business and results of operations.</w:t>
      </w:r>
    </w:p>
    <w:p>
      <w:pPr>
        <w:spacing w:after="0" w:line="71"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Even in circumstances where Ashland has a patent on certain technologies, such patents may not provide meaningful protection against competitors or against competing technologies. In addition, any patent applications submitted by Ashland may not result in an issued patent. Ashland’s intellectual property rights may be challenged, invalidated, circumvented or rendered unenforceable. Ashland could also face claims from third parties alleging that Ashland’s products or processes infringe on their proprietary rights. If Ashland is found liable for infringement, it could be responsible for significant damages, prohibited from using certain products or processes or required to modify certain products and processes. Any such infringement liability could adversely affect Ashland’s product and service offerings, profitability and results of operations.</w:t>
      </w:r>
    </w:p>
    <w:p>
      <w:pPr>
        <w:spacing w:after="0" w:line="77" w:lineRule="exact"/>
        <w:rPr>
          <w:sz w:val="20"/>
          <w:szCs w:val="20"/>
          <w:color w:val="auto"/>
        </w:rPr>
      </w:pPr>
    </w:p>
    <w:p>
      <w:pPr>
        <w:ind w:right="300" w:firstLine="348"/>
        <w:spacing w:after="0" w:line="289" w:lineRule="auto"/>
        <w:rPr>
          <w:sz w:val="20"/>
          <w:szCs w:val="20"/>
          <w:color w:val="auto"/>
        </w:rPr>
      </w:pPr>
      <w:r>
        <w:rPr>
          <w:rFonts w:ascii="Times New Roman" w:cs="Times New Roman" w:eastAsia="Times New Roman" w:hAnsi="Times New Roman"/>
          <w:sz w:val="14"/>
          <w:szCs w:val="14"/>
          <w:color w:val="auto"/>
        </w:rPr>
        <w:t>Ashland also has substantial intellectual property associated with its know-how and trade secrets that are not protected by patent or copyright laws. Ashland’s confidentiality and non-disclosure agreements with its employees and third parties may be breached or may not be effectively enforced. In addition, Ashland’s trade secrets and know-how may be improperly obtained by other means, such as a breach of Ashland’s information technologies security systems or direct theft. Any unauthorized disclosure of any of Ashland’s material know-how or trade secrets could adversely affect Ashland’s business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Legal and Regulatory Compliance and Litigation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Ashland’s business exposes it to potential product liability claims and recalls, which could adversely affect its financial condition, performance, and reputation.</w:t>
      </w:r>
    </w:p>
    <w:p>
      <w:pPr>
        <w:spacing w:after="0" w:line="117" w:lineRule="exact"/>
        <w:rPr>
          <w:sz w:val="20"/>
          <w:szCs w:val="20"/>
          <w:color w:val="auto"/>
        </w:rPr>
      </w:pPr>
    </w:p>
    <w:p>
      <w:pPr>
        <w:ind w:right="80" w:firstLine="348"/>
        <w:spacing w:after="0" w:line="238" w:lineRule="auto"/>
        <w:rPr>
          <w:sz w:val="20"/>
          <w:szCs w:val="20"/>
          <w:color w:val="auto"/>
        </w:rPr>
      </w:pPr>
      <w:r>
        <w:rPr>
          <w:rFonts w:ascii="Times New Roman" w:cs="Times New Roman" w:eastAsia="Times New Roman" w:hAnsi="Times New Roman"/>
          <w:sz w:val="16"/>
          <w:szCs w:val="16"/>
          <w:color w:val="auto"/>
        </w:rPr>
        <w:t>The development, manufacture and sale of specialty materials and other products by Ashland, including products produced for the food, beverage, personal care, pharmaceutical and nutritional supplement industries, involve an inherent risk of exposure to product liability claims, product recalls, product seizures and related adverse publicity. Ashland also produces products that are subject to rigorous specifications and quality standards, with an expectation from its customers around these strict requirements. A product liability claim, recall or judgment against Ashland, or a customer complaint on product specifications, could also result in substantial and unexpected expenditures, affect consumer or customer confidence in its products, and divert management’s attention from other responsibilities. Ashland’s product liability insurance may be inadequate to address such claims, recalls, or judgments. Additionally, Ashland may be unable to continue to maintain its existing insurance or obtain comparable insurance at a reasonable cost, if at all. A product recall or a partially or completely uninsured product liability judgment against Ashland could have a material adverse effect on its reputation, results of operations and financial condition.</w:t>
      </w:r>
    </w:p>
    <w:p>
      <w:pPr>
        <w:spacing w:after="0" w:line="75" w:lineRule="exact"/>
        <w:rPr>
          <w:sz w:val="20"/>
          <w:szCs w:val="20"/>
          <w:color w:val="auto"/>
        </w:rPr>
      </w:pPr>
    </w:p>
    <w:p>
      <w:pPr>
        <w:ind w:right="200"/>
        <w:spacing w:after="0" w:line="334" w:lineRule="auto"/>
        <w:rPr>
          <w:sz w:val="20"/>
          <w:szCs w:val="20"/>
          <w:color w:val="auto"/>
        </w:rPr>
      </w:pPr>
      <w:r>
        <w:rPr>
          <w:rFonts w:ascii="Times New Roman" w:cs="Times New Roman" w:eastAsia="Times New Roman" w:hAnsi="Times New Roman"/>
          <w:sz w:val="14"/>
          <w:szCs w:val="14"/>
          <w:b w:val="1"/>
          <w:bCs w:val="1"/>
          <w:color w:val="auto"/>
        </w:rPr>
        <w:t>Ashland has incurred, and will continue to incur, substantial costs related to environmental, health and safety, and hazardous substances compliance. These costs could adversely impact Ashland’s cash flow, and, to the extent they exceed Ashland’s established reserves for these liabilities, its results of operations.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9" w:name="page20"/>
    <w:bookmarkEnd w:id="19"/>
    <w:p>
      <w:pPr>
        <w:ind w:right="20" w:firstLine="348"/>
        <w:spacing w:after="0" w:line="247" w:lineRule="auto"/>
        <w:rPr>
          <w:sz w:val="20"/>
          <w:szCs w:val="20"/>
          <w:color w:val="auto"/>
        </w:rPr>
      </w:pPr>
      <w:r>
        <w:rPr>
          <w:rFonts w:ascii="Times New Roman" w:cs="Times New Roman" w:eastAsia="Times New Roman" w:hAnsi="Times New Roman"/>
          <w:sz w:val="16"/>
          <w:szCs w:val="16"/>
          <w:color w:val="auto"/>
        </w:rPr>
        <w:t>Ashland is subject to extensive federal, state, local and foreign laws, regulations, rules and ordinances relating to pollution, protection of the environment, human health and safety, and the generation, storage, handling, treatment, disposal and remediation of hazardous substances and waste materials. Ashland has incurred, and will continue to incur, significant costs and capital expenditures to comply with these laws and regulations.</w:t>
      </w:r>
    </w:p>
    <w:p>
      <w:pPr>
        <w:spacing w:after="0" w:line="68" w:lineRule="exact"/>
        <w:rPr>
          <w:sz w:val="20"/>
          <w:szCs w:val="20"/>
          <w:color w:val="auto"/>
        </w:rPr>
      </w:pPr>
    </w:p>
    <w:p>
      <w:pPr>
        <w:ind w:right="140" w:firstLine="348"/>
        <w:spacing w:after="0" w:line="239" w:lineRule="auto"/>
        <w:rPr>
          <w:sz w:val="20"/>
          <w:szCs w:val="20"/>
          <w:color w:val="auto"/>
        </w:rPr>
      </w:pPr>
      <w:r>
        <w:rPr>
          <w:rFonts w:ascii="Times New Roman" w:cs="Times New Roman" w:eastAsia="Times New Roman" w:hAnsi="Times New Roman"/>
          <w:sz w:val="16"/>
          <w:szCs w:val="16"/>
          <w:color w:val="auto"/>
        </w:rPr>
        <w:t>Environmental, health and safety regulations change over time, and such regulations and their enforcement have tended to become more stringent. Accordingly, changes in environmental, health and safety laws and regulations and the enforcement of such laws and regulations could interrupt Ashland’s operations, require modifications to its facilities or cause Ashland to incur significant liabilities, costs or losses that could adversely affect its profitability. Actual or alleged violations of environmental, health or safety laws and regulations could result in restrictions or prohibitions on plant operations as well as substantial damages, penalties, fines, civil or criminal sanctions and remediation costs. In addition, under some environmental laws, Ashland may be strictly liable and/or jointly and severally liable for environmental damages and penalties.</w:t>
      </w:r>
    </w:p>
    <w:p>
      <w:pPr>
        <w:spacing w:after="0" w:line="77" w:lineRule="exact"/>
        <w:rPr>
          <w:sz w:val="20"/>
          <w:szCs w:val="20"/>
          <w:color w:val="auto"/>
        </w:rPr>
      </w:pPr>
    </w:p>
    <w:p>
      <w:pPr>
        <w:ind w:right="80" w:firstLine="348"/>
        <w:spacing w:after="0" w:line="278" w:lineRule="auto"/>
        <w:rPr>
          <w:sz w:val="20"/>
          <w:szCs w:val="20"/>
          <w:color w:val="auto"/>
        </w:rPr>
      </w:pPr>
      <w:r>
        <w:rPr>
          <w:rFonts w:ascii="Times New Roman" w:cs="Times New Roman" w:eastAsia="Times New Roman" w:hAnsi="Times New Roman"/>
          <w:sz w:val="14"/>
          <w:szCs w:val="14"/>
          <w:color w:val="auto"/>
        </w:rPr>
        <w:t>Ashland is also subject to various federal, state, local and foreign environmental laws and regulations that require environmental assessment or remediation efforts (collectively, environmental remediation) at multiple locations. Ashland uses engineering studies, historical experience and other factors to identify and evaluate remediation alternatives and their related costs in determining the estimated reserves for environmental remediation. Environmental remediation reserves are subject to uncertainties that affect Ashland’s ability to estimate its share of the applicable costs. Such uncertainties involve the nature and extent of contamination at each site and the extent of required cleanup efforts under existing environmental regulations, with varying costs of alternate cleanup methods. There may also be situations in which certain environmental liabilities are not known to Ashland or are not probable and estimable. As a result, Ashland’s actual costs for environmental remediation could adversely affect Ashland’s cash flow and, to the extent costs exceed established reserves for those liabilities, its results of operations.</w:t>
      </w:r>
    </w:p>
    <w:p>
      <w:pPr>
        <w:spacing w:after="0" w:line="49"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6"/>
          <w:szCs w:val="16"/>
          <w:b w:val="1"/>
          <w:bCs w:val="1"/>
          <w:color w:val="auto"/>
        </w:rPr>
        <w:t>Ashland has financial exposure to liabilities from pending and threatened claims, including those alleging personal injury caused by exposure to asbestos, which could adversely impact Ashland’s results of operations and cash flow.</w:t>
      </w:r>
    </w:p>
    <w:p>
      <w:pPr>
        <w:spacing w:after="0" w:line="56" w:lineRule="exact"/>
        <w:rPr>
          <w:sz w:val="20"/>
          <w:szCs w:val="20"/>
          <w:color w:val="auto"/>
        </w:rPr>
      </w:pPr>
    </w:p>
    <w:p>
      <w:pPr>
        <w:ind w:firstLine="348"/>
        <w:spacing w:after="0" w:line="272" w:lineRule="auto"/>
        <w:rPr>
          <w:sz w:val="20"/>
          <w:szCs w:val="20"/>
          <w:color w:val="auto"/>
        </w:rPr>
      </w:pPr>
      <w:r>
        <w:rPr>
          <w:rFonts w:ascii="Times New Roman" w:cs="Times New Roman" w:eastAsia="Times New Roman" w:hAnsi="Times New Roman"/>
          <w:sz w:val="14"/>
          <w:szCs w:val="14"/>
          <w:color w:val="auto"/>
        </w:rPr>
        <w:t>There are various claims, lawsuits and administrative proceedings pending or threatened, including those alleging personal injury caused by exposure to asbestos, against Ashland and its current and former subsidiaries. Such actions are with respect to commercial matters, product liability, toxic tort liability and other matters that seek remedies or damages, some of which are for substantial amounts. While these actions are being contested, their outcome is not predictable. Ashland’s results could be adversely affected by financial exposure to these liabilities. Insurance maintained by Ashland to protect against claims for damages alleged by third parties is subject to coverage limitations, depending on the nature of the risk insured. This insurance may not be sufficient to cover all of Ashland’s liabilities to others. In addition, insurance related to these types of risks may not be available now or, if available, may not be available in the future at commercially reasonable rates. Ashland’s ability to recover from its insurers for asbestos liabilities could also have an adverse impact on its results of operations. 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As a part of the process to develop estimates of the Company’s future asbestos costs, a range of long-term cost models was developed. These models are based on national studies that predict the number of people likely to develop asbestos-related diseases and are heavily influenced by assumptions regarding long- term inflation rates for indemnity payments and legal defense costs, as well as other variables mentioned previously. Because of the inherent uncertainties in projecting future asbestos liabilities and establishing appropriate reserves, Ashland’s actual asbestos costs could adversely affect its results of operations and, to the extent they exceed its reserves, could adversely affect its results of operations.</w:t>
      </w:r>
    </w:p>
    <w:p>
      <w:pPr>
        <w:spacing w:after="0" w:line="200" w:lineRule="exact"/>
        <w:rPr>
          <w:sz w:val="20"/>
          <w:szCs w:val="20"/>
          <w:color w:val="auto"/>
        </w:rPr>
      </w:pPr>
    </w:p>
    <w:p>
      <w:pPr>
        <w:spacing w:after="0" w:line="221"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6"/>
          <w:szCs w:val="16"/>
          <w:b w:val="1"/>
          <w:bCs w:val="1"/>
          <w:color w:val="auto"/>
        </w:rPr>
        <w:t>The impact of changing laws or regulations or the manner of interpretation or enforcement of existing rules could adversely impact Ashland’s financial performance and restrict its ability to operate its business or execute its strategies.</w:t>
      </w:r>
    </w:p>
    <w:p>
      <w:pPr>
        <w:spacing w:after="0" w:line="56" w:lineRule="exact"/>
        <w:rPr>
          <w:sz w:val="20"/>
          <w:szCs w:val="20"/>
          <w:color w:val="auto"/>
        </w:rPr>
      </w:pPr>
    </w:p>
    <w:p>
      <w:pPr>
        <w:ind w:right="280" w:firstLine="348"/>
        <w:spacing w:after="0" w:line="259" w:lineRule="auto"/>
        <w:rPr>
          <w:sz w:val="20"/>
          <w:szCs w:val="20"/>
          <w:color w:val="auto"/>
        </w:rPr>
      </w:pPr>
      <w:r>
        <w:rPr>
          <w:rFonts w:ascii="Times New Roman" w:cs="Times New Roman" w:eastAsia="Times New Roman" w:hAnsi="Times New Roman"/>
          <w:sz w:val="16"/>
          <w:szCs w:val="16"/>
          <w:color w:val="auto"/>
        </w:rPr>
        <w:t>New laws or regulations, or changes in existing laws or regulations or the manner of their interpretation or enforcement, could increase Ashland’s cost of doing business and restrict its ability to operate its business or execute its strategies. This</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20" w:name="page21"/>
    <w:bookmarkEnd w:id="20"/>
    <w:p>
      <w:pPr>
        <w:spacing w:after="0" w:line="274" w:lineRule="auto"/>
        <w:rPr>
          <w:sz w:val="20"/>
          <w:szCs w:val="20"/>
          <w:color w:val="auto"/>
        </w:rPr>
      </w:pPr>
      <w:r>
        <w:rPr>
          <w:rFonts w:ascii="Times New Roman" w:cs="Times New Roman" w:eastAsia="Times New Roman" w:hAnsi="Times New Roman"/>
          <w:sz w:val="14"/>
          <w:szCs w:val="14"/>
          <w:color w:val="auto"/>
        </w:rPr>
        <w:t>includes, among other things, the possible taxation under U.S. law of certain income from foreign operations, the possible taxation under foreign laws of certain income Ashland reports in other jurisdictions, the Pillar Two initiative of the Organization for Economic Co-operation and Development which introduced a 15% global minimum tax applied on a country-by-country basis to Ashland in many jurisdictions which took effect on October 1, 2024, tariffs or quotas levied on Ashland products, raw materials or key components by certain countries, regulations related to the protection of private information of Ashland’s employees and customers, regulations issued by the U.S. Food and Drug Administration (and analogous non-U.S. agencies) affecting Ashland and its customers, compliance with the U.S. Foreign Corrupt Practices Act (and analogous non-U.S. laws) and the EU’s Registration, Authorization and Restriction of Chemicals ("REACH") regulation (and analogous non-EU initiatives), and potential operational impacts of the EU's General Data Protection Regulation ("GDPR") . Uncertainty associated with the passage of new laws, application of executive authority beyond the legislative process, as well as changes in and enforcement of existing laws, can limit Ashland’s ability to make and execute business plans effectively. In addition, compliance with laws and regulations is complicated by Ashland’s substantial and growing global footprint, which will require significant and additional resources to comprehend and ensure compliance with applicable laws in the more than one hundred countries where Ashland conducts business. Compliance with current and future regulations is further complicated by uncertainty around the reevaluation of international agreements by various countries, including the United States, and the resulting impact on regulatory regimes, customs regulations, tariffs, sanctions, and other transnational protocols.</w:t>
      </w:r>
    </w:p>
    <w:p>
      <w:pPr>
        <w:spacing w:after="0" w:line="235" w:lineRule="exact"/>
        <w:rPr>
          <w:sz w:val="20"/>
          <w:szCs w:val="20"/>
          <w:color w:val="auto"/>
        </w:rPr>
      </w:pPr>
    </w:p>
    <w:p>
      <w:pPr>
        <w:ind w:right="120" w:firstLine="348"/>
        <w:spacing w:after="0" w:line="247" w:lineRule="auto"/>
        <w:rPr>
          <w:sz w:val="20"/>
          <w:szCs w:val="20"/>
          <w:color w:val="auto"/>
        </w:rPr>
      </w:pPr>
      <w:r>
        <w:rPr>
          <w:rFonts w:ascii="Times New Roman" w:cs="Times New Roman" w:eastAsia="Times New Roman" w:hAnsi="Times New Roman"/>
          <w:sz w:val="16"/>
          <w:szCs w:val="16"/>
          <w:color w:val="auto"/>
        </w:rPr>
        <w:t>Evolving ESG regulations, including the EU’s Corporate Sustainability Reporting Directive ("CSRD"), Corporate Sustainability Due Diligence Directive (“CSDDD”) and European Union Deforestation Regulations ("EUDR") may also require significant resources and data management systems to continue to support the Company. These regulations have the potential to impact Ashland’s business and ability to manage materials effectively.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Taxation</w:t>
      </w:r>
    </w:p>
    <w:p>
      <w:pPr>
        <w:spacing w:after="0" w:line="94" w:lineRule="exact"/>
        <w:rPr>
          <w:sz w:val="20"/>
          <w:szCs w:val="20"/>
          <w:color w:val="auto"/>
        </w:rPr>
      </w:pPr>
    </w:p>
    <w:p>
      <w:pPr>
        <w:ind w:right="680"/>
        <w:spacing w:after="0" w:line="262" w:lineRule="auto"/>
        <w:rPr>
          <w:sz w:val="20"/>
          <w:szCs w:val="20"/>
          <w:color w:val="auto"/>
        </w:rPr>
      </w:pPr>
      <w:r>
        <w:rPr>
          <w:rFonts w:ascii="Times New Roman" w:cs="Times New Roman" w:eastAsia="Times New Roman" w:hAnsi="Times New Roman"/>
          <w:sz w:val="16"/>
          <w:szCs w:val="16"/>
          <w:b w:val="1"/>
          <w:bCs w:val="1"/>
          <w:color w:val="auto"/>
        </w:rPr>
        <w:t>Imposition of new taxes, disagreements with tax authorities or additional tax liabilities could adversely affect Ashland’s business, financial condition, reputation or results of operations.</w:t>
      </w:r>
    </w:p>
    <w:p>
      <w:pPr>
        <w:spacing w:after="0" w:line="56"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4"/>
          <w:szCs w:val="14"/>
          <w:color w:val="auto"/>
        </w:rPr>
        <w:t>Ashland’s products are made, manufactured, distributed or sold in more than 100 countries and territories. A significant portion of Ashland’s sales are generated outside the United States. As such, Ashland is subject to taxes in the United States as well as numerous foreign countries. Ashland’s future effective tax rates could be affected by changes in the mix of earnings in countries with differing tax rates, changes in the valuation of deferred tax assets and liabilities, changes in liabilities for uncertain tax positions, cost of repatriations or changes in tax laws, regulations, administrative practices or their interpretation. Moreover, because Ashland is subject to the regular examination of its income tax returns by various tax authorities, the economic and political pressure to increase tax revenues in these jurisdictions may make resolving tax disputes even more difficult, and the final resolution of tax audits and any related litigation may differ from our historical provisions and accruals resulting in an adverse impact on our business, financial condition, reputation or results of operations. The Tax Cuts and Jobs Act ("the Tax Act"), enacted in December 2017, made significant changes to US tax law; many other countries or organizations, including those where Ashland has significant operations, are actively considering or enacting changes to tax laws which could significantly impact our tax rate and cash flows. The increasingly complex global tax environment, including changes in how United States multinational corporations are taxed, could adversely affect Ashland’s business, financial condition or results of operations.</w:t>
      </w:r>
    </w:p>
    <w:p>
      <w:pPr>
        <w:spacing w:after="0" w:line="236" w:lineRule="exact"/>
        <w:rPr>
          <w:sz w:val="20"/>
          <w:szCs w:val="20"/>
          <w:color w:val="auto"/>
        </w:rPr>
      </w:pPr>
    </w:p>
    <w:p>
      <w:pPr>
        <w:ind w:right="220" w:firstLine="348"/>
        <w:spacing w:after="0" w:line="243" w:lineRule="auto"/>
        <w:rPr>
          <w:sz w:val="20"/>
          <w:szCs w:val="20"/>
          <w:color w:val="auto"/>
        </w:rPr>
      </w:pPr>
      <w:r>
        <w:rPr>
          <w:rFonts w:ascii="Times New Roman" w:cs="Times New Roman" w:eastAsia="Times New Roman" w:hAnsi="Times New Roman"/>
          <w:sz w:val="16"/>
          <w:szCs w:val="16"/>
          <w:color w:val="auto"/>
        </w:rPr>
        <w:t>Other than the one-time transition tax enacted by the Tax Act, Ashland will continue to be indefinitely reinvested in our foreign earnings. As such, Ashland has not accrued income taxes or foreign withholding taxes on undistributed earnings for most non-US subsidiaries because those earnings are intended to be indefinitely reinvested in the operations of those subsidiaries. If these earnings are needed for Ashland’s operations in the United States, the repatriation of such earnings could adversely affect its business, results of operations or financial condition.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21" w:name="page22"/>
    <w:bookmarkEnd w:id="21"/>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Risk Management and Strategy</w:t>
      </w:r>
    </w:p>
    <w:p>
      <w:pPr>
        <w:spacing w:after="0" w:line="94" w:lineRule="exact"/>
        <w:rPr>
          <w:sz w:val="20"/>
          <w:szCs w:val="20"/>
          <w:color w:val="auto"/>
        </w:rPr>
      </w:pPr>
    </w:p>
    <w:p>
      <w:pPr>
        <w:ind w:firstLine="348"/>
        <w:spacing w:after="0" w:line="239" w:lineRule="auto"/>
        <w:rPr>
          <w:sz w:val="20"/>
          <w:szCs w:val="20"/>
          <w:color w:val="auto"/>
        </w:rPr>
      </w:pPr>
      <w:r>
        <w:rPr>
          <w:rFonts w:ascii="Times New Roman" w:cs="Times New Roman" w:eastAsia="Times New Roman" w:hAnsi="Times New Roman"/>
          <w:sz w:val="16"/>
          <w:szCs w:val="16"/>
          <w:color w:val="auto"/>
        </w:rPr>
        <w:t>Ashland recognizes the importance of cybersecurity in safeguarding sensitive information and maintaining operational integrity. To that end, Ashland maintains an information security program as part of its overall Enterprise Risk Management ("ERM") program. The Company’s information security program includes an incident response plan, which has been reviewed by third-party consultants and aligns with the National Institute of Standards and Technology ("NIST") Cybersecurity Framework 2.0. The information security program, overseen by the Company’s Vice President of Information Technology and Chief Information Officer, is designed to provide a framework for assessing, identifying, managing, mitigating and responding to cybersecurity threats and incidents and to facilitate cross-functional coordination within Ashland.</w:t>
      </w:r>
    </w:p>
    <w:p>
      <w:pPr>
        <w:spacing w:after="0" w:line="77" w:lineRule="exact"/>
        <w:rPr>
          <w:sz w:val="20"/>
          <w:szCs w:val="20"/>
          <w:color w:val="auto"/>
        </w:rPr>
      </w:pPr>
    </w:p>
    <w:p>
      <w:pPr>
        <w:ind w:right="80" w:firstLine="348"/>
        <w:spacing w:after="0" w:line="241" w:lineRule="auto"/>
        <w:rPr>
          <w:sz w:val="20"/>
          <w:szCs w:val="20"/>
          <w:color w:val="auto"/>
        </w:rPr>
      </w:pPr>
      <w:r>
        <w:rPr>
          <w:rFonts w:ascii="Times New Roman" w:cs="Times New Roman" w:eastAsia="Times New Roman" w:hAnsi="Times New Roman"/>
          <w:sz w:val="16"/>
          <w:szCs w:val="16"/>
          <w:color w:val="auto"/>
        </w:rPr>
        <w:t>Ashland’s information security program also includes policies and processes that are designed to provide visibility and information about the identification, assessment, and management of critical risks and management’s risk mitigation strategies. This includes the use of a 24/7 Security Operations Center as well as an in-house, dedicated threat hunting team. Additional safeguards also include employee training and awareness programs around phishing, malware, and other cybersecurity risks. In addition, the Company conducts periodic testing of software, hardware, defensive capabilities, and other information security systems and regularly engages consultants and other expert third parties to assist the Company in the identification and assessment of risks.</w:t>
      </w:r>
    </w:p>
    <w:p>
      <w:pPr>
        <w:spacing w:after="0" w:line="73" w:lineRule="exact"/>
        <w:rPr>
          <w:sz w:val="20"/>
          <w:szCs w:val="20"/>
          <w:color w:val="auto"/>
        </w:rPr>
      </w:pPr>
    </w:p>
    <w:p>
      <w:pPr>
        <w:ind w:right="100" w:firstLine="348"/>
        <w:spacing w:after="0" w:line="247" w:lineRule="auto"/>
        <w:rPr>
          <w:sz w:val="20"/>
          <w:szCs w:val="20"/>
          <w:color w:val="auto"/>
        </w:rPr>
      </w:pPr>
      <w:r>
        <w:rPr>
          <w:rFonts w:ascii="Times New Roman" w:cs="Times New Roman" w:eastAsia="Times New Roman" w:hAnsi="Times New Roman"/>
          <w:sz w:val="16"/>
          <w:szCs w:val="16"/>
          <w:color w:val="auto"/>
        </w:rPr>
        <w:t>Ashland maintains a similar risk-based approach to its third -party vendor management program including identifying and overseeing cybersecurity risks that such third parties may present. As part of this program, the Company, imposes additional scrutiny for vendors that may handle personally identifiable information data or trade secrets.</w:t>
      </w:r>
    </w:p>
    <w:p>
      <w:pPr>
        <w:spacing w:after="0" w:line="68"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As of the date of this Annual Report on Form 10-K, the Company is not aware of any cybersecurity incidents that have materially affected or are reasonably likely to materially affect its business, results of operations or financial condition. However, despite the Company’s best efforts, it cannot eliminate all risks from cybersecurity threats or provide assurances that undetected cybersecurity incidents have not occurred. See the “Risk Factors” in Item 1A of this Annual Report on Form 10-K for further information.</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Governance</w:t>
      </w:r>
    </w:p>
    <w:p>
      <w:pPr>
        <w:spacing w:after="0" w:line="94" w:lineRule="exact"/>
        <w:rPr>
          <w:sz w:val="20"/>
          <w:szCs w:val="20"/>
          <w:color w:val="auto"/>
        </w:rPr>
      </w:pPr>
    </w:p>
    <w:p>
      <w:pPr>
        <w:ind w:right="240" w:firstLine="348"/>
        <w:spacing w:after="0" w:line="243" w:lineRule="auto"/>
        <w:rPr>
          <w:sz w:val="20"/>
          <w:szCs w:val="20"/>
          <w:color w:val="auto"/>
        </w:rPr>
      </w:pPr>
      <w:r>
        <w:rPr>
          <w:rFonts w:ascii="Times New Roman" w:cs="Times New Roman" w:eastAsia="Times New Roman" w:hAnsi="Times New Roman"/>
          <w:sz w:val="16"/>
          <w:szCs w:val="16"/>
          <w:color w:val="auto"/>
        </w:rPr>
        <w:t>Ashland’s information security program is led by the Company’s Cyber Security Director who has more than 25 years of experience in information technology and 5 years of experience serving in a deputy chief information security officer role or top executive leader in cyber. Our Cyber Security Director is primarily responsible for integrating cybersecurity risk considerations into the Company’s overall risk management strategy. In addition, other members of the Company’s information security team also have significant experience in information security.</w:t>
      </w:r>
    </w:p>
    <w:p>
      <w:pPr>
        <w:spacing w:after="0" w:line="71" w:lineRule="exact"/>
        <w:rPr>
          <w:sz w:val="20"/>
          <w:szCs w:val="20"/>
          <w:color w:val="auto"/>
        </w:rPr>
      </w:pPr>
    </w:p>
    <w:p>
      <w:pPr>
        <w:ind w:right="40" w:firstLine="348"/>
        <w:spacing w:after="0" w:line="289" w:lineRule="auto"/>
        <w:rPr>
          <w:sz w:val="20"/>
          <w:szCs w:val="20"/>
          <w:color w:val="auto"/>
        </w:rPr>
      </w:pPr>
      <w:r>
        <w:rPr>
          <w:rFonts w:ascii="Times New Roman" w:cs="Times New Roman" w:eastAsia="Times New Roman" w:hAnsi="Times New Roman"/>
          <w:sz w:val="14"/>
          <w:szCs w:val="14"/>
          <w:color w:val="auto"/>
        </w:rPr>
        <w:t>As noted above, management of Ashland’s cybersecurity risks is part of the Company’s overall ERM program, which is overseen by the Board. The Board’s Audit Committee has primary responsibility for the oversight of the Company’s information and cybersecurity risks and the programs established to manage such risks. The Audit Committee fulfills this oversight responsibility through receiving regular (and as needed) reports and updates from the Company’s Cyber Security Director and Ashland’s Board also receives periodic reports updates from the Cyber Security Director and the Audit Committee regarding information and cybersecurity matters.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94" w:lineRule="exact"/>
        <w:rPr>
          <w:sz w:val="20"/>
          <w:szCs w:val="20"/>
          <w:color w:val="auto"/>
        </w:rPr>
      </w:pPr>
    </w:p>
    <w:p>
      <w:pPr>
        <w:ind w:right="80" w:firstLine="348"/>
        <w:spacing w:after="0" w:line="239" w:lineRule="auto"/>
        <w:rPr>
          <w:sz w:val="20"/>
          <w:szCs w:val="20"/>
          <w:color w:val="auto"/>
        </w:rPr>
      </w:pPr>
      <w:r>
        <w:rPr>
          <w:rFonts w:ascii="Times New Roman" w:cs="Times New Roman" w:eastAsia="Times New Roman" w:hAnsi="Times New Roman"/>
          <w:sz w:val="16"/>
          <w:szCs w:val="16"/>
          <w:color w:val="auto"/>
        </w:rPr>
        <w:t>Ashland’s corporate headquarters is located in Wilmington, Delaware. Principal offices of other major operations are located in Wilmington, Delaware (Life Sciences, Specialty Additives, Intermediates and Corporate); and Bridgewater, New Jersey (Personal Care and Corporate) within the United States and Hyderabad, India; Warsaw, Poland; and Schaffhausen, Switzerland (each of which are shared service centers of Ashland’s and house corporate and direct business segment personnel). All of these locations are leased, except for the Wilmington, Delaware site which is owned. Principal manufacturing, marketing and other materially important physical properties of Ashland and its subsidiaries are described within the applicable business units under “Item 1” in this Annual Report on Form 10-K. All of Ashland’s physical properties are owned or leased. Ashland believes its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ind w:right="240"/>
        <w:spacing w:after="0" w:line="259" w:lineRule="auto"/>
        <w:rPr>
          <w:sz w:val="20"/>
          <w:szCs w:val="20"/>
          <w:color w:val="auto"/>
        </w:rPr>
      </w:pPr>
      <w:r>
        <w:rPr>
          <w:rFonts w:ascii="Times New Roman" w:cs="Times New Roman" w:eastAsia="Times New Roman" w:hAnsi="Times New Roman"/>
          <w:sz w:val="16"/>
          <w:szCs w:val="16"/>
          <w:color w:val="auto"/>
        </w:rPr>
        <w:t>physical properties are suitable and adequate for the Company’s business. Additional information concerning leases may be found in Note J of Notes to Consolidated Financial Statements in this Annual Report on Form 10-K.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4" w:lineRule="exact"/>
        <w:rPr>
          <w:sz w:val="20"/>
          <w:szCs w:val="20"/>
          <w:color w:val="auto"/>
        </w:rPr>
      </w:pPr>
    </w:p>
    <w:p>
      <w:pPr>
        <w:ind w:right="240" w:firstLine="348"/>
        <w:spacing w:after="0" w:line="259" w:lineRule="auto"/>
        <w:rPr>
          <w:sz w:val="20"/>
          <w:szCs w:val="20"/>
          <w:color w:val="auto"/>
        </w:rPr>
      </w:pPr>
      <w:r>
        <w:rPr>
          <w:rFonts w:ascii="Times New Roman" w:cs="Times New Roman" w:eastAsia="Times New Roman" w:hAnsi="Times New Roman"/>
          <w:sz w:val="16"/>
          <w:szCs w:val="16"/>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Asbestos-Related Litigation</w:t>
      </w:r>
    </w:p>
    <w:p>
      <w:pPr>
        <w:spacing w:after="0" w:line="96" w:lineRule="exact"/>
        <w:rPr>
          <w:sz w:val="20"/>
          <w:szCs w:val="20"/>
          <w:color w:val="auto"/>
        </w:rPr>
      </w:pPr>
    </w:p>
    <w:p>
      <w:pPr>
        <w:jc w:val="both"/>
        <w:ind w:right="80" w:firstLine="348"/>
        <w:spacing w:after="0" w:line="247" w:lineRule="auto"/>
        <w:rPr>
          <w:sz w:val="20"/>
          <w:szCs w:val="20"/>
          <w:color w:val="auto"/>
        </w:rPr>
      </w:pPr>
      <w:r>
        <w:rPr>
          <w:rFonts w:ascii="Times New Roman" w:cs="Times New Roman" w:eastAsia="Times New Roman" w:hAnsi="Times New Roman"/>
          <w:sz w:val="16"/>
          <w:szCs w:val="16"/>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 containing components provided by other companies.</w:t>
      </w:r>
    </w:p>
    <w:p>
      <w:pPr>
        <w:spacing w:after="0" w:line="68"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Hercules LLC ("Hercules") (formerly Hercules Incorporated), an indirect wholly-owned subsidiary of Ashland, is also subject to liabilities from asbestos -related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Ashland and Hercules are also defendants in lawsuits alleging exposure to asbestos at facilities formerly or presently owned or operated by Ashland or Hercules.</w:t>
      </w:r>
    </w:p>
    <w:p>
      <w:pPr>
        <w:spacing w:after="0" w:line="115"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For additional detailed information regarding liabilities arising from asbestos-related litigation, see “Management’s Discussion and Analysis - Critical Accounting Policies - Asbestos Litigation” and Note M of Notes to Consolidated Financial Statements in this Annual Report on Form 10-K.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Proceedings</w:t>
      </w:r>
    </w:p>
    <w:p>
      <w:pPr>
        <w:spacing w:after="0" w:line="94" w:lineRule="exact"/>
        <w:rPr>
          <w:sz w:val="20"/>
          <w:szCs w:val="20"/>
          <w:color w:val="auto"/>
        </w:rPr>
      </w:pPr>
    </w:p>
    <w:p>
      <w:pPr>
        <w:ind w:firstLine="354"/>
        <w:spacing w:after="0" w:line="238" w:lineRule="auto"/>
        <w:tabs>
          <w:tab w:leader="none" w:pos="5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CERCLA and Similar State Law Sites </w:t>
      </w:r>
      <w:r>
        <w:rPr>
          <w:rFonts w:ascii="Times New Roman" w:cs="Times New Roman" w:eastAsia="Times New Roman" w:hAnsi="Times New Roman"/>
          <w:sz w:val="16"/>
          <w:szCs w:val="16"/>
          <w:color w:val="auto"/>
        </w:rPr>
        <w:t>- Under the Comprehensive Environmental Response, Compensation and Liability Act of 1980 ("CERCLA") and similar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 laws, Ashland and its subsidiaries may be subject to joint and several liability for cleanup costs in connection with alleged releases of hazardous substances at sites where it has been identified as a “potentially responsible party” ("PRP"). As of September 30, 2025, Ashland and its subsidiaries have been identified as a PRP by U.S. federal and state authorities, or by private parties seeking contribution, for the cost of environmental investigation and/or cleanup at 53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sediment, soil and/or groundwater, reimbursement for past costs of site cleanup and administrative oversight and/or long-term monitoring of environmental conditions at the sites. The ultimate costs are not predictable with assurance.</w:t>
      </w:r>
    </w:p>
    <w:p>
      <w:pPr>
        <w:spacing w:after="0" w:line="76" w:lineRule="exact"/>
        <w:rPr>
          <w:rFonts w:ascii="Times New Roman" w:cs="Times New Roman" w:eastAsia="Times New Roman" w:hAnsi="Times New Roman"/>
          <w:sz w:val="16"/>
          <w:szCs w:val="16"/>
          <w:color w:val="auto"/>
        </w:rPr>
      </w:pPr>
    </w:p>
    <w:p>
      <w:pPr>
        <w:ind w:right="40" w:firstLine="393"/>
        <w:spacing w:after="0" w:line="237" w:lineRule="auto"/>
        <w:tabs>
          <w:tab w:leader="none" w:pos="612"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Lower Passaic River, New Jersey Matters </w:t>
      </w:r>
      <w:r>
        <w:rPr>
          <w:rFonts w:ascii="Times New Roman" w:cs="Times New Roman" w:eastAsia="Times New Roman" w:hAnsi="Times New Roman"/>
          <w:sz w:val="16"/>
          <w:szCs w:val="16"/>
          <w:color w:val="auto"/>
        </w:rPr>
        <w:t>- Ashland, through two formerly owned facilities, and International Specialty Products ("ISP"), through a now-closed facility, were identified as PRPs, along with approximately 70 other companies (the "Cooperating Parties Group" or the "CPG"), in a May 2007 Administrative Order of Consent ("AOOC") with the USEPA. The parties were required to perform a remedial investigation and feasibility study ("RI/FS") of the entire 17 miles of the Passaic River. In June 2007, the USEPA separately commenced a Focused Feasibility Study ("FFS") as an interim measure of the lower 8 miles of the river. In accordance with the 2007 AOOC, in June 2012 the CPG voluntarily entered into another AOOC for an interim removal action focused solely at mile 10.9 of the Passaic River. The allocations for the 2007 AOOC and the 2012 removal action were based on interim allocations, are immaterial and have been accrued. In April 2014, the USEPA released the FFS for a cleanup of the lower 8 miles. The CPG submitted the Draft RI/FS Report on April 30, 2015. In March 2016, the USEPA released the FFS Record of Decision for the lower 8 miles and reached an agreement with another chemical company, Occidental Chemical Corporation ("OCC") to conduct and pay for the remedial design in September 2016, which design work was completed in Spring 2024. In March 2023, USEPA issued a unilateral order with OCC to conduct and pay for the remedial design for a remedy in the upper 9 miles of the river. In June 2018, OCC sued Ashland, ISP and numerous other defendants in the United States District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23" w:name="page24"/>
    <w:bookmarkEnd w:id="23"/>
    <w:p>
      <w:pPr>
        <w:ind w:right="100"/>
        <w:spacing w:after="0" w:line="243" w:lineRule="auto"/>
        <w:rPr>
          <w:sz w:val="20"/>
          <w:szCs w:val="20"/>
          <w:color w:val="auto"/>
        </w:rPr>
      </w:pPr>
      <w:r>
        <w:rPr>
          <w:rFonts w:ascii="Times New Roman" w:cs="Times New Roman" w:eastAsia="Times New Roman" w:hAnsi="Times New Roman"/>
          <w:sz w:val="16"/>
          <w:szCs w:val="16"/>
          <w:color w:val="auto"/>
        </w:rPr>
        <w:t>Court for the District of New Jersey to recover past and future costs of the lower 8 miles pursuant to CERCLA, and filed a later suit in March 2023 for past and future costs of the upper 9 miles of the river. Between 2017 and 2020, Ashland and ISP participated in an USEPA allocation process that resulted in a partial settlement with the USEPA. The settlement was lodged with the New Jersey District Court on December 16, 2022, and is currently pending court approval amidst opposition from OCC and others. The 2018 and 2023 OCC litigations have been stayed pending the outcome of the settlement.</w:t>
      </w:r>
    </w:p>
    <w:p>
      <w:pPr>
        <w:spacing w:after="0" w:line="71" w:lineRule="exact"/>
        <w:rPr>
          <w:sz w:val="20"/>
          <w:szCs w:val="20"/>
          <w:color w:val="auto"/>
        </w:rPr>
      </w:pPr>
    </w:p>
    <w:p>
      <w:pPr>
        <w:ind w:right="300" w:firstLine="348"/>
        <w:spacing w:after="0" w:line="259" w:lineRule="auto"/>
        <w:rPr>
          <w:sz w:val="20"/>
          <w:szCs w:val="20"/>
          <w:color w:val="auto"/>
        </w:rPr>
      </w:pPr>
      <w:r>
        <w:rPr>
          <w:rFonts w:ascii="Times New Roman" w:cs="Times New Roman" w:eastAsia="Times New Roman" w:hAnsi="Times New Roman"/>
          <w:sz w:val="16"/>
          <w:szCs w:val="16"/>
          <w:color w:val="auto"/>
        </w:rPr>
        <w:t>For additional information regarding environmental matters and reserves, see Note M of Notes to Consolidated Financial Statements in this Annual Report on Form 10-K.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Pending Legal Proceedings</w:t>
      </w:r>
    </w:p>
    <w:p>
      <w:pPr>
        <w:spacing w:after="0" w:line="96"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employment matters and other environmental matters which seek remedies or damages, some of which are for substantial amounts. While Ashland cannot predict with certainty the outcome of such actions, it believes that adequate reserves have been recorded as of September 30, 2025. There is a reasonable possibility that a loss exceeding amounts already recognized may be incurred related to these actions; however, Ashland believes that such potential losses would not be material as of September 30,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09" w:right="72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92"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Information</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Ashland’s Common Stock is listed on the NYSE (ticker symbol “ASH”) and has trading privileges on Nasdaq.</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Holders</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At October 31, 2025, there were approximately 7,654 holders of record of Ashland’s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96"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While we currently expect that quarterly cash dividends comparable to past dividends will continue to be paid in the future, such payments are at the discretion of our Board of Directors and will depend upon many factors, including our results of operations and liquidity position.</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There were no sales of unregistered securities required to be reported under Item 5 in this Annual Report on Form 10-K.</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FIVE-YEAR TOTAL RETURN PERFORMANCE GRAPH</w:t>
      </w:r>
    </w:p>
    <w:p>
      <w:pPr>
        <w:spacing w:after="0" w:line="107" w:lineRule="exact"/>
        <w:rPr>
          <w:sz w:val="20"/>
          <w:szCs w:val="20"/>
          <w:color w:val="auto"/>
        </w:rPr>
      </w:pPr>
    </w:p>
    <w:p>
      <w:pPr>
        <w:ind w:right="260" w:firstLine="348"/>
        <w:spacing w:after="0" w:line="243" w:lineRule="auto"/>
        <w:rPr>
          <w:sz w:val="20"/>
          <w:szCs w:val="20"/>
          <w:color w:val="auto"/>
        </w:rPr>
      </w:pPr>
      <w:r>
        <w:rPr>
          <w:rFonts w:ascii="Times New Roman" w:cs="Times New Roman" w:eastAsia="Times New Roman" w:hAnsi="Times New Roman"/>
          <w:sz w:val="16"/>
          <w:szCs w:val="16"/>
          <w:color w:val="auto"/>
        </w:rPr>
        <w:t>The following graph compares Ashland’s five-year cumulative total shareholder return with the cumulative total return of the S&amp;P MidCap 400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index and one peer group of companies. Ashland is listed in the S&amp;P MidCap 400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index. The cumulative total shareholder return assumes the reinvestment of dividends.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COMPARISON OF FIVE-YEAR CUMULATIVE TOTAL RETURN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ASHLAND, S&amp;P MIDCAP 400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b w:val="1"/>
          <w:bCs w:val="1"/>
          <w:color w:val="auto"/>
        </w:rPr>
        <w:t xml:space="preserve">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-29210</wp:posOffset>
            </wp:positionV>
            <wp:extent cx="4451350" cy="2355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51350" cy="235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120" w:type="dxa"/>
            <w:vAlign w:val="bottom"/>
            <w:tcBorders>
              <w:top w:val="single" w:sz="8" w:color="auto"/>
              <w:bottom w:val="single" w:sz="8" w:color="auto"/>
            </w:tcBorders>
          </w:tcPr>
          <w:p>
            <w:pPr>
              <w:spacing w:after="0"/>
              <w:rPr>
                <w:sz w:val="20"/>
                <w:szCs w:val="20"/>
                <w:color w:val="auto"/>
              </w:rPr>
            </w:pPr>
          </w:p>
        </w:tc>
        <w:tc>
          <w:tcPr>
            <w:tcW w:w="2280" w:type="dxa"/>
            <w:vAlign w:val="bottom"/>
            <w:tcBorders>
              <w:top w:val="single" w:sz="8" w:color="auto"/>
              <w:bottom w:val="single" w:sz="8" w:color="auto"/>
            </w:tcBorders>
          </w:tcPr>
          <w:p>
            <w:pPr>
              <w:jc w:val="center"/>
              <w:ind w:left="1122"/>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80"/>
        </w:trPr>
        <w:tc>
          <w:tcPr>
            <w:tcW w:w="20" w:type="dxa"/>
            <w:vAlign w:val="bottom"/>
          </w:tcPr>
          <w:p>
            <w:pPr>
              <w:spacing w:after="0"/>
              <w:rPr>
                <w:sz w:val="15"/>
                <w:szCs w:val="15"/>
                <w:color w:val="auto"/>
              </w:rPr>
            </w:pPr>
          </w:p>
        </w:tc>
        <w:tc>
          <w:tcPr>
            <w:tcW w:w="3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Ashland</w:t>
            </w:r>
          </w:p>
        </w:tc>
        <w:tc>
          <w:tcPr>
            <w:tcW w:w="2280" w:type="dxa"/>
            <w:vAlign w:val="bottom"/>
            <w:shd w:val="clear" w:color="auto" w:fill="CFF0FC"/>
          </w:tcPr>
          <w:p>
            <w:pPr>
              <w:jc w:val="center"/>
              <w:ind w:left="1122"/>
              <w:spacing w:after="0" w:line="180" w:lineRule="exact"/>
              <w:rPr>
                <w:sz w:val="20"/>
                <w:szCs w:val="20"/>
                <w:color w:val="auto"/>
              </w:rPr>
            </w:pPr>
            <w:r>
              <w:rPr>
                <w:rFonts w:ascii="Times New Roman" w:cs="Times New Roman" w:eastAsia="Times New Roman" w:hAnsi="Times New Roman"/>
                <w:sz w:val="16"/>
                <w:szCs w:val="16"/>
                <w:color w:val="auto"/>
                <w:w w:val="99"/>
              </w:rPr>
              <w:t>100</w:t>
            </w:r>
          </w:p>
        </w:tc>
        <w:tc>
          <w:tcPr>
            <w:tcW w:w="1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127</w:t>
            </w:r>
          </w:p>
        </w:tc>
        <w:tc>
          <w:tcPr>
            <w:tcW w:w="1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1"/>
              </w:rPr>
              <w:t>137</w:t>
            </w:r>
          </w:p>
        </w:tc>
        <w:tc>
          <w:tcPr>
            <w:tcW w:w="1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120</w:t>
            </w:r>
          </w:p>
        </w:tc>
        <w:tc>
          <w:tcPr>
            <w:tcW w:w="1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130</w:t>
            </w:r>
          </w:p>
        </w:tc>
        <w:tc>
          <w:tcPr>
            <w:tcW w:w="9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74</w:t>
            </w:r>
          </w:p>
        </w:tc>
      </w:tr>
      <w:tr>
        <w:trPr>
          <w:trHeight w:val="180"/>
        </w:trPr>
        <w:tc>
          <w:tcPr>
            <w:tcW w:w="20" w:type="dxa"/>
            <w:vAlign w:val="bottom"/>
          </w:tcPr>
          <w:p>
            <w:pPr>
              <w:spacing w:after="0"/>
              <w:rPr>
                <w:sz w:val="15"/>
                <w:szCs w:val="15"/>
                <w:color w:val="auto"/>
              </w:rPr>
            </w:pPr>
          </w:p>
        </w:tc>
        <w:tc>
          <w:tcPr>
            <w:tcW w:w="3120" w:type="dxa"/>
            <w:vAlign w:val="bottom"/>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S&amp;P MidCap 400</w:t>
            </w:r>
            <w:r>
              <w:rPr>
                <w:rFonts w:ascii="Times New Roman" w:cs="Times New Roman" w:eastAsia="Times New Roman" w:hAnsi="Times New Roman"/>
                <w:sz w:val="20"/>
                <w:szCs w:val="20"/>
                <w:b w:val="1"/>
                <w:bCs w:val="1"/>
                <w:color w:val="auto"/>
                <w:vertAlign w:val="superscript"/>
              </w:rPr>
              <w:t>†</w:t>
            </w:r>
          </w:p>
        </w:tc>
        <w:tc>
          <w:tcPr>
            <w:tcW w:w="2280" w:type="dxa"/>
            <w:vAlign w:val="bottom"/>
          </w:tcPr>
          <w:p>
            <w:pPr>
              <w:jc w:val="center"/>
              <w:ind w:left="1122"/>
              <w:spacing w:after="0" w:line="180" w:lineRule="exact"/>
              <w:rPr>
                <w:sz w:val="20"/>
                <w:szCs w:val="20"/>
                <w:color w:val="auto"/>
              </w:rPr>
            </w:pPr>
            <w:r>
              <w:rPr>
                <w:rFonts w:ascii="Times New Roman" w:cs="Times New Roman" w:eastAsia="Times New Roman" w:hAnsi="Times New Roman"/>
                <w:sz w:val="16"/>
                <w:szCs w:val="16"/>
                <w:color w:val="auto"/>
                <w:w w:val="99"/>
              </w:rPr>
              <w:t>100</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144</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1"/>
              </w:rPr>
              <w:t>122</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141</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179</w:t>
            </w: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1"/>
              </w:rPr>
              <w:t>190</w:t>
            </w:r>
          </w:p>
        </w:tc>
      </w:tr>
      <w:tr>
        <w:trPr>
          <w:trHeight w:val="180"/>
        </w:trPr>
        <w:tc>
          <w:tcPr>
            <w:tcW w:w="20" w:type="dxa"/>
            <w:vAlign w:val="bottom"/>
          </w:tcPr>
          <w:p>
            <w:pPr>
              <w:spacing w:after="0"/>
              <w:rPr>
                <w:sz w:val="15"/>
                <w:szCs w:val="15"/>
                <w:color w:val="auto"/>
              </w:rPr>
            </w:pPr>
          </w:p>
        </w:tc>
        <w:tc>
          <w:tcPr>
            <w:tcW w:w="3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Peer Group - Materials</w:t>
            </w:r>
          </w:p>
        </w:tc>
        <w:tc>
          <w:tcPr>
            <w:tcW w:w="2280" w:type="dxa"/>
            <w:vAlign w:val="bottom"/>
            <w:shd w:val="clear" w:color="auto" w:fill="CFF0FC"/>
          </w:tcPr>
          <w:p>
            <w:pPr>
              <w:jc w:val="center"/>
              <w:ind w:left="1122"/>
              <w:spacing w:after="0" w:line="180" w:lineRule="exact"/>
              <w:rPr>
                <w:sz w:val="20"/>
                <w:szCs w:val="20"/>
                <w:color w:val="auto"/>
              </w:rPr>
            </w:pPr>
            <w:r>
              <w:rPr>
                <w:rFonts w:ascii="Times New Roman" w:cs="Times New Roman" w:eastAsia="Times New Roman" w:hAnsi="Times New Roman"/>
                <w:sz w:val="16"/>
                <w:szCs w:val="16"/>
                <w:color w:val="auto"/>
                <w:w w:val="99"/>
              </w:rPr>
              <w:t>100</w:t>
            </w:r>
          </w:p>
        </w:tc>
        <w:tc>
          <w:tcPr>
            <w:tcW w:w="1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128</w:t>
            </w:r>
          </w:p>
        </w:tc>
        <w:tc>
          <w:tcPr>
            <w:tcW w:w="1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1"/>
              </w:rPr>
              <w:t>114</w:t>
            </w:r>
          </w:p>
        </w:tc>
        <w:tc>
          <w:tcPr>
            <w:tcW w:w="1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135</w:t>
            </w:r>
          </w:p>
        </w:tc>
        <w:tc>
          <w:tcPr>
            <w:tcW w:w="10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168</w:t>
            </w:r>
          </w:p>
        </w:tc>
        <w:tc>
          <w:tcPr>
            <w:tcW w:w="9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1"/>
              </w:rPr>
              <w:t>162</w:t>
            </w:r>
          </w:p>
        </w:tc>
      </w:tr>
    </w:tbl>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peer group consists of the following industry indices:</w:t>
      </w:r>
    </w:p>
    <w:p>
      <w:pPr>
        <w:spacing w:after="0" w:line="105" w:lineRule="exact"/>
        <w:rPr>
          <w:sz w:val="20"/>
          <w:szCs w:val="20"/>
          <w:color w:val="auto"/>
        </w:rPr>
      </w:pPr>
    </w:p>
    <w:p>
      <w:pPr>
        <w:ind w:left="360" w:right="720" w:hanging="6"/>
        <w:spacing w:after="0" w:line="229" w:lineRule="auto"/>
        <w:tabs>
          <w:tab w:leader="none" w:pos="4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Peer Group – Materials: </w:t>
      </w:r>
      <w:r>
        <w:rPr>
          <w:rFonts w:ascii="Times New Roman" w:cs="Times New Roman" w:eastAsia="Times New Roman" w:hAnsi="Times New Roman"/>
          <w:sz w:val="16"/>
          <w:szCs w:val="16"/>
          <w:color w:val="auto"/>
        </w:rPr>
        <w:t>S&amp;P 500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Materials (large-cap) and S&amp;P MidCap 400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Materials. As of September 30, 2025, this peer group consisted of 49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25" w:name="page26"/>
    <w:bookmarkEnd w:id="25"/>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Repurchases of Company Common Stock</w:t>
      </w:r>
    </w:p>
    <w:p>
      <w:pPr>
        <w:spacing w:after="0" w:line="94" w:lineRule="exact"/>
        <w:rPr>
          <w:sz w:val="20"/>
          <w:szCs w:val="20"/>
          <w:color w:val="auto"/>
        </w:rPr>
      </w:pPr>
    </w:p>
    <w:p>
      <w:pPr>
        <w:ind w:right="180" w:firstLine="348"/>
        <w:spacing w:after="0" w:line="259" w:lineRule="auto"/>
        <w:rPr>
          <w:sz w:val="20"/>
          <w:szCs w:val="20"/>
          <w:color w:val="auto"/>
        </w:rPr>
      </w:pPr>
      <w:r>
        <w:rPr>
          <w:rFonts w:ascii="Times New Roman" w:cs="Times New Roman" w:eastAsia="Times New Roman" w:hAnsi="Times New Roman"/>
          <w:sz w:val="16"/>
          <w:szCs w:val="16"/>
          <w:color w:val="auto"/>
        </w:rPr>
        <w:t>There were no share repurchases during the three months ended September 30, 2025. As of September 30, 2025, $520 million remained available for repurchase under the 2023 Stock Repurchase Program.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Dollar Value of Shares</w:t>
            </w:r>
          </w:p>
        </w:tc>
      </w:tr>
      <w:tr>
        <w:trPr>
          <w:trHeight w:val="168"/>
        </w:trPr>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40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68"/>
        </w:trPr>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4"/>
                <w:szCs w:val="14"/>
                <w:color w:val="auto"/>
              </w:rPr>
            </w:pPr>
          </w:p>
        </w:tc>
        <w:tc>
          <w:tcPr>
            <w:tcW w:w="140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168"/>
        </w:trPr>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gridSpan w:val="2"/>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4"/>
                <w:szCs w:val="14"/>
                <w:color w:val="auto"/>
              </w:rPr>
            </w:pPr>
          </w:p>
        </w:tc>
        <w:tc>
          <w:tcPr>
            <w:tcW w:w="140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Under the Plans or</w:t>
            </w:r>
          </w:p>
        </w:tc>
      </w:tr>
      <w:tr>
        <w:trPr>
          <w:trHeight w:val="157"/>
        </w:trPr>
        <w:tc>
          <w:tcPr>
            <w:tcW w:w="4440" w:type="dxa"/>
            <w:vAlign w:val="bottom"/>
          </w:tcPr>
          <w:p>
            <w:pPr>
              <w:spacing w:after="0"/>
              <w:rPr>
                <w:sz w:val="13"/>
                <w:szCs w:val="13"/>
                <w:color w:val="auto"/>
              </w:rPr>
            </w:pPr>
          </w:p>
        </w:tc>
        <w:tc>
          <w:tcPr>
            <w:tcW w:w="1340" w:type="dxa"/>
            <w:vAlign w:val="bottom"/>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240" w:type="dxa"/>
            <w:vAlign w:val="bottom"/>
          </w:tcPr>
          <w:p>
            <w:pPr>
              <w:jc w:val="center"/>
              <w:ind w:right="305"/>
              <w:spacing w:after="0" w:line="157"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76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3"/>
                <w:szCs w:val="13"/>
                <w:color w:val="auto"/>
              </w:rPr>
            </w:pPr>
          </w:p>
        </w:tc>
        <w:tc>
          <w:tcPr>
            <w:tcW w:w="1400" w:type="dxa"/>
            <w:vAlign w:val="bottom"/>
          </w:tcPr>
          <w:p>
            <w:pPr>
              <w:jc w:val="center"/>
              <w:ind w:right="125"/>
              <w:spacing w:after="0" w:line="157" w:lineRule="exact"/>
              <w:rPr>
                <w:sz w:val="20"/>
                <w:szCs w:val="20"/>
                <w:color w:val="auto"/>
              </w:rPr>
            </w:pPr>
            <w:r>
              <w:rPr>
                <w:rFonts w:ascii="Times New Roman" w:cs="Times New Roman" w:eastAsia="Times New Roman" w:hAnsi="Times New Roman"/>
                <w:sz w:val="14"/>
                <w:szCs w:val="14"/>
                <w:b w:val="1"/>
                <w:bCs w:val="1"/>
                <w:color w:val="auto"/>
              </w:rPr>
              <w:t>Programs</w:t>
            </w:r>
          </w:p>
        </w:tc>
      </w:tr>
      <w:tr>
        <w:trPr>
          <w:trHeight w:val="194"/>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Q4 Fiscal Periods</w:t>
            </w:r>
          </w:p>
        </w:tc>
        <w:tc>
          <w:tcPr>
            <w:tcW w:w="13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6"/>
                <w:szCs w:val="16"/>
                <w:color w:val="auto"/>
              </w:rPr>
            </w:pPr>
          </w:p>
        </w:tc>
        <w:tc>
          <w:tcPr>
            <w:tcW w:w="1240" w:type="dxa"/>
            <w:vAlign w:val="bottom"/>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1400" w:type="dxa"/>
            <w:vAlign w:val="bottom"/>
          </w:tcPr>
          <w:p>
            <w:pPr>
              <w:jc w:val="center"/>
              <w:ind w:right="125"/>
              <w:spacing w:after="0" w:line="193" w:lineRule="exact"/>
              <w:rPr>
                <w:sz w:val="20"/>
                <w:szCs w:val="20"/>
                <w:color w:val="auto"/>
              </w:rPr>
            </w:pPr>
            <w:r>
              <w:rPr>
                <w:rFonts w:ascii="Times New Roman" w:cs="Times New Roman" w:eastAsia="Times New Roman" w:hAnsi="Times New Roman"/>
                <w:sz w:val="14"/>
                <w:szCs w:val="14"/>
                <w:b w:val="1"/>
                <w:bCs w:val="1"/>
                <w:color w:val="auto"/>
                <w:w w:val="96"/>
              </w:rPr>
              <w:t>(in millions)</w:t>
            </w:r>
            <w:r>
              <w:rPr>
                <w:rFonts w:ascii="Times New Roman" w:cs="Times New Roman" w:eastAsia="Times New Roman" w:hAnsi="Times New Roman"/>
                <w:sz w:val="19"/>
                <w:szCs w:val="19"/>
                <w:b w:val="1"/>
                <w:bCs w:val="1"/>
                <w:color w:val="auto"/>
                <w:w w:val="96"/>
                <w:vertAlign w:val="superscript"/>
              </w:rPr>
              <w:t>(a)</w:t>
            </w:r>
          </w:p>
        </w:tc>
      </w:tr>
      <w:tr>
        <w:trPr>
          <w:trHeight w:val="180"/>
        </w:trPr>
        <w:tc>
          <w:tcPr>
            <w:tcW w:w="4440" w:type="dxa"/>
            <w:vAlign w:val="bottom"/>
            <w:shd w:val="clear" w:color="auto" w:fill="CCF0FC"/>
          </w:tcPr>
          <w:p>
            <w:pPr>
              <w:spacing w:after="0" w:line="180" w:lineRule="exact"/>
              <w:rPr>
                <w:sz w:val="20"/>
                <w:szCs w:val="20"/>
                <w:color w:val="auto"/>
              </w:rPr>
            </w:pPr>
            <w:r>
              <w:rPr>
                <w:rFonts w:ascii="Times New Roman" w:cs="Times New Roman" w:eastAsia="Times New Roman" w:hAnsi="Times New Roman"/>
                <w:sz w:val="16"/>
                <w:szCs w:val="16"/>
                <w:color w:val="auto"/>
              </w:rPr>
              <w:t>July 1, 2025 to July 31, 2025</w:t>
            </w:r>
          </w:p>
        </w:tc>
        <w:tc>
          <w:tcPr>
            <w:tcW w:w="1340" w:type="dxa"/>
            <w:vAlign w:val="bottom"/>
            <w:shd w:val="clear" w:color="auto" w:fill="CCF0FC"/>
          </w:tcPr>
          <w:p>
            <w:pPr>
              <w:ind w:left="10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F0FC"/>
          </w:tcPr>
          <w:p>
            <w:pPr>
              <w:ind w:left="8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CF0FC"/>
          </w:tcPr>
          <w:p>
            <w:pPr>
              <w:ind w:left="1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520</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August 1, 2025 to August 31, 2025</w:t>
            </w:r>
          </w:p>
        </w:tc>
        <w:tc>
          <w:tcPr>
            <w:tcW w:w="1340" w:type="dxa"/>
            <w:vAlign w:val="bottom"/>
          </w:tcPr>
          <w:p>
            <w:pPr>
              <w:ind w:left="10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240" w:type="dxa"/>
            <w:vAlign w:val="bottom"/>
          </w:tcPr>
          <w:p>
            <w:pPr>
              <w:ind w:left="8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ind w:left="1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520</w:t>
            </w:r>
          </w:p>
        </w:tc>
      </w:tr>
      <w:tr>
        <w:trPr>
          <w:trHeight w:val="180"/>
        </w:trPr>
        <w:tc>
          <w:tcPr>
            <w:tcW w:w="4440" w:type="dxa"/>
            <w:vAlign w:val="bottom"/>
            <w:shd w:val="clear" w:color="auto" w:fill="CCF0FC"/>
          </w:tcPr>
          <w:p>
            <w:pPr>
              <w:spacing w:after="0" w:line="180" w:lineRule="exact"/>
              <w:rPr>
                <w:sz w:val="20"/>
                <w:szCs w:val="20"/>
                <w:color w:val="auto"/>
              </w:rPr>
            </w:pPr>
            <w:r>
              <w:rPr>
                <w:rFonts w:ascii="Times New Roman" w:cs="Times New Roman" w:eastAsia="Times New Roman" w:hAnsi="Times New Roman"/>
                <w:sz w:val="16"/>
                <w:szCs w:val="16"/>
                <w:color w:val="auto"/>
              </w:rPr>
              <w:t>September 1, 2025 to September 30, 2025</w:t>
            </w:r>
          </w:p>
        </w:tc>
        <w:tc>
          <w:tcPr>
            <w:tcW w:w="1340" w:type="dxa"/>
            <w:vAlign w:val="bottom"/>
            <w:shd w:val="clear" w:color="auto" w:fill="CCF0FC"/>
          </w:tcPr>
          <w:p>
            <w:pPr>
              <w:ind w:left="10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F0FC"/>
          </w:tcPr>
          <w:p>
            <w:pPr>
              <w:spacing w:after="0"/>
              <w:rPr>
                <w:sz w:val="15"/>
                <w:szCs w:val="15"/>
                <w:color w:val="auto"/>
              </w:rPr>
            </w:pPr>
          </w:p>
        </w:tc>
        <w:tc>
          <w:tcPr>
            <w:tcW w:w="1240" w:type="dxa"/>
            <w:vAlign w:val="bottom"/>
            <w:shd w:val="clear" w:color="auto" w:fill="CCF0FC"/>
          </w:tcPr>
          <w:p>
            <w:pPr>
              <w:ind w:left="8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CF0FC"/>
          </w:tcPr>
          <w:p>
            <w:pPr>
              <w:ind w:left="1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F0FC"/>
          </w:tcPr>
          <w:p>
            <w:pPr>
              <w:spacing w:after="0"/>
              <w:rPr>
                <w:sz w:val="15"/>
                <w:szCs w:val="15"/>
                <w:color w:val="auto"/>
              </w:rPr>
            </w:pPr>
          </w:p>
        </w:tc>
        <w:tc>
          <w:tcPr>
            <w:tcW w:w="1400" w:type="dxa"/>
            <w:vAlign w:val="bottom"/>
            <w:shd w:val="clear" w:color="auto" w:fill="CC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520</w:t>
            </w:r>
          </w:p>
        </w:tc>
      </w:tr>
      <w:tr>
        <w:trPr>
          <w:trHeight w:val="180"/>
        </w:trPr>
        <w:tc>
          <w:tcPr>
            <w:tcW w:w="44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340" w:type="dxa"/>
            <w:vAlign w:val="bottom"/>
          </w:tcPr>
          <w:p>
            <w:pPr>
              <w:ind w:left="10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gridSpan w:val="2"/>
          </w:tcPr>
          <w:p>
            <w:pPr>
              <w:ind w:left="1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520</w:t>
            </w:r>
          </w:p>
        </w:tc>
      </w:tr>
      <w:tr>
        <w:trPr>
          <w:trHeight w:val="20"/>
        </w:trPr>
        <w:tc>
          <w:tcPr>
            <w:tcW w:w="44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3"/>
          <w:szCs w:val="13"/>
          <w:color w:val="auto"/>
        </w:rPr>
        <w:t>(a)On June 28, 2023, Ashland's board of directors authorized a new evergreen $1 billion common share repurchase program ("2023 Stock Repurchase Program"). The new authorization terminated and replaced the Company's 2022 Stock Repurchase Program, which had $200 million outstanding at the date of termination. As of September 30, 2025, $520 million remained available for repurchase under this authorization.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See Management’s Discussion and Analysis of Financial Condition and Results of Operations on pages M-1 through M-43.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See Quantitative and Qualitative Disclosures about Market Risk on page M-43.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consolidated financial statements of Ashland presented in this Annual Report on Form 10-K are listed in the index on page F-1.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92" w:lineRule="exact"/>
        <w:rPr>
          <w:sz w:val="20"/>
          <w:szCs w:val="20"/>
          <w:color w:val="auto"/>
        </w:rPr>
      </w:pPr>
    </w:p>
    <w:p>
      <w:pPr>
        <w:ind w:right="80" w:firstLine="34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Disclosure Controls and Procedures </w:t>
      </w:r>
      <w:r>
        <w:rPr>
          <w:rFonts w:ascii="Times New Roman" w:cs="Times New Roman" w:eastAsia="Times New Roman" w:hAnsi="Times New Roman"/>
          <w:sz w:val="16"/>
          <w:szCs w:val="16"/>
          <w:color w:val="auto"/>
        </w:rPr>
        <w:t>– As of September 30, 2025, Ashland, under the supervision and with the participation of Ashland’s management,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Ashland’s Chief Executive Officer and Chief Financial Officer, evaluated the effectiveness of Ashland’s disclosure controls and procedures as defined in Exchange Act Rules 13a-15(e) and 15d-15(e). Based upon that evaluation, the Chief Executive Officer and Chief Financial Officer concluded that the disclosure controls and procedures were effective as of September 30, 2025.</w:t>
      </w:r>
    </w:p>
    <w:p>
      <w:pPr>
        <w:spacing w:after="0" w:line="68" w:lineRule="exact"/>
        <w:rPr>
          <w:sz w:val="20"/>
          <w:szCs w:val="20"/>
          <w:color w:val="auto"/>
        </w:rPr>
      </w:pPr>
    </w:p>
    <w:p>
      <w:pPr>
        <w:ind w:right="760" w:firstLine="34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Internal Control over Financial Reporting </w:t>
      </w:r>
      <w:r>
        <w:rPr>
          <w:rFonts w:ascii="Times New Roman" w:cs="Times New Roman" w:eastAsia="Times New Roman" w:hAnsi="Times New Roman"/>
          <w:sz w:val="16"/>
          <w:szCs w:val="16"/>
          <w:color w:val="auto"/>
        </w:rPr>
        <w:t>- See Management’s Report on Internal Control Over Financial Reporting on page F-2 and the Report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Independent Registered Public Accounting Firm on page F-3.</w:t>
      </w:r>
    </w:p>
    <w:p>
      <w:pPr>
        <w:spacing w:after="0" w:line="54" w:lineRule="exact"/>
        <w:rPr>
          <w:sz w:val="20"/>
          <w:szCs w:val="20"/>
          <w:color w:val="auto"/>
        </w:rPr>
      </w:pPr>
    </w:p>
    <w:p>
      <w:pPr>
        <w:ind w:right="20" w:firstLine="348"/>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Changes in Internal Control over Financial Reporting </w:t>
      </w:r>
      <w:r>
        <w:rPr>
          <w:rFonts w:ascii="Times New Roman" w:cs="Times New Roman" w:eastAsia="Times New Roman" w:hAnsi="Times New Roman"/>
          <w:sz w:val="14"/>
          <w:szCs w:val="14"/>
          <w:color w:val="auto"/>
        </w:rPr>
        <w:t>– There have been no changes in Ashland’s internal control over financial reporting that occurred during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three months ended September 30, 2025, that have materially affected, or are reasonably likely to materially affect, Ashland’s internal control over financial reporting.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ectPr>
          <w:pgSz w:w="11900" w:h="16840" w:orient="portrait"/>
          <w:cols w:equalWidth="0" w:num="1">
            <w:col w:w="9800"/>
          </w:cols>
          <w:pgMar w:left="660" w:top="1407" w:right="1440" w:bottom="1440" w:gutter="0" w:footer="0" w:header="0"/>
        </w:sectPr>
      </w:pP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07" w:right="1440" w:bottom="1440" w:gutter="0" w:footer="0" w:header="0"/>
          <w:type w:val="continuous"/>
        </w:sectPr>
      </w:pPr>
    </w:p>
    <w:bookmarkStart w:id="27" w:name="page28"/>
    <w:bookmarkEnd w:id="27"/>
    <w:p>
      <w:pPr>
        <w:ind w:left="496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Insider Trading Policy</w:t>
      </w:r>
    </w:p>
    <w:p>
      <w:pPr>
        <w:spacing w:after="0" w:line="96" w:lineRule="exact"/>
        <w:rPr>
          <w:sz w:val="20"/>
          <w:szCs w:val="20"/>
          <w:color w:val="auto"/>
        </w:rPr>
      </w:pPr>
    </w:p>
    <w:p>
      <w:pPr>
        <w:ind w:right="100" w:firstLine="348"/>
        <w:spacing w:after="0" w:line="247" w:lineRule="auto"/>
        <w:rPr>
          <w:sz w:val="20"/>
          <w:szCs w:val="20"/>
          <w:color w:val="auto"/>
        </w:rPr>
      </w:pPr>
      <w:r>
        <w:rPr>
          <w:rFonts w:ascii="Times New Roman" w:cs="Times New Roman" w:eastAsia="Times New Roman" w:hAnsi="Times New Roman"/>
          <w:sz w:val="16"/>
          <w:szCs w:val="16"/>
          <w:color w:val="auto"/>
        </w:rPr>
        <w:t>Ashland has adopted an insider trading policy (the “Insider Trading Policy”) to govern the purchase, sale, and other dispositions of Company securities by its directors, officers, and employees. The Insider Trading Policy is reasonably designed to promote compliance with insider trading laws, rules and regulations, and any listing standards applicable to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Information</w:t>
      </w:r>
    </w:p>
    <w:p>
      <w:pPr>
        <w:spacing w:after="0" w:line="96" w:lineRule="exact"/>
        <w:rPr>
          <w:sz w:val="20"/>
          <w:szCs w:val="20"/>
          <w:color w:val="auto"/>
        </w:rPr>
      </w:pPr>
    </w:p>
    <w:p>
      <w:pPr>
        <w:ind w:right="40" w:firstLine="348"/>
        <w:spacing w:after="0" w:line="241" w:lineRule="auto"/>
        <w:rPr>
          <w:sz w:val="20"/>
          <w:szCs w:val="20"/>
          <w:color w:val="auto"/>
        </w:rPr>
      </w:pPr>
      <w:r>
        <w:rPr>
          <w:rFonts w:ascii="Times New Roman" w:cs="Times New Roman" w:eastAsia="Times New Roman" w:hAnsi="Times New Roman"/>
          <w:sz w:val="16"/>
          <w:szCs w:val="16"/>
          <w:color w:val="auto"/>
        </w:rPr>
        <w:t>The rest of the information required by this Item is incorporated herein by reference to the sections captioned “Proposal One - Election of Directors,” “Executive Officers,” “Delinquent Section 16(a) Reports,” “Corporate Governance - Governance Principles,” “Corporate Governance - Stockholder Nominations of Directors,” “Corporate Governance – Insider Trading Policy,” and “Corporate Governance - Committees and Meetings of the Board of Directors” in the Proxy Statement for Ashland’s 2026 Annual Meeting of Stockholders. Ashland plans to file such Proxy Statement within 120 days after September 30, 2025, the end of Ashland’s fiscal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94"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to the sections captioned “Director Compensation,” “Compensation Committee Interlocks and Insider Participation,” “Executive Compensation,” and “Compensation Committee Report,” in the Proxy Statement for Ashland’s 2026 Annual Meeting of Stockholders. The Compensation Committee Report to be included in such Proxy Statement shall be deemed to be furnished in this report and shall not be incorporated by reference into any filing under the Securities Act of 1933 or the Exchange Act as a result of such furnishing in this Item 11. Ashland plans to file such Proxy Statement within 120 days after September 30, 2025, the end of Ashland’s fiscal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94" w:lineRule="exact"/>
        <w:rPr>
          <w:sz w:val="20"/>
          <w:szCs w:val="20"/>
          <w:color w:val="auto"/>
        </w:rPr>
      </w:pPr>
    </w:p>
    <w:p>
      <w:pPr>
        <w:jc w:val="both"/>
        <w:ind w:right="220" w:firstLine="348"/>
        <w:spacing w:after="0" w:line="247"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to the sections captioned “Ashland Common Stock Ownership of Certain Beneficial Owners,” and “Ashland Common Stock Ownership of Directors and Executive Officers of Ashland” in the Proxy Statement for Ashland’s 2026 Annual Meeting of Shareholders. Ashland plans to file such Proxy Statement within 120 days after September 30, 2025, the end of Ashland’s fiscal year.</w:t>
      </w: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311" w:right="800" w:bottom="1440" w:gutter="0" w:footer="0" w:header="0"/>
        </w:sectPr>
      </w:pPr>
    </w:p>
    <w:bookmarkStart w:id="28" w:name="page29"/>
    <w:bookmarkEnd w:id="28"/>
    <w:p>
      <w:pPr>
        <w:ind w:left="360"/>
        <w:spacing w:after="0"/>
        <w:rPr>
          <w:sz w:val="20"/>
          <w:szCs w:val="20"/>
          <w:color w:val="auto"/>
        </w:rPr>
      </w:pPr>
      <w:r>
        <w:rPr>
          <w:rFonts w:ascii="Times New Roman" w:cs="Times New Roman" w:eastAsia="Times New Roman" w:hAnsi="Times New Roman"/>
          <w:sz w:val="16"/>
          <w:szCs w:val="16"/>
          <w:color w:val="auto"/>
        </w:rPr>
        <w:t>The following table summarizes the equity compensation plans under which Ashland Common Stock may be issued as of September 30,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80" w:type="dxa"/>
            <w:vAlign w:val="bottom"/>
            <w:gridSpan w:val="4"/>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1"/>
        </w:trPr>
        <w:tc>
          <w:tcPr>
            <w:tcW w:w="2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20" w:type="dxa"/>
            <w:vAlign w:val="bottom"/>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300" w:type="dxa"/>
            <w:vAlign w:val="bottom"/>
          </w:tcPr>
          <w:p>
            <w:pPr>
              <w:spacing w:after="0"/>
              <w:rPr>
                <w:sz w:val="16"/>
                <w:szCs w:val="16"/>
                <w:color w:val="auto"/>
              </w:rPr>
            </w:pPr>
          </w:p>
        </w:tc>
      </w:tr>
      <w:tr>
        <w:trPr>
          <w:trHeight w:val="180"/>
        </w:trPr>
        <w:tc>
          <w:tcPr>
            <w:tcW w:w="2720" w:type="dxa"/>
            <w:vAlign w:val="bottom"/>
          </w:tcPr>
          <w:p>
            <w:pPr>
              <w:spacing w:after="0"/>
              <w:rPr>
                <w:sz w:val="15"/>
                <w:szCs w:val="15"/>
                <w:color w:val="auto"/>
              </w:rPr>
            </w:pPr>
          </w:p>
        </w:tc>
        <w:tc>
          <w:tcPr>
            <w:tcW w:w="2540" w:type="dxa"/>
            <w:vAlign w:val="bottom"/>
          </w:tcPr>
          <w:p>
            <w:pPr>
              <w:jc w:val="center"/>
              <w:ind w:left="342"/>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 of securities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jc w:val="center"/>
              <w:ind w:right="2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remaining available</w:t>
            </w:r>
          </w:p>
        </w:tc>
        <w:tc>
          <w:tcPr>
            <w:tcW w:w="30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2540" w:type="dxa"/>
            <w:vAlign w:val="bottom"/>
          </w:tcPr>
          <w:p>
            <w:pPr>
              <w:jc w:val="center"/>
              <w:ind w:left="3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 be issued upon</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center"/>
              <w:ind w:right="1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640" w:type="dxa"/>
            <w:vAlign w:val="bottom"/>
          </w:tcPr>
          <w:p>
            <w:pPr>
              <w:spacing w:after="0"/>
              <w:rPr>
                <w:sz w:val="15"/>
                <w:szCs w:val="15"/>
                <w:color w:val="auto"/>
              </w:rPr>
            </w:pPr>
          </w:p>
        </w:tc>
        <w:tc>
          <w:tcPr>
            <w:tcW w:w="212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for future issuance</w:t>
            </w:r>
          </w:p>
        </w:tc>
        <w:tc>
          <w:tcPr>
            <w:tcW w:w="30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2540" w:type="dxa"/>
            <w:vAlign w:val="bottom"/>
          </w:tcPr>
          <w:p>
            <w:pPr>
              <w:jc w:val="center"/>
              <w:ind w:left="3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exercise of</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640" w:type="dxa"/>
            <w:vAlign w:val="bottom"/>
          </w:tcPr>
          <w:p>
            <w:pPr>
              <w:spacing w:after="0"/>
              <w:rPr>
                <w:sz w:val="15"/>
                <w:szCs w:val="15"/>
                <w:color w:val="auto"/>
              </w:rPr>
            </w:pPr>
          </w:p>
        </w:tc>
        <w:tc>
          <w:tcPr>
            <w:tcW w:w="212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under equity</w:t>
            </w:r>
          </w:p>
        </w:tc>
        <w:tc>
          <w:tcPr>
            <w:tcW w:w="30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2540" w:type="dxa"/>
            <w:vAlign w:val="bottom"/>
          </w:tcPr>
          <w:p>
            <w:pPr>
              <w:jc w:val="center"/>
              <w:ind w:left="3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center"/>
              <w:ind w:right="182"/>
              <w:spacing w:after="0" w:line="180"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640" w:type="dxa"/>
            <w:vAlign w:val="bottom"/>
          </w:tcPr>
          <w:p>
            <w:pPr>
              <w:spacing w:after="0"/>
              <w:rPr>
                <w:sz w:val="15"/>
                <w:szCs w:val="15"/>
                <w:color w:val="auto"/>
              </w:rPr>
            </w:pPr>
          </w:p>
        </w:tc>
        <w:tc>
          <w:tcPr>
            <w:tcW w:w="2120" w:type="dxa"/>
            <w:vAlign w:val="bottom"/>
          </w:tcPr>
          <w:p>
            <w:pPr>
              <w:jc w:val="center"/>
              <w:ind w:right="2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compensation plans</w:t>
            </w:r>
          </w:p>
        </w:tc>
        <w:tc>
          <w:tcPr>
            <w:tcW w:w="30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2540" w:type="dxa"/>
            <w:vAlign w:val="bottom"/>
          </w:tcPr>
          <w:p>
            <w:pPr>
              <w:jc w:val="center"/>
              <w:ind w:left="342"/>
              <w:spacing w:after="0" w:line="180" w:lineRule="exact"/>
              <w:rPr>
                <w:sz w:val="20"/>
                <w:szCs w:val="20"/>
                <w:color w:val="auto"/>
              </w:rPr>
            </w:pPr>
            <w:r>
              <w:rPr>
                <w:rFonts w:ascii="Times New Roman" w:cs="Times New Roman" w:eastAsia="Times New Roman" w:hAnsi="Times New Roman"/>
                <w:sz w:val="16"/>
                <w:szCs w:val="16"/>
                <w:b w:val="1"/>
                <w:bCs w:val="1"/>
                <w:color w:val="auto"/>
                <w:w w:val="96"/>
              </w:rPr>
              <w:t>options, warrants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options, warrants</w:t>
            </w:r>
          </w:p>
        </w:tc>
        <w:tc>
          <w:tcPr>
            <w:tcW w:w="640" w:type="dxa"/>
            <w:vAlign w:val="bottom"/>
          </w:tcPr>
          <w:p>
            <w:pPr>
              <w:spacing w:after="0"/>
              <w:rPr>
                <w:sz w:val="15"/>
                <w:szCs w:val="15"/>
                <w:color w:val="auto"/>
              </w:rPr>
            </w:pPr>
          </w:p>
        </w:tc>
        <w:tc>
          <w:tcPr>
            <w:tcW w:w="212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(excluding securities</w:t>
            </w:r>
          </w:p>
        </w:tc>
        <w:tc>
          <w:tcPr>
            <w:tcW w:w="300" w:type="dxa"/>
            <w:vAlign w:val="bottom"/>
          </w:tcPr>
          <w:p>
            <w:pPr>
              <w:spacing w:after="0"/>
              <w:rPr>
                <w:sz w:val="15"/>
                <w:szCs w:val="15"/>
                <w:color w:val="auto"/>
              </w:rPr>
            </w:pPr>
          </w:p>
        </w:tc>
      </w:tr>
      <w:tr>
        <w:trPr>
          <w:trHeight w:val="180"/>
        </w:trPr>
        <w:tc>
          <w:tcPr>
            <w:tcW w:w="27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Plan Category</w:t>
            </w:r>
          </w:p>
        </w:tc>
        <w:tc>
          <w:tcPr>
            <w:tcW w:w="2540" w:type="dxa"/>
            <w:vAlign w:val="bottom"/>
          </w:tcPr>
          <w:p>
            <w:pPr>
              <w:jc w:val="center"/>
              <w:ind w:left="3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and rights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and rights</w:t>
            </w:r>
          </w:p>
        </w:tc>
        <w:tc>
          <w:tcPr>
            <w:tcW w:w="640" w:type="dxa"/>
            <w:vAlign w:val="bottom"/>
          </w:tcPr>
          <w:p>
            <w:pPr>
              <w:spacing w:after="0"/>
              <w:rPr>
                <w:sz w:val="15"/>
                <w:szCs w:val="15"/>
                <w:color w:val="auto"/>
              </w:rPr>
            </w:pPr>
          </w:p>
        </w:tc>
        <w:tc>
          <w:tcPr>
            <w:tcW w:w="212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reflected in column (a))</w:t>
            </w:r>
          </w:p>
        </w:tc>
        <w:tc>
          <w:tcPr>
            <w:tcW w:w="300" w:type="dxa"/>
            <w:vAlign w:val="bottom"/>
          </w:tcPr>
          <w:p>
            <w:pPr>
              <w:spacing w:after="0"/>
              <w:rPr>
                <w:sz w:val="15"/>
                <w:szCs w:val="15"/>
                <w:color w:val="auto"/>
              </w:rPr>
            </w:pPr>
          </w:p>
        </w:tc>
      </w:tr>
      <w:tr>
        <w:trPr>
          <w:trHeight w:val="195"/>
        </w:trPr>
        <w:tc>
          <w:tcPr>
            <w:tcW w:w="2720" w:type="dxa"/>
            <w:vAlign w:val="bottom"/>
          </w:tcPr>
          <w:p>
            <w:pPr>
              <w:spacing w:after="0"/>
              <w:rPr>
                <w:sz w:val="16"/>
                <w:szCs w:val="16"/>
                <w:color w:val="auto"/>
              </w:rPr>
            </w:pPr>
          </w:p>
        </w:tc>
        <w:tc>
          <w:tcPr>
            <w:tcW w:w="2540" w:type="dxa"/>
            <w:vAlign w:val="bottom"/>
          </w:tcPr>
          <w:p>
            <w:pPr>
              <w:jc w:val="center"/>
              <w:ind w:left="322"/>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(b)</w:t>
            </w:r>
          </w:p>
        </w:tc>
        <w:tc>
          <w:tcPr>
            <w:tcW w:w="640" w:type="dxa"/>
            <w:vAlign w:val="bottom"/>
          </w:tcPr>
          <w:p>
            <w:pPr>
              <w:spacing w:after="0"/>
              <w:rPr>
                <w:sz w:val="16"/>
                <w:szCs w:val="16"/>
                <w:color w:val="auto"/>
              </w:rPr>
            </w:pPr>
          </w:p>
        </w:tc>
        <w:tc>
          <w:tcPr>
            <w:tcW w:w="2120" w:type="dxa"/>
            <w:vAlign w:val="bottom"/>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rPr>
              <w:t>(c)</w:t>
            </w:r>
          </w:p>
        </w:tc>
        <w:tc>
          <w:tcPr>
            <w:tcW w:w="300" w:type="dxa"/>
            <w:vAlign w:val="bottom"/>
          </w:tcPr>
          <w:p>
            <w:pPr>
              <w:spacing w:after="0"/>
              <w:rPr>
                <w:sz w:val="16"/>
                <w:szCs w:val="16"/>
                <w:color w:val="auto"/>
              </w:rPr>
            </w:pPr>
          </w:p>
        </w:tc>
      </w:tr>
      <w:tr>
        <w:trPr>
          <w:trHeight w:val="167"/>
        </w:trPr>
        <w:tc>
          <w:tcPr>
            <w:tcW w:w="272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Equity compensation plans</w:t>
            </w:r>
          </w:p>
        </w:tc>
        <w:tc>
          <w:tcPr>
            <w:tcW w:w="2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93"/>
        </w:trPr>
        <w:tc>
          <w:tcPr>
            <w:tcW w:w="2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approved by security holders</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146,456</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64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(2)</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10,664,838</w:t>
            </w:r>
          </w:p>
        </w:tc>
        <w:tc>
          <w:tcPr>
            <w:tcW w:w="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r>
      <w:tr>
        <w:trPr>
          <w:trHeight w:val="167"/>
        </w:trPr>
        <w:tc>
          <w:tcPr>
            <w:tcW w:w="27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Equity compensation plans not</w:t>
            </w: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93"/>
        </w:trPr>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approved by security 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1,240,886</w:t>
            </w: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r>
      <w:tr>
        <w:trPr>
          <w:trHeight w:val="180"/>
        </w:trPr>
        <w:tc>
          <w:tcPr>
            <w:tcW w:w="2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2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181,402</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65.47</w:t>
            </w:r>
          </w:p>
        </w:tc>
        <w:tc>
          <w:tcPr>
            <w:tcW w:w="64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3"/>
                <w:szCs w:val="13"/>
                <w:color w:val="auto"/>
              </w:rPr>
              <w:t>(2)</w:t>
            </w:r>
          </w:p>
        </w:tc>
        <w:tc>
          <w:tcPr>
            <w:tcW w:w="2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11,905,724</w:t>
            </w:r>
          </w:p>
        </w:tc>
        <w:tc>
          <w:tcPr>
            <w:tcW w:w="300" w:type="dxa"/>
            <w:vAlign w:val="bottom"/>
            <w:shd w:val="clear" w:color="auto" w:fill="CFF0FC"/>
          </w:tcPr>
          <w:p>
            <w:pPr>
              <w:spacing w:after="0"/>
              <w:rPr>
                <w:sz w:val="15"/>
                <w:szCs w:val="15"/>
                <w:color w:val="auto"/>
              </w:rPr>
            </w:pPr>
          </w:p>
        </w:tc>
      </w:tr>
    </w:tbl>
    <w:p>
      <w:pPr>
        <w:spacing w:after="0" w:line="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3"/>
          <w:szCs w:val="13"/>
          <w:color w:val="auto"/>
        </w:rPr>
        <w:t>(1)This figure includes 87,070 shares that could be issued under stock settled restricted stock units under the Ashland Global Holdings Inc. 2021 Omnibus Incentive Compensation Plan (the “2021 Omnibus Plan”), based upon the closing price of Ashland Common Stock on the NYSE as of September 30, 2025 of $47.91. Additionally, this figure includes 23,899 performance units for the fiscal 2024-2026 performance period payable in Ashland Common Stock under the 2021 Omnibus Plan, and 21,054 performance units for the fiscal 2025-2027 performance period payable in Ashland Common Stock under the 2021 Omnibus Plan estimated assuming target performance is achieved. Also included in the figure are 14,433 shares to be issued under the pre-2005 Deferred Compensation Plan for Employees payable in Ashland Common Stock upon termination of employment or service with Ashland.</w:t>
      </w:r>
    </w:p>
    <w:p>
      <w:pPr>
        <w:spacing w:after="0" w:line="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3"/>
          <w:szCs w:val="13"/>
          <w:color w:val="auto"/>
        </w:rPr>
        <w:t>(2)The weighted-average exercise price excludes shares in Ashland Common Stock which may be distributed under the deferred compensation plans and the deferred restricted stock, and performance share units and restricted stock units which may be distributed under the 2011 Incentive Plan, the 2015 Incentive Plan and the 2018 Omnibus Plan, as described in footnotes (1) and (4) in this table.</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3"/>
          <w:szCs w:val="13"/>
          <w:color w:val="auto"/>
        </w:rPr>
        <w:t>(3)This figure includes 6,437,964 available for issuance under the Ashland Global Holdings Inc. 2021 Omnibus Plan, 121,743 shares available for issuance under the pre -2005 Deferred Compensation Plan for Employees (closed) and 341,697 shares available for issuance under the pre-2005 Deferred Compensation Plan for Non-Employee Directors (closed). Under the 2018 Incentive Plan, full-value awards, which include all awards other than stock options and SARs, reduce the share reserve on a 2-to-1 basis. The remaining balance of shares available for grant under the 2018 Omnibus Plan are now available for grant under the 2021 Omnibus Plan and are included in the numbers of shares available for issuance under the 2021 Omnibus Plan. This figure also includes 80,311 shares available for issuance under the 2006 Incentive Plan, 2,575,206 shares available for issuance under the 2011 Incentive Plan and 1,107,917 shares available for issuance under the 2015 Incentive Plan; however, these plans are closed for new issuances and the only shares remaining to be issued are shares paid in lieu of dividends and for the 2015 Incentive Plan, shares to be issued for unvested performance units and restricted stock units.</w:t>
      </w:r>
    </w:p>
    <w:p>
      <w:pPr>
        <w:ind w:right="120"/>
        <w:spacing w:after="0" w:line="260" w:lineRule="auto"/>
        <w:rPr>
          <w:sz w:val="20"/>
          <w:szCs w:val="20"/>
          <w:color w:val="auto"/>
        </w:rPr>
      </w:pPr>
      <w:r>
        <w:rPr>
          <w:rFonts w:ascii="Times New Roman" w:cs="Times New Roman" w:eastAsia="Times New Roman" w:hAnsi="Times New Roman"/>
          <w:sz w:val="13"/>
          <w:szCs w:val="13"/>
          <w:color w:val="auto"/>
        </w:rPr>
        <w:t>(4)This figure includes 29,159 shares to be issued under the Deferred Compensation Plan for Employees (2005), which is described in the “Non-Qualified Deferred Compensation-Ashland Employees’ Deferral Plan” section of Ashland’s proxy statement, and 5,787 shares to be issued under the Deferred Compensation Plan for Non-Employee Directors (2005), which is described in the “Compensation of Directors” section of Ashland’s proxy statement, payable in Ashland Common Stock upon termination of employment or service with Ashland. Because these plans are not equity compensation plans as defined by the rules of the NYSE, neither plan required approval by Ashland’s stockholders.</w:t>
      </w:r>
    </w:p>
    <w:p>
      <w:pPr>
        <w:ind w:right="20"/>
        <w:spacing w:after="0" w:line="286" w:lineRule="auto"/>
        <w:rPr>
          <w:sz w:val="20"/>
          <w:szCs w:val="20"/>
          <w:color w:val="auto"/>
        </w:rPr>
      </w:pPr>
      <w:r>
        <w:rPr>
          <w:rFonts w:ascii="Times New Roman" w:cs="Times New Roman" w:eastAsia="Times New Roman" w:hAnsi="Times New Roman"/>
          <w:sz w:val="13"/>
          <w:szCs w:val="13"/>
          <w:color w:val="auto"/>
        </w:rPr>
        <w:t>(5)This figure includes 616,646 shares available for issuance under the Deferred Compensation Plan for Employees (2005) and 624,240 shares available for issuance under the Deferred Compensation Plan for Non-Employee Directors (2005). Because these plans are not equity compensation plans as defined by the rules of the NYSE, neither plan required approval by Ashland’s stockholders.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94" w:lineRule="exact"/>
        <w:rPr>
          <w:sz w:val="20"/>
          <w:szCs w:val="20"/>
          <w:color w:val="auto"/>
        </w:rPr>
      </w:pPr>
    </w:p>
    <w:p>
      <w:pPr>
        <w:ind w:right="220" w:firstLine="348"/>
        <w:spacing w:after="0" w:line="247"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to the sections captioned “Corporate Governance - Director Independence and Certain Relationships,” “Corporate Governance - Related Person Transaction Policy,” and “Audit Committee Report” in in the Proxy Statement for Ashland’s 2026 Annual Meeting of Stockholders. Ashland plans to file such Proxy Statement within 120 days after September 30, 2025, the end of Ashland’s fiscal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94" w:lineRule="exact"/>
        <w:rPr>
          <w:sz w:val="20"/>
          <w:szCs w:val="20"/>
          <w:color w:val="auto"/>
        </w:rPr>
      </w:pPr>
    </w:p>
    <w:p>
      <w:pPr>
        <w:ind w:right="40" w:firstLine="348"/>
        <w:spacing w:after="0" w:line="247"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to the sections captioned “Audit Committee Report” and “Proposal Two - Ratification of Independent Registered Public Accountants” in the Proxy Statement for Ashland’s 2026 Annual Meeting of Stockholders. Ashland plans to file such Proxy Statement within 120 days after September 30, 2025, the end of Ashland’s fiscal year.</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92" w:lineRule="exact"/>
        <w:rPr>
          <w:sz w:val="20"/>
          <w:szCs w:val="20"/>
          <w:color w:val="auto"/>
        </w:rPr>
      </w:pPr>
    </w:p>
    <w:p>
      <w:pPr>
        <w:ind w:left="220" w:hanging="214"/>
        <w:spacing w:after="0"/>
        <w:tabs>
          <w:tab w:leader="none" w:pos="22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Documents filed as part of this Report</w:t>
      </w:r>
    </w:p>
    <w:p>
      <w:pPr>
        <w:spacing w:after="0" w:line="94" w:lineRule="exact"/>
        <w:rPr>
          <w:rFonts w:ascii="Times New Roman" w:cs="Times New Roman" w:eastAsia="Times New Roman" w:hAnsi="Times New Roman"/>
          <w:sz w:val="16"/>
          <w:szCs w:val="16"/>
          <w:b w:val="1"/>
          <w:bCs w:val="1"/>
          <w:color w:val="auto"/>
        </w:rPr>
      </w:pPr>
    </w:p>
    <w:p>
      <w:pPr>
        <w:ind w:left="580" w:hanging="226"/>
        <w:spacing w:after="0"/>
        <w:tabs>
          <w:tab w:leader="none" w:pos="5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Statements; and</w:t>
      </w:r>
    </w:p>
    <w:p>
      <w:pPr>
        <w:spacing w:after="0" w:line="92" w:lineRule="exact"/>
        <w:rPr>
          <w:rFonts w:ascii="Times New Roman" w:cs="Times New Roman" w:eastAsia="Times New Roman" w:hAnsi="Times New Roman"/>
          <w:sz w:val="16"/>
          <w:szCs w:val="16"/>
          <w:color w:val="auto"/>
        </w:rPr>
      </w:pPr>
    </w:p>
    <w:p>
      <w:pPr>
        <w:ind w:left="580" w:hanging="226"/>
        <w:spacing w:after="0"/>
        <w:tabs>
          <w:tab w:leader="none" w:pos="5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Item 15(b) in this Annual Report on Form 10-K</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consolidated financial statements of Ashland presented in this Annual Report on Form 10-K are listed in the index on page F-1.</w:t>
      </w:r>
    </w:p>
    <w:p>
      <w:pPr>
        <w:spacing w:after="0" w:line="92" w:lineRule="exact"/>
        <w:rPr>
          <w:sz w:val="20"/>
          <w:szCs w:val="20"/>
          <w:color w:val="auto"/>
        </w:rPr>
      </w:pPr>
    </w:p>
    <w:p>
      <w:pPr>
        <w:jc w:val="both"/>
        <w:ind w:right="480" w:firstLine="348"/>
        <w:spacing w:after="0" w:line="247" w:lineRule="auto"/>
        <w:rPr>
          <w:sz w:val="20"/>
          <w:szCs w:val="20"/>
          <w:color w:val="auto"/>
        </w:rPr>
      </w:pPr>
      <w:r>
        <w:rPr>
          <w:rFonts w:ascii="Times New Roman" w:cs="Times New Roman" w:eastAsia="Times New Roman" w:hAnsi="Times New Roman"/>
          <w:sz w:val="16"/>
          <w:szCs w:val="16"/>
          <w:color w:val="auto"/>
        </w:rPr>
        <w:t>Schedules other than that listed above have been omitted because of the absence of the conditions under which they are required or because the information required is shown in the consolidated financial statements or the notes thereto. Separate financial statements of unconsolidated affiliates are omitted because each company does not constitute a significant subsidiary using the 20% tests when considered individually.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Documents required by Item 601 of Regulation S-K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2.1</w:t>
            </w:r>
          </w:p>
        </w:tc>
        <w:tc>
          <w:tcPr>
            <w:tcW w:w="9680" w:type="dxa"/>
            <w:vAlign w:val="bottom"/>
            <w:gridSpan w:val="24"/>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41">
              <w:r>
                <w:rPr>
                  <w:rFonts w:ascii="Times New Roman" w:cs="Times New Roman" w:eastAsia="Times New Roman" w:hAnsi="Times New Roman"/>
                  <w:sz w:val="16"/>
                  <w:szCs w:val="16"/>
                  <w:color w:val="auto"/>
                </w:rPr>
                <w:t>Stock and Asset Purchase Agreement, dated as of February 18, 2014, between Ashland Inc. and CD&amp;R Seahawk Bidco, LLC (filed as</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6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auto"/>
                <w:w w:val="97"/>
              </w:rPr>
            </w:pPr>
            <w:hyperlink r:id="rId41">
              <w:r>
                <w:rPr>
                  <w:rFonts w:ascii="Times New Roman" w:cs="Times New Roman" w:eastAsia="Times New Roman" w:hAnsi="Times New Roman"/>
                  <w:sz w:val="16"/>
                  <w:szCs w:val="16"/>
                  <w:color w:val="auto"/>
                  <w:w w:val="97"/>
                </w:rPr>
                <w:t>Exhibit 2.1 to Ashland’s Form 8-K filed on February 24, 2014 (SEC File No. 001-32532), and incorporated herein by reference).</w:t>
              </w:r>
            </w:hyperlink>
          </w:p>
        </w:tc>
        <w:tc>
          <w:tcPr>
            <w:tcW w:w="340" w:type="dxa"/>
            <w:vAlign w:val="bottom"/>
            <w:tcBorders>
              <w:top w:val="single" w:sz="8" w:color="0000EE"/>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2.2</w:t>
            </w:r>
          </w:p>
        </w:tc>
        <w:tc>
          <w:tcPr>
            <w:tcW w:w="9680" w:type="dxa"/>
            <w:vAlign w:val="bottom"/>
            <w:gridSpan w:val="24"/>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42">
              <w:r>
                <w:rPr>
                  <w:rFonts w:ascii="Times New Roman" w:cs="Times New Roman" w:eastAsia="Times New Roman" w:hAnsi="Times New Roman"/>
                  <w:sz w:val="16"/>
                  <w:szCs w:val="16"/>
                  <w:color w:val="auto"/>
                </w:rPr>
                <w:t>Sale and Purchase Agreement related to the ASK Chemicals Group, dated April 8, 2014, among Ashland Inc., Ashland International</w:t>
              </w:r>
            </w:hyperlink>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780" w:type="dxa"/>
            <w:vAlign w:val="bottom"/>
            <w:gridSpan w:val="23"/>
          </w:tcPr>
          <w:p>
            <w:pPr>
              <w:spacing w:after="0" w:line="160" w:lineRule="exact"/>
              <w:rPr>
                <w:rFonts w:ascii="Times New Roman" w:cs="Times New Roman" w:eastAsia="Times New Roman" w:hAnsi="Times New Roman"/>
                <w:sz w:val="16"/>
                <w:szCs w:val="16"/>
                <w:color w:val="auto"/>
              </w:rPr>
            </w:pPr>
            <w:hyperlink r:id="rId42">
              <w:r>
                <w:rPr>
                  <w:rFonts w:ascii="Times New Roman" w:cs="Times New Roman" w:eastAsia="Times New Roman" w:hAnsi="Times New Roman"/>
                  <w:sz w:val="16"/>
                  <w:szCs w:val="16"/>
                  <w:color w:val="auto"/>
                </w:rPr>
                <w:t>Holdings, Inc., Clariant Produkte (Deutschland) GmbH, Clariant Corp., mertus 158. GmbH, Ascot US Bidco Inc. and Ascot UK Bidco</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2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auto"/>
              </w:rPr>
            </w:pPr>
            <w:hyperlink r:id="rId42">
              <w:r>
                <w:rPr>
                  <w:rFonts w:ascii="Times New Roman" w:cs="Times New Roman" w:eastAsia="Times New Roman" w:hAnsi="Times New Roman"/>
                  <w:sz w:val="16"/>
                  <w:szCs w:val="16"/>
                  <w:color w:val="auto"/>
                </w:rPr>
                <w:t>Limited (filed as Exhibit 2.1 to Ashland’s Form 8-K filed on April 14, 2014 (SEC File No. 001-32532), and incorporated herein by</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5"/>
              </w:rPr>
            </w:pPr>
            <w:hyperlink r:id="rId42">
              <w:r>
                <w:rPr>
                  <w:rFonts w:ascii="Times New Roman" w:cs="Times New Roman" w:eastAsia="Times New Roman" w:hAnsi="Times New Roman"/>
                  <w:sz w:val="16"/>
                  <w:szCs w:val="16"/>
                  <w:color w:val="auto"/>
                  <w:w w:val="95"/>
                </w:rPr>
                <w:t>reference).</w:t>
              </w:r>
            </w:hyperlink>
          </w:p>
        </w:tc>
        <w:tc>
          <w:tcPr>
            <w:tcW w:w="7520" w:type="dxa"/>
            <w:vAlign w:val="bottom"/>
            <w:tcBorders>
              <w:top w:val="single" w:sz="8" w:color="0000EE"/>
            </w:tcBorders>
            <w:gridSpan w:val="8"/>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2.3</w:t>
            </w:r>
          </w:p>
        </w:tc>
        <w:tc>
          <w:tcPr>
            <w:tcW w:w="9680" w:type="dxa"/>
            <w:vAlign w:val="bottom"/>
            <w:gridSpan w:val="24"/>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43">
              <w:r>
                <w:rPr>
                  <w:rFonts w:ascii="Times New Roman" w:cs="Times New Roman" w:eastAsia="Times New Roman" w:hAnsi="Times New Roman"/>
                  <w:sz w:val="16"/>
                  <w:szCs w:val="16"/>
                  <w:color w:val="auto"/>
                </w:rPr>
                <w:t>Agreement and Plan of Merger dated May 31, 2016, by and among Ashland Inc., Ashland Global Holdings Inc. and Ashland Merger Sub</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auto"/>
                <w:w w:val="96"/>
              </w:rPr>
            </w:pPr>
            <w:hyperlink r:id="rId43">
              <w:r>
                <w:rPr>
                  <w:rFonts w:ascii="Times New Roman" w:cs="Times New Roman" w:eastAsia="Times New Roman" w:hAnsi="Times New Roman"/>
                  <w:sz w:val="16"/>
                  <w:szCs w:val="16"/>
                  <w:color w:val="auto"/>
                  <w:w w:val="96"/>
                </w:rPr>
                <w:t>Corp. (filed as Exhibit 2.1 to Ashland’s Form 8-K filed on May 31, 2016 (SEC File No. 001-32532), and incorporated herein by reference)</w:t>
              </w:r>
            </w:hyperlink>
          </w:p>
        </w:tc>
        <w:tc>
          <w:tcPr>
            <w:tcW w:w="120" w:type="dxa"/>
            <w:vAlign w:val="bottom"/>
            <w:gridSpan w:val="3"/>
          </w:tcPr>
          <w:p>
            <w:pPr>
              <w:jc w:val="right"/>
              <w:spacing w:after="0" w:line="160" w:lineRule="exact"/>
              <w:rPr>
                <w:rFonts w:ascii="Times New Roman" w:cs="Times New Roman" w:eastAsia="Times New Roman" w:hAnsi="Times New Roman"/>
                <w:sz w:val="16"/>
                <w:szCs w:val="16"/>
                <w:color w:val="auto"/>
              </w:rPr>
            </w:pPr>
            <w:hyperlink r:id="rId43">
              <w:r>
                <w:rPr>
                  <w:rFonts w:ascii="Times New Roman" w:cs="Times New Roman" w:eastAsia="Times New Roman" w:hAnsi="Times New Roman"/>
                  <w:sz w:val="16"/>
                  <w:szCs w:val="16"/>
                  <w:color w:val="auto"/>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2.4</w:t>
            </w:r>
          </w:p>
        </w:tc>
        <w:tc>
          <w:tcPr>
            <w:tcW w:w="9680" w:type="dxa"/>
            <w:vAlign w:val="bottom"/>
            <w:gridSpan w:val="24"/>
          </w:tcPr>
          <w:p>
            <w:pPr>
              <w:ind w:left="66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44">
              <w:r>
                <w:rPr>
                  <w:rFonts w:ascii="Times New Roman" w:cs="Times New Roman" w:eastAsia="Times New Roman" w:hAnsi="Times New Roman"/>
                  <w:sz w:val="16"/>
                  <w:szCs w:val="16"/>
                  <w:color w:val="auto"/>
                  <w:w w:val="99"/>
                </w:rPr>
                <w:t>Stock and Asset Purchase Agreement, dated November 14, 2018, between Ashland Global Holdings Inc. and INEOS Enterprises Holdings</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700" w:type="dxa"/>
            <w:vAlign w:val="bottom"/>
            <w:tcBorders>
              <w:top w:val="single" w:sz="8" w:color="0000EE"/>
              <w:bottom w:val="single" w:sz="8" w:color="0000EE"/>
            </w:tcBorders>
            <w:gridSpan w:val="19"/>
          </w:tcPr>
          <w:p>
            <w:pPr>
              <w:spacing w:after="0" w:line="160" w:lineRule="exact"/>
              <w:rPr>
                <w:rFonts w:ascii="Times New Roman" w:cs="Times New Roman" w:eastAsia="Times New Roman" w:hAnsi="Times New Roman"/>
                <w:sz w:val="16"/>
                <w:szCs w:val="16"/>
                <w:color w:val="auto"/>
                <w:w w:val="96"/>
              </w:rPr>
            </w:pPr>
            <w:hyperlink r:id="rId44">
              <w:r>
                <w:rPr>
                  <w:rFonts w:ascii="Times New Roman" w:cs="Times New Roman" w:eastAsia="Times New Roman" w:hAnsi="Times New Roman"/>
                  <w:sz w:val="16"/>
                  <w:szCs w:val="16"/>
                  <w:color w:val="auto"/>
                  <w:w w:val="96"/>
                </w:rPr>
                <w:t>Limited (pursuant to Item 601(b)(2) of Regulation S-K, exhibits, schedules and certain annexes to the Stock and Asset Purchase Agreement</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720" w:type="dxa"/>
            <w:vAlign w:val="bottom"/>
            <w:gridSpan w:val="20"/>
          </w:tcPr>
          <w:p>
            <w:pPr>
              <w:spacing w:after="0" w:line="160" w:lineRule="exact"/>
              <w:rPr>
                <w:rFonts w:ascii="Times New Roman" w:cs="Times New Roman" w:eastAsia="Times New Roman" w:hAnsi="Times New Roman"/>
                <w:sz w:val="16"/>
                <w:szCs w:val="16"/>
                <w:color w:val="auto"/>
              </w:rPr>
            </w:pPr>
            <w:hyperlink r:id="rId44">
              <w:r>
                <w:rPr>
                  <w:rFonts w:ascii="Times New Roman" w:cs="Times New Roman" w:eastAsia="Times New Roman" w:hAnsi="Times New Roman"/>
                  <w:sz w:val="16"/>
                  <w:szCs w:val="16"/>
                  <w:color w:val="auto"/>
                </w:rPr>
                <w:t>have been omitted; exhibits, schedules and annexes will be supplementally provided to the SEC upon request) (filed as Exhibit 2.1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34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auto"/>
                <w:w w:val="97"/>
              </w:rPr>
            </w:pPr>
            <w:hyperlink r:id="rId44">
              <w:r>
                <w:rPr>
                  <w:rFonts w:ascii="Times New Roman" w:cs="Times New Roman" w:eastAsia="Times New Roman" w:hAnsi="Times New Roman"/>
                  <w:sz w:val="16"/>
                  <w:szCs w:val="16"/>
                  <w:color w:val="auto"/>
                  <w:w w:val="97"/>
                </w:rPr>
                <w:t>Ashland’s Form 8-K filed on November 20, 2018 (SEC File No. 333-211719), and incorporated herein by reference.)</w:t>
              </w:r>
            </w:hyperlink>
          </w:p>
        </w:tc>
        <w:tc>
          <w:tcPr>
            <w:tcW w:w="980" w:type="dxa"/>
            <w:vAlign w:val="bottom"/>
            <w:tcBorders>
              <w:top w:val="single" w:sz="8" w:color="0000EE"/>
            </w:tcBorders>
            <w:gridSpan w:val="7"/>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2.5</w:t>
            </w:r>
          </w:p>
        </w:tc>
        <w:tc>
          <w:tcPr>
            <w:tcW w:w="9680" w:type="dxa"/>
            <w:vAlign w:val="bottom"/>
            <w:gridSpan w:val="24"/>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45">
              <w:r>
                <w:rPr>
                  <w:rFonts w:ascii="Times New Roman" w:cs="Times New Roman" w:eastAsia="Times New Roman" w:hAnsi="Times New Roman"/>
                  <w:sz w:val="16"/>
                  <w:szCs w:val="16"/>
                  <w:color w:val="auto"/>
                </w:rPr>
                <w:t>First Amendment to Stock and Asset Purchase Agreement, dated July 1, 2019, between Ashland Global Holdings Inc. and INEOS</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14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auto"/>
                <w:w w:val="97"/>
              </w:rPr>
            </w:pPr>
            <w:hyperlink r:id="rId45">
              <w:r>
                <w:rPr>
                  <w:rFonts w:ascii="Times New Roman" w:cs="Times New Roman" w:eastAsia="Times New Roman" w:hAnsi="Times New Roman"/>
                  <w:sz w:val="16"/>
                  <w:szCs w:val="16"/>
                  <w:color w:val="auto"/>
                  <w:w w:val="97"/>
                </w:rPr>
                <w:t>Enterprises Holdings Limited (pursuant to Item 601(b)(2) of Regulation S-K, exhibits, schedules and certain annexes to the Stock</w:t>
              </w:r>
            </w:hyperlink>
          </w:p>
        </w:tc>
        <w:tc>
          <w:tcPr>
            <w:tcW w:w="640" w:type="dxa"/>
            <w:vAlign w:val="bottom"/>
            <w:gridSpan w:val="15"/>
          </w:tcPr>
          <w:p>
            <w:pPr>
              <w:jc w:val="right"/>
              <w:ind w:right="40"/>
              <w:spacing w:after="0" w:line="160" w:lineRule="exact"/>
              <w:rPr>
                <w:rFonts w:ascii="Times New Roman" w:cs="Times New Roman" w:eastAsia="Times New Roman" w:hAnsi="Times New Roman"/>
                <w:sz w:val="16"/>
                <w:szCs w:val="16"/>
                <w:color w:val="auto"/>
                <w:w w:val="92"/>
              </w:rPr>
            </w:pPr>
            <w:hyperlink r:id="rId45">
              <w:r>
                <w:rPr>
                  <w:rFonts w:ascii="Times New Roman" w:cs="Times New Roman" w:eastAsia="Times New Roman" w:hAnsi="Times New Roman"/>
                  <w:sz w:val="16"/>
                  <w:szCs w:val="16"/>
                  <w:color w:val="auto"/>
                  <w:w w:val="92"/>
                </w:rPr>
                <w:t>and Asset</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740" w:type="dxa"/>
            <w:vAlign w:val="bottom"/>
            <w:tcBorders>
              <w:top w:val="single" w:sz="8" w:color="0000EE"/>
              <w:bottom w:val="single" w:sz="8" w:color="0000EE"/>
            </w:tcBorders>
            <w:gridSpan w:val="21"/>
          </w:tcPr>
          <w:p>
            <w:pPr>
              <w:spacing w:after="0" w:line="160" w:lineRule="exact"/>
              <w:rPr>
                <w:rFonts w:ascii="Times New Roman" w:cs="Times New Roman" w:eastAsia="Times New Roman" w:hAnsi="Times New Roman"/>
                <w:sz w:val="16"/>
                <w:szCs w:val="16"/>
                <w:color w:val="auto"/>
                <w:w w:val="97"/>
              </w:rPr>
            </w:pPr>
            <w:hyperlink r:id="rId45">
              <w:r>
                <w:rPr>
                  <w:rFonts w:ascii="Times New Roman" w:cs="Times New Roman" w:eastAsia="Times New Roman" w:hAnsi="Times New Roman"/>
                  <w:sz w:val="16"/>
                  <w:szCs w:val="16"/>
                  <w:color w:val="auto"/>
                  <w:w w:val="97"/>
                </w:rPr>
                <w:t>Purchase Agreement have been omitted; exhibits, schedules and annexes will be supplementally provided to the SEC upon request) (filed as</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720" w:type="dxa"/>
            <w:vAlign w:val="bottom"/>
            <w:tcBorders>
              <w:bottom w:val="single" w:sz="8" w:color="0000EE"/>
            </w:tcBorders>
            <w:gridSpan w:val="5"/>
          </w:tcPr>
          <w:p>
            <w:pPr>
              <w:spacing w:after="0" w:line="160" w:lineRule="exact"/>
              <w:rPr>
                <w:rFonts w:ascii="Times New Roman" w:cs="Times New Roman" w:eastAsia="Times New Roman" w:hAnsi="Times New Roman"/>
                <w:sz w:val="16"/>
                <w:szCs w:val="16"/>
                <w:color w:val="auto"/>
                <w:w w:val="97"/>
              </w:rPr>
            </w:pPr>
            <w:hyperlink r:id="rId45">
              <w:r>
                <w:rPr>
                  <w:rFonts w:ascii="Times New Roman" w:cs="Times New Roman" w:eastAsia="Times New Roman" w:hAnsi="Times New Roman"/>
                  <w:sz w:val="16"/>
                  <w:szCs w:val="16"/>
                  <w:color w:val="auto"/>
                  <w:w w:val="97"/>
                </w:rPr>
                <w:t>Exhibit 2.1 to Ashland’s Form 8-K filed on July 8, 2019 (SEC File No. 333-211719) and incorporated herein by reference).</w:t>
              </w:r>
            </w:hyperlink>
          </w:p>
        </w:tc>
        <w:tc>
          <w:tcPr>
            <w:tcW w:w="104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2.6</w:t>
            </w:r>
          </w:p>
        </w:tc>
        <w:tc>
          <w:tcPr>
            <w:tcW w:w="9680" w:type="dxa"/>
            <w:vAlign w:val="bottom"/>
            <w:gridSpan w:val="24"/>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46">
              <w:r>
                <w:rPr>
                  <w:rFonts w:ascii="Times New Roman" w:cs="Times New Roman" w:eastAsia="Times New Roman" w:hAnsi="Times New Roman"/>
                  <w:sz w:val="16"/>
                  <w:szCs w:val="16"/>
                  <w:color w:val="auto"/>
                </w:rPr>
                <w:t>Second Amendment to Stock and Asset Purchase Agreement, dated July 30, 2019, between Ashland Global Holdings Inc. and INEOS</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38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auto"/>
                <w:w w:val="97"/>
              </w:rPr>
            </w:pPr>
            <w:hyperlink r:id="rId46">
              <w:r>
                <w:rPr>
                  <w:rFonts w:ascii="Times New Roman" w:cs="Times New Roman" w:eastAsia="Times New Roman" w:hAnsi="Times New Roman"/>
                  <w:sz w:val="16"/>
                  <w:szCs w:val="16"/>
                  <w:color w:val="auto"/>
                  <w:w w:val="97"/>
                </w:rPr>
                <w:t>Enterprises Holdings Limited (pursuant to Item 601(b)(2) of Regulation S-K, exhibits, schedules and certain annexes to the Stock and</w:t>
              </w:r>
            </w:hyperlink>
          </w:p>
        </w:tc>
        <w:tc>
          <w:tcPr>
            <w:tcW w:w="400" w:type="dxa"/>
            <w:vAlign w:val="bottom"/>
            <w:gridSpan w:val="11"/>
          </w:tcPr>
          <w:p>
            <w:pPr>
              <w:jc w:val="right"/>
              <w:ind w:right="40"/>
              <w:spacing w:after="0" w:line="160" w:lineRule="exact"/>
              <w:rPr>
                <w:rFonts w:ascii="Times New Roman" w:cs="Times New Roman" w:eastAsia="Times New Roman" w:hAnsi="Times New Roman"/>
                <w:sz w:val="16"/>
                <w:szCs w:val="16"/>
                <w:color w:val="auto"/>
                <w:w w:val="95"/>
              </w:rPr>
            </w:pPr>
            <w:hyperlink r:id="rId46">
              <w:r>
                <w:rPr>
                  <w:rFonts w:ascii="Times New Roman" w:cs="Times New Roman" w:eastAsia="Times New Roman" w:hAnsi="Times New Roman"/>
                  <w:sz w:val="16"/>
                  <w:szCs w:val="16"/>
                  <w:color w:val="auto"/>
                  <w:w w:val="95"/>
                </w:rPr>
                <w:t>Asset</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7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auto"/>
                <w:w w:val="97"/>
              </w:rPr>
            </w:pPr>
            <w:hyperlink r:id="rId46">
              <w:r>
                <w:rPr>
                  <w:rFonts w:ascii="Times New Roman" w:cs="Times New Roman" w:eastAsia="Times New Roman" w:hAnsi="Times New Roman"/>
                  <w:sz w:val="16"/>
                  <w:szCs w:val="16"/>
                  <w:color w:val="auto"/>
                  <w:w w:val="97"/>
                </w:rPr>
                <w:t>Purchase Agreement have been omitted; exhibits, schedules and annexes will be supplementally provided to the SEC upon request (filed as</w:t>
              </w:r>
            </w:hyperlink>
          </w:p>
        </w:tc>
        <w:tc>
          <w:tcPr>
            <w:tcW w:w="40" w:type="dxa"/>
            <w:vAlign w:val="bottom"/>
            <w:gridSpan w:val="2"/>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70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auto"/>
              </w:rPr>
            </w:pPr>
            <w:hyperlink r:id="rId46">
              <w:r>
                <w:rPr>
                  <w:rFonts w:ascii="Times New Roman" w:cs="Times New Roman" w:eastAsia="Times New Roman" w:hAnsi="Times New Roman"/>
                  <w:sz w:val="16"/>
                  <w:szCs w:val="16"/>
                  <w:color w:val="auto"/>
                </w:rPr>
                <w:t>Exhibit 2.1 to Ashland’s Form 8-K filed on August 2, 2019 (SEC File No. 333-211719) and incorporated herein by reference).</w:t>
              </w:r>
            </w:hyperlink>
          </w:p>
        </w:tc>
        <w:tc>
          <w:tcPr>
            <w:tcW w:w="80" w:type="dxa"/>
            <w:vAlign w:val="bottom"/>
            <w:gridSpan w:val="4"/>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460"/>
        </w:trPr>
        <w:tc>
          <w:tcPr>
            <w:tcW w:w="9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2.7</w:t>
            </w:r>
          </w:p>
        </w:tc>
        <w:tc>
          <w:tcPr>
            <w:tcW w:w="9680" w:type="dxa"/>
            <w:vAlign w:val="bottom"/>
            <w:gridSpan w:val="24"/>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47">
              <w:r>
                <w:rPr>
                  <w:rFonts w:ascii="Times New Roman" w:cs="Times New Roman" w:eastAsia="Times New Roman" w:hAnsi="Times New Roman"/>
                  <w:sz w:val="16"/>
                  <w:szCs w:val="16"/>
                  <w:color w:val="auto"/>
                </w:rPr>
                <w:t>Asset Purchase Agreement dated July 25, 2020, by and between Ashland LLC and AOC Materials LLC (filed as Exhibit 2.1 to Ashland’s</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18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auto"/>
                <w:w w:val="97"/>
              </w:rPr>
            </w:pPr>
            <w:hyperlink r:id="rId47">
              <w:r>
                <w:rPr>
                  <w:rFonts w:ascii="Times New Roman" w:cs="Times New Roman" w:eastAsia="Times New Roman" w:hAnsi="Times New Roman"/>
                  <w:sz w:val="16"/>
                  <w:szCs w:val="16"/>
                  <w:color w:val="auto"/>
                  <w:w w:val="97"/>
                </w:rPr>
                <w:t>Form 8-K filed on July 27, 2020 (SEC File No. 333-211719 and incorporated herein by reference).</w:t>
              </w:r>
            </w:hyperlink>
          </w:p>
        </w:tc>
        <w:tc>
          <w:tcPr>
            <w:tcW w:w="2440" w:type="dxa"/>
            <w:vAlign w:val="bottom"/>
            <w:tcBorders>
              <w:top w:val="single" w:sz="8" w:color="0000EE"/>
            </w:tcBorders>
            <w:gridSpan w:val="15"/>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400"/>
        </w:trPr>
        <w:tc>
          <w:tcPr>
            <w:tcW w:w="9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2.8</w:t>
            </w:r>
          </w:p>
        </w:tc>
        <w:tc>
          <w:tcPr>
            <w:tcW w:w="9680" w:type="dxa"/>
            <w:vAlign w:val="bottom"/>
            <w:gridSpan w:val="24"/>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48">
              <w:r>
                <w:rPr>
                  <w:rFonts w:ascii="Times New Roman" w:cs="Times New Roman" w:eastAsia="Times New Roman" w:hAnsi="Times New Roman"/>
                  <w:sz w:val="16"/>
                  <w:szCs w:val="16"/>
                  <w:color w:val="auto"/>
                </w:rPr>
                <w:t>Master Asset Purchase Agreement, dated January 18, 2021, entered into by and between Schülke &amp; Mayr GmbH, ISP Marl Holdings and</w:t>
              </w:r>
            </w:hyperlink>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58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auto"/>
                <w:w w:val="97"/>
              </w:rPr>
            </w:pPr>
            <w:hyperlink r:id="rId48">
              <w:r>
                <w:rPr>
                  <w:rFonts w:ascii="Times New Roman" w:cs="Times New Roman" w:eastAsia="Times New Roman" w:hAnsi="Times New Roman"/>
                  <w:sz w:val="16"/>
                  <w:szCs w:val="16"/>
                  <w:color w:val="auto"/>
                  <w:w w:val="97"/>
                </w:rPr>
                <w:t>Ashland Industries Europe GmbH (filed as Exhibit 2.1 to Ashland’s Form 8-K filed on January 22, 2021 (SEC File No.333-211719) and</w:t>
              </w:r>
            </w:hyperlink>
          </w:p>
        </w:tc>
        <w:tc>
          <w:tcPr>
            <w:tcW w:w="200" w:type="dxa"/>
            <w:vAlign w:val="bottom"/>
            <w:gridSpan w:val="7"/>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1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7"/>
              </w:rPr>
            </w:pPr>
            <w:hyperlink r:id="rId48">
              <w:r>
                <w:rPr>
                  <w:rFonts w:ascii="Times New Roman" w:cs="Times New Roman" w:eastAsia="Times New Roman" w:hAnsi="Times New Roman"/>
                  <w:sz w:val="16"/>
                  <w:szCs w:val="16"/>
                  <w:color w:val="auto"/>
                  <w:w w:val="97"/>
                </w:rPr>
                <w:t>incorporated herein by reference).</w:t>
              </w:r>
            </w:hyperlink>
          </w:p>
        </w:tc>
        <w:tc>
          <w:tcPr>
            <w:tcW w:w="6380" w:type="dxa"/>
            <w:vAlign w:val="bottom"/>
            <w:tcBorders>
              <w:top w:val="single" w:sz="8" w:color="0000EE"/>
            </w:tcBorders>
            <w:gridSpan w:val="13"/>
          </w:tcPr>
          <w:p>
            <w:pPr>
              <w:spacing w:after="0"/>
              <w:rPr>
                <w:sz w:val="13"/>
                <w:szCs w:val="13"/>
                <w:color w:val="auto"/>
              </w:rPr>
            </w:pPr>
          </w:p>
        </w:tc>
        <w:tc>
          <w:tcPr>
            <w:tcW w:w="260" w:type="dxa"/>
            <w:vAlign w:val="bottom"/>
            <w:gridSpan w:val="8"/>
          </w:tcPr>
          <w:p>
            <w:pPr>
              <w:spacing w:after="0"/>
              <w:rPr>
                <w:sz w:val="13"/>
                <w:szCs w:val="13"/>
                <w:color w:val="auto"/>
              </w:rPr>
            </w:pPr>
          </w:p>
        </w:tc>
      </w:tr>
      <w:tr>
        <w:trPr>
          <w:trHeight w:val="506"/>
        </w:trPr>
        <w:tc>
          <w:tcPr>
            <w:tcW w:w="900" w:type="dxa"/>
            <w:vAlign w:val="bottom"/>
          </w:tcPr>
          <w:p>
            <w:pPr>
              <w:spacing w:after="0"/>
              <w:rPr>
                <w:sz w:val="24"/>
                <w:szCs w:val="24"/>
                <w:color w:val="auto"/>
              </w:rPr>
            </w:pPr>
          </w:p>
        </w:tc>
        <w:tc>
          <w:tcPr>
            <w:tcW w:w="7080" w:type="dxa"/>
            <w:vAlign w:val="bottom"/>
            <w:gridSpan w:val="4"/>
          </w:tcPr>
          <w:p>
            <w:pPr>
              <w:ind w:left="4300"/>
              <w:spacing w:after="0"/>
              <w:rPr>
                <w:sz w:val="20"/>
                <w:szCs w:val="20"/>
                <w:color w:val="auto"/>
              </w:rPr>
            </w:pPr>
            <w:r>
              <w:rPr>
                <w:rFonts w:ascii="Times New Roman" w:cs="Times New Roman" w:eastAsia="Times New Roman" w:hAnsi="Times New Roman"/>
                <w:sz w:val="16"/>
                <w:szCs w:val="16"/>
                <w:color w:val="auto"/>
              </w:rPr>
              <w:t>30</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90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404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2.9</w:t>
            </w:r>
          </w:p>
        </w:tc>
        <w:tc>
          <w:tcPr>
            <w:tcW w:w="9640" w:type="dxa"/>
            <w:vAlign w:val="bottom"/>
            <w:gridSpan w:val="22"/>
          </w:tcPr>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50">
              <w:r>
                <w:rPr>
                  <w:rFonts w:ascii="Times New Roman" w:cs="Times New Roman" w:eastAsia="Times New Roman" w:hAnsi="Times New Roman"/>
                  <w:sz w:val="16"/>
                  <w:szCs w:val="16"/>
                  <w:color w:val="auto"/>
                </w:rPr>
                <w:t>Amendment Agreement to the Master Purchase Agreement regarding the acquisition of the Personal Care Business of Schülke &amp; Mayr</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4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auto"/>
              </w:rPr>
            </w:pPr>
            <w:hyperlink r:id="rId50">
              <w:r>
                <w:rPr>
                  <w:rFonts w:ascii="Times New Roman" w:cs="Times New Roman" w:eastAsia="Times New Roman" w:hAnsi="Times New Roman"/>
                  <w:sz w:val="16"/>
                  <w:szCs w:val="16"/>
                  <w:color w:val="auto"/>
                </w:rPr>
                <w:t>GmbH dated April 29, 2021, filed as Exhibit 2.2 to Ashland’s Form 10-Q filed on July 29, 2021 (SEC File No.333-211719) and</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7"/>
              </w:rPr>
            </w:pPr>
            <w:hyperlink r:id="rId50">
              <w:r>
                <w:rPr>
                  <w:rFonts w:ascii="Times New Roman" w:cs="Times New Roman" w:eastAsia="Times New Roman" w:hAnsi="Times New Roman"/>
                  <w:sz w:val="16"/>
                  <w:szCs w:val="16"/>
                  <w:color w:val="auto"/>
                  <w:w w:val="97"/>
                </w:rPr>
                <w:t>incorporated herein by reference).</w:t>
              </w:r>
            </w:hyperlink>
          </w:p>
        </w:tc>
        <w:tc>
          <w:tcPr>
            <w:tcW w:w="5860" w:type="dxa"/>
            <w:vAlign w:val="bottom"/>
            <w:tcBorders>
              <w:top w:val="single" w:sz="8" w:color="0000EE"/>
            </w:tcBorders>
            <w:gridSpan w:val="7"/>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2.10</w:t>
            </w:r>
          </w:p>
        </w:tc>
        <w:tc>
          <w:tcPr>
            <w:tcW w:w="9640" w:type="dxa"/>
            <w:vAlign w:val="bottom"/>
            <w:gridSpan w:val="22"/>
          </w:tcPr>
          <w:p>
            <w:pPr>
              <w:ind w:left="62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51">
              <w:r>
                <w:rPr>
                  <w:rFonts w:ascii="Times New Roman" w:cs="Times New Roman" w:eastAsia="Times New Roman" w:hAnsi="Times New Roman"/>
                  <w:sz w:val="16"/>
                  <w:szCs w:val="16"/>
                  <w:color w:val="auto"/>
                  <w:w w:val="98"/>
                </w:rPr>
                <w:t>Purchase and Sale Agreement, dated as of August 30, 2021, between Ashland LLC and Arkema, filed as Exhibit 2.1 to Ashland’s Form 8-K</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72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auto"/>
                <w:w w:val="97"/>
              </w:rPr>
            </w:pPr>
            <w:hyperlink r:id="rId51">
              <w:r>
                <w:rPr>
                  <w:rFonts w:ascii="Times New Roman" w:cs="Times New Roman" w:eastAsia="Times New Roman" w:hAnsi="Times New Roman"/>
                  <w:sz w:val="16"/>
                  <w:szCs w:val="16"/>
                  <w:color w:val="auto"/>
                  <w:w w:val="97"/>
                </w:rPr>
                <w:t>filed on August 31, 2021 (SEC File No.333-211719) and incorporated herein by reference).</w:t>
              </w:r>
            </w:hyperlink>
          </w:p>
        </w:tc>
        <w:tc>
          <w:tcPr>
            <w:tcW w:w="3040" w:type="dxa"/>
            <w:vAlign w:val="bottom"/>
            <w:tcBorders>
              <w:top w:val="single" w:sz="8" w:color="0000EE"/>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9640" w:type="dxa"/>
            <w:vAlign w:val="bottom"/>
            <w:gridSpan w:val="22"/>
          </w:tcPr>
          <w:p>
            <w:pPr>
              <w:ind w:left="62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52">
              <w:r>
                <w:rPr>
                  <w:rFonts w:ascii="Times New Roman" w:cs="Times New Roman" w:eastAsia="Times New Roman" w:hAnsi="Times New Roman"/>
                  <w:sz w:val="16"/>
                  <w:szCs w:val="16"/>
                  <w:color w:val="auto"/>
                  <w:w w:val="99"/>
                </w:rPr>
                <w:t>Amendment No. 1 to the Purchase and Sale Agreement, dated as of February 28, 2022, by and between Arkema and Ashland LLC (filed as</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6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r:id="rId52">
              <w:r>
                <w:rPr>
                  <w:rFonts w:ascii="Times New Roman" w:cs="Times New Roman" w:eastAsia="Times New Roman" w:hAnsi="Times New Roman"/>
                  <w:sz w:val="16"/>
                  <w:szCs w:val="16"/>
                  <w:color w:val="auto"/>
                  <w:w w:val="97"/>
                </w:rPr>
                <w:t>Exhibit 2.1 to Ashland’s Form 8-K filed on February 28, 2022 (SEC File No.333-211719) and incorporated herein by reference).</w:t>
              </w:r>
            </w:hyperlink>
          </w:p>
        </w:tc>
        <w:tc>
          <w:tcPr>
            <w:tcW w:w="640" w:type="dxa"/>
            <w:vAlign w:val="bottom"/>
            <w:tcBorders>
              <w:top w:val="single" w:sz="8" w:color="0000EE"/>
            </w:tcBorders>
            <w:gridSpan w:val="9"/>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2.12</w:t>
            </w:r>
          </w:p>
        </w:tc>
        <w:tc>
          <w:tcPr>
            <w:tcW w:w="9640" w:type="dxa"/>
            <w:vAlign w:val="bottom"/>
            <w:gridSpan w:val="22"/>
          </w:tcPr>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53">
              <w:r>
                <w:rPr>
                  <w:rFonts w:ascii="Times New Roman" w:cs="Times New Roman" w:eastAsia="Times New Roman" w:hAnsi="Times New Roman"/>
                  <w:sz w:val="16"/>
                  <w:szCs w:val="16"/>
                  <w:color w:val="auto"/>
                </w:rPr>
                <w:t>Stock Purchase Agreement, dated April 14, 2017, by and among Ashland LLC, Pharmachem Laboratories, Inc., the holders of common</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80" w:type="dxa"/>
            <w:vAlign w:val="bottom"/>
            <w:tcBorders>
              <w:top w:val="single" w:sz="8" w:color="0000EE"/>
              <w:bottom w:val="single" w:sz="8" w:color="0000EE"/>
            </w:tcBorders>
            <w:gridSpan w:val="14"/>
          </w:tcPr>
          <w:p>
            <w:pPr>
              <w:spacing w:after="0" w:line="160" w:lineRule="exact"/>
              <w:rPr>
                <w:rFonts w:ascii="Times New Roman" w:cs="Times New Roman" w:eastAsia="Times New Roman" w:hAnsi="Times New Roman"/>
                <w:sz w:val="16"/>
                <w:szCs w:val="16"/>
                <w:color w:val="auto"/>
                <w:w w:val="96"/>
              </w:rPr>
            </w:pPr>
            <w:hyperlink r:id="rId53">
              <w:r>
                <w:rPr>
                  <w:rFonts w:ascii="Times New Roman" w:cs="Times New Roman" w:eastAsia="Times New Roman" w:hAnsi="Times New Roman"/>
                  <w:sz w:val="16"/>
                  <w:szCs w:val="16"/>
                  <w:color w:val="auto"/>
                  <w:w w:val="96"/>
                </w:rPr>
                <w:t>stock of Pharmachem Laboratories, Inc., Dr. David Peele, and Photon SH Representative LLC, solely as the shareholders’ representative</w:t>
              </w:r>
            </w:hyperlink>
          </w:p>
        </w:tc>
        <w:tc>
          <w:tcPr>
            <w:tcW w:w="4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540" w:type="dxa"/>
            <w:vAlign w:val="bottom"/>
            <w:gridSpan w:val="16"/>
          </w:tcPr>
          <w:p>
            <w:pPr>
              <w:spacing w:after="0" w:line="160" w:lineRule="exact"/>
              <w:rPr>
                <w:rFonts w:ascii="Times New Roman" w:cs="Times New Roman" w:eastAsia="Times New Roman" w:hAnsi="Times New Roman"/>
                <w:sz w:val="16"/>
                <w:szCs w:val="16"/>
                <w:color w:val="auto"/>
                <w:w w:val="99"/>
              </w:rPr>
            </w:pPr>
            <w:hyperlink r:id="rId53">
              <w:r>
                <w:rPr>
                  <w:rFonts w:ascii="Times New Roman" w:cs="Times New Roman" w:eastAsia="Times New Roman" w:hAnsi="Times New Roman"/>
                  <w:sz w:val="16"/>
                  <w:szCs w:val="16"/>
                  <w:color w:val="auto"/>
                  <w:w w:val="99"/>
                </w:rPr>
                <w:t>(filed as Exhibit 2.1 to Ashland’s Form 8-K filed on May 18, 2017 (SEC File No. 333-211719) and incorporated herein by reference).</w:t>
              </w:r>
            </w:hyperlink>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2.13</w:t>
            </w:r>
          </w:p>
        </w:tc>
        <w:tc>
          <w:tcPr>
            <w:tcW w:w="9640" w:type="dxa"/>
            <w:vAlign w:val="bottom"/>
            <w:gridSpan w:val="22"/>
          </w:tcPr>
          <w:p>
            <w:pPr>
              <w:ind w:left="62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54">
              <w:r>
                <w:rPr>
                  <w:rFonts w:ascii="Times New Roman" w:cs="Times New Roman" w:eastAsia="Times New Roman" w:hAnsi="Times New Roman"/>
                  <w:sz w:val="16"/>
                  <w:szCs w:val="16"/>
                  <w:color w:val="auto"/>
                  <w:w w:val="98"/>
                </w:rPr>
                <w:t>Amendment No. 1 to the Stock Purchase Agreement, dated May 16, 2017, by and among Ashland LLC, Pharmachem Laboratories, Inc., the</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8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auto"/>
              </w:rPr>
            </w:pPr>
            <w:hyperlink r:id="rId54">
              <w:r>
                <w:rPr>
                  <w:rFonts w:ascii="Times New Roman" w:cs="Times New Roman" w:eastAsia="Times New Roman" w:hAnsi="Times New Roman"/>
                  <w:sz w:val="16"/>
                  <w:szCs w:val="16"/>
                  <w:color w:val="auto"/>
                </w:rPr>
                <w:t>holders of common stock of Pharmachem Laboratories, Inc., Dr. David Peele, and Photon SH Representative LLC, solely as the</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auto"/>
                <w:w w:val="97"/>
              </w:rPr>
            </w:pPr>
            <w:hyperlink r:id="rId54">
              <w:r>
                <w:rPr>
                  <w:rFonts w:ascii="Times New Roman" w:cs="Times New Roman" w:eastAsia="Times New Roman" w:hAnsi="Times New Roman"/>
                  <w:sz w:val="16"/>
                  <w:szCs w:val="16"/>
                  <w:color w:val="auto"/>
                  <w:w w:val="97"/>
                </w:rPr>
                <w:t>shareholders’ representative (filed as Exhibit 2.2 to Ashland’s Form 8-K filed on May 18, 2017 (SEC File No. 333-211719) and</w:t>
              </w:r>
            </w:hyperlink>
          </w:p>
        </w:tc>
        <w:tc>
          <w:tcPr>
            <w:tcW w:w="2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7"/>
              </w:rPr>
            </w:pPr>
            <w:hyperlink r:id="rId54">
              <w:r>
                <w:rPr>
                  <w:rFonts w:ascii="Times New Roman" w:cs="Times New Roman" w:eastAsia="Times New Roman" w:hAnsi="Times New Roman"/>
                  <w:sz w:val="16"/>
                  <w:szCs w:val="16"/>
                  <w:color w:val="auto"/>
                  <w:w w:val="97"/>
                </w:rPr>
                <w:t>incorporated herein by reference).</w:t>
              </w:r>
            </w:hyperlink>
          </w:p>
        </w:tc>
        <w:tc>
          <w:tcPr>
            <w:tcW w:w="5840" w:type="dxa"/>
            <w:vAlign w:val="bottom"/>
            <w:tcBorders>
              <w:top w:val="single" w:sz="8" w:color="0000EE"/>
            </w:tcBorders>
            <w:gridSpan w:val="6"/>
          </w:tcPr>
          <w:p>
            <w:pPr>
              <w:spacing w:after="0"/>
              <w:rPr>
                <w:sz w:val="13"/>
                <w:szCs w:val="13"/>
                <w:color w:val="auto"/>
              </w:rPr>
            </w:pPr>
          </w:p>
        </w:tc>
        <w:tc>
          <w:tcPr>
            <w:tcW w:w="2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2.14</w:t>
            </w:r>
          </w:p>
        </w:tc>
        <w:tc>
          <w:tcPr>
            <w:tcW w:w="9640" w:type="dxa"/>
            <w:vAlign w:val="bottom"/>
            <w:gridSpan w:val="22"/>
          </w:tcPr>
          <w:p>
            <w:pPr>
              <w:ind w:left="62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55">
              <w:r>
                <w:rPr>
                  <w:rFonts w:ascii="Times New Roman" w:cs="Times New Roman" w:eastAsia="Times New Roman" w:hAnsi="Times New Roman"/>
                  <w:sz w:val="16"/>
                  <w:szCs w:val="16"/>
                  <w:color w:val="auto"/>
                  <w:w w:val="99"/>
                </w:rPr>
                <w:t>Amendment No. 2 to the Stock Purchase Agreement, dated August 23, 2017, by and among Ashland LLC, Pharmachem Laboratories, Inc.,</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0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auto"/>
              </w:rPr>
            </w:pPr>
            <w:hyperlink r:id="rId55">
              <w:r>
                <w:rPr>
                  <w:rFonts w:ascii="Times New Roman" w:cs="Times New Roman" w:eastAsia="Times New Roman" w:hAnsi="Times New Roman"/>
                  <w:sz w:val="16"/>
                  <w:szCs w:val="16"/>
                  <w:color w:val="auto"/>
                </w:rPr>
                <w:t>the holders of common stock of Pharmachem Laboratories, Inc., Dr. David Peele, and Photon SH Representative LLC, solely as the</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4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auto"/>
                <w:w w:val="97"/>
              </w:rPr>
            </w:pPr>
            <w:hyperlink r:id="rId55">
              <w:r>
                <w:rPr>
                  <w:rFonts w:ascii="Times New Roman" w:cs="Times New Roman" w:eastAsia="Times New Roman" w:hAnsi="Times New Roman"/>
                  <w:sz w:val="16"/>
                  <w:szCs w:val="16"/>
                  <w:color w:val="auto"/>
                  <w:w w:val="97"/>
                </w:rPr>
                <w:t>shareholders’ representative (filed as Exhibit 10.84 to Ashland’s Form 10-K for the fiscal year ended September 30, 2017 (SEC File</w:t>
              </w:r>
            </w:hyperlink>
          </w:p>
        </w:tc>
        <w:tc>
          <w:tcPr>
            <w:tcW w:w="540" w:type="dxa"/>
            <w:vAlign w:val="bottom"/>
            <w:gridSpan w:val="11"/>
          </w:tcPr>
          <w:p>
            <w:pPr>
              <w:ind w:left="60"/>
              <w:spacing w:after="0" w:line="160" w:lineRule="exact"/>
              <w:rPr>
                <w:rFonts w:ascii="Times New Roman" w:cs="Times New Roman" w:eastAsia="Times New Roman" w:hAnsi="Times New Roman"/>
                <w:sz w:val="16"/>
                <w:szCs w:val="16"/>
                <w:color w:val="auto"/>
              </w:rPr>
            </w:pPr>
            <w:hyperlink r:id="rId55">
              <w:r>
                <w:rPr>
                  <w:rFonts w:ascii="Times New Roman" w:cs="Times New Roman" w:eastAsia="Times New Roman" w:hAnsi="Times New Roman"/>
                  <w:sz w:val="16"/>
                  <w:szCs w:val="16"/>
                  <w:color w:val="auto"/>
                </w:rPr>
                <w:t>No.</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7"/>
              </w:rPr>
            </w:pPr>
            <w:hyperlink r:id="rId55">
              <w:r>
                <w:rPr>
                  <w:rFonts w:ascii="Times New Roman" w:cs="Times New Roman" w:eastAsia="Times New Roman" w:hAnsi="Times New Roman"/>
                  <w:sz w:val="16"/>
                  <w:szCs w:val="16"/>
                  <w:color w:val="auto"/>
                  <w:w w:val="97"/>
                </w:rPr>
                <w:t>333-211719), and incorporated by reference herein).</w:t>
              </w:r>
            </w:hyperlink>
          </w:p>
        </w:tc>
        <w:tc>
          <w:tcPr>
            <w:tcW w:w="5220" w:type="dxa"/>
            <w:vAlign w:val="bottom"/>
            <w:tcBorders>
              <w:top w:val="single" w:sz="8" w:color="0000EE"/>
            </w:tcBorders>
            <w:gridSpan w:val="13"/>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640" w:type="dxa"/>
            <w:vAlign w:val="bottom"/>
            <w:gridSpan w:val="22"/>
          </w:tcPr>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56">
              <w:r>
                <w:rPr>
                  <w:rFonts w:ascii="Times New Roman" w:cs="Times New Roman" w:eastAsia="Times New Roman" w:hAnsi="Times New Roman"/>
                  <w:sz w:val="16"/>
                  <w:szCs w:val="16"/>
                  <w:color w:val="auto"/>
                </w:rPr>
                <w:t>Amended and Restated Articles of Incorporation of Ashland Global Holdings Inc. (filed as Exhibit 3.1 to Ashland’s Form 8-K filed on</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4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auto"/>
                <w:w w:val="97"/>
              </w:rPr>
            </w:pPr>
            <w:hyperlink r:id="rId56">
              <w:r>
                <w:rPr>
                  <w:rFonts w:ascii="Times New Roman" w:cs="Times New Roman" w:eastAsia="Times New Roman" w:hAnsi="Times New Roman"/>
                  <w:sz w:val="16"/>
                  <w:szCs w:val="16"/>
                  <w:color w:val="auto"/>
                  <w:w w:val="97"/>
                </w:rPr>
                <w:t>September 20, 2016 (SEC File No. 001-32532)) and incorporated by reference herein).</w:t>
              </w:r>
            </w:hyperlink>
          </w:p>
        </w:tc>
        <w:tc>
          <w:tcPr>
            <w:tcW w:w="2960" w:type="dxa"/>
            <w:vAlign w:val="bottom"/>
            <w:tcBorders>
              <w:top w:val="single" w:sz="8" w:color="0000EE"/>
            </w:tcBorders>
            <w:gridSpan w:val="8"/>
          </w:tcPr>
          <w:p>
            <w:pPr>
              <w:spacing w:after="0"/>
              <w:rPr>
                <w:sz w:val="13"/>
                <w:szCs w:val="13"/>
                <w:color w:val="auto"/>
              </w:rPr>
            </w:pPr>
          </w:p>
        </w:tc>
        <w:tc>
          <w:tcPr>
            <w:tcW w:w="180" w:type="dxa"/>
            <w:vAlign w:val="bottom"/>
            <w:gridSpan w:val="5"/>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640" w:type="dxa"/>
            <w:vAlign w:val="bottom"/>
            <w:gridSpan w:val="22"/>
          </w:tcPr>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57">
              <w:r>
                <w:rPr>
                  <w:rFonts w:ascii="Times New Roman" w:cs="Times New Roman" w:eastAsia="Times New Roman" w:hAnsi="Times New Roman"/>
                  <w:sz w:val="16"/>
                  <w:szCs w:val="16"/>
                  <w:color w:val="auto"/>
                </w:rPr>
                <w:t>Certificate of Ownership &amp; Merger, amending the Company’s Amended and Restated Certificate of Incorporation (filed as Exhibit 3.1 to</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94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auto"/>
                <w:w w:val="97"/>
              </w:rPr>
            </w:pPr>
            <w:hyperlink r:id="rId57">
              <w:r>
                <w:rPr>
                  <w:rFonts w:ascii="Times New Roman" w:cs="Times New Roman" w:eastAsia="Times New Roman" w:hAnsi="Times New Roman"/>
                  <w:sz w:val="16"/>
                  <w:szCs w:val="16"/>
                  <w:color w:val="auto"/>
                  <w:w w:val="97"/>
                </w:rPr>
                <w:t>Ashland’s Form 8-K filed on August 1, 2022 (SEC File No. 001-32532) and incorporated by reference herein).</w:t>
              </w:r>
            </w:hyperlink>
          </w:p>
        </w:tc>
        <w:tc>
          <w:tcPr>
            <w:tcW w:w="1640" w:type="dxa"/>
            <w:vAlign w:val="bottom"/>
            <w:tcBorders>
              <w:top w:val="single" w:sz="8" w:color="0000EE"/>
            </w:tcBorders>
            <w:gridSpan w:val="11"/>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9640" w:type="dxa"/>
            <w:vAlign w:val="bottom"/>
            <w:gridSpan w:val="22"/>
          </w:tcPr>
          <w:p>
            <w:pPr>
              <w:ind w:left="62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58">
              <w:r>
                <w:rPr>
                  <w:rFonts w:ascii="Times New Roman" w:cs="Times New Roman" w:eastAsia="Times New Roman" w:hAnsi="Times New Roman"/>
                  <w:sz w:val="16"/>
                  <w:szCs w:val="16"/>
                  <w:color w:val="auto"/>
                  <w:w w:val="98"/>
                </w:rPr>
                <w:t>By-laws of Ashland Inc. (Amended and Restated as of September 20, 2022) (filed as Exhibit 3.1 to Ashland’s Form 8-K filed on September</w:t>
              </w:r>
            </w:hyperlink>
          </w:p>
        </w:tc>
      </w:tr>
      <w:tr>
        <w:trPr>
          <w:trHeight w:val="160"/>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auto"/>
              </w:rPr>
            </w:pPr>
            <w:hyperlink r:id="rId58">
              <w:r>
                <w:rPr>
                  <w:rFonts w:ascii="Times New Roman" w:cs="Times New Roman" w:eastAsia="Times New Roman" w:hAnsi="Times New Roman"/>
                  <w:sz w:val="16"/>
                  <w:szCs w:val="16"/>
                  <w:color w:val="auto"/>
                </w:rPr>
                <w:t>20, 2022 (SEC File No. 333-211719) and incorporated by reference herein).</w:t>
              </w:r>
            </w:hyperlink>
          </w:p>
        </w:tc>
        <w:tc>
          <w:tcPr>
            <w:tcW w:w="40" w:type="dxa"/>
            <w:vAlign w:val="bottom"/>
            <w:gridSpan w:val="2"/>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9" w:lineRule="exact"/>
        <w:rPr>
          <w:sz w:val="20"/>
          <w:szCs w:val="20"/>
          <w:color w:val="auto"/>
        </w:rPr>
      </w:pPr>
    </w:p>
    <w:p>
      <w:pPr>
        <w:ind w:right="200" w:firstLine="348"/>
        <w:spacing w:after="0" w:line="259" w:lineRule="auto"/>
        <w:rPr>
          <w:sz w:val="20"/>
          <w:szCs w:val="20"/>
          <w:color w:val="auto"/>
        </w:rPr>
      </w:pPr>
      <w:r>
        <w:rPr>
          <w:rFonts w:ascii="Times New Roman" w:cs="Times New Roman" w:eastAsia="Times New Roman" w:hAnsi="Times New Roman"/>
          <w:sz w:val="16"/>
          <w:szCs w:val="16"/>
          <w:color w:val="auto"/>
        </w:rPr>
        <w:t>Pursuant to Item 601(b)(4)(iii)(A) of Regulation S-K, copies of instruments defining the rights of holders of long-term debt of Ashland and all of its subsidiaries are not filed, Ashland agrees to furnish a copy of such instruments with the SEC upon request.</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89"/>
              </w:rPr>
              <w:t>4.1</w:t>
            </w:r>
          </w:p>
        </w:tc>
        <w:tc>
          <w:tcPr>
            <w:tcW w:w="9640" w:type="dxa"/>
            <w:vAlign w:val="bottom"/>
            <w:gridSpan w:val="10"/>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59">
              <w:r>
                <w:rPr>
                  <w:rFonts w:ascii="Times New Roman" w:cs="Times New Roman" w:eastAsia="Times New Roman" w:hAnsi="Times New Roman"/>
                  <w:sz w:val="16"/>
                  <w:szCs w:val="16"/>
                  <w:color w:val="auto"/>
                </w:rPr>
                <w:t>Indenture, dated as of February 26, 2013, between Ashland Inc. and U.S. Bank National Association, as Trustee (filed as Exhibit 4.3 to</w:t>
              </w:r>
            </w:hyperlink>
          </w:p>
        </w:tc>
      </w:tr>
      <w:tr>
        <w:trPr>
          <w:trHeight w:val="160"/>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4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auto"/>
              </w:rPr>
            </w:pPr>
            <w:hyperlink r:id="rId59">
              <w:r>
                <w:rPr>
                  <w:rFonts w:ascii="Times New Roman" w:cs="Times New Roman" w:eastAsia="Times New Roman" w:hAnsi="Times New Roman"/>
                  <w:sz w:val="16"/>
                  <w:szCs w:val="16"/>
                  <w:color w:val="auto"/>
                </w:rPr>
                <w:t>Ashland’s Form 8-K filed on February 27, 2013 (SEC File No. 001- 32532), and incorporated herein by reference).</w:t>
              </w:r>
            </w:hyperlink>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0"/>
        </w:trPr>
        <w:tc>
          <w:tcPr>
            <w:tcW w:w="8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89"/>
              </w:rPr>
              <w:t>4.2</w:t>
            </w:r>
          </w:p>
        </w:tc>
        <w:tc>
          <w:tcPr>
            <w:tcW w:w="9640" w:type="dxa"/>
            <w:vAlign w:val="bottom"/>
            <w:gridSpan w:val="10"/>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60">
              <w:r>
                <w:rPr>
                  <w:rFonts w:ascii="Times New Roman" w:cs="Times New Roman" w:eastAsia="Times New Roman" w:hAnsi="Times New Roman"/>
                  <w:sz w:val="16"/>
                  <w:szCs w:val="16"/>
                  <w:color w:val="auto"/>
                </w:rPr>
                <w:t>First Supplemental Indenture, dated as of February 26, 2013, between Ashland Inc. and U.S. Bank National Association, as Trustee, in</w:t>
              </w:r>
            </w:hyperlink>
          </w:p>
        </w:tc>
      </w:tr>
      <w:tr>
        <w:trPr>
          <w:trHeight w:val="160"/>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auto"/>
                <w:w w:val="97"/>
              </w:rPr>
            </w:pPr>
            <w:hyperlink r:id="rId60">
              <w:r>
                <w:rPr>
                  <w:rFonts w:ascii="Times New Roman" w:cs="Times New Roman" w:eastAsia="Times New Roman" w:hAnsi="Times New Roman"/>
                  <w:sz w:val="16"/>
                  <w:szCs w:val="16"/>
                  <w:color w:val="auto"/>
                  <w:w w:val="97"/>
                </w:rPr>
                <w:t>respect of the senior notes due 2016, 2018 and 2043 (filed as Exhibit 4.4 to Ashland’s Form 8-K filed on February 27, 2013 (SEC File</w:t>
              </w:r>
            </w:hyperlink>
          </w:p>
        </w:tc>
        <w:tc>
          <w:tcPr>
            <w:tcW w:w="340" w:type="dxa"/>
            <w:vAlign w:val="bottom"/>
            <w:gridSpan w:val="5"/>
          </w:tcPr>
          <w:p>
            <w:pPr>
              <w:ind w:left="20"/>
              <w:spacing w:after="0" w:line="160" w:lineRule="exact"/>
              <w:rPr>
                <w:rFonts w:ascii="Times New Roman" w:cs="Times New Roman" w:eastAsia="Times New Roman" w:hAnsi="Times New Roman"/>
                <w:sz w:val="16"/>
                <w:szCs w:val="16"/>
                <w:color w:val="auto"/>
              </w:rPr>
            </w:pPr>
            <w:hyperlink r:id="rId60">
              <w:r>
                <w:rPr>
                  <w:rFonts w:ascii="Times New Roman" w:cs="Times New Roman" w:eastAsia="Times New Roman" w:hAnsi="Times New Roman"/>
                  <w:sz w:val="16"/>
                  <w:szCs w:val="16"/>
                  <w:color w:val="auto"/>
                </w:rPr>
                <w:t>No.</w:t>
              </w:r>
            </w:hyperlink>
          </w:p>
        </w:tc>
      </w:tr>
      <w:tr>
        <w:trPr>
          <w:trHeight w:val="160"/>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7"/>
              </w:rPr>
            </w:pPr>
            <w:hyperlink r:id="rId60">
              <w:r>
                <w:rPr>
                  <w:rFonts w:ascii="Times New Roman" w:cs="Times New Roman" w:eastAsia="Times New Roman" w:hAnsi="Times New Roman"/>
                  <w:sz w:val="16"/>
                  <w:szCs w:val="16"/>
                  <w:color w:val="auto"/>
                  <w:w w:val="97"/>
                </w:rPr>
                <w:t>001-32532), and incorporated herein by reference).</w:t>
              </w:r>
            </w:hyperlink>
          </w:p>
        </w:tc>
        <w:tc>
          <w:tcPr>
            <w:tcW w:w="546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0"/>
        </w:trPr>
        <w:tc>
          <w:tcPr>
            <w:tcW w:w="8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89"/>
              </w:rPr>
              <w:t>4.3</w:t>
            </w:r>
          </w:p>
        </w:tc>
        <w:tc>
          <w:tcPr>
            <w:tcW w:w="9640" w:type="dxa"/>
            <w:vAlign w:val="bottom"/>
            <w:gridSpan w:val="10"/>
          </w:tcPr>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61">
              <w:r>
                <w:rPr>
                  <w:rFonts w:ascii="Times New Roman" w:cs="Times New Roman" w:eastAsia="Times New Roman" w:hAnsi="Times New Roman"/>
                  <w:sz w:val="16"/>
                  <w:szCs w:val="16"/>
                  <w:color w:val="auto"/>
                </w:rPr>
                <w:t>Second Supplemental Indenture, dated as of March 14, 2013, between Ashland Inc. and U.S. Bank National Association, as Trustee, in</w:t>
              </w:r>
            </w:hyperlink>
          </w:p>
        </w:tc>
      </w:tr>
      <w:tr>
        <w:trPr>
          <w:trHeight w:val="20"/>
        </w:trPr>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3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740" w:type="dxa"/>
            <w:vAlign w:val="bottom"/>
            <w:gridSpan w:val="9"/>
          </w:tcPr>
          <w:p>
            <w:pPr>
              <w:spacing w:after="0" w:line="160" w:lineRule="exact"/>
              <w:rPr>
                <w:rFonts w:ascii="Times New Roman" w:cs="Times New Roman" w:eastAsia="Times New Roman" w:hAnsi="Times New Roman"/>
                <w:sz w:val="16"/>
                <w:szCs w:val="16"/>
                <w:color w:val="auto"/>
                <w:w w:val="99"/>
              </w:rPr>
            </w:pPr>
            <w:hyperlink r:id="rId61">
              <w:r>
                <w:rPr>
                  <w:rFonts w:ascii="Times New Roman" w:cs="Times New Roman" w:eastAsia="Times New Roman" w:hAnsi="Times New Roman"/>
                  <w:sz w:val="16"/>
                  <w:szCs w:val="16"/>
                  <w:color w:val="auto"/>
                  <w:w w:val="99"/>
                </w:rPr>
                <w:t>respect of the senior notes due 2043 (filed as Exhibit 4.2 to Ashland’s Form 8-K filed on March 18, 2013 (SEC File No. 001-32532), and</w:t>
              </w:r>
            </w:hyperlink>
          </w:p>
        </w:tc>
      </w:tr>
      <w:tr>
        <w:trPr>
          <w:trHeight w:val="160"/>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1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7"/>
              </w:rPr>
            </w:pPr>
            <w:hyperlink r:id="rId61">
              <w:r>
                <w:rPr>
                  <w:rFonts w:ascii="Times New Roman" w:cs="Times New Roman" w:eastAsia="Times New Roman" w:hAnsi="Times New Roman"/>
                  <w:sz w:val="16"/>
                  <w:szCs w:val="16"/>
                  <w:color w:val="auto"/>
                  <w:w w:val="97"/>
                </w:rPr>
                <w:t>incorporated herein by reference).</w:t>
              </w:r>
            </w:hyperlink>
          </w:p>
        </w:tc>
        <w:tc>
          <w:tcPr>
            <w:tcW w:w="6420" w:type="dxa"/>
            <w:vAlign w:val="bottom"/>
            <w:tcBorders>
              <w:top w:val="single" w:sz="8" w:color="0000EE"/>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80"/>
        </w:trPr>
        <w:tc>
          <w:tcPr>
            <w:tcW w:w="8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89"/>
              </w:rPr>
              <w:t>4.4</w:t>
            </w:r>
          </w:p>
        </w:tc>
        <w:tc>
          <w:tcPr>
            <w:tcW w:w="9640" w:type="dxa"/>
            <w:vAlign w:val="bottom"/>
            <w:gridSpan w:val="10"/>
          </w:tcPr>
          <w:p>
            <w:pPr>
              <w:ind w:left="66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62">
              <w:r>
                <w:rPr>
                  <w:rFonts w:ascii="Times New Roman" w:cs="Times New Roman" w:eastAsia="Times New Roman" w:hAnsi="Times New Roman"/>
                  <w:sz w:val="16"/>
                  <w:szCs w:val="16"/>
                  <w:color w:val="auto"/>
                  <w:w w:val="98"/>
                </w:rPr>
                <w:t>First Supplemental Indenture as of August 1, 2022, to the Trust Indenture in respect of the 2031 Notes dated as of August 18, 2021, by and</w:t>
              </w:r>
            </w:hyperlink>
          </w:p>
        </w:tc>
      </w:tr>
      <w:tr>
        <w:trPr>
          <w:trHeight w:val="160"/>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8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auto"/>
                <w:w w:val="96"/>
              </w:rPr>
            </w:pPr>
            <w:hyperlink r:id="rId62">
              <w:r>
                <w:rPr>
                  <w:rFonts w:ascii="Times New Roman" w:cs="Times New Roman" w:eastAsia="Times New Roman" w:hAnsi="Times New Roman"/>
                  <w:sz w:val="16"/>
                  <w:szCs w:val="16"/>
                  <w:color w:val="auto"/>
                  <w:w w:val="96"/>
                </w:rPr>
                <w:t>among Ashland Global Holdings Inc. (now Ashland Inc.), U.S. Bank Trust Company, National Association, as trustee (filed as Exhibit 4.12</w:t>
              </w:r>
            </w:hyperlink>
          </w:p>
        </w:tc>
        <w:tc>
          <w:tcPr>
            <w:tcW w:w="60" w:type="dxa"/>
            <w:vAlign w:val="bottom"/>
            <w:tcBorders>
              <w:bottom w:val="single" w:sz="8" w:color="0000EE"/>
            </w:tcBorders>
          </w:tcPr>
          <w:p>
            <w:pPr>
              <w:spacing w:after="0"/>
              <w:rPr>
                <w:sz w:val="13"/>
                <w:szCs w:val="13"/>
                <w:color w:val="auto"/>
              </w:rPr>
            </w:pPr>
          </w:p>
        </w:tc>
      </w:tr>
    </w:tbl>
    <w:p>
      <w:pPr>
        <w:ind w:left="1800" w:right="500"/>
        <w:spacing w:after="0" w:line="258" w:lineRule="auto"/>
        <w:rPr>
          <w:rFonts w:ascii="Times New Roman" w:cs="Times New Roman" w:eastAsia="Times New Roman" w:hAnsi="Times New Roman"/>
          <w:sz w:val="16"/>
          <w:szCs w:val="16"/>
          <w:color w:val="auto"/>
        </w:rPr>
      </w:pPr>
      <w:hyperlink r:id="rId62">
        <w:r>
          <w:rPr>
            <w:rFonts w:ascii="Times New Roman" w:cs="Times New Roman" w:eastAsia="Times New Roman" w:hAnsi="Times New Roman"/>
            <w:sz w:val="16"/>
            <w:szCs w:val="16"/>
            <w:color w:val="auto"/>
          </w:rPr>
          <w:t>to Ashland's Form 10-K for the fiscal year ended September 30, 2022, filed on November 21, 2022 (SEC File No. 333-211719), and</w:t>
        </w:r>
      </w:hyperlink>
      <w:r>
        <w:rPr>
          <w:rFonts w:ascii="Times New Roman" w:cs="Times New Roman" w:eastAsia="Times New Roman" w:hAnsi="Times New Roman"/>
          <w:sz w:val="16"/>
          <w:szCs w:val="16"/>
          <w:color w:val="auto"/>
        </w:rPr>
        <w:t xml:space="preserve"> </w:t>
      </w:r>
      <w:hyperlink r:id="rId62">
        <w:r>
          <w:rPr>
            <w:rFonts w:ascii="Times New Roman" w:cs="Times New Roman" w:eastAsia="Times New Roman" w:hAnsi="Times New Roman"/>
            <w:sz w:val="16"/>
            <w:szCs w:val="16"/>
            <w:color w:val="auto"/>
          </w:rPr>
          <w:t>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-144145</wp:posOffset>
            </wp:positionV>
            <wp:extent cx="52438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5243830" cy="7620"/>
                    </a:xfrm>
                    <a:prstGeom prst="rect">
                      <a:avLst/>
                    </a:prstGeom>
                    <a:noFill/>
                  </pic:spPr>
                </pic:pic>
              </a:graphicData>
            </a:graphic>
          </wp:anchor>
        </w:drawing>
        <w:drawing>
          <wp:anchor simplePos="0" relativeHeight="251657728" behindDoc="1" locked="0" layoutInCell="0" allowOverlap="1">
            <wp:simplePos x="0" y="0"/>
            <wp:positionH relativeFrom="column">
              <wp:posOffset>1147445</wp:posOffset>
            </wp:positionH>
            <wp:positionV relativeFrom="paragraph">
              <wp:posOffset>-29210</wp:posOffset>
            </wp:positionV>
            <wp:extent cx="13493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2" w:right="680" w:bottom="1440" w:gutter="0" w:footer="0" w:header="0"/>
        </w:sectPr>
      </w:pPr>
    </w:p>
    <w:bookmarkStart w:id="31" w:name="page32"/>
    <w:bookmarkEnd w:id="31"/>
    <w:tbl>
      <w:tblPr>
        <w:tblLayout w:type="fixed"/>
        <w:tblInd w:w="4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9500" w:type="dxa"/>
            <w:vAlign w:val="bottom"/>
            <w:gridSpan w:val="19"/>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66">
              <w:r>
                <w:rPr>
                  <w:rFonts w:ascii="Times New Roman" w:cs="Times New Roman" w:eastAsia="Times New Roman" w:hAnsi="Times New Roman"/>
                  <w:sz w:val="16"/>
                  <w:szCs w:val="16"/>
                  <w:color w:val="auto"/>
                </w:rPr>
                <w:t>Third Supplemental Indenture dated October 19, 2016, among Ashland LLC, Ashland Global Holdings Inc. and US Bank National</w:t>
              </w:r>
            </w:hyperlink>
          </w:p>
        </w:tc>
      </w:tr>
      <w:tr>
        <w:trPr>
          <w:trHeight w:val="20"/>
        </w:trPr>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80" w:type="dxa"/>
            <w:vAlign w:val="bottom"/>
            <w:tcBorders>
              <w:bottom w:val="single" w:sz="8" w:color="0000EE"/>
            </w:tcBorders>
            <w:gridSpan w:val="18"/>
          </w:tcPr>
          <w:p>
            <w:pPr>
              <w:spacing w:after="0" w:line="160" w:lineRule="exact"/>
              <w:rPr>
                <w:rFonts w:ascii="Times New Roman" w:cs="Times New Roman" w:eastAsia="Times New Roman" w:hAnsi="Times New Roman"/>
                <w:sz w:val="16"/>
                <w:szCs w:val="16"/>
                <w:color w:val="auto"/>
                <w:w w:val="97"/>
              </w:rPr>
            </w:pPr>
            <w:hyperlink r:id="rId66">
              <w:r>
                <w:rPr>
                  <w:rFonts w:ascii="Times New Roman" w:cs="Times New Roman" w:eastAsia="Times New Roman" w:hAnsi="Times New Roman"/>
                  <w:sz w:val="16"/>
                  <w:szCs w:val="16"/>
                  <w:color w:val="auto"/>
                  <w:w w:val="97"/>
                </w:rPr>
                <w:t>Association, to the Indenture dated as of February 26, 2013 between Ashland LLC and US Bank National Association (filed as Exhibit 4.2</w:t>
              </w:r>
            </w:hyperlink>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34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auto"/>
                <w:w w:val="97"/>
              </w:rPr>
            </w:pPr>
            <w:hyperlink r:id="rId66">
              <w:r>
                <w:rPr>
                  <w:rFonts w:ascii="Times New Roman" w:cs="Times New Roman" w:eastAsia="Times New Roman" w:hAnsi="Times New Roman"/>
                  <w:sz w:val="16"/>
                  <w:szCs w:val="16"/>
                  <w:color w:val="auto"/>
                  <w:w w:val="97"/>
                </w:rPr>
                <w:t>to Ashland’s Form 8-K filed on October 20, 2016 (SEC File No. 333-211719), and incorporated herein by reference).</w:t>
              </w:r>
            </w:hyperlink>
          </w:p>
        </w:tc>
        <w:tc>
          <w:tcPr>
            <w:tcW w:w="1340" w:type="dxa"/>
            <w:vAlign w:val="bottom"/>
            <w:gridSpan w:val="11"/>
          </w:tcPr>
          <w:p>
            <w:pPr>
              <w:spacing w:after="0"/>
              <w:rPr>
                <w:sz w:val="13"/>
                <w:szCs w:val="13"/>
                <w:color w:val="auto"/>
              </w:rPr>
            </w:pPr>
          </w:p>
        </w:tc>
      </w:tr>
      <w:tr>
        <w:trPr>
          <w:trHeight w:val="28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9500" w:type="dxa"/>
            <w:vAlign w:val="bottom"/>
            <w:gridSpan w:val="19"/>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67">
              <w:r>
                <w:rPr>
                  <w:rFonts w:ascii="Times New Roman" w:cs="Times New Roman" w:eastAsia="Times New Roman" w:hAnsi="Times New Roman"/>
                  <w:sz w:val="16"/>
                  <w:szCs w:val="16"/>
                  <w:color w:val="auto"/>
                </w:rPr>
                <w:t>Fourth Supplemental Indenture dated August 1, 2022, to the Trust Indenture dated as of February 26, 2013, between Ashland Global</w:t>
              </w:r>
            </w:hyperlink>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8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r:id="rId67">
              <w:r>
                <w:rPr>
                  <w:rFonts w:ascii="Times New Roman" w:cs="Times New Roman" w:eastAsia="Times New Roman" w:hAnsi="Times New Roman"/>
                  <w:sz w:val="16"/>
                  <w:szCs w:val="16"/>
                  <w:color w:val="auto"/>
                  <w:w w:val="97"/>
                </w:rPr>
                <w:t>Holdings Inc. (now Ashland Inc.) and U.S. Bank Trust Company, National Association, as trustee (filed as Exhibit 4.14 to Ashland's</w:t>
              </w:r>
            </w:hyperlink>
          </w:p>
        </w:tc>
        <w:tc>
          <w:tcPr>
            <w:tcW w:w="20" w:type="dxa"/>
            <w:vAlign w:val="bottom"/>
            <w:tcBorders>
              <w:bottom w:val="single" w:sz="8" w:color="0000EE"/>
            </w:tcBorders>
          </w:tcPr>
          <w:p>
            <w:pPr>
              <w:spacing w:after="0"/>
              <w:rPr>
                <w:sz w:val="13"/>
                <w:szCs w:val="13"/>
                <w:color w:val="auto"/>
              </w:rPr>
            </w:pPr>
          </w:p>
        </w:tc>
        <w:tc>
          <w:tcPr>
            <w:tcW w:w="380" w:type="dxa"/>
            <w:vAlign w:val="bottom"/>
            <w:tcBorders>
              <w:bottom w:val="single" w:sz="8" w:color="0000EE"/>
            </w:tcBorders>
            <w:gridSpan w:val="8"/>
          </w:tcPr>
          <w:p>
            <w:pPr>
              <w:ind w:left="20"/>
              <w:spacing w:after="0" w:line="160" w:lineRule="exact"/>
              <w:rPr>
                <w:rFonts w:ascii="Times New Roman" w:cs="Times New Roman" w:eastAsia="Times New Roman" w:hAnsi="Times New Roman"/>
                <w:sz w:val="16"/>
                <w:szCs w:val="16"/>
                <w:color w:val="auto"/>
                <w:w w:val="97"/>
              </w:rPr>
            </w:pPr>
            <w:hyperlink r:id="rId67">
              <w:r>
                <w:rPr>
                  <w:rFonts w:ascii="Times New Roman" w:cs="Times New Roman" w:eastAsia="Times New Roman" w:hAnsi="Times New Roman"/>
                  <w:sz w:val="16"/>
                  <w:szCs w:val="16"/>
                  <w:color w:val="auto"/>
                  <w:w w:val="97"/>
                </w:rPr>
                <w:t>Form</w:t>
              </w:r>
            </w:hyperlink>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80" w:type="dxa"/>
            <w:vAlign w:val="bottom"/>
            <w:gridSpan w:val="18"/>
          </w:tcPr>
          <w:p>
            <w:pPr>
              <w:spacing w:after="0" w:line="160" w:lineRule="exact"/>
              <w:rPr>
                <w:rFonts w:ascii="Times New Roman" w:cs="Times New Roman" w:eastAsia="Times New Roman" w:hAnsi="Times New Roman"/>
                <w:sz w:val="16"/>
                <w:szCs w:val="16"/>
                <w:color w:val="auto"/>
                <w:w w:val="99"/>
              </w:rPr>
            </w:pPr>
            <w:hyperlink r:id="rId67">
              <w:r>
                <w:rPr>
                  <w:rFonts w:ascii="Times New Roman" w:cs="Times New Roman" w:eastAsia="Times New Roman" w:hAnsi="Times New Roman"/>
                  <w:sz w:val="16"/>
                  <w:szCs w:val="16"/>
                  <w:color w:val="auto"/>
                  <w:w w:val="99"/>
                </w:rPr>
                <w:t>10-K for the fiscal year ended September 30, 2022, filed on November 21, 2022 (SEC File No. 333-211719), and incorporated herein by</w:t>
              </w:r>
            </w:hyperlink>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5"/>
              </w:rPr>
            </w:pPr>
            <w:hyperlink r:id="rId67">
              <w:r>
                <w:rPr>
                  <w:rFonts w:ascii="Times New Roman" w:cs="Times New Roman" w:eastAsia="Times New Roman" w:hAnsi="Times New Roman"/>
                  <w:sz w:val="16"/>
                  <w:szCs w:val="16"/>
                  <w:color w:val="auto"/>
                  <w:w w:val="95"/>
                </w:rPr>
                <w:t>reference).</w:t>
              </w:r>
            </w:hyperlink>
          </w:p>
        </w:tc>
        <w:tc>
          <w:tcPr>
            <w:tcW w:w="7840" w:type="dxa"/>
            <w:vAlign w:val="bottom"/>
            <w:tcBorders>
              <w:top w:val="single" w:sz="8" w:color="0000EE"/>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9500" w:type="dxa"/>
            <w:vAlign w:val="bottom"/>
            <w:gridSpan w:val="19"/>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68">
              <w:r>
                <w:rPr>
                  <w:rFonts w:ascii="Times New Roman" w:cs="Times New Roman" w:eastAsia="Times New Roman" w:hAnsi="Times New Roman"/>
                  <w:sz w:val="16"/>
                  <w:szCs w:val="16"/>
                  <w:color w:val="auto"/>
                </w:rPr>
                <w:t>Indenture dated January 23, 2020, among Ashland Services B.V., Ashland Global Holdings Inc., Ashland LLC and U.S. Bank National</w:t>
              </w:r>
            </w:hyperlink>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6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auto"/>
                <w:w w:val="97"/>
              </w:rPr>
            </w:pPr>
            <w:hyperlink r:id="rId68">
              <w:r>
                <w:rPr>
                  <w:rFonts w:ascii="Times New Roman" w:cs="Times New Roman" w:eastAsia="Times New Roman" w:hAnsi="Times New Roman"/>
                  <w:sz w:val="16"/>
                  <w:szCs w:val="16"/>
                  <w:color w:val="auto"/>
                  <w:w w:val="97"/>
                </w:rPr>
                <w:t>Association, as trustee, in respect of the Senior Euro-Denominated Notes due 2028 (filed as Exhibit 4.1 to Ashland’s Form 8-K filed on</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80" w:type="dxa"/>
            <w:vAlign w:val="bottom"/>
            <w:tcBorders>
              <w:bottom w:val="single" w:sz="8" w:color="0000EE"/>
            </w:tcBorders>
            <w:gridSpan w:val="6"/>
          </w:tcPr>
          <w:p>
            <w:pPr>
              <w:spacing w:after="0" w:line="160" w:lineRule="exact"/>
              <w:rPr>
                <w:rFonts w:ascii="Times New Roman" w:cs="Times New Roman" w:eastAsia="Times New Roman" w:hAnsi="Times New Roman"/>
                <w:sz w:val="16"/>
                <w:szCs w:val="16"/>
                <w:color w:val="auto"/>
                <w:w w:val="97"/>
              </w:rPr>
            </w:pPr>
            <w:hyperlink r:id="rId68">
              <w:r>
                <w:rPr>
                  <w:rFonts w:ascii="Times New Roman" w:cs="Times New Roman" w:eastAsia="Times New Roman" w:hAnsi="Times New Roman"/>
                  <w:sz w:val="16"/>
                  <w:szCs w:val="16"/>
                  <w:color w:val="auto"/>
                  <w:w w:val="97"/>
                </w:rPr>
                <w:t>January 23, 2020 (SEC File No. 333-211719) and incorporated herein by reference).</w:t>
              </w:r>
            </w:hyperlink>
          </w:p>
        </w:tc>
        <w:tc>
          <w:tcPr>
            <w:tcW w:w="3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4.8(a)</w:t>
            </w:r>
          </w:p>
        </w:tc>
        <w:tc>
          <w:tcPr>
            <w:tcW w:w="9500" w:type="dxa"/>
            <w:vAlign w:val="bottom"/>
            <w:gridSpan w:val="19"/>
          </w:tcPr>
          <w:p>
            <w:pPr>
              <w:ind w:left="58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69">
              <w:r>
                <w:rPr>
                  <w:rFonts w:ascii="Times New Roman" w:cs="Times New Roman" w:eastAsia="Times New Roman" w:hAnsi="Times New Roman"/>
                  <w:sz w:val="16"/>
                  <w:szCs w:val="16"/>
                  <w:color w:val="auto"/>
                  <w:w w:val="98"/>
                </w:rPr>
                <w:t>Description of Capital Stock (filed as Exhibit 4.14(a) to Ashland’s Form 10-K for the fiscal year ended September 30, 2019 (SEC File No.</w:t>
              </w:r>
            </w:hyperlink>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4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auto"/>
                <w:w w:val="97"/>
              </w:rPr>
            </w:pPr>
            <w:hyperlink r:id="rId69">
              <w:r>
                <w:rPr>
                  <w:rFonts w:ascii="Times New Roman" w:cs="Times New Roman" w:eastAsia="Times New Roman" w:hAnsi="Times New Roman"/>
                  <w:sz w:val="16"/>
                  <w:szCs w:val="16"/>
                  <w:color w:val="auto"/>
                  <w:w w:val="97"/>
                </w:rPr>
                <w:t>333-211719) and incorporated herein by reference).</w:t>
              </w:r>
            </w:hyperlink>
          </w:p>
        </w:tc>
        <w:tc>
          <w:tcPr>
            <w:tcW w:w="5420" w:type="dxa"/>
            <w:vAlign w:val="bottom"/>
            <w:tcBorders>
              <w:top w:val="single" w:sz="8" w:color="0000EE"/>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4.8(b)</w:t>
            </w:r>
          </w:p>
        </w:tc>
        <w:tc>
          <w:tcPr>
            <w:tcW w:w="9500" w:type="dxa"/>
            <w:vAlign w:val="bottom"/>
            <w:gridSpan w:val="19"/>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0">
              <w:r>
                <w:rPr>
                  <w:rFonts w:ascii="Times New Roman" w:cs="Times New Roman" w:eastAsia="Times New Roman" w:hAnsi="Times New Roman"/>
                  <w:sz w:val="16"/>
                  <w:szCs w:val="16"/>
                  <w:color w:val="auto"/>
                </w:rPr>
                <w:t>Description of 6.875% Senior Notes due 2043 (filed as Exhibit 4.14(b) to Ashland’s Form 10-K for the fiscal year ended September 30,</w:t>
              </w:r>
            </w:hyperlink>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52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auto"/>
                <w:w w:val="97"/>
              </w:rPr>
            </w:pPr>
            <w:hyperlink r:id="rId70">
              <w:r>
                <w:rPr>
                  <w:rFonts w:ascii="Times New Roman" w:cs="Times New Roman" w:eastAsia="Times New Roman" w:hAnsi="Times New Roman"/>
                  <w:sz w:val="16"/>
                  <w:szCs w:val="16"/>
                  <w:color w:val="auto"/>
                  <w:w w:val="97"/>
                </w:rPr>
                <w:t>2019 (SEC File No. 333-211719) and incorporated herein by reference).</w:t>
              </w:r>
            </w:hyperlink>
          </w:p>
        </w:tc>
        <w:tc>
          <w:tcPr>
            <w:tcW w:w="3980" w:type="dxa"/>
            <w:vAlign w:val="bottom"/>
            <w:tcBorders>
              <w:top w:val="single" w:sz="8" w:color="0000EE"/>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4.8(c)</w:t>
            </w:r>
          </w:p>
        </w:tc>
        <w:tc>
          <w:tcPr>
            <w:tcW w:w="9500" w:type="dxa"/>
            <w:vAlign w:val="bottom"/>
            <w:gridSpan w:val="19"/>
          </w:tcPr>
          <w:p>
            <w:pPr>
              <w:ind w:left="58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71">
              <w:r>
                <w:rPr>
                  <w:rFonts w:ascii="Times New Roman" w:cs="Times New Roman" w:eastAsia="Times New Roman" w:hAnsi="Times New Roman"/>
                  <w:sz w:val="16"/>
                  <w:szCs w:val="16"/>
                  <w:color w:val="auto"/>
                  <w:w w:val="98"/>
                </w:rPr>
                <w:t>Description of 3.75% Senior Notes due 2031 (filed as Exhibit 4.8(c) to Ashland's Form 10-K for the fiscal year ended September 30, 2024</w:t>
              </w:r>
            </w:hyperlink>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4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auto"/>
              </w:rPr>
            </w:pPr>
            <w:hyperlink r:id="rId71">
              <w:r>
                <w:rPr>
                  <w:rFonts w:ascii="Times New Roman" w:cs="Times New Roman" w:eastAsia="Times New Roman" w:hAnsi="Times New Roman"/>
                  <w:sz w:val="16"/>
                  <w:szCs w:val="16"/>
                  <w:color w:val="auto"/>
                </w:rPr>
                <w:t>(SEC File No. 333-211719) and incorporated herein by reference).</w:t>
              </w:r>
            </w:hyperlink>
          </w:p>
        </w:tc>
        <w:tc>
          <w:tcPr>
            <w:tcW w:w="4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8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9500" w:type="dxa"/>
            <w:vAlign w:val="bottom"/>
            <w:gridSpan w:val="19"/>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72">
              <w:r>
                <w:rPr>
                  <w:rFonts w:ascii="Times New Roman" w:cs="Times New Roman" w:eastAsia="Times New Roman" w:hAnsi="Times New Roman"/>
                  <w:sz w:val="16"/>
                  <w:szCs w:val="16"/>
                  <w:color w:val="auto"/>
                  <w:w w:val="99"/>
                </w:rPr>
                <w:t>Indenture dated August 18, 2021, among Ashland LLC, Ashland Global Holdings Inc. and U.S. Bank National Association, as trustee, in</w:t>
              </w:r>
            </w:hyperlink>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56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auto"/>
              </w:rPr>
            </w:pPr>
            <w:hyperlink r:id="rId72">
              <w:r>
                <w:rPr>
                  <w:rFonts w:ascii="Times New Roman" w:cs="Times New Roman" w:eastAsia="Times New Roman" w:hAnsi="Times New Roman"/>
                  <w:sz w:val="16"/>
                  <w:szCs w:val="16"/>
                  <w:color w:val="auto"/>
                </w:rPr>
                <w:t>respect of the Notes due 2031 (filed as Exhibit 4.1 to Ashland’s Form 8-K filed on August 18, 2021 (SEC File No. 333-211719), and</w:t>
              </w:r>
            </w:hyperlink>
          </w:p>
        </w:tc>
        <w:tc>
          <w:tcPr>
            <w:tcW w:w="120" w:type="dxa"/>
            <w:vAlign w:val="bottom"/>
            <w:gridSpan w:val="3"/>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7"/>
              </w:rPr>
            </w:pPr>
            <w:hyperlink r:id="rId72">
              <w:r>
                <w:rPr>
                  <w:rFonts w:ascii="Times New Roman" w:cs="Times New Roman" w:eastAsia="Times New Roman" w:hAnsi="Times New Roman"/>
                  <w:sz w:val="16"/>
                  <w:szCs w:val="16"/>
                  <w:color w:val="auto"/>
                  <w:w w:val="97"/>
                </w:rPr>
                <w:t>incorporated herein by reference).</w:t>
              </w:r>
            </w:hyperlink>
          </w:p>
        </w:tc>
        <w:tc>
          <w:tcPr>
            <w:tcW w:w="6160" w:type="dxa"/>
            <w:vAlign w:val="bottom"/>
            <w:tcBorders>
              <w:top w:val="single" w:sz="8" w:color="0000EE"/>
            </w:tcBorders>
            <w:gridSpan w:val="8"/>
          </w:tcPr>
          <w:p>
            <w:pPr>
              <w:spacing w:after="0"/>
              <w:rPr>
                <w:sz w:val="13"/>
                <w:szCs w:val="13"/>
                <w:color w:val="auto"/>
              </w:rPr>
            </w:pPr>
          </w:p>
        </w:tc>
        <w:tc>
          <w:tcPr>
            <w:tcW w:w="380" w:type="dxa"/>
            <w:vAlign w:val="bottom"/>
            <w:gridSpan w:val="8"/>
          </w:tcPr>
          <w:p>
            <w:pPr>
              <w:spacing w:after="0"/>
              <w:rPr>
                <w:sz w:val="13"/>
                <w:szCs w:val="13"/>
                <w:color w:val="auto"/>
              </w:rPr>
            </w:pPr>
          </w:p>
        </w:tc>
      </w:tr>
    </w:tbl>
    <w:p>
      <w:pPr>
        <w:spacing w:after="0" w:line="119" w:lineRule="exact"/>
        <w:rPr>
          <w:sz w:val="20"/>
          <w:szCs w:val="20"/>
          <w:color w:val="auto"/>
        </w:rPr>
      </w:pPr>
    </w:p>
    <w:p>
      <w:pPr>
        <w:jc w:val="both"/>
        <w:ind w:right="120" w:firstLine="348"/>
        <w:spacing w:after="0" w:line="259" w:lineRule="auto"/>
        <w:rPr>
          <w:sz w:val="20"/>
          <w:szCs w:val="20"/>
          <w:color w:val="auto"/>
        </w:rPr>
      </w:pPr>
      <w:r>
        <w:rPr>
          <w:rFonts w:ascii="Times New Roman" w:cs="Times New Roman" w:eastAsia="Times New Roman" w:hAnsi="Times New Roman"/>
          <w:sz w:val="16"/>
          <w:szCs w:val="16"/>
          <w:color w:val="auto"/>
        </w:rPr>
        <w:t>The following Exhibits 10.1 through 10.67 are contracts or compensatory plans or arrangements or management contracts required to be filed as exhibits pursuant to Items 601(b)(10)(ii)(A) and 601(b)(10)(iii)(A) and (B) of Regulation S-K.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10.1</w:t>
            </w:r>
          </w:p>
        </w:tc>
        <w:tc>
          <w:tcPr>
            <w:tcW w:w="9660" w:type="dxa"/>
            <w:vAlign w:val="bottom"/>
            <w:gridSpan w:val="18"/>
          </w:tcPr>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3">
              <w:r>
                <w:rPr>
                  <w:rFonts w:ascii="Times New Roman" w:cs="Times New Roman" w:eastAsia="Times New Roman" w:hAnsi="Times New Roman"/>
                  <w:sz w:val="16"/>
                  <w:szCs w:val="16"/>
                  <w:color w:val="auto"/>
                </w:rPr>
                <w:t>Amended and Restated Ashland Inc. Deferred Compensation Plan for Non-Employee Directors (2005) (filed as Exhibit 10.4 to Ashland’s</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70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auto"/>
                <w:w w:val="97"/>
              </w:rPr>
            </w:pPr>
            <w:hyperlink r:id="rId73">
              <w:r>
                <w:rPr>
                  <w:rFonts w:ascii="Times New Roman" w:cs="Times New Roman" w:eastAsia="Times New Roman" w:hAnsi="Times New Roman"/>
                  <w:sz w:val="16"/>
                  <w:szCs w:val="16"/>
                  <w:color w:val="auto"/>
                  <w:w w:val="97"/>
                </w:rPr>
                <w:t>Form 10-K for the fiscal year ended September 30, 2008 (SEC File No. 001-32532), and incorporated herein by reference).</w:t>
              </w:r>
            </w:hyperlink>
          </w:p>
        </w:tc>
        <w:tc>
          <w:tcPr>
            <w:tcW w:w="920" w:type="dxa"/>
            <w:vAlign w:val="bottom"/>
            <w:tcBorders>
              <w:top w:val="single" w:sz="8" w:color="0000EE"/>
            </w:tcBorders>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80"/>
        </w:trPr>
        <w:tc>
          <w:tcPr>
            <w:tcW w:w="94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10.2</w:t>
            </w:r>
          </w:p>
        </w:tc>
        <w:tc>
          <w:tcPr>
            <w:tcW w:w="9660" w:type="dxa"/>
            <w:vAlign w:val="bottom"/>
            <w:gridSpan w:val="18"/>
          </w:tcPr>
          <w:p>
            <w:pPr>
              <w:ind w:left="62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74">
              <w:r>
                <w:rPr>
                  <w:rFonts w:ascii="Times New Roman" w:cs="Times New Roman" w:eastAsia="Times New Roman" w:hAnsi="Times New Roman"/>
                  <w:sz w:val="16"/>
                  <w:szCs w:val="16"/>
                  <w:color w:val="auto"/>
                  <w:w w:val="99"/>
                </w:rPr>
                <w:t>Amendment to the Amended and Restated Ashland Inc. Deferred Compensation Plan for Non-Employee Directors (2005) (filed as Exhibit</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38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auto"/>
                <w:w w:val="97"/>
              </w:rPr>
            </w:pPr>
            <w:hyperlink r:id="rId74">
              <w:r>
                <w:rPr>
                  <w:rFonts w:ascii="Times New Roman" w:cs="Times New Roman" w:eastAsia="Times New Roman" w:hAnsi="Times New Roman"/>
                  <w:sz w:val="16"/>
                  <w:szCs w:val="16"/>
                  <w:color w:val="auto"/>
                  <w:w w:val="97"/>
                </w:rPr>
                <w:t>10.4 to Ashland’s Form 10-Q for the quarter ended March 31, 2015 (SEC File No. 001-32532), and incorporated herein by reference).</w:t>
              </w:r>
            </w:hyperlink>
          </w:p>
        </w:tc>
        <w:tc>
          <w:tcPr>
            <w:tcW w:w="30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80"/>
        </w:trPr>
        <w:tc>
          <w:tcPr>
            <w:tcW w:w="94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10.3</w:t>
            </w:r>
          </w:p>
        </w:tc>
        <w:tc>
          <w:tcPr>
            <w:tcW w:w="9660" w:type="dxa"/>
            <w:vAlign w:val="bottom"/>
            <w:gridSpan w:val="18"/>
          </w:tcPr>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5">
              <w:r>
                <w:rPr>
                  <w:rFonts w:ascii="Times New Roman" w:cs="Times New Roman" w:eastAsia="Times New Roman" w:hAnsi="Times New Roman"/>
                  <w:sz w:val="16"/>
                  <w:szCs w:val="16"/>
                  <w:color w:val="auto"/>
                </w:rPr>
                <w:t>Amended and Restated Ashland Global Holdings Inc. Deferred Compensation Plan for Non-Employee Directors (2005) effective as of</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4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auto"/>
                <w:w w:val="98"/>
              </w:rPr>
            </w:pPr>
            <w:hyperlink r:id="rId75">
              <w:r>
                <w:rPr>
                  <w:rFonts w:ascii="Times New Roman" w:cs="Times New Roman" w:eastAsia="Times New Roman" w:hAnsi="Times New Roman"/>
                  <w:sz w:val="16"/>
                  <w:szCs w:val="16"/>
                  <w:color w:val="auto"/>
                  <w:w w:val="98"/>
                </w:rPr>
                <w:t>January 1, 2017 (filed as Exhibit 10.4 to Ashland’s Form 10-Q for the quarter ended December 31, 2016 (SEC File No. 333-211719),</w:t>
              </w:r>
            </w:hyperlink>
          </w:p>
        </w:tc>
        <w:tc>
          <w:tcPr>
            <w:tcW w:w="360" w:type="dxa"/>
            <w:vAlign w:val="bottom"/>
            <w:gridSpan w:val="7"/>
          </w:tcPr>
          <w:p>
            <w:pPr>
              <w:jc w:val="right"/>
              <w:ind w:right="200"/>
              <w:spacing w:after="0"/>
              <w:rPr>
                <w:rFonts w:ascii="Times New Roman" w:cs="Times New Roman" w:eastAsia="Times New Roman" w:hAnsi="Times New Roman"/>
                <w:sz w:val="13"/>
                <w:szCs w:val="13"/>
                <w:color w:val="auto"/>
                <w:w w:val="74"/>
              </w:rPr>
            </w:pPr>
            <w:hyperlink r:id="rId75">
              <w:r>
                <w:rPr>
                  <w:rFonts w:ascii="Times New Roman" w:cs="Times New Roman" w:eastAsia="Times New Roman" w:hAnsi="Times New Roman"/>
                  <w:sz w:val="13"/>
                  <w:szCs w:val="13"/>
                  <w:color w:val="auto"/>
                  <w:w w:val="74"/>
                </w:rPr>
                <w:t>and</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7"/>
              </w:rPr>
            </w:pPr>
            <w:hyperlink r:id="rId75">
              <w:r>
                <w:rPr>
                  <w:rFonts w:ascii="Times New Roman" w:cs="Times New Roman" w:eastAsia="Times New Roman" w:hAnsi="Times New Roman"/>
                  <w:sz w:val="16"/>
                  <w:szCs w:val="16"/>
                  <w:color w:val="auto"/>
                  <w:w w:val="97"/>
                </w:rPr>
                <w:t>incorporated herein by reference).</w:t>
              </w:r>
            </w:hyperlink>
          </w:p>
        </w:tc>
        <w:tc>
          <w:tcPr>
            <w:tcW w:w="6460" w:type="dxa"/>
            <w:vAlign w:val="bottom"/>
            <w:tcBorders>
              <w:top w:val="single" w:sz="8" w:color="0000EE"/>
            </w:tcBorders>
            <w:gridSpan w:val="9"/>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80"/>
        </w:trPr>
        <w:tc>
          <w:tcPr>
            <w:tcW w:w="94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10.4</w:t>
            </w:r>
          </w:p>
        </w:tc>
        <w:tc>
          <w:tcPr>
            <w:tcW w:w="9660" w:type="dxa"/>
            <w:vAlign w:val="bottom"/>
            <w:gridSpan w:val="18"/>
          </w:tcPr>
          <w:p>
            <w:pPr>
              <w:ind w:left="62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76">
              <w:r>
                <w:rPr>
                  <w:rFonts w:ascii="Times New Roman" w:cs="Times New Roman" w:eastAsia="Times New Roman" w:hAnsi="Times New Roman"/>
                  <w:sz w:val="16"/>
                  <w:szCs w:val="16"/>
                  <w:color w:val="auto"/>
                  <w:w w:val="99"/>
                </w:rPr>
                <w:t>Amended and Restated Ashland Inc. Deferred Compensation Plan for Employees (2005) (filed as Exhibit 10.3 to Ashland’s Form 10-K for</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0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auto"/>
              </w:rPr>
            </w:pPr>
            <w:hyperlink r:id="rId76">
              <w:r>
                <w:rPr>
                  <w:rFonts w:ascii="Times New Roman" w:cs="Times New Roman" w:eastAsia="Times New Roman" w:hAnsi="Times New Roman"/>
                  <w:sz w:val="16"/>
                  <w:szCs w:val="16"/>
                  <w:color w:val="auto"/>
                </w:rPr>
                <w:t>the fiscal year ended September 30, 2008 (SEC File No. 001-32532) and incorporated herein by reference).</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80"/>
        </w:trPr>
        <w:tc>
          <w:tcPr>
            <w:tcW w:w="94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10.5</w:t>
            </w:r>
          </w:p>
        </w:tc>
        <w:tc>
          <w:tcPr>
            <w:tcW w:w="9660" w:type="dxa"/>
            <w:vAlign w:val="bottom"/>
            <w:gridSpan w:val="18"/>
          </w:tcPr>
          <w:p>
            <w:pPr>
              <w:ind w:left="62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77">
              <w:r>
                <w:rPr>
                  <w:rFonts w:ascii="Times New Roman" w:cs="Times New Roman" w:eastAsia="Times New Roman" w:hAnsi="Times New Roman"/>
                  <w:sz w:val="16"/>
                  <w:szCs w:val="16"/>
                  <w:color w:val="auto"/>
                  <w:w w:val="99"/>
                </w:rPr>
                <w:t>Ashland Global Holdings Inc. Deferred Compensation Plan for Employees (Amended and Restated Effective as of May 22, 2019) (filed as</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80" w:type="dxa"/>
            <w:vAlign w:val="bottom"/>
            <w:tcBorders>
              <w:top w:val="single" w:sz="8" w:color="0000EE"/>
              <w:bottom w:val="single" w:sz="8" w:color="0000EE"/>
            </w:tcBorders>
            <w:gridSpan w:val="13"/>
          </w:tcPr>
          <w:p>
            <w:pPr>
              <w:spacing w:after="0" w:line="160" w:lineRule="exact"/>
              <w:rPr>
                <w:rFonts w:ascii="Times New Roman" w:cs="Times New Roman" w:eastAsia="Times New Roman" w:hAnsi="Times New Roman"/>
                <w:sz w:val="16"/>
                <w:szCs w:val="16"/>
                <w:color w:val="auto"/>
                <w:w w:val="96"/>
              </w:rPr>
            </w:pPr>
            <w:hyperlink r:id="rId77">
              <w:r>
                <w:rPr>
                  <w:rFonts w:ascii="Times New Roman" w:cs="Times New Roman" w:eastAsia="Times New Roman" w:hAnsi="Times New Roman"/>
                  <w:sz w:val="16"/>
                  <w:szCs w:val="16"/>
                  <w:color w:val="auto"/>
                  <w:w w:val="96"/>
                </w:rPr>
                <w:t>Exhibit 10.1 to Ashland’s Form10-Q for the quarter ended June 30, 2019 (SEC File No. 333-211719), and incorporated herein by reference)</w:t>
              </w:r>
            </w:hyperlink>
          </w:p>
        </w:tc>
        <w:tc>
          <w:tcPr>
            <w:tcW w:w="120" w:type="dxa"/>
            <w:vAlign w:val="bottom"/>
            <w:tcBorders>
              <w:bottom w:val="single" w:sz="8" w:color="0000EE"/>
            </w:tcBorders>
            <w:gridSpan w:val="4"/>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r>
      <w:tr>
        <w:trPr>
          <w:trHeight w:val="280"/>
        </w:trPr>
        <w:tc>
          <w:tcPr>
            <w:tcW w:w="94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10.6</w:t>
            </w:r>
          </w:p>
        </w:tc>
        <w:tc>
          <w:tcPr>
            <w:tcW w:w="9660" w:type="dxa"/>
            <w:vAlign w:val="bottom"/>
            <w:gridSpan w:val="18"/>
          </w:tcPr>
          <w:p>
            <w:pPr>
              <w:ind w:left="62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78">
              <w:r>
                <w:rPr>
                  <w:rFonts w:ascii="Times New Roman" w:cs="Times New Roman" w:eastAsia="Times New Roman" w:hAnsi="Times New Roman"/>
                  <w:sz w:val="16"/>
                  <w:szCs w:val="16"/>
                  <w:color w:val="auto"/>
                  <w:w w:val="98"/>
                </w:rPr>
                <w:t>Ashland Global Holdings Inc. Deferred Compensation Plan for Non-Employee Directors (Amended and Restated as of May 22, 2019) (filed</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auto"/>
              </w:rPr>
            </w:pPr>
            <w:hyperlink r:id="rId78">
              <w:r>
                <w:rPr>
                  <w:rFonts w:ascii="Times New Roman" w:cs="Times New Roman" w:eastAsia="Times New Roman" w:hAnsi="Times New Roman"/>
                  <w:sz w:val="16"/>
                  <w:szCs w:val="16"/>
                  <w:color w:val="auto"/>
                </w:rPr>
                <w:t>as Exhibit 10.2 to Ashland’s Form 10-Q for the quarter ended June 30, 2019 (SEC File No. 333-21179), and incorporated herein by</w:t>
              </w:r>
            </w:hyperlink>
          </w:p>
        </w:tc>
        <w:tc>
          <w:tcPr>
            <w:tcW w:w="4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5"/>
              </w:rPr>
            </w:pPr>
            <w:hyperlink r:id="rId78">
              <w:r>
                <w:rPr>
                  <w:rFonts w:ascii="Times New Roman" w:cs="Times New Roman" w:eastAsia="Times New Roman" w:hAnsi="Times New Roman"/>
                  <w:sz w:val="16"/>
                  <w:szCs w:val="16"/>
                  <w:color w:val="auto"/>
                  <w:w w:val="95"/>
                </w:rPr>
                <w:t>reference).</w:t>
              </w:r>
            </w:hyperlink>
          </w:p>
        </w:tc>
        <w:tc>
          <w:tcPr>
            <w:tcW w:w="7540" w:type="dxa"/>
            <w:vAlign w:val="bottom"/>
            <w:tcBorders>
              <w:top w:val="single" w:sz="8" w:color="0000EE"/>
            </w:tcBorders>
            <w:gridSpan w:val="6"/>
          </w:tcPr>
          <w:p>
            <w:pPr>
              <w:spacing w:after="0"/>
              <w:rPr>
                <w:sz w:val="13"/>
                <w:szCs w:val="13"/>
                <w:color w:val="auto"/>
              </w:rPr>
            </w:pPr>
          </w:p>
        </w:tc>
        <w:tc>
          <w:tcPr>
            <w:tcW w:w="200" w:type="dxa"/>
            <w:vAlign w:val="bottom"/>
            <w:gridSpan w:val="2"/>
          </w:tcPr>
          <w:p>
            <w:pPr>
              <w:spacing w:after="0"/>
              <w:rPr>
                <w:sz w:val="13"/>
                <w:szCs w:val="13"/>
                <w:color w:val="auto"/>
              </w:rPr>
            </w:pPr>
          </w:p>
        </w:tc>
        <w:tc>
          <w:tcPr>
            <w:tcW w:w="30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80"/>
        </w:trPr>
        <w:tc>
          <w:tcPr>
            <w:tcW w:w="94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10.7</w:t>
            </w:r>
          </w:p>
        </w:tc>
        <w:tc>
          <w:tcPr>
            <w:tcW w:w="9660" w:type="dxa"/>
            <w:vAlign w:val="bottom"/>
            <w:gridSpan w:val="18"/>
          </w:tcPr>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79">
              <w:r>
                <w:rPr>
                  <w:rFonts w:ascii="Times New Roman" w:cs="Times New Roman" w:eastAsia="Times New Roman" w:hAnsi="Times New Roman"/>
                  <w:sz w:val="16"/>
                  <w:szCs w:val="16"/>
                  <w:color w:val="auto"/>
                </w:rPr>
                <w:t>Ashland Supplemental Defined Contribution Plan for Certain Employees (filed as Exhibit 10.3 to Ashland’s Form 10-Q for the quarter</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2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auto"/>
              </w:rPr>
            </w:pPr>
            <w:hyperlink r:id="rId79">
              <w:r>
                <w:rPr>
                  <w:rFonts w:ascii="Times New Roman" w:cs="Times New Roman" w:eastAsia="Times New Roman" w:hAnsi="Times New Roman"/>
                  <w:sz w:val="16"/>
                  <w:szCs w:val="16"/>
                  <w:color w:val="auto"/>
                </w:rPr>
                <w:t>ended March 31, 2011 (SEC File No. 001-32532), and incorporated herein by reference) (Frozen).</w:t>
              </w:r>
            </w:hyperlink>
          </w:p>
        </w:tc>
        <w:tc>
          <w:tcPr>
            <w:tcW w:w="30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80"/>
        </w:trPr>
        <w:tc>
          <w:tcPr>
            <w:tcW w:w="94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10.8</w:t>
            </w:r>
          </w:p>
        </w:tc>
        <w:tc>
          <w:tcPr>
            <w:tcW w:w="9660" w:type="dxa"/>
            <w:vAlign w:val="bottom"/>
            <w:gridSpan w:val="18"/>
          </w:tcPr>
          <w:p>
            <w:pPr>
              <w:ind w:left="62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80">
              <w:r>
                <w:rPr>
                  <w:rFonts w:ascii="Times New Roman" w:cs="Times New Roman" w:eastAsia="Times New Roman" w:hAnsi="Times New Roman"/>
                  <w:sz w:val="16"/>
                  <w:szCs w:val="16"/>
                  <w:color w:val="auto"/>
                  <w:w w:val="99"/>
                </w:rPr>
                <w:t>Amended and Restated 2011 Ashland Inc. Incentive Plan (filed as Exhibit 10.2 to Ashland’s Form 8-K filed on February 1, 2013 (SEC File</w:t>
              </w:r>
            </w:hyperlink>
          </w:p>
        </w:tc>
      </w:tr>
      <w:tr>
        <w:trPr>
          <w:trHeight w:val="160"/>
        </w:trPr>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2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auto"/>
              </w:rPr>
            </w:pPr>
            <w:hyperlink r:id="rId80">
              <w:r>
                <w:rPr>
                  <w:rFonts w:ascii="Times New Roman" w:cs="Times New Roman" w:eastAsia="Times New Roman" w:hAnsi="Times New Roman"/>
                  <w:sz w:val="16"/>
                  <w:szCs w:val="16"/>
                  <w:color w:val="auto"/>
                </w:rPr>
                <w:t>No. 001-32532), and incorporated herein by reference).</w:t>
              </w:r>
            </w:hyperlink>
          </w:p>
        </w:tc>
        <w:tc>
          <w:tcPr>
            <w:tcW w:w="8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6"/>
        </w:trPr>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40" w:type="dxa"/>
            <w:vAlign w:val="bottom"/>
            <w:gridSpan w:val="4"/>
          </w:tcPr>
          <w:p>
            <w:pPr>
              <w:ind w:left="3400"/>
              <w:spacing w:after="0"/>
              <w:rPr>
                <w:sz w:val="20"/>
                <w:szCs w:val="20"/>
                <w:color w:val="auto"/>
              </w:rPr>
            </w:pPr>
            <w:r>
              <w:rPr>
                <w:rFonts w:ascii="Times New Roman" w:cs="Times New Roman" w:eastAsia="Times New Roman" w:hAnsi="Times New Roman"/>
                <w:sz w:val="16"/>
                <w:szCs w:val="16"/>
                <w:color w:val="auto"/>
              </w:rPr>
              <w:t>32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4"/>
        </w:trPr>
        <w:tc>
          <w:tcPr>
            <w:tcW w:w="9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268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22" w:right="6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10.9</w:t>
            </w:r>
          </w:p>
        </w:tc>
        <w:tc>
          <w:tcPr>
            <w:tcW w:w="9600" w:type="dxa"/>
            <w:vAlign w:val="bottom"/>
            <w:gridSpan w:val="33"/>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82">
              <w:r>
                <w:rPr>
                  <w:rFonts w:ascii="Times New Roman" w:cs="Times New Roman" w:eastAsia="Times New Roman" w:hAnsi="Times New Roman"/>
                  <w:sz w:val="16"/>
                  <w:szCs w:val="16"/>
                  <w:color w:val="auto"/>
                </w:rPr>
                <w:t>Amended and Restated 2015 Ashland Global Holdings Inc. Incentive Plan (filed as Exhibit 10.21 to Ashland’s Form 10-K for the fiscal</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2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r:id="rId82">
              <w:r>
                <w:rPr>
                  <w:rFonts w:ascii="Times New Roman" w:cs="Times New Roman" w:eastAsia="Times New Roman" w:hAnsi="Times New Roman"/>
                  <w:sz w:val="16"/>
                  <w:szCs w:val="16"/>
                  <w:color w:val="auto"/>
                  <w:w w:val="97"/>
                </w:rPr>
                <w:t>year ended September 30, 2016 (SEC File No. 333-211719), and incorporated by reference herein).</w:t>
              </w:r>
            </w:hyperlink>
          </w:p>
        </w:tc>
        <w:tc>
          <w:tcPr>
            <w:tcW w:w="226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10.10</w:t>
            </w:r>
          </w:p>
        </w:tc>
        <w:tc>
          <w:tcPr>
            <w:tcW w:w="9600" w:type="dxa"/>
            <w:vAlign w:val="bottom"/>
            <w:gridSpan w:val="33"/>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83">
              <w:r>
                <w:rPr>
                  <w:rFonts w:ascii="Times New Roman" w:cs="Times New Roman" w:eastAsia="Times New Roman" w:hAnsi="Times New Roman"/>
                  <w:sz w:val="16"/>
                  <w:szCs w:val="16"/>
                  <w:color w:val="auto"/>
                  <w:w w:val="99"/>
                </w:rPr>
                <w:t>Form of Stock Appreciation Rights Award Agreement under the Amended and Restated 2011 Ashland Inc. Incentive Plan (filed as Exhibit</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8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auto"/>
              </w:rPr>
            </w:pPr>
            <w:hyperlink r:id="rId83">
              <w:r>
                <w:rPr>
                  <w:rFonts w:ascii="Times New Roman" w:cs="Times New Roman" w:eastAsia="Times New Roman" w:hAnsi="Times New Roman"/>
                  <w:sz w:val="16"/>
                  <w:szCs w:val="16"/>
                  <w:color w:val="auto"/>
                </w:rPr>
                <w:t>10.16 to Ashland’s Form 10-K for the fiscal year ended September 30, 2014 (SEC File No. 001-32532),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5"/>
              </w:rPr>
            </w:pPr>
            <w:hyperlink r:id="rId83">
              <w:r>
                <w:rPr>
                  <w:rFonts w:ascii="Times New Roman" w:cs="Times New Roman" w:eastAsia="Times New Roman" w:hAnsi="Times New Roman"/>
                  <w:sz w:val="16"/>
                  <w:szCs w:val="16"/>
                  <w:color w:val="auto"/>
                  <w:w w:val="95"/>
                </w:rPr>
                <w:t>reference).</w:t>
              </w:r>
            </w:hyperlink>
          </w:p>
        </w:tc>
        <w:tc>
          <w:tcPr>
            <w:tcW w:w="7540" w:type="dxa"/>
            <w:vAlign w:val="bottom"/>
            <w:tcBorders>
              <w:top w:val="single" w:sz="8" w:color="0000EE"/>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10.11</w:t>
            </w:r>
          </w:p>
        </w:tc>
        <w:tc>
          <w:tcPr>
            <w:tcW w:w="9600" w:type="dxa"/>
            <w:vAlign w:val="bottom"/>
            <w:gridSpan w:val="33"/>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84">
              <w:r>
                <w:rPr>
                  <w:rFonts w:ascii="Times New Roman" w:cs="Times New Roman" w:eastAsia="Times New Roman" w:hAnsi="Times New Roman"/>
                  <w:sz w:val="16"/>
                  <w:szCs w:val="16"/>
                  <w:color w:val="auto"/>
                  <w:w w:val="99"/>
                </w:rPr>
                <w:t>Form of Stock Appreciation Rights Award Agreement under the Amended and Restated 2015 Ashland Global Holdings Inc. Incentive Plan</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40" w:type="dxa"/>
            <w:vAlign w:val="bottom"/>
            <w:tcBorders>
              <w:top w:val="single" w:sz="8" w:color="0000EE"/>
            </w:tcBorders>
            <w:gridSpan w:val="30"/>
          </w:tcPr>
          <w:p>
            <w:pPr>
              <w:spacing w:after="0" w:line="160" w:lineRule="exact"/>
              <w:rPr>
                <w:rFonts w:ascii="Times New Roman" w:cs="Times New Roman" w:eastAsia="Times New Roman" w:hAnsi="Times New Roman"/>
                <w:sz w:val="16"/>
                <w:szCs w:val="16"/>
                <w:color w:val="auto"/>
                <w:w w:val="99"/>
              </w:rPr>
            </w:pPr>
            <w:hyperlink r:id="rId84">
              <w:r>
                <w:rPr>
                  <w:rFonts w:ascii="Times New Roman" w:cs="Times New Roman" w:eastAsia="Times New Roman" w:hAnsi="Times New Roman"/>
                  <w:sz w:val="16"/>
                  <w:szCs w:val="16"/>
                  <w:color w:val="auto"/>
                  <w:w w:val="99"/>
                </w:rPr>
                <w:t>(Double-Trigger Form) (filed as Exhibit 10.39 to Ashland’s Form 10-K for the fiscal year ended September 30, 2016 (SEC File No. 333-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auto"/>
                <w:w w:val="97"/>
              </w:rPr>
            </w:pPr>
            <w:hyperlink r:id="rId84">
              <w:r>
                <w:rPr>
                  <w:rFonts w:ascii="Times New Roman" w:cs="Times New Roman" w:eastAsia="Times New Roman" w:hAnsi="Times New Roman"/>
                  <w:sz w:val="16"/>
                  <w:szCs w:val="16"/>
                  <w:color w:val="auto"/>
                  <w:w w:val="97"/>
                </w:rPr>
                <w:t>211719), and incorporated by reference herein).</w:t>
              </w:r>
            </w:hyperlink>
          </w:p>
        </w:tc>
        <w:tc>
          <w:tcPr>
            <w:tcW w:w="5560" w:type="dxa"/>
            <w:vAlign w:val="bottom"/>
            <w:tcBorders>
              <w:top w:val="single" w:sz="8" w:color="0000EE"/>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10.12</w:t>
            </w:r>
          </w:p>
        </w:tc>
        <w:tc>
          <w:tcPr>
            <w:tcW w:w="9600" w:type="dxa"/>
            <w:vAlign w:val="bottom"/>
            <w:gridSpan w:val="33"/>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85">
              <w:r>
                <w:rPr>
                  <w:rFonts w:ascii="Times New Roman" w:cs="Times New Roman" w:eastAsia="Times New Roman" w:hAnsi="Times New Roman"/>
                  <w:sz w:val="16"/>
                  <w:szCs w:val="16"/>
                  <w:color w:val="auto"/>
                  <w:w w:val="99"/>
                </w:rPr>
                <w:t>Form of Indemnification Agreement between Ashland and members of its Board of Directors (filed as Exhibit 10.2 to Ashland’s Form 8-K</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2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auto"/>
                <w:w w:val="97"/>
              </w:rPr>
            </w:pPr>
            <w:hyperlink r:id="rId85">
              <w:r>
                <w:rPr>
                  <w:rFonts w:ascii="Times New Roman" w:cs="Times New Roman" w:eastAsia="Times New Roman" w:hAnsi="Times New Roman"/>
                  <w:sz w:val="16"/>
                  <w:szCs w:val="16"/>
                  <w:color w:val="auto"/>
                  <w:w w:val="97"/>
                </w:rPr>
                <w:t>filed on September 20, 2016 (SEC File No. 333-211719), and incorporated herein by reference).</w:t>
              </w:r>
            </w:hyperlink>
          </w:p>
        </w:tc>
        <w:tc>
          <w:tcPr>
            <w:tcW w:w="268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10.13</w:t>
            </w:r>
          </w:p>
        </w:tc>
        <w:tc>
          <w:tcPr>
            <w:tcW w:w="9600" w:type="dxa"/>
            <w:vAlign w:val="bottom"/>
            <w:gridSpan w:val="33"/>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86">
              <w:r>
                <w:rPr>
                  <w:rFonts w:ascii="Times New Roman" w:cs="Times New Roman" w:eastAsia="Times New Roman" w:hAnsi="Times New Roman"/>
                  <w:sz w:val="16"/>
                  <w:szCs w:val="16"/>
                  <w:color w:val="auto"/>
                </w:rPr>
                <w:t>Form of Cash-Settled Performance Unit (LTIP) Award Agreement under the Amended and Restated 2015 Ashland Global Holdings Inc.</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540" w:type="dxa"/>
            <w:vAlign w:val="bottom"/>
            <w:tcBorders>
              <w:top w:val="single" w:sz="8" w:color="0000EE"/>
              <w:bottom w:val="single" w:sz="8" w:color="0000EE"/>
            </w:tcBorders>
            <w:gridSpan w:val="22"/>
          </w:tcPr>
          <w:p>
            <w:pPr>
              <w:spacing w:after="0" w:line="160" w:lineRule="exact"/>
              <w:rPr>
                <w:rFonts w:ascii="Times New Roman" w:cs="Times New Roman" w:eastAsia="Times New Roman" w:hAnsi="Times New Roman"/>
                <w:sz w:val="16"/>
                <w:szCs w:val="16"/>
                <w:color w:val="auto"/>
                <w:w w:val="96"/>
              </w:rPr>
            </w:pPr>
            <w:hyperlink r:id="rId86">
              <w:r>
                <w:rPr>
                  <w:rFonts w:ascii="Times New Roman" w:cs="Times New Roman" w:eastAsia="Times New Roman" w:hAnsi="Times New Roman"/>
                  <w:sz w:val="16"/>
                  <w:szCs w:val="16"/>
                  <w:color w:val="auto"/>
                  <w:w w:val="96"/>
                </w:rPr>
                <w:t>Incentive Plan (Double-Trigger Form) (filed as Exhibit 10.59 to Ashland’s Form 10-K for the fiscal year ended September 30, 2016 (SEC</w:t>
              </w:r>
            </w:hyperlink>
          </w:p>
        </w:tc>
        <w:tc>
          <w:tcPr>
            <w:tcW w:w="6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20" w:type="dxa"/>
            <w:vAlign w:val="bottom"/>
            <w:gridSpan w:val="25"/>
          </w:tcPr>
          <w:p>
            <w:pPr>
              <w:spacing w:after="0" w:line="160" w:lineRule="exact"/>
              <w:rPr>
                <w:rFonts w:ascii="Times New Roman" w:cs="Times New Roman" w:eastAsia="Times New Roman" w:hAnsi="Times New Roman"/>
                <w:sz w:val="16"/>
                <w:szCs w:val="16"/>
                <w:color w:val="auto"/>
              </w:rPr>
            </w:pPr>
            <w:hyperlink r:id="rId86">
              <w:r>
                <w:rPr>
                  <w:rFonts w:ascii="Times New Roman" w:cs="Times New Roman" w:eastAsia="Times New Roman" w:hAnsi="Times New Roman"/>
                  <w:sz w:val="16"/>
                  <w:szCs w:val="16"/>
                  <w:color w:val="auto"/>
                </w:rPr>
                <w:t>File No. 333-211719), and incorporated by reference herein).</w:t>
              </w:r>
            </w:hyperlink>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10.14</w:t>
            </w:r>
          </w:p>
        </w:tc>
        <w:tc>
          <w:tcPr>
            <w:tcW w:w="9600" w:type="dxa"/>
            <w:vAlign w:val="bottom"/>
            <w:gridSpan w:val="33"/>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87">
              <w:r>
                <w:rPr>
                  <w:rFonts w:ascii="Times New Roman" w:cs="Times New Roman" w:eastAsia="Times New Roman" w:hAnsi="Times New Roman"/>
                  <w:sz w:val="16"/>
                  <w:szCs w:val="16"/>
                  <w:color w:val="auto"/>
                  <w:w w:val="99"/>
                </w:rPr>
                <w:t>Amended and Restated Hercules Deferred Compensation Plan effective January 1, 2008 (filed as Exhibit 10.8 to Ashland’s Form 10-K for</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auto"/>
                <w:w w:val="97"/>
              </w:rPr>
            </w:pPr>
            <w:hyperlink r:id="rId87">
              <w:r>
                <w:rPr>
                  <w:rFonts w:ascii="Times New Roman" w:cs="Times New Roman" w:eastAsia="Times New Roman" w:hAnsi="Times New Roman"/>
                  <w:sz w:val="16"/>
                  <w:szCs w:val="16"/>
                  <w:color w:val="auto"/>
                  <w:w w:val="97"/>
                </w:rPr>
                <w:t>the fiscal year ended on September 30, 2010 (SEC File No. 001-32532), and incorporated herein by reference).</w:t>
              </w:r>
            </w:hyperlink>
          </w:p>
        </w:tc>
        <w:tc>
          <w:tcPr>
            <w:tcW w:w="1720" w:type="dxa"/>
            <w:vAlign w:val="bottom"/>
            <w:tcBorders>
              <w:top w:val="single" w:sz="8" w:color="0000EE"/>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10.15</w:t>
            </w:r>
          </w:p>
        </w:tc>
        <w:tc>
          <w:tcPr>
            <w:tcW w:w="9600" w:type="dxa"/>
            <w:vAlign w:val="bottom"/>
            <w:gridSpan w:val="33"/>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88">
              <w:r>
                <w:rPr>
                  <w:rFonts w:ascii="Times New Roman" w:cs="Times New Roman" w:eastAsia="Times New Roman" w:hAnsi="Times New Roman"/>
                  <w:sz w:val="16"/>
                  <w:szCs w:val="16"/>
                  <w:color w:val="auto"/>
                </w:rPr>
                <w:t>Amendment to the Amended and Restated Hercules Deferred Compensation Plan dated September 30, 2016 (annuity cash-out) (filed as</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50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auto"/>
                <w:w w:val="98"/>
              </w:rPr>
            </w:pPr>
            <w:hyperlink r:id="rId88">
              <w:r>
                <w:rPr>
                  <w:rFonts w:ascii="Times New Roman" w:cs="Times New Roman" w:eastAsia="Times New Roman" w:hAnsi="Times New Roman"/>
                  <w:sz w:val="16"/>
                  <w:szCs w:val="16"/>
                  <w:color w:val="auto"/>
                  <w:w w:val="98"/>
                </w:rPr>
                <w:t>Exhibit 10.61 to Ashland’s Form 10-K for the fiscal year ended September 30, 2016 (SEC File No. 333-211719), and incorporated by</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7"/>
              </w:rPr>
            </w:pPr>
            <w:hyperlink r:id="rId88">
              <w:r>
                <w:rPr>
                  <w:rFonts w:ascii="Times New Roman" w:cs="Times New Roman" w:eastAsia="Times New Roman" w:hAnsi="Times New Roman"/>
                  <w:sz w:val="16"/>
                  <w:szCs w:val="16"/>
                  <w:color w:val="auto"/>
                  <w:w w:val="97"/>
                </w:rPr>
                <w:t>reference herein).</w:t>
              </w:r>
            </w:hyperlink>
          </w:p>
        </w:tc>
        <w:tc>
          <w:tcPr>
            <w:tcW w:w="7240" w:type="dxa"/>
            <w:vAlign w:val="bottom"/>
            <w:tcBorders>
              <w:top w:val="single" w:sz="8" w:color="0000EE"/>
            </w:tcBorders>
            <w:gridSpan w:val="15"/>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10.16</w:t>
            </w:r>
          </w:p>
        </w:tc>
        <w:tc>
          <w:tcPr>
            <w:tcW w:w="9600" w:type="dxa"/>
            <w:vAlign w:val="bottom"/>
            <w:gridSpan w:val="33"/>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89">
              <w:r>
                <w:rPr>
                  <w:rFonts w:ascii="Times New Roman" w:cs="Times New Roman" w:eastAsia="Times New Roman" w:hAnsi="Times New Roman"/>
                  <w:sz w:val="16"/>
                  <w:szCs w:val="16"/>
                  <w:color w:val="auto"/>
                </w:rPr>
                <w:t>Ashland Global Holdings Inc. 2018 Omnibus Incentive Compensation Plan (filed as Exhibit 10.1 to Ashland’s Form 8-K filed on January</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auto"/>
              </w:rPr>
            </w:pPr>
            <w:hyperlink r:id="rId89">
              <w:r>
                <w:rPr>
                  <w:rFonts w:ascii="Times New Roman" w:cs="Times New Roman" w:eastAsia="Times New Roman" w:hAnsi="Times New Roman"/>
                  <w:sz w:val="16"/>
                  <w:szCs w:val="16"/>
                  <w:color w:val="auto"/>
                </w:rPr>
                <w:t>26, 2018 (SEC File No. 333-211719), and incorporated herein by reference).</w:t>
              </w:r>
            </w:hyperlink>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2"/>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10.17</w:t>
            </w:r>
          </w:p>
        </w:tc>
        <w:tc>
          <w:tcPr>
            <w:tcW w:w="9600" w:type="dxa"/>
            <w:vAlign w:val="bottom"/>
            <w:gridSpan w:val="33"/>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90">
              <w:r>
                <w:rPr>
                  <w:rFonts w:ascii="Times New Roman" w:cs="Times New Roman" w:eastAsia="Times New Roman" w:hAnsi="Times New Roman"/>
                  <w:sz w:val="16"/>
                  <w:szCs w:val="16"/>
                  <w:color w:val="auto"/>
                </w:rPr>
                <w:t>Form of Stock-Settled Restricted Stock Unit Award Agreement under the Ashland Global Holdings Inc. 2018 Omnibus Incentive</w:t>
              </w:r>
            </w:hyperlink>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80" w:type="dxa"/>
            <w:vAlign w:val="bottom"/>
            <w:gridSpan w:val="32"/>
          </w:tcPr>
          <w:p>
            <w:pPr>
              <w:spacing w:after="0" w:line="160" w:lineRule="exact"/>
              <w:rPr>
                <w:rFonts w:ascii="Times New Roman" w:cs="Times New Roman" w:eastAsia="Times New Roman" w:hAnsi="Times New Roman"/>
                <w:sz w:val="16"/>
                <w:szCs w:val="16"/>
                <w:color w:val="auto"/>
                <w:w w:val="99"/>
              </w:rPr>
            </w:pPr>
            <w:hyperlink r:id="rId90">
              <w:r>
                <w:rPr>
                  <w:rFonts w:ascii="Times New Roman" w:cs="Times New Roman" w:eastAsia="Times New Roman" w:hAnsi="Times New Roman"/>
                  <w:sz w:val="16"/>
                  <w:szCs w:val="16"/>
                  <w:color w:val="auto"/>
                  <w:w w:val="99"/>
                </w:rPr>
                <w:t>Compensation Plan (filed as Exhibit 10.2 to Ashland’s Form 8-K filed on January 26, 2018 (SEC File No. 333-211719), and incorporated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auto"/>
              </w:rPr>
            </w:pPr>
            <w:hyperlink r:id="rId90">
              <w:r>
                <w:rPr>
                  <w:rFonts w:ascii="Times New Roman" w:cs="Times New Roman" w:eastAsia="Times New Roman" w:hAnsi="Times New Roman"/>
                  <w:sz w:val="16"/>
                  <w:szCs w:val="16"/>
                  <w:color w:val="auto"/>
                </w:rPr>
                <w:t>herein by reference).</w:t>
              </w:r>
            </w:hyperlink>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10.18</w:t>
            </w:r>
          </w:p>
        </w:tc>
        <w:tc>
          <w:tcPr>
            <w:tcW w:w="9600" w:type="dxa"/>
            <w:vAlign w:val="bottom"/>
            <w:gridSpan w:val="33"/>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91">
              <w:r>
                <w:rPr>
                  <w:rFonts w:ascii="Times New Roman" w:cs="Times New Roman" w:eastAsia="Times New Roman" w:hAnsi="Times New Roman"/>
                  <w:sz w:val="16"/>
                  <w:szCs w:val="16"/>
                  <w:color w:val="auto"/>
                  <w:w w:val="99"/>
                </w:rPr>
                <w:t>Form of Restricted Stock Award Agreement under the Ashland Global Holdings Inc. 2018 Omnibus Incentive Compensation Plan (filed as</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14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auto"/>
                <w:w w:val="97"/>
              </w:rPr>
            </w:pPr>
            <w:hyperlink r:id="rId91">
              <w:r>
                <w:rPr>
                  <w:rFonts w:ascii="Times New Roman" w:cs="Times New Roman" w:eastAsia="Times New Roman" w:hAnsi="Times New Roman"/>
                  <w:sz w:val="16"/>
                  <w:szCs w:val="16"/>
                  <w:color w:val="auto"/>
                  <w:w w:val="97"/>
                </w:rPr>
                <w:t>Exhibit 10.3 to Ashland’s Form 8-K filed on January 26, 2018 (SEC File No. 333-211719), and incorporated herein by reference).</w:t>
              </w:r>
            </w:hyperlink>
          </w:p>
        </w:tc>
        <w:tc>
          <w:tcPr>
            <w:tcW w:w="580" w:type="dxa"/>
            <w:vAlign w:val="bottom"/>
            <w:tcBorders>
              <w:top w:val="single" w:sz="8" w:color="0000EE"/>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10.19</w:t>
            </w:r>
          </w:p>
        </w:tc>
        <w:tc>
          <w:tcPr>
            <w:tcW w:w="9600" w:type="dxa"/>
            <w:vAlign w:val="bottom"/>
            <w:gridSpan w:val="33"/>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92">
              <w:r>
                <w:rPr>
                  <w:rFonts w:ascii="Times New Roman" w:cs="Times New Roman" w:eastAsia="Times New Roman" w:hAnsi="Times New Roman"/>
                  <w:sz w:val="16"/>
                  <w:szCs w:val="16"/>
                  <w:color w:val="auto"/>
                </w:rPr>
                <w:t>Form of Stock Appreciation Rights Award Agreement under the Ashland Global Holdings Inc. 2018 Omnibus Incentive Compensation</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6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auto"/>
                <w:w w:val="99"/>
              </w:rPr>
            </w:pPr>
            <w:hyperlink r:id="rId92">
              <w:r>
                <w:rPr>
                  <w:rFonts w:ascii="Times New Roman" w:cs="Times New Roman" w:eastAsia="Times New Roman" w:hAnsi="Times New Roman"/>
                  <w:sz w:val="16"/>
                  <w:szCs w:val="16"/>
                  <w:color w:val="auto"/>
                  <w:w w:val="99"/>
                </w:rPr>
                <w:t>Plan (filed as Exhibit 10.4 to Ashland’s Form 8-K filed on January 26, 2018 (SEC File No. 333-211719), and incorporated herein by</w:t>
              </w:r>
            </w:hyperlink>
          </w:p>
        </w:tc>
        <w:tc>
          <w:tcPr>
            <w:tcW w:w="60" w:type="dxa"/>
            <w:vAlign w:val="bottom"/>
            <w:gridSpan w:val="3"/>
          </w:tcPr>
          <w:p>
            <w:pPr>
              <w:spacing w:after="0"/>
              <w:rPr>
                <w:sz w:val="13"/>
                <w:szCs w:val="13"/>
                <w:color w:val="auto"/>
              </w:rPr>
            </w:pPr>
          </w:p>
        </w:tc>
        <w:tc>
          <w:tcPr>
            <w:tcW w:w="24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5"/>
              </w:rPr>
            </w:pPr>
            <w:hyperlink r:id="rId92">
              <w:r>
                <w:rPr>
                  <w:rFonts w:ascii="Times New Roman" w:cs="Times New Roman" w:eastAsia="Times New Roman" w:hAnsi="Times New Roman"/>
                  <w:sz w:val="16"/>
                  <w:szCs w:val="16"/>
                  <w:color w:val="auto"/>
                  <w:w w:val="95"/>
                </w:rPr>
                <w:t>reference).</w:t>
              </w:r>
            </w:hyperlink>
          </w:p>
        </w:tc>
        <w:tc>
          <w:tcPr>
            <w:tcW w:w="7600" w:type="dxa"/>
            <w:vAlign w:val="bottom"/>
            <w:tcBorders>
              <w:top w:val="single" w:sz="8" w:color="0000EE"/>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5"/>
          </w:tcPr>
          <w:p>
            <w:pPr>
              <w:spacing w:after="0"/>
              <w:rPr>
                <w:sz w:val="13"/>
                <w:szCs w:val="13"/>
                <w:color w:val="auto"/>
              </w:rPr>
            </w:pPr>
          </w:p>
        </w:tc>
        <w:tc>
          <w:tcPr>
            <w:tcW w:w="24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10.20</w:t>
            </w:r>
          </w:p>
        </w:tc>
        <w:tc>
          <w:tcPr>
            <w:tcW w:w="9600" w:type="dxa"/>
            <w:vAlign w:val="bottom"/>
            <w:gridSpan w:val="33"/>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93">
              <w:r>
                <w:rPr>
                  <w:rFonts w:ascii="Times New Roman" w:cs="Times New Roman" w:eastAsia="Times New Roman" w:hAnsi="Times New Roman"/>
                  <w:sz w:val="16"/>
                  <w:szCs w:val="16"/>
                  <w:color w:val="auto"/>
                </w:rPr>
                <w:t>Form of Performance Unit Award Agreement under the Ashland Global Holdings Inc. 2018 Omnibus Incentive Compensation Plan (filed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2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auto"/>
              </w:rPr>
            </w:pPr>
            <w:hyperlink r:id="rId93">
              <w:r>
                <w:rPr>
                  <w:rFonts w:ascii="Times New Roman" w:cs="Times New Roman" w:eastAsia="Times New Roman" w:hAnsi="Times New Roman"/>
                  <w:sz w:val="16"/>
                  <w:szCs w:val="16"/>
                  <w:color w:val="auto"/>
                </w:rPr>
                <w:t>as Exhibit 10.5 to Ashland’s Form 8-K filed on January 26, 2018 (SEC File No. 333-211719), and incorporated herein by reference).</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10.21</w:t>
            </w:r>
          </w:p>
        </w:tc>
        <w:tc>
          <w:tcPr>
            <w:tcW w:w="9600" w:type="dxa"/>
            <w:vAlign w:val="bottom"/>
            <w:gridSpan w:val="33"/>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94">
              <w:r>
                <w:rPr>
                  <w:rFonts w:ascii="Times New Roman" w:cs="Times New Roman" w:eastAsia="Times New Roman" w:hAnsi="Times New Roman"/>
                  <w:sz w:val="16"/>
                  <w:szCs w:val="16"/>
                  <w:color w:val="auto"/>
                </w:rPr>
                <w:t>Form of Cash-Settled Restricted Stock Unit Award Agreement under the Ashland Global Holdings Inc. 2018 Omnibus Incentive</w:t>
              </w:r>
            </w:hyperlink>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80" w:type="dxa"/>
            <w:vAlign w:val="bottom"/>
            <w:gridSpan w:val="32"/>
          </w:tcPr>
          <w:p>
            <w:pPr>
              <w:spacing w:after="0" w:line="160" w:lineRule="exact"/>
              <w:rPr>
                <w:rFonts w:ascii="Times New Roman" w:cs="Times New Roman" w:eastAsia="Times New Roman" w:hAnsi="Times New Roman"/>
                <w:sz w:val="16"/>
                <w:szCs w:val="16"/>
                <w:color w:val="auto"/>
                <w:w w:val="99"/>
              </w:rPr>
            </w:pPr>
            <w:hyperlink r:id="rId94">
              <w:r>
                <w:rPr>
                  <w:rFonts w:ascii="Times New Roman" w:cs="Times New Roman" w:eastAsia="Times New Roman" w:hAnsi="Times New Roman"/>
                  <w:sz w:val="16"/>
                  <w:szCs w:val="16"/>
                  <w:color w:val="auto"/>
                  <w:w w:val="99"/>
                </w:rPr>
                <w:t>Compensation Plan (filed as Exhibit 10.6 to Ashland’s Form 8-K filed on January 26, 2018 (SEC File No. 333-211719), and incorporated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auto"/>
              </w:rPr>
            </w:pPr>
            <w:hyperlink r:id="rId94">
              <w:r>
                <w:rPr>
                  <w:rFonts w:ascii="Times New Roman" w:cs="Times New Roman" w:eastAsia="Times New Roman" w:hAnsi="Times New Roman"/>
                  <w:sz w:val="16"/>
                  <w:szCs w:val="16"/>
                  <w:color w:val="auto"/>
                </w:rPr>
                <w:t>herein by reference).</w:t>
              </w:r>
            </w:hyperlink>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10.22</w:t>
            </w:r>
          </w:p>
        </w:tc>
        <w:tc>
          <w:tcPr>
            <w:tcW w:w="9600" w:type="dxa"/>
            <w:vAlign w:val="bottom"/>
            <w:gridSpan w:val="33"/>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95">
              <w:r>
                <w:rPr>
                  <w:rFonts w:ascii="Times New Roman" w:cs="Times New Roman" w:eastAsia="Times New Roman" w:hAnsi="Times New Roman"/>
                  <w:sz w:val="16"/>
                  <w:szCs w:val="16"/>
                  <w:color w:val="auto"/>
                  <w:w w:val="99"/>
                </w:rPr>
                <w:t>Ashland Global Holdings Inc. NonQualified Defined Contribution Plan (Amended and Restated as of May 22, 2019) (filed as Exhibit 10.3</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6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auto"/>
              </w:rPr>
            </w:pPr>
            <w:hyperlink r:id="rId95">
              <w:r>
                <w:rPr>
                  <w:rFonts w:ascii="Times New Roman" w:cs="Times New Roman" w:eastAsia="Times New Roman" w:hAnsi="Times New Roman"/>
                  <w:sz w:val="16"/>
                  <w:szCs w:val="16"/>
                  <w:color w:val="auto"/>
                </w:rPr>
                <w:t>to Ashland’s Form 10-Q for the quarter ended June 30, 2019 (SEC File No. 333-211719), and incorporated herein by reference).</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10.23</w:t>
            </w:r>
          </w:p>
        </w:tc>
        <w:tc>
          <w:tcPr>
            <w:tcW w:w="9600" w:type="dxa"/>
            <w:vAlign w:val="bottom"/>
            <w:gridSpan w:val="33"/>
          </w:tcPr>
          <w:p>
            <w:pPr>
              <w:ind w:left="58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96">
              <w:r>
                <w:rPr>
                  <w:rFonts w:ascii="Times New Roman" w:cs="Times New Roman" w:eastAsia="Times New Roman" w:hAnsi="Times New Roman"/>
                  <w:sz w:val="16"/>
                  <w:szCs w:val="16"/>
                  <w:color w:val="auto"/>
                  <w:w w:val="98"/>
                </w:rPr>
                <w:t>Ashland Global Holdings Inc. Supplemental Defined Contribution Plan for Certain Employees (Amended and Restated as of May 22, 2019)</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60" w:type="dxa"/>
            <w:vAlign w:val="bottom"/>
            <w:tcBorders>
              <w:top w:val="single" w:sz="8" w:color="0000EE"/>
            </w:tcBorders>
            <w:gridSpan w:val="31"/>
          </w:tcPr>
          <w:p>
            <w:pPr>
              <w:spacing w:after="0" w:line="160" w:lineRule="exact"/>
              <w:rPr>
                <w:rFonts w:ascii="Times New Roman" w:cs="Times New Roman" w:eastAsia="Times New Roman" w:hAnsi="Times New Roman"/>
                <w:sz w:val="16"/>
                <w:szCs w:val="16"/>
                <w:color w:val="auto"/>
              </w:rPr>
            </w:pPr>
            <w:hyperlink r:id="rId96">
              <w:r>
                <w:rPr>
                  <w:rFonts w:ascii="Times New Roman" w:cs="Times New Roman" w:eastAsia="Times New Roman" w:hAnsi="Times New Roman"/>
                  <w:sz w:val="16"/>
                  <w:szCs w:val="16"/>
                  <w:color w:val="auto"/>
                </w:rPr>
                <w:t>(filed as Exhibit 10.39 to Ashland’s Form 10-K filed on November 25, 2019 (SEC File No. 333-211719) and incorporated herein by</w:t>
              </w:r>
            </w:hyperlink>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5"/>
              </w:rPr>
            </w:pPr>
            <w:hyperlink r:id="rId96">
              <w:r>
                <w:rPr>
                  <w:rFonts w:ascii="Times New Roman" w:cs="Times New Roman" w:eastAsia="Times New Roman" w:hAnsi="Times New Roman"/>
                  <w:sz w:val="16"/>
                  <w:szCs w:val="16"/>
                  <w:color w:val="auto"/>
                  <w:w w:val="95"/>
                </w:rPr>
                <w:t>reference).</w:t>
              </w:r>
            </w:hyperlink>
          </w:p>
        </w:tc>
        <w:tc>
          <w:tcPr>
            <w:tcW w:w="7580" w:type="dxa"/>
            <w:vAlign w:val="bottom"/>
            <w:tcBorders>
              <w:top w:val="single" w:sz="8" w:color="0000EE"/>
            </w:tcBorders>
            <w:gridSpan w:val="13"/>
          </w:tcPr>
          <w:p>
            <w:pPr>
              <w:spacing w:after="0"/>
              <w:rPr>
                <w:sz w:val="13"/>
                <w:szCs w:val="13"/>
                <w:color w:val="auto"/>
              </w:rPr>
            </w:pPr>
          </w:p>
        </w:tc>
        <w:tc>
          <w:tcPr>
            <w:tcW w:w="260" w:type="dxa"/>
            <w:vAlign w:val="bottom"/>
            <w:gridSpan w:val="7"/>
          </w:tcPr>
          <w:p>
            <w:pPr>
              <w:spacing w:after="0"/>
              <w:rPr>
                <w:sz w:val="13"/>
                <w:szCs w:val="13"/>
                <w:color w:val="auto"/>
              </w:rPr>
            </w:pPr>
          </w:p>
        </w:tc>
        <w:tc>
          <w:tcPr>
            <w:tcW w:w="260" w:type="dxa"/>
            <w:vAlign w:val="bottom"/>
            <w:gridSpan w:val="11"/>
          </w:tcPr>
          <w:p>
            <w:pPr>
              <w:spacing w:after="0"/>
              <w:rPr>
                <w:sz w:val="13"/>
                <w:szCs w:val="13"/>
                <w:color w:val="auto"/>
              </w:rPr>
            </w:pPr>
          </w:p>
        </w:tc>
      </w:tr>
      <w:tr>
        <w:trPr>
          <w:trHeight w:val="280"/>
        </w:trPr>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10.24</w:t>
            </w:r>
          </w:p>
        </w:tc>
        <w:tc>
          <w:tcPr>
            <w:tcW w:w="9600" w:type="dxa"/>
            <w:vAlign w:val="bottom"/>
            <w:gridSpan w:val="33"/>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97">
              <w:r>
                <w:rPr>
                  <w:rFonts w:ascii="Times New Roman" w:cs="Times New Roman" w:eastAsia="Times New Roman" w:hAnsi="Times New Roman"/>
                  <w:sz w:val="16"/>
                  <w:szCs w:val="16"/>
                  <w:color w:val="auto"/>
                </w:rPr>
                <w:t>Form of Restricted Stock Award Agreement under the Ashland Global Holdings Inc. 2018 Omnibus Incentive Compensation Plan (with</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4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auto"/>
                <w:w w:val="97"/>
              </w:rPr>
            </w:pPr>
            <w:hyperlink r:id="rId97">
              <w:r>
                <w:rPr>
                  <w:rFonts w:ascii="Times New Roman" w:cs="Times New Roman" w:eastAsia="Times New Roman" w:hAnsi="Times New Roman"/>
                  <w:sz w:val="16"/>
                  <w:szCs w:val="16"/>
                  <w:color w:val="auto"/>
                  <w:w w:val="97"/>
                </w:rPr>
                <w:t>pro-rata vesting upon death, disability and retirement) (filed as Exhibit</w:t>
              </w:r>
            </w:hyperlink>
          </w:p>
        </w:tc>
        <w:tc>
          <w:tcPr>
            <w:tcW w:w="4080" w:type="dxa"/>
            <w:vAlign w:val="bottom"/>
            <w:tcBorders>
              <w:top w:val="single" w:sz="8" w:color="0000EE"/>
            </w:tcBorders>
            <w:gridSpan w:val="15"/>
          </w:tcPr>
          <w:p>
            <w:pPr>
              <w:spacing w:after="0"/>
              <w:rPr>
                <w:sz w:val="13"/>
                <w:szCs w:val="13"/>
                <w:color w:val="auto"/>
              </w:rPr>
            </w:pPr>
          </w:p>
        </w:tc>
        <w:tc>
          <w:tcPr>
            <w:tcW w:w="260" w:type="dxa"/>
            <w:vAlign w:val="bottom"/>
            <w:gridSpan w:val="11"/>
          </w:tcPr>
          <w:p>
            <w:pPr>
              <w:spacing w:after="0"/>
              <w:rPr>
                <w:sz w:val="13"/>
                <w:szCs w:val="13"/>
                <w:color w:val="auto"/>
              </w:rPr>
            </w:pPr>
          </w:p>
        </w:tc>
      </w:tr>
      <w:tr>
        <w:trPr>
          <w:trHeight w:val="386"/>
        </w:trPr>
        <w:tc>
          <w:tcPr>
            <w:tcW w:w="980" w:type="dxa"/>
            <w:vAlign w:val="bottom"/>
          </w:tcPr>
          <w:p>
            <w:pPr>
              <w:spacing w:after="0"/>
              <w:rPr>
                <w:sz w:val="24"/>
                <w:szCs w:val="24"/>
                <w:color w:val="auto"/>
              </w:rPr>
            </w:pPr>
          </w:p>
        </w:tc>
        <w:tc>
          <w:tcPr>
            <w:tcW w:w="4640" w:type="dxa"/>
            <w:vAlign w:val="bottom"/>
            <w:gridSpan w:val="6"/>
          </w:tcPr>
          <w:p>
            <w:pPr>
              <w:ind w:left="4220"/>
              <w:spacing w:after="0"/>
              <w:rPr>
                <w:sz w:val="20"/>
                <w:szCs w:val="20"/>
                <w:color w:val="auto"/>
              </w:rPr>
            </w:pPr>
            <w:r>
              <w:rPr>
                <w:rFonts w:ascii="Times New Roman" w:cs="Times New Roman" w:eastAsia="Times New Roman" w:hAnsi="Times New Roman"/>
                <w:sz w:val="16"/>
                <w:szCs w:val="16"/>
                <w:color w:val="auto"/>
              </w:rPr>
              <w:t>33</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9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2" w:right="68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40" w:type="dxa"/>
            <w:vAlign w:val="bottom"/>
            <w:tcBorders>
              <w:bottom w:val="single" w:sz="8" w:color="0000EE"/>
            </w:tcBorders>
            <w:gridSpan w:val="16"/>
          </w:tcPr>
          <w:p>
            <w:pPr>
              <w:spacing w:after="0"/>
              <w:rPr>
                <w:rFonts w:ascii="Times New Roman" w:cs="Times New Roman" w:eastAsia="Times New Roman" w:hAnsi="Times New Roman"/>
                <w:sz w:val="16"/>
                <w:szCs w:val="16"/>
                <w:color w:val="auto"/>
                <w:w w:val="97"/>
              </w:rPr>
            </w:pPr>
            <w:hyperlink r:id="rId97">
              <w:r>
                <w:rPr>
                  <w:rFonts w:ascii="Times New Roman" w:cs="Times New Roman" w:eastAsia="Times New Roman" w:hAnsi="Times New Roman"/>
                  <w:sz w:val="16"/>
                  <w:szCs w:val="16"/>
                  <w:color w:val="auto"/>
                  <w:w w:val="97"/>
                </w:rPr>
                <w:t>10.5 to Ashland’s Form 10-Q for the quarter ended June 30, 2019 (SEC File No. 333-211719), and incorporated herein by reference).</w:t>
              </w:r>
            </w:hyperlink>
          </w:p>
        </w:tc>
        <w:tc>
          <w:tcPr>
            <w:tcW w:w="420" w:type="dxa"/>
            <w:vAlign w:val="bottom"/>
            <w:gridSpan w:val="13"/>
          </w:tcPr>
          <w:p>
            <w:pPr>
              <w:spacing w:after="0"/>
              <w:rPr>
                <w:sz w:val="16"/>
                <w:szCs w:val="16"/>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10.25</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99">
              <w:r>
                <w:rPr>
                  <w:rFonts w:ascii="Times New Roman" w:cs="Times New Roman" w:eastAsia="Times New Roman" w:hAnsi="Times New Roman"/>
                  <w:sz w:val="16"/>
                  <w:szCs w:val="16"/>
                  <w:color w:val="auto"/>
                </w:rPr>
                <w:t>Form of Stock Appreciation Rights Award Agreement (Stock Settled) under the Ashland Global Holdings Inc. 2018 Omnibus Incentive</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50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auto"/>
                <w:w w:val="98"/>
              </w:rPr>
            </w:pPr>
            <w:hyperlink r:id="rId99">
              <w:r>
                <w:rPr>
                  <w:rFonts w:ascii="Times New Roman" w:cs="Times New Roman" w:eastAsia="Times New Roman" w:hAnsi="Times New Roman"/>
                  <w:sz w:val="16"/>
                  <w:szCs w:val="16"/>
                  <w:color w:val="auto"/>
                  <w:w w:val="98"/>
                </w:rPr>
                <w:t>Compensation Plan (with pro-rata vesting upon death, disability and retirement) (filed as Exhibit 10.6 to Ashland’s Form 10-Q for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8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auto"/>
              </w:rPr>
            </w:pPr>
            <w:hyperlink r:id="rId99">
              <w:r>
                <w:rPr>
                  <w:rFonts w:ascii="Times New Roman" w:cs="Times New Roman" w:eastAsia="Times New Roman" w:hAnsi="Times New Roman"/>
                  <w:sz w:val="16"/>
                  <w:szCs w:val="16"/>
                  <w:color w:val="auto"/>
                </w:rPr>
                <w:t>quarter ended June 30, 2019 (SEC File No. 333-211719), and incorporated herein by reference).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10.26</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00">
              <w:r>
                <w:rPr>
                  <w:rFonts w:ascii="Times New Roman" w:cs="Times New Roman" w:eastAsia="Times New Roman" w:hAnsi="Times New Roman"/>
                  <w:sz w:val="16"/>
                  <w:szCs w:val="16"/>
                  <w:color w:val="auto"/>
                </w:rPr>
                <w:t>Form of Restricted Stock Unit Award Agreement under the Ashland Global Holdings Inc. 2018 Omnibus Incentive Compensation Plan</w:t>
              </w:r>
            </w:hyperlink>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60" w:type="dxa"/>
            <w:vAlign w:val="bottom"/>
            <w:gridSpan w:val="29"/>
          </w:tcPr>
          <w:p>
            <w:pPr>
              <w:spacing w:after="0" w:line="160" w:lineRule="exact"/>
              <w:rPr>
                <w:rFonts w:ascii="Times New Roman" w:cs="Times New Roman" w:eastAsia="Times New Roman" w:hAnsi="Times New Roman"/>
                <w:sz w:val="16"/>
                <w:szCs w:val="16"/>
                <w:color w:val="auto"/>
                <w:w w:val="99"/>
              </w:rPr>
            </w:pPr>
            <w:hyperlink r:id="rId100">
              <w:r>
                <w:rPr>
                  <w:rFonts w:ascii="Times New Roman" w:cs="Times New Roman" w:eastAsia="Times New Roman" w:hAnsi="Times New Roman"/>
                  <w:sz w:val="16"/>
                  <w:szCs w:val="16"/>
                  <w:color w:val="auto"/>
                  <w:w w:val="99"/>
                </w:rPr>
                <w:t>(with pro-rata vesting upon death, disability and retirement) (filed as Exhibit 10.7 to Ashland’s Form 10-Q for the quarter ended June 30,</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56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auto"/>
                <w:w w:val="97"/>
              </w:rPr>
            </w:pPr>
            <w:hyperlink r:id="rId100">
              <w:r>
                <w:rPr>
                  <w:rFonts w:ascii="Times New Roman" w:cs="Times New Roman" w:eastAsia="Times New Roman" w:hAnsi="Times New Roman"/>
                  <w:sz w:val="16"/>
                  <w:szCs w:val="16"/>
                  <w:color w:val="auto"/>
                  <w:w w:val="97"/>
                </w:rPr>
                <w:t>2019 (SEC File No. 333-211719), and incorporated herein by reference).</w:t>
              </w:r>
            </w:hyperlink>
          </w:p>
        </w:tc>
        <w:tc>
          <w:tcPr>
            <w:tcW w:w="4000" w:type="dxa"/>
            <w:vAlign w:val="bottom"/>
            <w:tcBorders>
              <w:top w:val="single" w:sz="8" w:color="0000EE"/>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10.27</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01">
              <w:r>
                <w:rPr>
                  <w:rFonts w:ascii="Times New Roman" w:cs="Times New Roman" w:eastAsia="Times New Roman" w:hAnsi="Times New Roman"/>
                  <w:sz w:val="16"/>
                  <w:szCs w:val="16"/>
                  <w:color w:val="auto"/>
                </w:rPr>
                <w:t>Form of Stock-Settled Performance Unit Award Agreement under the Ashland Global Holdings Inc. 2018 Omnibus Incentive</w:t>
              </w:r>
            </w:hyperlink>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60" w:type="dxa"/>
            <w:vAlign w:val="bottom"/>
            <w:gridSpan w:val="29"/>
          </w:tcPr>
          <w:p>
            <w:pPr>
              <w:spacing w:after="0" w:line="160" w:lineRule="exact"/>
              <w:rPr>
                <w:rFonts w:ascii="Times New Roman" w:cs="Times New Roman" w:eastAsia="Times New Roman" w:hAnsi="Times New Roman"/>
                <w:sz w:val="16"/>
                <w:szCs w:val="16"/>
                <w:color w:val="auto"/>
              </w:rPr>
            </w:pPr>
            <w:hyperlink r:id="rId101">
              <w:r>
                <w:rPr>
                  <w:rFonts w:ascii="Times New Roman" w:cs="Times New Roman" w:eastAsia="Times New Roman" w:hAnsi="Times New Roman"/>
                  <w:sz w:val="16"/>
                  <w:szCs w:val="16"/>
                  <w:color w:val="auto"/>
                </w:rPr>
                <w:t>Compensation Plan (with pro-rata vesting upon death, disability and retirement) (filed as Exhibit 10.8 to Ashland’s Form 10-Q for the</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8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auto"/>
              </w:rPr>
            </w:pPr>
            <w:hyperlink r:id="rId101">
              <w:r>
                <w:rPr>
                  <w:rFonts w:ascii="Times New Roman" w:cs="Times New Roman" w:eastAsia="Times New Roman" w:hAnsi="Times New Roman"/>
                  <w:sz w:val="16"/>
                  <w:szCs w:val="16"/>
                  <w:color w:val="auto"/>
                </w:rPr>
                <w:t>quarter ended June 30, 2019 (SEC File No. 333-211719), and incorporated herein by reference).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10.28</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02">
              <w:r>
                <w:rPr>
                  <w:rFonts w:ascii="Times New Roman" w:cs="Times New Roman" w:eastAsia="Times New Roman" w:hAnsi="Times New Roman"/>
                  <w:sz w:val="16"/>
                  <w:szCs w:val="16"/>
                  <w:color w:val="auto"/>
                </w:rPr>
                <w:t>Offer Letter dated as of October 8, 2019, entered into by Guillermo Novo and Ashland Global Holdings Inc. (filed as Exhibit 10.1 to</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8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auto"/>
              </w:rPr>
            </w:pPr>
            <w:hyperlink r:id="rId102">
              <w:r>
                <w:rPr>
                  <w:rFonts w:ascii="Times New Roman" w:cs="Times New Roman" w:eastAsia="Times New Roman" w:hAnsi="Times New Roman"/>
                  <w:sz w:val="16"/>
                  <w:szCs w:val="16"/>
                  <w:color w:val="auto"/>
                </w:rPr>
                <w:t>Ashland’s Form 8-K filed on October 8, 2019 (SEC File No. 333-211719) and incorporated herein by reference).</w:t>
              </w:r>
            </w:hyperlink>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10.29</w:t>
            </w:r>
          </w:p>
        </w:tc>
        <w:tc>
          <w:tcPr>
            <w:tcW w:w="8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760" w:type="dxa"/>
            <w:vAlign w:val="bottom"/>
            <w:gridSpan w:val="29"/>
          </w:tcPr>
          <w:p>
            <w:pPr>
              <w:spacing w:after="0"/>
              <w:rPr>
                <w:rFonts w:ascii="Times New Roman" w:cs="Times New Roman" w:eastAsia="Times New Roman" w:hAnsi="Times New Roman"/>
                <w:sz w:val="16"/>
                <w:szCs w:val="16"/>
                <w:color w:val="auto"/>
                <w:w w:val="98"/>
              </w:rPr>
            </w:pPr>
            <w:hyperlink r:id="rId103">
              <w:r>
                <w:rPr>
                  <w:rFonts w:ascii="Times New Roman" w:cs="Times New Roman" w:eastAsia="Times New Roman" w:hAnsi="Times New Roman"/>
                  <w:sz w:val="16"/>
                  <w:szCs w:val="16"/>
                  <w:color w:val="auto"/>
                  <w:w w:val="98"/>
                </w:rPr>
                <w:t>Ashland Global Holdings Inc. 2021 Omnibus Incentive Compensation Plan (filed as Exhibit 10.1 to Ashland’s Form 8-K filed on February</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8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r:id="rId103">
              <w:r>
                <w:rPr>
                  <w:rFonts w:ascii="Times New Roman" w:cs="Times New Roman" w:eastAsia="Times New Roman" w:hAnsi="Times New Roman"/>
                  <w:sz w:val="16"/>
                  <w:szCs w:val="16"/>
                  <w:color w:val="auto"/>
                  <w:w w:val="97"/>
                </w:rPr>
                <w:t>3, 2021 (SEC File No. 333-211719) and incorporated herein by reference).</w:t>
              </w:r>
            </w:hyperlink>
          </w:p>
        </w:tc>
        <w:tc>
          <w:tcPr>
            <w:tcW w:w="4040" w:type="dxa"/>
            <w:vAlign w:val="bottom"/>
            <w:tcBorders>
              <w:top w:val="single" w:sz="8" w:color="0000EE"/>
            </w:tcBorders>
            <w:gridSpan w:val="19"/>
          </w:tcPr>
          <w:p>
            <w:pPr>
              <w:spacing w:after="0"/>
              <w:rPr>
                <w:sz w:val="13"/>
                <w:szCs w:val="13"/>
                <w:color w:val="auto"/>
              </w:rPr>
            </w:pPr>
          </w:p>
        </w:tc>
        <w:tc>
          <w:tcPr>
            <w:tcW w:w="40" w:type="dxa"/>
            <w:vAlign w:val="bottom"/>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10.30</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04">
              <w:r>
                <w:rPr>
                  <w:rFonts w:ascii="Times New Roman" w:cs="Times New Roman" w:eastAsia="Times New Roman" w:hAnsi="Times New Roman"/>
                  <w:sz w:val="16"/>
                  <w:szCs w:val="16"/>
                  <w:color w:val="auto"/>
                </w:rPr>
                <w:t>Form of Stock-Settled Restricted Stock Unit Award Agreement (filed as Exhibit 10.2 to Ashland’s Form 8-K filed on February 3, 2021</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6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auto"/>
              </w:rPr>
            </w:pPr>
            <w:hyperlink r:id="rId104">
              <w:r>
                <w:rPr>
                  <w:rFonts w:ascii="Times New Roman" w:cs="Times New Roman" w:eastAsia="Times New Roman" w:hAnsi="Times New Roman"/>
                  <w:sz w:val="16"/>
                  <w:szCs w:val="16"/>
                  <w:color w:val="auto"/>
                </w:rPr>
                <w:t>(SEC File No. 333-211719)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10.31</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05">
              <w:r>
                <w:rPr>
                  <w:rFonts w:ascii="Times New Roman" w:cs="Times New Roman" w:eastAsia="Times New Roman" w:hAnsi="Times New Roman"/>
                  <w:sz w:val="16"/>
                  <w:szCs w:val="16"/>
                  <w:color w:val="auto"/>
                </w:rPr>
                <w:t>Form of Restricted Share Award Agreement (filed as Exhibit 10.3 to Ashland’s Form 8-K filed on February 3, 2021 (SEC File No. 333-</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8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auto"/>
                <w:w w:val="97"/>
              </w:rPr>
            </w:pPr>
            <w:hyperlink r:id="rId105">
              <w:r>
                <w:rPr>
                  <w:rFonts w:ascii="Times New Roman" w:cs="Times New Roman" w:eastAsia="Times New Roman" w:hAnsi="Times New Roman"/>
                  <w:sz w:val="16"/>
                  <w:szCs w:val="16"/>
                  <w:color w:val="auto"/>
                  <w:w w:val="97"/>
                </w:rPr>
                <w:t>211719) and incorporated herein by reference).</w:t>
              </w:r>
            </w:hyperlink>
          </w:p>
        </w:tc>
        <w:tc>
          <w:tcPr>
            <w:tcW w:w="5540" w:type="dxa"/>
            <w:vAlign w:val="bottom"/>
            <w:tcBorders>
              <w:top w:val="single" w:sz="8" w:color="0000EE"/>
            </w:tcBorders>
            <w:gridSpan w:val="17"/>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10.32</w:t>
            </w:r>
          </w:p>
        </w:tc>
        <w:tc>
          <w:tcPr>
            <w:tcW w:w="8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760" w:type="dxa"/>
            <w:vAlign w:val="bottom"/>
            <w:gridSpan w:val="29"/>
          </w:tcPr>
          <w:p>
            <w:pPr>
              <w:spacing w:after="0"/>
              <w:rPr>
                <w:rFonts w:ascii="Times New Roman" w:cs="Times New Roman" w:eastAsia="Times New Roman" w:hAnsi="Times New Roman"/>
                <w:sz w:val="16"/>
                <w:szCs w:val="16"/>
                <w:color w:val="auto"/>
                <w:w w:val="99"/>
              </w:rPr>
            </w:pPr>
            <w:hyperlink r:id="rId106">
              <w:r>
                <w:rPr>
                  <w:rFonts w:ascii="Times New Roman" w:cs="Times New Roman" w:eastAsia="Times New Roman" w:hAnsi="Times New Roman"/>
                  <w:sz w:val="16"/>
                  <w:szCs w:val="16"/>
                  <w:color w:val="auto"/>
                  <w:w w:val="99"/>
                </w:rPr>
                <w:t>Form of Stock Appreciation Rights Award Agreement (filed as Exhibit 10.4 to Ashland’s Form 8-K filed on February 3, 2021 (SEC File</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52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auto"/>
                <w:w w:val="97"/>
              </w:rPr>
            </w:pPr>
            <w:hyperlink r:id="rId106">
              <w:r>
                <w:rPr>
                  <w:rFonts w:ascii="Times New Roman" w:cs="Times New Roman" w:eastAsia="Times New Roman" w:hAnsi="Times New Roman"/>
                  <w:sz w:val="16"/>
                  <w:szCs w:val="16"/>
                  <w:color w:val="auto"/>
                  <w:w w:val="97"/>
                </w:rPr>
                <w:t>No. 333-211719) and incorporated herein by reference).</w:t>
              </w:r>
            </w:hyperlink>
          </w:p>
        </w:tc>
        <w:tc>
          <w:tcPr>
            <w:tcW w:w="5060" w:type="dxa"/>
            <w:vAlign w:val="bottom"/>
            <w:tcBorders>
              <w:top w:val="single" w:sz="8" w:color="0000EE"/>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10.33</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07">
              <w:r>
                <w:rPr>
                  <w:rFonts w:ascii="Times New Roman" w:cs="Times New Roman" w:eastAsia="Times New Roman" w:hAnsi="Times New Roman"/>
                  <w:sz w:val="16"/>
                  <w:szCs w:val="16"/>
                  <w:color w:val="auto"/>
                </w:rPr>
                <w:t>Form of Performance Unit Award Agreement (filed as Exhibit 10.5 to Ashland’s Form 8-K filed on February 3, 2021 (SEC File No. 333-</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8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auto"/>
                <w:w w:val="97"/>
              </w:rPr>
            </w:pPr>
            <w:hyperlink r:id="rId107">
              <w:r>
                <w:rPr>
                  <w:rFonts w:ascii="Times New Roman" w:cs="Times New Roman" w:eastAsia="Times New Roman" w:hAnsi="Times New Roman"/>
                  <w:sz w:val="16"/>
                  <w:szCs w:val="16"/>
                  <w:color w:val="auto"/>
                  <w:w w:val="97"/>
                </w:rPr>
                <w:t>211719) and incorporated herein by reference).</w:t>
              </w:r>
            </w:hyperlink>
          </w:p>
        </w:tc>
        <w:tc>
          <w:tcPr>
            <w:tcW w:w="562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10.34</w:t>
            </w:r>
          </w:p>
        </w:tc>
        <w:tc>
          <w:tcPr>
            <w:tcW w:w="8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760" w:type="dxa"/>
            <w:vAlign w:val="bottom"/>
            <w:gridSpan w:val="29"/>
          </w:tcPr>
          <w:p>
            <w:pPr>
              <w:spacing w:after="0"/>
              <w:rPr>
                <w:rFonts w:ascii="Times New Roman" w:cs="Times New Roman" w:eastAsia="Times New Roman" w:hAnsi="Times New Roman"/>
                <w:sz w:val="16"/>
                <w:szCs w:val="16"/>
                <w:color w:val="auto"/>
              </w:rPr>
            </w:pPr>
            <w:hyperlink r:id="rId108">
              <w:r>
                <w:rPr>
                  <w:rFonts w:ascii="Times New Roman" w:cs="Times New Roman" w:eastAsia="Times New Roman" w:hAnsi="Times New Roman"/>
                  <w:sz w:val="16"/>
                  <w:szCs w:val="16"/>
                  <w:color w:val="auto"/>
                </w:rPr>
                <w:t>Form of Cash-Settled Restricted Stock Unit Award Agreement (filed as Exhibit 10.6 to Ashland’s Form 8-K filed on February 3, 2021</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6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auto"/>
              </w:rPr>
            </w:pPr>
            <w:hyperlink r:id="rId108">
              <w:r>
                <w:rPr>
                  <w:rFonts w:ascii="Times New Roman" w:cs="Times New Roman" w:eastAsia="Times New Roman" w:hAnsi="Times New Roman"/>
                  <w:sz w:val="16"/>
                  <w:szCs w:val="16"/>
                  <w:color w:val="auto"/>
                </w:rPr>
                <w:t>(SEC File No. 333-211719) and incorporated herein by reference).</w:t>
              </w:r>
            </w:hyperlink>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10.35</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09">
              <w:r>
                <w:rPr>
                  <w:rFonts w:ascii="Times New Roman" w:cs="Times New Roman" w:eastAsia="Times New Roman" w:hAnsi="Times New Roman"/>
                  <w:sz w:val="16"/>
                  <w:szCs w:val="16"/>
                  <w:color w:val="auto"/>
                </w:rPr>
                <w:t>Form of Cash Settled Restricted Stock Equivalent Award Agreement for Non-U.S. Participants under the Ashland Global Holdings Inc.</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8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auto"/>
                <w:w w:val="98"/>
              </w:rPr>
            </w:pPr>
            <w:hyperlink r:id="rId109">
              <w:r>
                <w:rPr>
                  <w:rFonts w:ascii="Times New Roman" w:cs="Times New Roman" w:eastAsia="Times New Roman" w:hAnsi="Times New Roman"/>
                  <w:sz w:val="16"/>
                  <w:szCs w:val="16"/>
                  <w:color w:val="auto"/>
                  <w:w w:val="98"/>
                </w:rPr>
                <w:t>2021 Omnibus Incentive Compensation Plan (filed as Exhibit 10.2 to Ashland’s Form 8-K filed on August 6, 2021 (SEC File No. 333-</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auto"/>
                <w:w w:val="97"/>
              </w:rPr>
            </w:pPr>
            <w:hyperlink r:id="rId109">
              <w:r>
                <w:rPr>
                  <w:rFonts w:ascii="Times New Roman" w:cs="Times New Roman" w:eastAsia="Times New Roman" w:hAnsi="Times New Roman"/>
                  <w:sz w:val="16"/>
                  <w:szCs w:val="16"/>
                  <w:color w:val="auto"/>
                  <w:w w:val="97"/>
                </w:rPr>
                <w:t>211719) and incorporated herein by reference).</w:t>
              </w:r>
            </w:hyperlink>
          </w:p>
        </w:tc>
        <w:tc>
          <w:tcPr>
            <w:tcW w:w="5460" w:type="dxa"/>
            <w:vAlign w:val="bottom"/>
            <w:tcBorders>
              <w:top w:val="single" w:sz="8" w:color="0000EE"/>
            </w:tcBorders>
            <w:gridSpan w:val="14"/>
          </w:tcPr>
          <w:p>
            <w:pPr>
              <w:spacing w:after="0"/>
              <w:rPr>
                <w:sz w:val="13"/>
                <w:szCs w:val="13"/>
                <w:color w:val="auto"/>
              </w:rPr>
            </w:pPr>
          </w:p>
        </w:tc>
        <w:tc>
          <w:tcPr>
            <w:tcW w:w="2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10.36</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0">
              <w:r>
                <w:rPr>
                  <w:rFonts w:ascii="Times New Roman" w:cs="Times New Roman" w:eastAsia="Times New Roman" w:hAnsi="Times New Roman"/>
                  <w:sz w:val="16"/>
                  <w:szCs w:val="16"/>
                  <w:color w:val="auto"/>
                </w:rPr>
                <w:t>Form of Cash Settled Performance Unit Award Agreement for Non-U.S. Participants under the Ashland Global Holdings Inc. 2021</w:t>
              </w:r>
            </w:hyperlink>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20" w:type="dxa"/>
            <w:vAlign w:val="bottom"/>
            <w:gridSpan w:val="10"/>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60" w:type="dxa"/>
            <w:vAlign w:val="bottom"/>
            <w:gridSpan w:val="29"/>
          </w:tcPr>
          <w:p>
            <w:pPr>
              <w:spacing w:after="0" w:line="160" w:lineRule="exact"/>
              <w:rPr>
                <w:rFonts w:ascii="Times New Roman" w:cs="Times New Roman" w:eastAsia="Times New Roman" w:hAnsi="Times New Roman"/>
                <w:sz w:val="16"/>
                <w:szCs w:val="16"/>
                <w:color w:val="auto"/>
                <w:w w:val="99"/>
              </w:rPr>
            </w:pPr>
            <w:hyperlink r:id="rId110">
              <w:r>
                <w:rPr>
                  <w:rFonts w:ascii="Times New Roman" w:cs="Times New Roman" w:eastAsia="Times New Roman" w:hAnsi="Times New Roman"/>
                  <w:sz w:val="16"/>
                  <w:szCs w:val="16"/>
                  <w:color w:val="auto"/>
                  <w:w w:val="99"/>
                </w:rPr>
                <w:t>Omnibus Incentive Compensation Plan (filed as Exhibit 10.3 to Ashland’s Form 8-K filed on August 6, 2021 (SEC File No. 333-211719)</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auto"/>
                <w:w w:val="97"/>
              </w:rPr>
            </w:pPr>
            <w:hyperlink r:id="rId110">
              <w:r>
                <w:rPr>
                  <w:rFonts w:ascii="Times New Roman" w:cs="Times New Roman" w:eastAsia="Times New Roman" w:hAnsi="Times New Roman"/>
                  <w:sz w:val="16"/>
                  <w:szCs w:val="16"/>
                  <w:color w:val="auto"/>
                  <w:w w:val="97"/>
                </w:rPr>
                <w:t>and incorporated herein by reference).</w:t>
              </w:r>
            </w:hyperlink>
          </w:p>
        </w:tc>
        <w:tc>
          <w:tcPr>
            <w:tcW w:w="6200" w:type="dxa"/>
            <w:vAlign w:val="bottom"/>
            <w:tcBorders>
              <w:top w:val="single" w:sz="8" w:color="0000EE"/>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10.37</w:t>
            </w:r>
          </w:p>
        </w:tc>
        <w:tc>
          <w:tcPr>
            <w:tcW w:w="9580" w:type="dxa"/>
            <w:vAlign w:val="bottom"/>
            <w:gridSpan w:val="30"/>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111">
              <w:r>
                <w:rPr>
                  <w:rFonts w:ascii="Times New Roman" w:cs="Times New Roman" w:eastAsia="Times New Roman" w:hAnsi="Times New Roman"/>
                  <w:sz w:val="16"/>
                  <w:szCs w:val="16"/>
                  <w:color w:val="auto"/>
                  <w:w w:val="99"/>
                </w:rPr>
                <w:t>Form of Stock Settled Performance Unit Agreement for U.S. Employees under the Ashland Global Holdings Inc. 2021 Omnibus Incentive</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4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auto"/>
                <w:w w:val="99"/>
              </w:rPr>
            </w:pPr>
            <w:hyperlink r:id="rId111">
              <w:r>
                <w:rPr>
                  <w:rFonts w:ascii="Times New Roman" w:cs="Times New Roman" w:eastAsia="Times New Roman" w:hAnsi="Times New Roman"/>
                  <w:sz w:val="16"/>
                  <w:szCs w:val="16"/>
                  <w:color w:val="auto"/>
                  <w:w w:val="99"/>
                </w:rPr>
                <w:t>Compensation Plan (filed as Exhibit 10.4 to Ashland’s Form 8-K filed on August 6, 2021 (SEC File No. 333-211719) and incorporated</w:t>
              </w:r>
            </w:hyperlink>
          </w:p>
        </w:tc>
        <w:tc>
          <w:tcPr>
            <w:tcW w:w="12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6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auto"/>
              </w:rPr>
            </w:pPr>
            <w:hyperlink r:id="rId111">
              <w:r>
                <w:rPr>
                  <w:rFonts w:ascii="Times New Roman" w:cs="Times New Roman" w:eastAsia="Times New Roman" w:hAnsi="Times New Roman"/>
                  <w:sz w:val="16"/>
                  <w:szCs w:val="16"/>
                  <w:color w:val="auto"/>
                </w:rPr>
                <w:t>herein by reference).</w:t>
              </w:r>
            </w:hyperlink>
          </w:p>
        </w:tc>
        <w:tc>
          <w:tcPr>
            <w:tcW w:w="160" w:type="dxa"/>
            <w:vAlign w:val="bottom"/>
            <w:gridSpan w:val="7"/>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72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10.38</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2">
              <w:r>
                <w:rPr>
                  <w:rFonts w:ascii="Times New Roman" w:cs="Times New Roman" w:eastAsia="Times New Roman" w:hAnsi="Times New Roman"/>
                  <w:sz w:val="16"/>
                  <w:szCs w:val="16"/>
                  <w:color w:val="auto"/>
                </w:rPr>
                <w:t>Form of Restricted Stock Unit Agreement for U.S. Employees under the Ashland Global Holdings Inc. 2021 Omnibus Incentive</w:t>
              </w:r>
            </w:hyperlink>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340" w:type="dxa"/>
            <w:vAlign w:val="bottom"/>
            <w:gridSpan w:val="1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60" w:type="dxa"/>
            <w:vAlign w:val="bottom"/>
            <w:gridSpan w:val="29"/>
          </w:tcPr>
          <w:p>
            <w:pPr>
              <w:spacing w:after="0" w:line="160" w:lineRule="exact"/>
              <w:rPr>
                <w:rFonts w:ascii="Times New Roman" w:cs="Times New Roman" w:eastAsia="Times New Roman" w:hAnsi="Times New Roman"/>
                <w:sz w:val="16"/>
                <w:szCs w:val="16"/>
                <w:color w:val="auto"/>
              </w:rPr>
            </w:pPr>
            <w:hyperlink r:id="rId112">
              <w:r>
                <w:rPr>
                  <w:rFonts w:ascii="Times New Roman" w:cs="Times New Roman" w:eastAsia="Times New Roman" w:hAnsi="Times New Roman"/>
                  <w:sz w:val="16"/>
                  <w:szCs w:val="16"/>
                  <w:color w:val="auto"/>
                </w:rPr>
                <w:t>Compensation Plan (filed as Exhibit 10.5 to Ashland’s Form 8-K filed on August 6, 2021 (SEC File No. 333-211719) and incorporated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6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auto"/>
              </w:rPr>
            </w:pPr>
            <w:hyperlink r:id="rId112">
              <w:r>
                <w:rPr>
                  <w:rFonts w:ascii="Times New Roman" w:cs="Times New Roman" w:eastAsia="Times New Roman" w:hAnsi="Times New Roman"/>
                  <w:sz w:val="16"/>
                  <w:szCs w:val="16"/>
                  <w:color w:val="auto"/>
                </w:rPr>
                <w:t>herein by reference).</w:t>
              </w:r>
            </w:hyperlink>
          </w:p>
        </w:tc>
        <w:tc>
          <w:tcPr>
            <w:tcW w:w="160" w:type="dxa"/>
            <w:vAlign w:val="bottom"/>
            <w:gridSpan w:val="7"/>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10.39</w:t>
            </w:r>
          </w:p>
        </w:tc>
        <w:tc>
          <w:tcPr>
            <w:tcW w:w="9580" w:type="dxa"/>
            <w:vAlign w:val="bottom"/>
            <w:gridSpan w:val="30"/>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3">
              <w:r>
                <w:rPr>
                  <w:rFonts w:ascii="Times New Roman" w:cs="Times New Roman" w:eastAsia="Times New Roman" w:hAnsi="Times New Roman"/>
                  <w:sz w:val="16"/>
                  <w:szCs w:val="16"/>
                  <w:color w:val="auto"/>
                </w:rPr>
                <w:t>Form of Stock-Settled Performance Unit Agreement for (Germany) under the Ashland Global Holdings Inc. 2021 Omnibus Incentive</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4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auto"/>
                <w:w w:val="96"/>
              </w:rPr>
            </w:pPr>
            <w:hyperlink r:id="rId113">
              <w:r>
                <w:rPr>
                  <w:rFonts w:ascii="Times New Roman" w:cs="Times New Roman" w:eastAsia="Times New Roman" w:hAnsi="Times New Roman"/>
                  <w:sz w:val="16"/>
                  <w:szCs w:val="16"/>
                  <w:color w:val="auto"/>
                  <w:w w:val="96"/>
                </w:rPr>
                <w:t>Compensation Plan (filed as Exhibit 10.6 to Ashland’s Form 8-K filed on August 6, 2021 (SEC File No. 333-211719) and incorporated</w:t>
              </w:r>
            </w:hyperlink>
          </w:p>
        </w:tc>
        <w:tc>
          <w:tcPr>
            <w:tcW w:w="280" w:type="dxa"/>
            <w:vAlign w:val="bottom"/>
            <w:gridSpan w:val="10"/>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6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auto"/>
              </w:rPr>
            </w:pPr>
            <w:hyperlink r:id="rId113">
              <w:r>
                <w:rPr>
                  <w:rFonts w:ascii="Times New Roman" w:cs="Times New Roman" w:eastAsia="Times New Roman" w:hAnsi="Times New Roman"/>
                  <w:sz w:val="16"/>
                  <w:szCs w:val="16"/>
                  <w:color w:val="auto"/>
                </w:rPr>
                <w:t>herein by reference).</w:t>
              </w:r>
            </w:hyperlink>
          </w:p>
        </w:tc>
        <w:tc>
          <w:tcPr>
            <w:tcW w:w="160" w:type="dxa"/>
            <w:vAlign w:val="bottom"/>
            <w:gridSpan w:val="7"/>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10.40</w:t>
            </w:r>
          </w:p>
        </w:tc>
        <w:tc>
          <w:tcPr>
            <w:tcW w:w="9580" w:type="dxa"/>
            <w:vAlign w:val="bottom"/>
            <w:gridSpan w:val="30"/>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114">
              <w:r>
                <w:rPr>
                  <w:rFonts w:ascii="Times New Roman" w:cs="Times New Roman" w:eastAsia="Times New Roman" w:hAnsi="Times New Roman"/>
                  <w:sz w:val="16"/>
                  <w:szCs w:val="16"/>
                  <w:color w:val="auto"/>
                  <w:w w:val="99"/>
                </w:rPr>
                <w:t>Form of Restricted Stock Unit Agreement for (Germany) under the Ashland Global Holdings Inc. 2021 Omnibus Incentive Compensation</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2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auto"/>
              </w:rPr>
            </w:pPr>
            <w:hyperlink r:id="rId114">
              <w:r>
                <w:rPr>
                  <w:rFonts w:ascii="Times New Roman" w:cs="Times New Roman" w:eastAsia="Times New Roman" w:hAnsi="Times New Roman"/>
                  <w:sz w:val="16"/>
                  <w:szCs w:val="16"/>
                  <w:color w:val="auto"/>
                </w:rPr>
                <w:t>Plan (filed as Exhibit 10.7 to Ashland’s Form 8-K filed on August 6, 2021 (SEC File No. 333-211719) and incorporated herein by</w:t>
              </w:r>
            </w:hyperlink>
          </w:p>
        </w:tc>
        <w:tc>
          <w:tcPr>
            <w:tcW w:w="140" w:type="dxa"/>
            <w:vAlign w:val="bottom"/>
            <w:gridSpan w:val="3"/>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5"/>
              </w:rPr>
            </w:pPr>
            <w:hyperlink r:id="rId114">
              <w:r>
                <w:rPr>
                  <w:rFonts w:ascii="Times New Roman" w:cs="Times New Roman" w:eastAsia="Times New Roman" w:hAnsi="Times New Roman"/>
                  <w:sz w:val="16"/>
                  <w:szCs w:val="16"/>
                  <w:color w:val="auto"/>
                  <w:w w:val="95"/>
                </w:rPr>
                <w:t>reference).</w:t>
              </w:r>
            </w:hyperlink>
          </w:p>
        </w:tc>
        <w:tc>
          <w:tcPr>
            <w:tcW w:w="7520" w:type="dxa"/>
            <w:vAlign w:val="bottom"/>
            <w:tcBorders>
              <w:top w:val="single" w:sz="8" w:color="0000EE"/>
            </w:tcBorders>
            <w:gridSpan w:val="13"/>
          </w:tcPr>
          <w:p>
            <w:pPr>
              <w:spacing w:after="0"/>
              <w:rPr>
                <w:sz w:val="13"/>
                <w:szCs w:val="13"/>
                <w:color w:val="auto"/>
              </w:rPr>
            </w:pPr>
          </w:p>
        </w:tc>
        <w:tc>
          <w:tcPr>
            <w:tcW w:w="560" w:type="dxa"/>
            <w:vAlign w:val="bottom"/>
            <w:gridSpan w:val="15"/>
          </w:tcPr>
          <w:p>
            <w:pPr>
              <w:spacing w:after="0"/>
              <w:rPr>
                <w:sz w:val="13"/>
                <w:szCs w:val="13"/>
                <w:color w:val="auto"/>
              </w:rPr>
            </w:pPr>
          </w:p>
        </w:tc>
      </w:tr>
      <w:tr>
        <w:trPr>
          <w:trHeight w:val="506"/>
        </w:trPr>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gridSpan w:val="7"/>
          </w:tcPr>
          <w:p>
            <w:pPr>
              <w:ind w:left="3400"/>
              <w:spacing w:after="0"/>
              <w:rPr>
                <w:sz w:val="20"/>
                <w:szCs w:val="20"/>
                <w:color w:val="auto"/>
              </w:rPr>
            </w:pPr>
            <w:r>
              <w:rPr>
                <w:rFonts w:ascii="Times New Roman" w:cs="Times New Roman" w:eastAsia="Times New Roman" w:hAnsi="Times New Roman"/>
                <w:sz w:val="16"/>
                <w:szCs w:val="16"/>
                <w:color w:val="auto"/>
              </w:rPr>
              <w:t>34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4"/>
        </w:trPr>
        <w:tc>
          <w:tcPr>
            <w:tcW w:w="9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2" w:right="68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10.41</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6">
              <w:r>
                <w:rPr>
                  <w:rFonts w:ascii="Times New Roman" w:cs="Times New Roman" w:eastAsia="Times New Roman" w:hAnsi="Times New Roman"/>
                  <w:sz w:val="16"/>
                  <w:szCs w:val="16"/>
                  <w:color w:val="auto"/>
                </w:rPr>
                <w:t>Form of Chief Executive Officer Change in Control Agreement (filed as Exhibit 10.69 to Ashland's Form 10-K for the fiscal year ended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50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auto"/>
              </w:rPr>
            </w:pPr>
            <w:hyperlink r:id="rId116">
              <w:r>
                <w:rPr>
                  <w:rFonts w:ascii="Times New Roman" w:cs="Times New Roman" w:eastAsia="Times New Roman" w:hAnsi="Times New Roman"/>
                  <w:sz w:val="16"/>
                  <w:szCs w:val="16"/>
                  <w:color w:val="auto"/>
                </w:rPr>
                <w:t>September 30, 2021, filed on November 22, 2021 (SEC File No. 333-211719), and incorporated by reference herein.</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10.42</w:t>
            </w:r>
          </w:p>
        </w:tc>
        <w:tc>
          <w:tcPr>
            <w:tcW w:w="9600" w:type="dxa"/>
            <w:vAlign w:val="bottom"/>
            <w:gridSpan w:val="27"/>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117">
              <w:r>
                <w:rPr>
                  <w:rFonts w:ascii="Times New Roman" w:cs="Times New Roman" w:eastAsia="Times New Roman" w:hAnsi="Times New Roman"/>
                  <w:sz w:val="16"/>
                  <w:szCs w:val="16"/>
                  <w:color w:val="auto"/>
                  <w:w w:val="99"/>
                </w:rPr>
                <w:t>Ashland Inc. Senior Leadership Severance Plan (effective as of September 19, 2022) filed as Exhibit 10.60 to Ashland's Form 10-K for the</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8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auto"/>
                <w:w w:val="97"/>
              </w:rPr>
            </w:pPr>
            <w:hyperlink r:id="rId117">
              <w:r>
                <w:rPr>
                  <w:rFonts w:ascii="Times New Roman" w:cs="Times New Roman" w:eastAsia="Times New Roman" w:hAnsi="Times New Roman"/>
                  <w:sz w:val="16"/>
                  <w:szCs w:val="16"/>
                  <w:color w:val="auto"/>
                  <w:w w:val="97"/>
                </w:rPr>
                <w:t>fiscal year ended September 30, 2022, filed on November 21, 2022 (SEC File No. 333-211719), and incorporated by reference herein.</w:t>
              </w:r>
            </w:hyperlink>
          </w:p>
        </w:tc>
        <w:tc>
          <w:tcPr>
            <w:tcW w:w="32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10.43</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8">
              <w:r>
                <w:rPr>
                  <w:rFonts w:ascii="Times New Roman" w:cs="Times New Roman" w:eastAsia="Times New Roman" w:hAnsi="Times New Roman"/>
                  <w:sz w:val="16"/>
                  <w:szCs w:val="16"/>
                  <w:color w:val="auto"/>
                </w:rPr>
                <w:t>Form of Stock-Settled Performance Unit Agreement for US Employees, effective as of September 19, 2022 under the Ashland Global</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6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auto"/>
                <w:w w:val="99"/>
              </w:rPr>
            </w:pPr>
            <w:hyperlink r:id="rId118">
              <w:r>
                <w:rPr>
                  <w:rFonts w:ascii="Times New Roman" w:cs="Times New Roman" w:eastAsia="Times New Roman" w:hAnsi="Times New Roman"/>
                  <w:sz w:val="16"/>
                  <w:szCs w:val="16"/>
                  <w:color w:val="auto"/>
                  <w:w w:val="99"/>
                </w:rPr>
                <w:t>Holdings Inc. 2021 Omnibus Incentive Compensation Plan filed as Exhibit 10.61 to Ashland's Form 10-K for the fiscal year ended</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16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auto"/>
              </w:rPr>
            </w:pPr>
            <w:hyperlink r:id="rId118">
              <w:r>
                <w:rPr>
                  <w:rFonts w:ascii="Times New Roman" w:cs="Times New Roman" w:eastAsia="Times New Roman" w:hAnsi="Times New Roman"/>
                  <w:sz w:val="16"/>
                  <w:szCs w:val="16"/>
                  <w:color w:val="auto"/>
                </w:rPr>
                <w:t>September 30, 2022, filed on November 21, 2022 (SEC File No. 333-211719), and incorporated by reference herein.</w:t>
              </w:r>
            </w:hyperlink>
          </w:p>
        </w:tc>
        <w:tc>
          <w:tcPr>
            <w:tcW w:w="1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10.44</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9">
              <w:r>
                <w:rPr>
                  <w:rFonts w:ascii="Times New Roman" w:cs="Times New Roman" w:eastAsia="Times New Roman" w:hAnsi="Times New Roman"/>
                  <w:sz w:val="16"/>
                  <w:szCs w:val="16"/>
                  <w:color w:val="auto"/>
                </w:rPr>
                <w:t>Form of Cash-Settled Performance Unit (PSU) Award Agreement for Non-US Participants, effective as of September 19, 2022 under the</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0" w:type="dxa"/>
            <w:vAlign w:val="bottom"/>
            <w:tcBorders>
              <w:top w:val="single" w:sz="8" w:color="0000EE"/>
              <w:bottom w:val="single" w:sz="8" w:color="0000EE"/>
            </w:tcBorders>
            <w:gridSpan w:val="17"/>
          </w:tcPr>
          <w:p>
            <w:pPr>
              <w:spacing w:after="0" w:line="160" w:lineRule="exact"/>
              <w:rPr>
                <w:rFonts w:ascii="Times New Roman" w:cs="Times New Roman" w:eastAsia="Times New Roman" w:hAnsi="Times New Roman"/>
                <w:sz w:val="16"/>
                <w:szCs w:val="16"/>
                <w:color w:val="auto"/>
                <w:w w:val="98"/>
              </w:rPr>
            </w:pPr>
            <w:hyperlink r:id="rId119">
              <w:r>
                <w:rPr>
                  <w:rFonts w:ascii="Times New Roman" w:cs="Times New Roman" w:eastAsia="Times New Roman" w:hAnsi="Times New Roman"/>
                  <w:sz w:val="16"/>
                  <w:szCs w:val="16"/>
                  <w:color w:val="auto"/>
                  <w:w w:val="98"/>
                </w:rPr>
                <w:t>Ashland Global Holdings Inc. 2021 Omnibus Incentive Compensation Plan filed as Exhibit 10.62 to Ashland's Form 10-K for the fiscal</w:t>
              </w:r>
            </w:hyperlink>
          </w:p>
        </w:tc>
        <w:tc>
          <w:tcPr>
            <w:tcW w:w="180" w:type="dxa"/>
            <w:vAlign w:val="bottom"/>
            <w:tcBorders>
              <w:bottom w:val="single" w:sz="8" w:color="0000EE"/>
            </w:tcBorders>
            <w:gridSpan w:val="9"/>
          </w:tcPr>
          <w:p>
            <w:pPr>
              <w:spacing w:after="0"/>
              <w:rPr>
                <w:rFonts w:ascii="Times New Roman" w:cs="Times New Roman" w:eastAsia="Times New Roman" w:hAnsi="Times New Roman"/>
                <w:sz w:val="13"/>
                <w:szCs w:val="13"/>
                <w:color w:val="auto"/>
                <w:w w:val="71"/>
              </w:rPr>
            </w:pPr>
            <w:hyperlink r:id="rId119">
              <w:r>
                <w:rPr>
                  <w:rFonts w:ascii="Times New Roman" w:cs="Times New Roman" w:eastAsia="Times New Roman" w:hAnsi="Times New Roman"/>
                  <w:sz w:val="13"/>
                  <w:szCs w:val="13"/>
                  <w:color w:val="auto"/>
                  <w:w w:val="71"/>
                </w:rPr>
                <w:t>year</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70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auto"/>
                <w:w w:val="97"/>
              </w:rPr>
            </w:pPr>
            <w:hyperlink r:id="rId119">
              <w:r>
                <w:rPr>
                  <w:rFonts w:ascii="Times New Roman" w:cs="Times New Roman" w:eastAsia="Times New Roman" w:hAnsi="Times New Roman"/>
                  <w:sz w:val="16"/>
                  <w:szCs w:val="16"/>
                  <w:color w:val="auto"/>
                  <w:w w:val="97"/>
                </w:rPr>
                <w:t>ended September 30, 2022, filed on November 21, 2022 (SEC File No. 333-211719), and incorporated by reference herein.</w:t>
              </w:r>
            </w:hyperlink>
          </w:p>
        </w:tc>
        <w:tc>
          <w:tcPr>
            <w:tcW w:w="1080" w:type="dxa"/>
            <w:vAlign w:val="bottom"/>
            <w:gridSpan w:val="19"/>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10.45</w:t>
            </w:r>
          </w:p>
        </w:tc>
        <w:tc>
          <w:tcPr>
            <w:tcW w:w="9600" w:type="dxa"/>
            <w:vAlign w:val="bottom"/>
            <w:gridSpan w:val="27"/>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120">
              <w:r>
                <w:rPr>
                  <w:rFonts w:ascii="Times New Roman" w:cs="Times New Roman" w:eastAsia="Times New Roman" w:hAnsi="Times New Roman"/>
                  <w:sz w:val="16"/>
                  <w:szCs w:val="16"/>
                  <w:color w:val="auto"/>
                  <w:w w:val="99"/>
                </w:rPr>
                <w:t>Form of Restricted Stock Unit (RSU) Award Agreement for US Participants, effective as of September 19, 2022 under the Ashland Global</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0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auto"/>
              </w:rPr>
            </w:pPr>
            <w:hyperlink r:id="rId120">
              <w:r>
                <w:rPr>
                  <w:rFonts w:ascii="Times New Roman" w:cs="Times New Roman" w:eastAsia="Times New Roman" w:hAnsi="Times New Roman"/>
                  <w:sz w:val="16"/>
                  <w:szCs w:val="16"/>
                  <w:color w:val="auto"/>
                </w:rPr>
                <w:t>Holdings Inc. 2021 Omnibus Incentive Compensation Plan filed as Exhibit 10.63 to Ashland's Form 10-K for the fiscal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16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auto"/>
              </w:rPr>
            </w:pPr>
            <w:hyperlink r:id="rId120">
              <w:r>
                <w:rPr>
                  <w:rFonts w:ascii="Times New Roman" w:cs="Times New Roman" w:eastAsia="Times New Roman" w:hAnsi="Times New Roman"/>
                  <w:sz w:val="16"/>
                  <w:szCs w:val="16"/>
                  <w:color w:val="auto"/>
                </w:rPr>
                <w:t>September 30, 2022, filed on November 21, 2022 (SEC File No. 333-211719), and incorporated by reference herein.</w:t>
              </w:r>
            </w:hyperlink>
          </w:p>
        </w:tc>
        <w:tc>
          <w:tcPr>
            <w:tcW w:w="1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10.46</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1">
              <w:r>
                <w:rPr>
                  <w:rFonts w:ascii="Times New Roman" w:cs="Times New Roman" w:eastAsia="Times New Roman" w:hAnsi="Times New Roman"/>
                  <w:sz w:val="16"/>
                  <w:szCs w:val="16"/>
                  <w:color w:val="auto"/>
                </w:rPr>
                <w:t>Form of Cash-Settled Restricted Equivalent (RSE) Award Agreement for Non-US Participants, effective as of September 19, 2022 under</w:t>
              </w:r>
            </w:hyperlink>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80" w:type="dxa"/>
            <w:vAlign w:val="bottom"/>
            <w:gridSpan w:val="26"/>
          </w:tcPr>
          <w:p>
            <w:pPr>
              <w:spacing w:after="0" w:line="160" w:lineRule="exact"/>
              <w:rPr>
                <w:rFonts w:ascii="Times New Roman" w:cs="Times New Roman" w:eastAsia="Times New Roman" w:hAnsi="Times New Roman"/>
                <w:sz w:val="16"/>
                <w:szCs w:val="16"/>
                <w:color w:val="auto"/>
                <w:w w:val="98"/>
              </w:rPr>
            </w:pPr>
            <w:hyperlink r:id="rId121">
              <w:r>
                <w:rPr>
                  <w:rFonts w:ascii="Times New Roman" w:cs="Times New Roman" w:eastAsia="Times New Roman" w:hAnsi="Times New Roman"/>
                  <w:sz w:val="16"/>
                  <w:szCs w:val="16"/>
                  <w:color w:val="auto"/>
                  <w:w w:val="98"/>
                </w:rPr>
                <w:t>the Ashland Global Holdings Inc. 2021 Omnibus Incentive Compensation Plan filed as Exhibit 10.64 to Ashland's Form 10-K for the fiscal</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2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auto"/>
              </w:rPr>
            </w:pPr>
            <w:hyperlink r:id="rId121">
              <w:r>
                <w:rPr>
                  <w:rFonts w:ascii="Times New Roman" w:cs="Times New Roman" w:eastAsia="Times New Roman" w:hAnsi="Times New Roman"/>
                  <w:sz w:val="16"/>
                  <w:szCs w:val="16"/>
                  <w:color w:val="auto"/>
                </w:rPr>
                <w:t>year ended September 30, 2022, filed on November 21, 2022 (SEC File No. 333-211719), and incorporated by 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10.47</w:t>
            </w:r>
          </w:p>
        </w:tc>
        <w:tc>
          <w:tcPr>
            <w:tcW w:w="9600" w:type="dxa"/>
            <w:vAlign w:val="bottom"/>
            <w:gridSpan w:val="27"/>
          </w:tcPr>
          <w:p>
            <w:pPr>
              <w:ind w:left="58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122">
              <w:r>
                <w:rPr>
                  <w:rFonts w:ascii="Times New Roman" w:cs="Times New Roman" w:eastAsia="Times New Roman" w:hAnsi="Times New Roman"/>
                  <w:sz w:val="16"/>
                  <w:szCs w:val="16"/>
                  <w:color w:val="auto"/>
                  <w:w w:val="98"/>
                </w:rPr>
                <w:t>Amendment No. 1 effective as of November 17, 2022, to the Ashland Global Holdings Inc. Deferred Compensation Plan for Non-Employee</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6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auto"/>
                <w:w w:val="99"/>
              </w:rPr>
            </w:pPr>
            <w:hyperlink r:id="rId122">
              <w:r>
                <w:rPr>
                  <w:rFonts w:ascii="Times New Roman" w:cs="Times New Roman" w:eastAsia="Times New Roman" w:hAnsi="Times New Roman"/>
                  <w:sz w:val="16"/>
                  <w:szCs w:val="16"/>
                  <w:color w:val="auto"/>
                  <w:w w:val="99"/>
                </w:rPr>
                <w:t>Directors (Amended and Restated as of May 2019) filed as Exhibit 10.65 to Ashland's Form 10-K for the fiscal year ended September 30,</w:t>
              </w:r>
            </w:hyperlink>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2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auto"/>
              </w:rPr>
            </w:pPr>
            <w:hyperlink r:id="rId122">
              <w:r>
                <w:rPr>
                  <w:rFonts w:ascii="Times New Roman" w:cs="Times New Roman" w:eastAsia="Times New Roman" w:hAnsi="Times New Roman"/>
                  <w:sz w:val="16"/>
                  <w:szCs w:val="16"/>
                  <w:color w:val="auto"/>
                </w:rPr>
                <w:t>2022, filed on November 21, 2022 (SEC File No. 333-211719),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10.48</w:t>
            </w:r>
          </w:p>
        </w:tc>
        <w:tc>
          <w:tcPr>
            <w:tcW w:w="9600" w:type="dxa"/>
            <w:vAlign w:val="bottom"/>
            <w:gridSpan w:val="27"/>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123">
              <w:r>
                <w:rPr>
                  <w:rFonts w:ascii="Times New Roman" w:cs="Times New Roman" w:eastAsia="Times New Roman" w:hAnsi="Times New Roman"/>
                  <w:sz w:val="16"/>
                  <w:szCs w:val="16"/>
                  <w:color w:val="auto"/>
                  <w:w w:val="99"/>
                </w:rPr>
                <w:t>Ashland Inc. Independent Director Deferred Compensation Program effective as of November 17, 2022 filed as Exhibit 10.66 to Ashland's</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0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auto"/>
                <w:w w:val="99"/>
              </w:rPr>
            </w:pPr>
            <w:hyperlink r:id="rId123">
              <w:r>
                <w:rPr>
                  <w:rFonts w:ascii="Times New Roman" w:cs="Times New Roman" w:eastAsia="Times New Roman" w:hAnsi="Times New Roman"/>
                  <w:sz w:val="16"/>
                  <w:szCs w:val="16"/>
                  <w:color w:val="auto"/>
                  <w:w w:val="99"/>
                </w:rPr>
                <w:t>Form 10-K for the fiscal year ended September 30, 2022, filed on November 21, 2022 (SEC File No. 333-211719), and incorporated by</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6"/>
              </w:rPr>
            </w:pPr>
            <w:hyperlink r:id="rId123">
              <w:r>
                <w:rPr>
                  <w:rFonts w:ascii="Times New Roman" w:cs="Times New Roman" w:eastAsia="Times New Roman" w:hAnsi="Times New Roman"/>
                  <w:sz w:val="16"/>
                  <w:szCs w:val="16"/>
                  <w:color w:val="auto"/>
                  <w:w w:val="96"/>
                </w:rPr>
                <w:t>reference herein.</w:t>
              </w:r>
            </w:hyperlink>
          </w:p>
        </w:tc>
        <w:tc>
          <w:tcPr>
            <w:tcW w:w="7420" w:type="dxa"/>
            <w:vAlign w:val="bottom"/>
            <w:tcBorders>
              <w:top w:val="single" w:sz="8" w:color="0000EE"/>
            </w:tcBorders>
            <w:gridSpan w:val="1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10.49</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4">
              <w:r>
                <w:rPr>
                  <w:rFonts w:ascii="Times New Roman" w:cs="Times New Roman" w:eastAsia="Times New Roman" w:hAnsi="Times New Roman"/>
                  <w:sz w:val="16"/>
                  <w:szCs w:val="16"/>
                  <w:color w:val="auto"/>
                </w:rPr>
                <w:t>Form of Restricted Stock Unit Agreement (Independent Directors), effective as of November 17, 2022 filed as Exhibit 10.67 to Ashland's</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auto"/>
                <w:w w:val="98"/>
              </w:rPr>
            </w:pPr>
            <w:hyperlink r:id="rId124">
              <w:r>
                <w:rPr>
                  <w:rFonts w:ascii="Times New Roman" w:cs="Times New Roman" w:eastAsia="Times New Roman" w:hAnsi="Times New Roman"/>
                  <w:sz w:val="16"/>
                  <w:szCs w:val="16"/>
                  <w:color w:val="auto"/>
                  <w:w w:val="98"/>
                </w:rPr>
                <w:t>Form 10-K for the fiscal year ended September 30, 2022, filed on November 21, 2022 (SEC File No. 333-211719), and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6"/>
              </w:rPr>
            </w:pPr>
            <w:hyperlink r:id="rId124">
              <w:r>
                <w:rPr>
                  <w:rFonts w:ascii="Times New Roman" w:cs="Times New Roman" w:eastAsia="Times New Roman" w:hAnsi="Times New Roman"/>
                  <w:sz w:val="16"/>
                  <w:szCs w:val="16"/>
                  <w:color w:val="auto"/>
                  <w:w w:val="96"/>
                </w:rPr>
                <w:t>reference herein.</w:t>
              </w:r>
            </w:hyperlink>
          </w:p>
        </w:tc>
        <w:tc>
          <w:tcPr>
            <w:tcW w:w="7420" w:type="dxa"/>
            <w:vAlign w:val="bottom"/>
            <w:tcBorders>
              <w:top w:val="single" w:sz="8" w:color="0000EE"/>
            </w:tcBorders>
            <w:gridSpan w:val="1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10.50</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5">
              <w:r>
                <w:rPr>
                  <w:rFonts w:ascii="Times New Roman" w:cs="Times New Roman" w:eastAsia="Times New Roman" w:hAnsi="Times New Roman"/>
                  <w:sz w:val="16"/>
                  <w:szCs w:val="16"/>
                  <w:color w:val="auto"/>
                </w:rPr>
                <w:t>Credit Agreement dated as of January 10, 2020, among Ashland Global Holdings Inc., Ashland Chemco Inc., Ashland LLC, Ashland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2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auto"/>
                <w:w w:val="97"/>
              </w:rPr>
            </w:pPr>
            <w:hyperlink r:id="rId125">
              <w:r>
                <w:rPr>
                  <w:rFonts w:ascii="Times New Roman" w:cs="Times New Roman" w:eastAsia="Times New Roman" w:hAnsi="Times New Roman"/>
                  <w:sz w:val="16"/>
                  <w:szCs w:val="16"/>
                  <w:color w:val="auto"/>
                  <w:w w:val="97"/>
                </w:rPr>
                <w:t>Services B.V., each lender from time to time party thereto, the Bank of Nova Scotia, as administrative agent, swing line lender and a</w:t>
              </w:r>
            </w:hyperlink>
          </w:p>
        </w:tc>
        <w:tc>
          <w:tcPr>
            <w:tcW w:w="460" w:type="dxa"/>
            <w:vAlign w:val="bottom"/>
            <w:gridSpan w:val="16"/>
          </w:tcPr>
          <w:p>
            <w:pPr>
              <w:jc w:val="right"/>
              <w:ind w:right="140"/>
              <w:spacing w:after="0" w:line="160" w:lineRule="exact"/>
              <w:rPr>
                <w:rFonts w:ascii="Times New Roman" w:cs="Times New Roman" w:eastAsia="Times New Roman" w:hAnsi="Times New Roman"/>
                <w:sz w:val="16"/>
                <w:szCs w:val="16"/>
                <w:color w:val="auto"/>
                <w:w w:val="91"/>
              </w:rPr>
            </w:pPr>
            <w:hyperlink r:id="rId125">
              <w:r>
                <w:rPr>
                  <w:rFonts w:ascii="Times New Roman" w:cs="Times New Roman" w:eastAsia="Times New Roman" w:hAnsi="Times New Roman"/>
                  <w:sz w:val="16"/>
                  <w:szCs w:val="16"/>
                  <w:color w:val="auto"/>
                  <w:w w:val="91"/>
                </w:rPr>
                <w:t>letter</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auto"/>
                <w:w w:val="98"/>
              </w:rPr>
            </w:pPr>
            <w:hyperlink r:id="rId125">
              <w:r>
                <w:rPr>
                  <w:rFonts w:ascii="Times New Roman" w:cs="Times New Roman" w:eastAsia="Times New Roman" w:hAnsi="Times New Roman"/>
                  <w:sz w:val="16"/>
                  <w:szCs w:val="16"/>
                  <w:color w:val="auto"/>
                  <w:w w:val="98"/>
                </w:rPr>
                <w:t>of credit issuer, each other letter of credit issuer from time to time party thereto and Citibank, N.A., as syndication agent (filed as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auto"/>
                <w:w w:val="97"/>
              </w:rPr>
            </w:pPr>
            <w:hyperlink r:id="rId125">
              <w:r>
                <w:rPr>
                  <w:rFonts w:ascii="Times New Roman" w:cs="Times New Roman" w:eastAsia="Times New Roman" w:hAnsi="Times New Roman"/>
                  <w:sz w:val="16"/>
                  <w:szCs w:val="16"/>
                  <w:color w:val="auto"/>
                  <w:w w:val="97"/>
                </w:rPr>
                <w:t>10.1 to Ashland’s Form 8-K filed on January 10, 2020 (SEC File No. 333-211719) and incorporated herein by reference).</w:t>
              </w:r>
            </w:hyperlink>
          </w:p>
        </w:tc>
        <w:tc>
          <w:tcPr>
            <w:tcW w:w="960" w:type="dxa"/>
            <w:vAlign w:val="bottom"/>
            <w:tcBorders>
              <w:top w:val="single" w:sz="8" w:color="0000EE"/>
            </w:tcBorders>
            <w:gridSpan w:val="10"/>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6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10.51</w:t>
            </w:r>
          </w:p>
        </w:tc>
        <w:tc>
          <w:tcPr>
            <w:tcW w:w="9600" w:type="dxa"/>
            <w:vAlign w:val="bottom"/>
            <w:gridSpan w:val="27"/>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126">
              <w:r>
                <w:rPr>
                  <w:rFonts w:ascii="Times New Roman" w:cs="Times New Roman" w:eastAsia="Times New Roman" w:hAnsi="Times New Roman"/>
                  <w:sz w:val="16"/>
                  <w:szCs w:val="16"/>
                  <w:color w:val="auto"/>
                  <w:w w:val="99"/>
                </w:rPr>
                <w:t>Amended and Restated Credit Agreement dated as of July 22, 2022, among Ashland Global Holdings Inc., Ashland Chemco Inc., Ashland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8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auto"/>
              </w:rPr>
            </w:pPr>
            <w:hyperlink r:id="rId126">
              <w:r>
                <w:rPr>
                  <w:rFonts w:ascii="Times New Roman" w:cs="Times New Roman" w:eastAsia="Times New Roman" w:hAnsi="Times New Roman"/>
                  <w:sz w:val="16"/>
                  <w:szCs w:val="16"/>
                  <w:color w:val="auto"/>
                </w:rPr>
                <w:t>LLC, Ashland Services B.V., each lender from time to time party thereto, the Bank of Nova Scotia, Houston Branch, as administrative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auto"/>
                <w:w w:val="96"/>
              </w:rPr>
            </w:pPr>
            <w:hyperlink r:id="rId126">
              <w:r>
                <w:rPr>
                  <w:rFonts w:ascii="Times New Roman" w:cs="Times New Roman" w:eastAsia="Times New Roman" w:hAnsi="Times New Roman"/>
                  <w:sz w:val="16"/>
                  <w:szCs w:val="16"/>
                  <w:color w:val="auto"/>
                  <w:w w:val="96"/>
                </w:rPr>
                <w:t>agent, swing line lender and a letter of credit issuer, each other letter of credit issuer from time to time party thereto and Citibank, N.A.,</w:t>
              </w:r>
            </w:hyperlink>
          </w:p>
        </w:tc>
        <w:tc>
          <w:tcPr>
            <w:tcW w:w="380" w:type="dxa"/>
            <w:vAlign w:val="bottom"/>
            <w:gridSpan w:val="13"/>
          </w:tcPr>
          <w:p>
            <w:pPr>
              <w:jc w:val="right"/>
              <w:ind w:right="140"/>
              <w:spacing w:after="0" w:line="160" w:lineRule="exact"/>
              <w:rPr>
                <w:rFonts w:ascii="Times New Roman" w:cs="Times New Roman" w:eastAsia="Times New Roman" w:hAnsi="Times New Roman"/>
                <w:sz w:val="16"/>
                <w:szCs w:val="16"/>
                <w:color w:val="auto"/>
              </w:rPr>
            </w:pPr>
            <w:hyperlink r:id="rId126">
              <w:r>
                <w:rPr>
                  <w:rFonts w:ascii="Times New Roman" w:cs="Times New Roman" w:eastAsia="Times New Roman" w:hAnsi="Times New Roman"/>
                  <w:sz w:val="16"/>
                  <w:szCs w:val="16"/>
                  <w:color w:val="auto"/>
                </w:rPr>
                <w:t>as</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40" w:type="dxa"/>
            <w:vAlign w:val="bottom"/>
            <w:tcBorders>
              <w:top w:val="single" w:sz="8" w:color="0000EE"/>
              <w:bottom w:val="single" w:sz="8" w:color="0000EE"/>
            </w:tcBorders>
            <w:gridSpan w:val="19"/>
          </w:tcPr>
          <w:p>
            <w:pPr>
              <w:spacing w:after="0" w:line="160" w:lineRule="exact"/>
              <w:rPr>
                <w:rFonts w:ascii="Times New Roman" w:cs="Times New Roman" w:eastAsia="Times New Roman" w:hAnsi="Times New Roman"/>
                <w:sz w:val="16"/>
                <w:szCs w:val="16"/>
                <w:color w:val="auto"/>
                <w:w w:val="97"/>
              </w:rPr>
            </w:pPr>
            <w:hyperlink r:id="rId126">
              <w:r>
                <w:rPr>
                  <w:rFonts w:ascii="Times New Roman" w:cs="Times New Roman" w:eastAsia="Times New Roman" w:hAnsi="Times New Roman"/>
                  <w:sz w:val="16"/>
                  <w:szCs w:val="16"/>
                  <w:color w:val="auto"/>
                  <w:w w:val="97"/>
                </w:rPr>
                <w:t>syndication agent (filed as Exhibit 10.1 to Ashland’s Form 8-K filed on July 22, 2022 (SEC File No. 333-211719) and incorporated herein</w:t>
              </w:r>
            </w:hyperlink>
          </w:p>
        </w:tc>
        <w:tc>
          <w:tcPr>
            <w:tcW w:w="20" w:type="dxa"/>
            <w:vAlign w:val="bottom"/>
            <w:tcBorders>
              <w:bottom w:val="single" w:sz="8" w:color="0000EE"/>
            </w:tcBorders>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auto"/>
                <w:w w:val="96"/>
              </w:rPr>
            </w:pPr>
            <w:hyperlink r:id="rId126">
              <w:r>
                <w:rPr>
                  <w:rFonts w:ascii="Times New Roman" w:cs="Times New Roman" w:eastAsia="Times New Roman" w:hAnsi="Times New Roman"/>
                  <w:sz w:val="16"/>
                  <w:szCs w:val="16"/>
                  <w:color w:val="auto"/>
                  <w:w w:val="96"/>
                </w:rPr>
                <w:t>by reference).</w:t>
              </w:r>
            </w:hyperlink>
          </w:p>
        </w:tc>
        <w:tc>
          <w:tcPr>
            <w:tcW w:w="7780" w:type="dxa"/>
            <w:vAlign w:val="bottom"/>
            <w:gridSpan w:val="19"/>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52"/>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10.52</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7">
              <w:r>
                <w:rPr>
                  <w:rFonts w:ascii="Times New Roman" w:cs="Times New Roman" w:eastAsia="Times New Roman" w:hAnsi="Times New Roman"/>
                  <w:sz w:val="16"/>
                  <w:szCs w:val="16"/>
                  <w:color w:val="auto"/>
                </w:rPr>
                <w:t>Second Amended and Restated Purchase and Sale Agreement, dated March 17, 2021, by and among Ashland LLC and Ashland Specialty</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20" w:type="dxa"/>
            <w:vAlign w:val="bottom"/>
            <w:tcBorders>
              <w:top w:val="single" w:sz="8" w:color="0000EE"/>
              <w:bottom w:val="single" w:sz="8" w:color="0000EE"/>
            </w:tcBorders>
            <w:gridSpan w:val="18"/>
          </w:tcPr>
          <w:p>
            <w:pPr>
              <w:spacing w:after="0" w:line="160" w:lineRule="exact"/>
              <w:rPr>
                <w:rFonts w:ascii="Times New Roman" w:cs="Times New Roman" w:eastAsia="Times New Roman" w:hAnsi="Times New Roman"/>
                <w:sz w:val="16"/>
                <w:szCs w:val="16"/>
                <w:color w:val="auto"/>
                <w:w w:val="95"/>
              </w:rPr>
            </w:pPr>
            <w:hyperlink r:id="rId127">
              <w:r>
                <w:rPr>
                  <w:rFonts w:ascii="Times New Roman" w:cs="Times New Roman" w:eastAsia="Times New Roman" w:hAnsi="Times New Roman"/>
                  <w:sz w:val="16"/>
                  <w:szCs w:val="16"/>
                  <w:color w:val="auto"/>
                  <w:w w:val="95"/>
                </w:rPr>
                <w:t>Ingredients G.P., as originators, Ashland LLC, as initial servicer, and CVG Capital III LLC, as purchaser (filed as Exhibit 10.1 to Ashland’s</w:t>
              </w:r>
            </w:hyperlink>
          </w:p>
        </w:tc>
        <w:tc>
          <w:tcPr>
            <w:tcW w:w="120" w:type="dxa"/>
            <w:vAlign w:val="bottom"/>
            <w:tcBorders>
              <w:bottom w:val="single" w:sz="8" w:color="0000EE"/>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380" w:type="dxa"/>
            <w:vAlign w:val="bottom"/>
            <w:tcBorders>
              <w:bottom w:val="single" w:sz="8" w:color="0000EE"/>
            </w:tcBorders>
            <w:gridSpan w:val="4"/>
          </w:tcPr>
          <w:p>
            <w:pPr>
              <w:spacing w:after="0" w:line="160" w:lineRule="exact"/>
              <w:rPr>
                <w:rFonts w:ascii="Times New Roman" w:cs="Times New Roman" w:eastAsia="Times New Roman" w:hAnsi="Times New Roman"/>
                <w:sz w:val="16"/>
                <w:szCs w:val="16"/>
                <w:color w:val="auto"/>
                <w:w w:val="97"/>
              </w:rPr>
            </w:pPr>
            <w:hyperlink r:id="rId127">
              <w:r>
                <w:rPr>
                  <w:rFonts w:ascii="Times New Roman" w:cs="Times New Roman" w:eastAsia="Times New Roman" w:hAnsi="Times New Roman"/>
                  <w:sz w:val="16"/>
                  <w:szCs w:val="16"/>
                  <w:color w:val="auto"/>
                  <w:w w:val="97"/>
                </w:rPr>
                <w:t>Form 8-K filed on March 18, 2021 (SEC File No. 333-211719) and incorporated herein by reference).</w:t>
              </w:r>
            </w:hyperlink>
          </w:p>
        </w:tc>
        <w:tc>
          <w:tcPr>
            <w:tcW w:w="2360" w:type="dxa"/>
            <w:vAlign w:val="bottom"/>
            <w:gridSpan w:val="2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566"/>
        </w:trPr>
        <w:tc>
          <w:tcPr>
            <w:tcW w:w="980" w:type="dxa"/>
            <w:vAlign w:val="bottom"/>
          </w:tcPr>
          <w:p>
            <w:pPr>
              <w:spacing w:after="0"/>
              <w:rPr>
                <w:sz w:val="24"/>
                <w:szCs w:val="24"/>
                <w:color w:val="auto"/>
              </w:rPr>
            </w:pPr>
          </w:p>
        </w:tc>
        <w:tc>
          <w:tcPr>
            <w:tcW w:w="7160" w:type="dxa"/>
            <w:vAlign w:val="bottom"/>
            <w:gridSpan w:val="4"/>
          </w:tcPr>
          <w:p>
            <w:pPr>
              <w:ind w:left="4220"/>
              <w:spacing w:after="0"/>
              <w:rPr>
                <w:sz w:val="20"/>
                <w:szCs w:val="20"/>
                <w:color w:val="auto"/>
              </w:rPr>
            </w:pPr>
            <w:r>
              <w:rPr>
                <w:rFonts w:ascii="Times New Roman" w:cs="Times New Roman" w:eastAsia="Times New Roman" w:hAnsi="Times New Roman"/>
                <w:sz w:val="16"/>
                <w:szCs w:val="16"/>
                <w:color w:val="auto"/>
              </w:rPr>
              <w:t>35</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9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52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2" w:right="66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10.53</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9">
              <w:r>
                <w:rPr>
                  <w:rFonts w:ascii="Times New Roman" w:cs="Times New Roman" w:eastAsia="Times New Roman" w:hAnsi="Times New Roman"/>
                  <w:sz w:val="16"/>
                  <w:szCs w:val="16"/>
                  <w:color w:val="auto"/>
                </w:rPr>
                <w:t>Receivables Purchasing Agreement, dated March 17, 2021, by and among CVG Capital III LLC, PNC Bank, National Association, as</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6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auto"/>
                <w:w w:val="96"/>
              </w:rPr>
            </w:pPr>
            <w:hyperlink r:id="rId129">
              <w:r>
                <w:rPr>
                  <w:rFonts w:ascii="Times New Roman" w:cs="Times New Roman" w:eastAsia="Times New Roman" w:hAnsi="Times New Roman"/>
                  <w:sz w:val="16"/>
                  <w:szCs w:val="16"/>
                  <w:color w:val="auto"/>
                  <w:w w:val="96"/>
                </w:rPr>
                <w:t>administrative agent, PNC Bank Capital Markets LLC, as structuring agent, Ashland LLC, as initial servicer, and certain other persons</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20" w:type="dxa"/>
            <w:vAlign w:val="bottom"/>
            <w:gridSpan w:val="14"/>
          </w:tcPr>
          <w:p>
            <w:pPr>
              <w:spacing w:after="0" w:line="160" w:lineRule="exact"/>
              <w:rPr>
                <w:rFonts w:ascii="Times New Roman" w:cs="Times New Roman" w:eastAsia="Times New Roman" w:hAnsi="Times New Roman"/>
                <w:sz w:val="16"/>
                <w:szCs w:val="16"/>
                <w:color w:val="auto"/>
                <w:w w:val="97"/>
              </w:rPr>
            </w:pPr>
            <w:hyperlink r:id="rId129">
              <w:r>
                <w:rPr>
                  <w:rFonts w:ascii="Times New Roman" w:cs="Times New Roman" w:eastAsia="Times New Roman" w:hAnsi="Times New Roman"/>
                  <w:sz w:val="16"/>
                  <w:szCs w:val="16"/>
                  <w:color w:val="auto"/>
                  <w:w w:val="97"/>
                </w:rPr>
                <w:t>from time to time party thereto (filed as Exhibit 10.2 to Ashland’s Form 8-K filed on March 18, 2021 (SEC File No. 333-211719) and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7"/>
              </w:rPr>
            </w:pPr>
            <w:hyperlink r:id="rId129">
              <w:r>
                <w:rPr>
                  <w:rFonts w:ascii="Times New Roman" w:cs="Times New Roman" w:eastAsia="Times New Roman" w:hAnsi="Times New Roman"/>
                  <w:sz w:val="16"/>
                  <w:szCs w:val="16"/>
                  <w:color w:val="auto"/>
                  <w:w w:val="97"/>
                </w:rPr>
                <w:t>incorporated herein by reference).</w:t>
              </w:r>
            </w:hyperlink>
          </w:p>
        </w:tc>
        <w:tc>
          <w:tcPr>
            <w:tcW w:w="624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10.54</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30">
              <w:r>
                <w:rPr>
                  <w:rFonts w:ascii="Times New Roman" w:cs="Times New Roman" w:eastAsia="Times New Roman" w:hAnsi="Times New Roman"/>
                  <w:sz w:val="16"/>
                  <w:szCs w:val="16"/>
                  <w:color w:val="auto"/>
                </w:rPr>
                <w:t>First Amendment as of February 22, 2022, to the Receivables Purchase Agreement dated March 17, 2021, by and among CVG Capital III</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8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auto"/>
                <w:w w:val="97"/>
              </w:rPr>
            </w:pPr>
            <w:hyperlink r:id="rId130">
              <w:r>
                <w:rPr>
                  <w:rFonts w:ascii="Times New Roman" w:cs="Times New Roman" w:eastAsia="Times New Roman" w:hAnsi="Times New Roman"/>
                  <w:sz w:val="16"/>
                  <w:szCs w:val="16"/>
                  <w:color w:val="auto"/>
                  <w:w w:val="97"/>
                </w:rPr>
                <w:t>LLC, PNC Bank, National Association, as administrative agent, Ashland LLC, as initial servicer, and certain other persons identified as</w:t>
              </w:r>
            </w:hyperlink>
          </w:p>
        </w:tc>
        <w:tc>
          <w:tcPr>
            <w:tcW w:w="120" w:type="dxa"/>
            <w:vAlign w:val="bottom"/>
            <w:tcBorders>
              <w:top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80" w:type="dxa"/>
            <w:vAlign w:val="bottom"/>
            <w:gridSpan w:val="26"/>
          </w:tcPr>
          <w:p>
            <w:pPr>
              <w:spacing w:after="0" w:line="160" w:lineRule="exact"/>
              <w:rPr>
                <w:rFonts w:ascii="Times New Roman" w:cs="Times New Roman" w:eastAsia="Times New Roman" w:hAnsi="Times New Roman"/>
                <w:sz w:val="16"/>
                <w:szCs w:val="16"/>
                <w:color w:val="auto"/>
                <w:w w:val="98"/>
              </w:rPr>
            </w:pPr>
            <w:hyperlink r:id="rId130">
              <w:r>
                <w:rPr>
                  <w:rFonts w:ascii="Times New Roman" w:cs="Times New Roman" w:eastAsia="Times New Roman" w:hAnsi="Times New Roman"/>
                  <w:sz w:val="16"/>
                  <w:szCs w:val="16"/>
                  <w:color w:val="auto"/>
                  <w:w w:val="98"/>
                </w:rPr>
                <w:t>Purchasers, LC, LC Participants and Group Agents and other persons from time to time identified as parties thereto (filed as Exhibit 10.1 to</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2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auto"/>
              </w:rPr>
            </w:pPr>
            <w:hyperlink r:id="rId130">
              <w:r>
                <w:rPr>
                  <w:rFonts w:ascii="Times New Roman" w:cs="Times New Roman" w:eastAsia="Times New Roman" w:hAnsi="Times New Roman"/>
                  <w:sz w:val="16"/>
                  <w:szCs w:val="16"/>
                  <w:color w:val="auto"/>
                </w:rPr>
                <w:t>Ashland’s Form 8-K filed on February 28, 2022 (SEC File No. 333-211719)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10.55</w:t>
            </w:r>
          </w:p>
        </w:tc>
        <w:tc>
          <w:tcPr>
            <w:tcW w:w="9600" w:type="dxa"/>
            <w:vAlign w:val="bottom"/>
            <w:gridSpan w:val="27"/>
          </w:tcPr>
          <w:p>
            <w:pPr>
              <w:ind w:left="58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131">
              <w:r>
                <w:rPr>
                  <w:rFonts w:ascii="Times New Roman" w:cs="Times New Roman" w:eastAsia="Times New Roman" w:hAnsi="Times New Roman"/>
                  <w:sz w:val="16"/>
                  <w:szCs w:val="16"/>
                  <w:color w:val="auto"/>
                  <w:w w:val="98"/>
                </w:rPr>
                <w:t>Assignment Agreement dated February 22, 2022, between CVG Capital III LLC and Ashland LLC (filed as Exhibit 10.2 to Ashland’s Form</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16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auto"/>
                <w:w w:val="97"/>
              </w:rPr>
            </w:pPr>
            <w:hyperlink r:id="rId131">
              <w:r>
                <w:rPr>
                  <w:rFonts w:ascii="Times New Roman" w:cs="Times New Roman" w:eastAsia="Times New Roman" w:hAnsi="Times New Roman"/>
                  <w:sz w:val="16"/>
                  <w:szCs w:val="16"/>
                  <w:color w:val="auto"/>
                  <w:w w:val="97"/>
                </w:rPr>
                <w:t>8-K filed on February 28, 2022 (SEC File No. 333-211719) and incorporated herein by reference).</w:t>
              </w:r>
            </w:hyperlink>
          </w:p>
        </w:tc>
        <w:tc>
          <w:tcPr>
            <w:tcW w:w="2600" w:type="dxa"/>
            <w:vAlign w:val="bottom"/>
            <w:tcBorders>
              <w:top w:val="single" w:sz="8" w:color="0000EE"/>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10.56</w:t>
            </w:r>
          </w:p>
        </w:tc>
        <w:tc>
          <w:tcPr>
            <w:tcW w:w="9600" w:type="dxa"/>
            <w:vAlign w:val="bottom"/>
            <w:gridSpan w:val="27"/>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132">
              <w:r>
                <w:rPr>
                  <w:rFonts w:ascii="Times New Roman" w:cs="Times New Roman" w:eastAsia="Times New Roman" w:hAnsi="Times New Roman"/>
                  <w:sz w:val="16"/>
                  <w:szCs w:val="16"/>
                  <w:color w:val="auto"/>
                  <w:w w:val="99"/>
                </w:rPr>
                <w:t>First Amendment as of August 1, 2022, to the Second Amended and Restated Purchase and Sale Agreement, dated March 17, 2021, by and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20" w:type="dxa"/>
            <w:vAlign w:val="bottom"/>
            <w:tcBorders>
              <w:top w:val="single" w:sz="8" w:color="0000EE"/>
              <w:bottom w:val="single" w:sz="8" w:color="0000EE"/>
            </w:tcBorders>
            <w:gridSpan w:val="14"/>
          </w:tcPr>
          <w:p>
            <w:pPr>
              <w:spacing w:after="0" w:line="160" w:lineRule="exact"/>
              <w:rPr>
                <w:rFonts w:ascii="Times New Roman" w:cs="Times New Roman" w:eastAsia="Times New Roman" w:hAnsi="Times New Roman"/>
                <w:sz w:val="16"/>
                <w:szCs w:val="16"/>
                <w:color w:val="auto"/>
                <w:w w:val="97"/>
              </w:rPr>
            </w:pPr>
            <w:hyperlink r:id="rId132">
              <w:r>
                <w:rPr>
                  <w:rFonts w:ascii="Times New Roman" w:cs="Times New Roman" w:eastAsia="Times New Roman" w:hAnsi="Times New Roman"/>
                  <w:sz w:val="16"/>
                  <w:szCs w:val="16"/>
                  <w:color w:val="auto"/>
                  <w:w w:val="97"/>
                </w:rPr>
                <w:t>among Ashland Inc. as an originator and servicer, and Ashland Specialty Ingredients G.P., as originator, and CVG Capital III LLC, as</w:t>
              </w:r>
            </w:hyperlink>
          </w:p>
        </w:tc>
        <w:tc>
          <w:tcPr>
            <w:tcW w:w="280" w:type="dxa"/>
            <w:vAlign w:val="bottom"/>
            <w:tcBorders>
              <w:top w:val="single" w:sz="8" w:color="0000EE"/>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80" w:type="dxa"/>
            <w:vAlign w:val="bottom"/>
            <w:gridSpan w:val="26"/>
          </w:tcPr>
          <w:p>
            <w:pPr>
              <w:spacing w:after="0" w:line="160" w:lineRule="exact"/>
              <w:rPr>
                <w:rFonts w:ascii="Times New Roman" w:cs="Times New Roman" w:eastAsia="Times New Roman" w:hAnsi="Times New Roman"/>
                <w:sz w:val="16"/>
                <w:szCs w:val="16"/>
                <w:color w:val="auto"/>
                <w:w w:val="99"/>
              </w:rPr>
            </w:pPr>
            <w:hyperlink r:id="rId132">
              <w:r>
                <w:rPr>
                  <w:rFonts w:ascii="Times New Roman" w:cs="Times New Roman" w:eastAsia="Times New Roman" w:hAnsi="Times New Roman"/>
                  <w:sz w:val="16"/>
                  <w:szCs w:val="16"/>
                  <w:color w:val="auto"/>
                  <w:w w:val="99"/>
                </w:rPr>
                <w:t>purchaser filed as Exhibit 10.74 to Ashland's Form 10-K for the fiscal year ended September 30, 2022, filed on November 21, 2022 (SEC</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78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auto"/>
                <w:w w:val="97"/>
              </w:rPr>
            </w:pPr>
            <w:hyperlink r:id="rId132">
              <w:r>
                <w:rPr>
                  <w:rFonts w:ascii="Times New Roman" w:cs="Times New Roman" w:eastAsia="Times New Roman" w:hAnsi="Times New Roman"/>
                  <w:sz w:val="16"/>
                  <w:szCs w:val="16"/>
                  <w:color w:val="auto"/>
                  <w:w w:val="97"/>
                </w:rPr>
                <w:t>File No. 333-211719), and incorporated by reference herein.</w:t>
              </w:r>
            </w:hyperlink>
          </w:p>
        </w:tc>
        <w:tc>
          <w:tcPr>
            <w:tcW w:w="4800" w:type="dxa"/>
            <w:vAlign w:val="bottom"/>
            <w:tcBorders>
              <w:top w:val="single" w:sz="8" w:color="0000EE"/>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10.57</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33">
              <w:r>
                <w:rPr>
                  <w:rFonts w:ascii="Times New Roman" w:cs="Times New Roman" w:eastAsia="Times New Roman" w:hAnsi="Times New Roman"/>
                  <w:sz w:val="16"/>
                  <w:szCs w:val="16"/>
                  <w:color w:val="auto"/>
                </w:rPr>
                <w:t>Second Amendment as of August 1, 2022, to the Receivables Purchase Agreement dated March 17, 2021, by and among CVG Capital III</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58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auto"/>
                <w:w w:val="97"/>
              </w:rPr>
            </w:pPr>
            <w:hyperlink r:id="rId133">
              <w:r>
                <w:rPr>
                  <w:rFonts w:ascii="Times New Roman" w:cs="Times New Roman" w:eastAsia="Times New Roman" w:hAnsi="Times New Roman"/>
                  <w:sz w:val="16"/>
                  <w:szCs w:val="16"/>
                  <w:color w:val="auto"/>
                  <w:w w:val="97"/>
                </w:rPr>
                <w:t>LLC, PNC Bank, National Association, as administrative agent, Ashland Inc. in its individual capacity and as initial servicer, and certain</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5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auto"/>
                <w:w w:val="98"/>
              </w:rPr>
            </w:pPr>
            <w:hyperlink r:id="rId133">
              <w:r>
                <w:rPr>
                  <w:rFonts w:ascii="Times New Roman" w:cs="Times New Roman" w:eastAsia="Times New Roman" w:hAnsi="Times New Roman"/>
                  <w:sz w:val="16"/>
                  <w:szCs w:val="16"/>
                  <w:color w:val="auto"/>
                  <w:w w:val="98"/>
                </w:rPr>
                <w:t>other persons identified as Purchasers, LC, LC Participants and Group Agents and other persons from time to time identified as parties</w:t>
              </w:r>
            </w:hyperlink>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2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auto"/>
                <w:w w:val="97"/>
              </w:rPr>
            </w:pPr>
            <w:hyperlink r:id="rId133">
              <w:r>
                <w:rPr>
                  <w:rFonts w:ascii="Times New Roman" w:cs="Times New Roman" w:eastAsia="Times New Roman" w:hAnsi="Times New Roman"/>
                  <w:sz w:val="16"/>
                  <w:szCs w:val="16"/>
                  <w:color w:val="auto"/>
                  <w:w w:val="97"/>
                </w:rPr>
                <w:t>thereto filed as Exhibit 10.75 to Ashland's Form 10-K for the fiscal year ended September 30, 2022, filed on November 21, 2022 (SEC</w:t>
              </w:r>
            </w:hyperlink>
          </w:p>
        </w:tc>
        <w:tc>
          <w:tcPr>
            <w:tcW w:w="360" w:type="dxa"/>
            <w:vAlign w:val="bottom"/>
            <w:gridSpan w:val="12"/>
          </w:tcPr>
          <w:p>
            <w:pPr>
              <w:ind w:left="40"/>
              <w:spacing w:after="0" w:line="160" w:lineRule="exact"/>
              <w:rPr>
                <w:rFonts w:ascii="Times New Roman" w:cs="Times New Roman" w:eastAsia="Times New Roman" w:hAnsi="Times New Roman"/>
                <w:sz w:val="16"/>
                <w:szCs w:val="16"/>
                <w:color w:val="auto"/>
              </w:rPr>
            </w:pPr>
            <w:hyperlink r:id="rId133">
              <w:r>
                <w:rPr>
                  <w:rFonts w:ascii="Times New Roman" w:cs="Times New Roman" w:eastAsia="Times New Roman" w:hAnsi="Times New Roman"/>
                  <w:sz w:val="16"/>
                  <w:szCs w:val="16"/>
                  <w:color w:val="auto"/>
                </w:rPr>
                <w:t>File</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50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auto"/>
                <w:w w:val="97"/>
              </w:rPr>
            </w:pPr>
            <w:hyperlink r:id="rId133">
              <w:r>
                <w:rPr>
                  <w:rFonts w:ascii="Times New Roman" w:cs="Times New Roman" w:eastAsia="Times New Roman" w:hAnsi="Times New Roman"/>
                  <w:sz w:val="16"/>
                  <w:szCs w:val="16"/>
                  <w:color w:val="auto"/>
                  <w:w w:val="97"/>
                </w:rPr>
                <w:t>No. 333-211719), and incorporated by reference herein.</w:t>
              </w:r>
            </w:hyperlink>
          </w:p>
        </w:tc>
        <w:tc>
          <w:tcPr>
            <w:tcW w:w="5200" w:type="dxa"/>
            <w:vAlign w:val="bottom"/>
            <w:tcBorders>
              <w:top w:val="single" w:sz="8" w:color="0000EE"/>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10.58</w:t>
            </w:r>
          </w:p>
        </w:tc>
        <w:tc>
          <w:tcPr>
            <w:tcW w:w="9600" w:type="dxa"/>
            <w:vAlign w:val="bottom"/>
            <w:gridSpan w:val="27"/>
          </w:tcPr>
          <w:p>
            <w:pPr>
              <w:ind w:left="58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r:id="rId134">
              <w:r>
                <w:rPr>
                  <w:rFonts w:ascii="Times New Roman" w:cs="Times New Roman" w:eastAsia="Times New Roman" w:hAnsi="Times New Roman"/>
                  <w:sz w:val="16"/>
                  <w:szCs w:val="16"/>
                  <w:color w:val="auto"/>
                  <w:w w:val="98"/>
                </w:rPr>
                <w:t>Assumption Agreement dated September 20, 2016, by and between Ashland Global Holdings Inc. and Ashland Inc. (filed as Exhibit 10.1 to</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auto"/>
              </w:rPr>
            </w:pPr>
            <w:hyperlink r:id="rId134">
              <w:r>
                <w:rPr>
                  <w:rFonts w:ascii="Times New Roman" w:cs="Times New Roman" w:eastAsia="Times New Roman" w:hAnsi="Times New Roman"/>
                  <w:sz w:val="16"/>
                  <w:szCs w:val="16"/>
                  <w:color w:val="auto"/>
                </w:rPr>
                <w:t>Ashland’s Form 8-K filed on September 20, 2016 (SEC File No. 333-211719), and incorporated herein by reference).</w:t>
              </w:r>
            </w:hyperlink>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10.59</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35">
              <w:r>
                <w:rPr>
                  <w:rFonts w:ascii="Times New Roman" w:cs="Times New Roman" w:eastAsia="Times New Roman" w:hAnsi="Times New Roman"/>
                  <w:sz w:val="16"/>
                  <w:szCs w:val="16"/>
                  <w:color w:val="auto"/>
                </w:rPr>
                <w:t>Separation Agreement dated as of September 22, 2016, between and among Ashland Global Holdings Inc. and Valvoline Inc. (filed as</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2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auto"/>
                <w:w w:val="97"/>
              </w:rPr>
            </w:pPr>
            <w:hyperlink r:id="rId135">
              <w:r>
                <w:rPr>
                  <w:rFonts w:ascii="Times New Roman" w:cs="Times New Roman" w:eastAsia="Times New Roman" w:hAnsi="Times New Roman"/>
                  <w:sz w:val="16"/>
                  <w:szCs w:val="16"/>
                  <w:color w:val="auto"/>
                  <w:w w:val="97"/>
                </w:rPr>
                <w:t>Exhibit 10.1 to Ashland’s Form 8-K filed on September 28, 2016 (SEC File No. 333-211719), and incorporated herein by reference).</w:t>
              </w:r>
            </w:hyperlink>
          </w:p>
        </w:tc>
        <w:tc>
          <w:tcPr>
            <w:tcW w:w="80" w:type="dxa"/>
            <w:vAlign w:val="bottom"/>
            <w:tcBorders>
              <w:top w:val="single" w:sz="8" w:color="0000EE"/>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10.60</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36">
              <w:r>
                <w:rPr>
                  <w:rFonts w:ascii="Times New Roman" w:cs="Times New Roman" w:eastAsia="Times New Roman" w:hAnsi="Times New Roman"/>
                  <w:sz w:val="16"/>
                  <w:szCs w:val="16"/>
                  <w:color w:val="auto"/>
                </w:rPr>
                <w:t>Tax Matters Agreement dated as of September 22, 2016, between and among Ashland Global Holdings Inc. and Valvoline Inc. (filed as</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2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auto"/>
                <w:w w:val="97"/>
              </w:rPr>
            </w:pPr>
            <w:hyperlink r:id="rId136">
              <w:r>
                <w:rPr>
                  <w:rFonts w:ascii="Times New Roman" w:cs="Times New Roman" w:eastAsia="Times New Roman" w:hAnsi="Times New Roman"/>
                  <w:sz w:val="16"/>
                  <w:szCs w:val="16"/>
                  <w:color w:val="auto"/>
                  <w:w w:val="97"/>
                </w:rPr>
                <w:t>Exhibit 10.4 to Ashland’s Form 8-K filed on September 28, 2016 (SEC File No. 333-211719), and incorporated herein by reference).</w:t>
              </w:r>
            </w:hyperlink>
          </w:p>
        </w:tc>
        <w:tc>
          <w:tcPr>
            <w:tcW w:w="16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10.61</w:t>
            </w:r>
          </w:p>
        </w:tc>
        <w:tc>
          <w:tcPr>
            <w:tcW w:w="9600" w:type="dxa"/>
            <w:vAlign w:val="bottom"/>
            <w:gridSpan w:val="27"/>
          </w:tcPr>
          <w:p>
            <w:pPr>
              <w:ind w:left="580"/>
              <w:spacing w:after="0"/>
              <w:rPr>
                <w:rFonts w:ascii="Times New Roman" w:cs="Times New Roman" w:eastAsia="Times New Roman" w:hAnsi="Times New Roman"/>
                <w:sz w:val="16"/>
                <w:szCs w:val="16"/>
                <w:color w:val="auto"/>
                <w:w w:val="99"/>
              </w:rPr>
            </w:pPr>
            <w:r>
              <w:rPr>
                <w:rFonts w:ascii="Times New Roman" w:cs="Times New Roman" w:eastAsia="Times New Roman" w:hAnsi="Times New Roman"/>
                <w:sz w:val="16"/>
                <w:szCs w:val="16"/>
                <w:color w:val="auto"/>
                <w:w w:val="99"/>
              </w:rPr>
              <w:t xml:space="preserve">–  </w:t>
            </w:r>
            <w:hyperlink r:id="rId137">
              <w:r>
                <w:rPr>
                  <w:rFonts w:ascii="Times New Roman" w:cs="Times New Roman" w:eastAsia="Times New Roman" w:hAnsi="Times New Roman"/>
                  <w:sz w:val="16"/>
                  <w:szCs w:val="16"/>
                  <w:color w:val="auto"/>
                  <w:w w:val="99"/>
                </w:rPr>
                <w:t>Employee Matters Agreement dated as of September 22, 2016, between and among Ashland Global Holdings Inc. and Valvoline Inc. (filed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500" w:type="dxa"/>
            <w:vAlign w:val="bottom"/>
            <w:tcBorders>
              <w:top w:val="single" w:sz="8" w:color="0000EE"/>
              <w:bottom w:val="single" w:sz="8" w:color="0000EE"/>
            </w:tcBorders>
            <w:gridSpan w:val="16"/>
          </w:tcPr>
          <w:p>
            <w:pPr>
              <w:spacing w:after="0" w:line="160" w:lineRule="exact"/>
              <w:rPr>
                <w:rFonts w:ascii="Times New Roman" w:cs="Times New Roman" w:eastAsia="Times New Roman" w:hAnsi="Times New Roman"/>
                <w:sz w:val="16"/>
                <w:szCs w:val="16"/>
                <w:color w:val="auto"/>
                <w:w w:val="97"/>
              </w:rPr>
            </w:pPr>
            <w:hyperlink r:id="rId137">
              <w:r>
                <w:rPr>
                  <w:rFonts w:ascii="Times New Roman" w:cs="Times New Roman" w:eastAsia="Times New Roman" w:hAnsi="Times New Roman"/>
                  <w:sz w:val="16"/>
                  <w:szCs w:val="16"/>
                  <w:color w:val="auto"/>
                  <w:w w:val="97"/>
                </w:rPr>
                <w:t>as Exhibit 10.5 to Ashland’s Form 8-K filed on September 28, 2016 (SEC File No. 333-211719), and incorporated herein by reference).</w:t>
              </w:r>
            </w:hyperlink>
          </w:p>
        </w:tc>
        <w:tc>
          <w:tcPr>
            <w:tcW w:w="200" w:type="dxa"/>
            <w:vAlign w:val="bottom"/>
            <w:tcBorders>
              <w:top w:val="single" w:sz="8" w:color="0000EE"/>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8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10.62</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38">
              <w:r>
                <w:rPr>
                  <w:rFonts w:ascii="Times New Roman" w:cs="Times New Roman" w:eastAsia="Times New Roman" w:hAnsi="Times New Roman"/>
                  <w:sz w:val="16"/>
                  <w:szCs w:val="16"/>
                  <w:color w:val="auto"/>
                </w:rPr>
                <w:t>Master Confirmation - Uncollared Accelerated Share Repurchase, dated September 2, 2021, between Ashland Global Holdings Inc. and</w:t>
              </w:r>
            </w:hyperlink>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080" w:type="dxa"/>
            <w:vAlign w:val="bottom"/>
            <w:gridSpan w:val="6"/>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80" w:type="dxa"/>
            <w:vAlign w:val="bottom"/>
            <w:gridSpan w:val="26"/>
          </w:tcPr>
          <w:p>
            <w:pPr>
              <w:spacing w:after="0" w:line="160" w:lineRule="exact"/>
              <w:rPr>
                <w:rFonts w:ascii="Times New Roman" w:cs="Times New Roman" w:eastAsia="Times New Roman" w:hAnsi="Times New Roman"/>
                <w:sz w:val="16"/>
                <w:szCs w:val="16"/>
                <w:color w:val="auto"/>
                <w:w w:val="98"/>
              </w:rPr>
            </w:pPr>
            <w:hyperlink r:id="rId138">
              <w:r>
                <w:rPr>
                  <w:rFonts w:ascii="Times New Roman" w:cs="Times New Roman" w:eastAsia="Times New Roman" w:hAnsi="Times New Roman"/>
                  <w:sz w:val="16"/>
                  <w:szCs w:val="16"/>
                  <w:color w:val="auto"/>
                  <w:w w:val="98"/>
                </w:rPr>
                <w:t>JPMorgan Chase Bank, National Association (filed as Exhibit 10.1 to Ashland’s Form 8-K filed on September 7, 2021 (SEC File No. 333-</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6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auto"/>
              </w:rPr>
            </w:pPr>
            <w:hyperlink r:id="rId138">
              <w:r>
                <w:rPr>
                  <w:rFonts w:ascii="Times New Roman" w:cs="Times New Roman" w:eastAsia="Times New Roman" w:hAnsi="Times New Roman"/>
                  <w:sz w:val="16"/>
                  <w:szCs w:val="16"/>
                  <w:color w:val="auto"/>
                </w:rPr>
                <w:t>211719), and incorporated herein by reference).</w:t>
              </w:r>
            </w:hyperlink>
          </w:p>
        </w:tc>
        <w:tc>
          <w:tcPr>
            <w:tcW w:w="120" w:type="dxa"/>
            <w:vAlign w:val="bottom"/>
            <w:gridSpan w:val="5"/>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40"/>
        </w:trPr>
        <w:tc>
          <w:tcPr>
            <w:tcW w:w="9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10.63</w:t>
            </w:r>
          </w:p>
        </w:tc>
        <w:tc>
          <w:tcPr>
            <w:tcW w:w="9600" w:type="dxa"/>
            <w:vAlign w:val="bottom"/>
            <w:gridSpan w:val="27"/>
          </w:tcPr>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39">
              <w:r>
                <w:rPr>
                  <w:rFonts w:ascii="Times New Roman" w:cs="Times New Roman" w:eastAsia="Times New Roman" w:hAnsi="Times New Roman"/>
                  <w:sz w:val="16"/>
                  <w:szCs w:val="16"/>
                  <w:color w:val="auto"/>
                </w:rPr>
                <w:t>Amendment dated November 22, 2021 to the Master Confirmation (as supplemented by the Supplemental Confirmation) – Uncollared</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98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r:id="rId139">
              <w:r>
                <w:rPr>
                  <w:rFonts w:ascii="Times New Roman" w:cs="Times New Roman" w:eastAsia="Times New Roman" w:hAnsi="Times New Roman"/>
                  <w:sz w:val="16"/>
                  <w:szCs w:val="16"/>
                  <w:color w:val="auto"/>
                  <w:w w:val="97"/>
                </w:rPr>
                <w:t>Accelerated Share Repurchase September 2, 2021, between Ashland Global Holdings Inc. and JPMorgan Chase Bank, National</w:t>
              </w:r>
            </w:hyperlink>
          </w:p>
        </w:tc>
        <w:tc>
          <w:tcPr>
            <w:tcW w:w="440" w:type="dxa"/>
            <w:vAlign w:val="bottom"/>
            <w:tcBorders>
              <w:top w:val="single" w:sz="8" w:color="0000EE"/>
            </w:tcBorders>
            <w:gridSpan w:val="5"/>
          </w:tcPr>
          <w:p>
            <w:pPr>
              <w:spacing w:after="0"/>
              <w:rPr>
                <w:sz w:val="13"/>
                <w:szCs w:val="13"/>
                <w:color w:val="auto"/>
              </w:rPr>
            </w:pPr>
          </w:p>
        </w:tc>
        <w:tc>
          <w:tcPr>
            <w:tcW w:w="200" w:type="dxa"/>
            <w:vAlign w:val="bottom"/>
            <w:gridSpan w:val="6"/>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80" w:type="dxa"/>
            <w:vAlign w:val="bottom"/>
            <w:gridSpan w:val="26"/>
          </w:tcPr>
          <w:p>
            <w:pPr>
              <w:spacing w:after="0" w:line="160" w:lineRule="exact"/>
              <w:rPr>
                <w:rFonts w:ascii="Times New Roman" w:cs="Times New Roman" w:eastAsia="Times New Roman" w:hAnsi="Times New Roman"/>
                <w:sz w:val="16"/>
                <w:szCs w:val="16"/>
                <w:color w:val="auto"/>
                <w:w w:val="99"/>
              </w:rPr>
            </w:pPr>
            <w:hyperlink r:id="rId139">
              <w:r>
                <w:rPr>
                  <w:rFonts w:ascii="Times New Roman" w:cs="Times New Roman" w:eastAsia="Times New Roman" w:hAnsi="Times New Roman"/>
                  <w:sz w:val="16"/>
                  <w:szCs w:val="16"/>
                  <w:color w:val="auto"/>
                  <w:w w:val="99"/>
                </w:rPr>
                <w:t>Association (filed as Exhibit 10.1 to Ashland’s Form 10-Q filed on February 3, 2022 (SEC File No. 333-211719), and incorporated herein</w:t>
              </w:r>
            </w:hyperlink>
          </w:p>
        </w:tc>
      </w:tr>
      <w:tr>
        <w:trPr>
          <w:trHeight w:val="160"/>
        </w:trPr>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6"/>
              </w:rPr>
            </w:pPr>
            <w:hyperlink r:id="rId139">
              <w:r>
                <w:rPr>
                  <w:rFonts w:ascii="Times New Roman" w:cs="Times New Roman" w:eastAsia="Times New Roman" w:hAnsi="Times New Roman"/>
                  <w:sz w:val="16"/>
                  <w:szCs w:val="16"/>
                  <w:color w:val="auto"/>
                  <w:w w:val="96"/>
                </w:rPr>
                <w:t>by reference).</w:t>
              </w:r>
            </w:hyperlink>
          </w:p>
        </w:tc>
        <w:tc>
          <w:tcPr>
            <w:tcW w:w="7740" w:type="dxa"/>
            <w:vAlign w:val="bottom"/>
            <w:tcBorders>
              <w:top w:val="single" w:sz="8" w:color="0000EE"/>
            </w:tcBorders>
            <w:gridSpan w:val="19"/>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506"/>
        </w:trPr>
        <w:tc>
          <w:tcPr>
            <w:tcW w:w="980" w:type="dxa"/>
            <w:vAlign w:val="bottom"/>
          </w:tcPr>
          <w:p>
            <w:pPr>
              <w:spacing w:after="0"/>
              <w:rPr>
                <w:sz w:val="24"/>
                <w:szCs w:val="24"/>
                <w:color w:val="auto"/>
              </w:rPr>
            </w:pPr>
          </w:p>
        </w:tc>
        <w:tc>
          <w:tcPr>
            <w:tcW w:w="4600" w:type="dxa"/>
            <w:vAlign w:val="bottom"/>
            <w:gridSpan w:val="6"/>
          </w:tcPr>
          <w:p>
            <w:pPr>
              <w:ind w:left="4220"/>
              <w:spacing w:after="0"/>
              <w:rPr>
                <w:sz w:val="20"/>
                <w:szCs w:val="20"/>
                <w:color w:val="auto"/>
              </w:rPr>
            </w:pPr>
            <w:r>
              <w:rPr>
                <w:rFonts w:ascii="Times New Roman" w:cs="Times New Roman" w:eastAsia="Times New Roman" w:hAnsi="Times New Roman"/>
                <w:sz w:val="16"/>
                <w:szCs w:val="16"/>
                <w:color w:val="auto"/>
              </w:rPr>
              <w:t>36</w:t>
            </w:r>
          </w:p>
        </w:tc>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9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2" w:right="680"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10.64</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41">
              <w:r>
                <w:rPr>
                  <w:rFonts w:ascii="Times New Roman" w:cs="Times New Roman" w:eastAsia="Times New Roman" w:hAnsi="Times New Roman"/>
                  <w:sz w:val="16"/>
                  <w:szCs w:val="16"/>
                  <w:color w:val="auto"/>
                </w:rPr>
                <w:t>Fourth Amendment to the Receivables Purchase Agreement dated as of September 13, 2024 by and among Ashland, Ashland Specialty</w:t>
              </w:r>
            </w:hyperlink>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6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auto"/>
                <w:w w:val="98"/>
              </w:rPr>
            </w:pPr>
            <w:hyperlink r:id="rId141">
              <w:r>
                <w:rPr>
                  <w:rFonts w:ascii="Times New Roman" w:cs="Times New Roman" w:eastAsia="Times New Roman" w:hAnsi="Times New Roman"/>
                  <w:sz w:val="16"/>
                  <w:szCs w:val="16"/>
                  <w:color w:val="auto"/>
                  <w:w w:val="98"/>
                </w:rPr>
                <w:t>Ingredients G.P., a Delaware general partnership, CVG Capital III LLC, a bankruptcy-remote special purpose entity and subsidiary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360" w:type="dxa"/>
            <w:vAlign w:val="bottom"/>
            <w:tcBorders>
              <w:top w:val="single" w:sz="8" w:color="0000EE"/>
              <w:bottom w:val="single" w:sz="8" w:color="0000EE"/>
            </w:tcBorders>
            <w:gridSpan w:val="20"/>
          </w:tcPr>
          <w:p>
            <w:pPr>
              <w:spacing w:after="0" w:line="160" w:lineRule="exact"/>
              <w:rPr>
                <w:rFonts w:ascii="Times New Roman" w:cs="Times New Roman" w:eastAsia="Times New Roman" w:hAnsi="Times New Roman"/>
                <w:sz w:val="16"/>
                <w:szCs w:val="16"/>
                <w:color w:val="auto"/>
                <w:w w:val="96"/>
              </w:rPr>
            </w:pPr>
            <w:hyperlink r:id="rId141">
              <w:r>
                <w:rPr>
                  <w:rFonts w:ascii="Times New Roman" w:cs="Times New Roman" w:eastAsia="Times New Roman" w:hAnsi="Times New Roman"/>
                  <w:sz w:val="16"/>
                  <w:szCs w:val="16"/>
                  <w:color w:val="auto"/>
                  <w:w w:val="96"/>
                </w:rPr>
                <w:t>Ashland, PNC Bank, National Association, as administrative agent, PNC Capital Markets LLC, as structuring agent, Ashland, as initial</w:t>
              </w:r>
            </w:hyperlink>
          </w:p>
        </w:tc>
        <w:tc>
          <w:tcPr>
            <w:tcW w:w="20" w:type="dxa"/>
            <w:vAlign w:val="bottom"/>
            <w:tcBorders>
              <w:bottom w:val="single" w:sz="8" w:color="0000EE"/>
            </w:tcBorders>
          </w:tcPr>
          <w:p>
            <w:pPr>
              <w:spacing w:after="0"/>
              <w:rPr>
                <w:sz w:val="13"/>
                <w:szCs w:val="13"/>
                <w:color w:val="auto"/>
              </w:rPr>
            </w:pPr>
          </w:p>
        </w:tc>
        <w:tc>
          <w:tcPr>
            <w:tcW w:w="60" w:type="dxa"/>
            <w:vAlign w:val="bottom"/>
            <w:tcBorders>
              <w:bottom w:val="single" w:sz="8" w:color="0000EE"/>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40" w:type="dxa"/>
            <w:vAlign w:val="bottom"/>
            <w:tcBorders>
              <w:bottom w:val="single" w:sz="8" w:color="0000EE"/>
            </w:tcBorders>
            <w:gridSpan w:val="22"/>
          </w:tcPr>
          <w:p>
            <w:pPr>
              <w:spacing w:after="0" w:line="160" w:lineRule="exact"/>
              <w:rPr>
                <w:rFonts w:ascii="Times New Roman" w:cs="Times New Roman" w:eastAsia="Times New Roman" w:hAnsi="Times New Roman"/>
                <w:sz w:val="16"/>
                <w:szCs w:val="16"/>
                <w:color w:val="auto"/>
                <w:w w:val="96"/>
              </w:rPr>
            </w:pPr>
            <w:hyperlink r:id="rId141">
              <w:r>
                <w:rPr>
                  <w:rFonts w:ascii="Times New Roman" w:cs="Times New Roman" w:eastAsia="Times New Roman" w:hAnsi="Times New Roman"/>
                  <w:sz w:val="16"/>
                  <w:szCs w:val="16"/>
                  <w:color w:val="auto"/>
                  <w:w w:val="96"/>
                </w:rPr>
                <w:t>servicer, and certain other persons from time to time named as parties thereto as purchasers, group agents, LC banks and LC participants</w:t>
              </w:r>
            </w:hyperlink>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520" w:type="dxa"/>
            <w:vAlign w:val="bottom"/>
            <w:gridSpan w:val="26"/>
          </w:tcPr>
          <w:p>
            <w:pPr>
              <w:spacing w:after="0" w:line="160" w:lineRule="exact"/>
              <w:rPr>
                <w:rFonts w:ascii="Times New Roman" w:cs="Times New Roman" w:eastAsia="Times New Roman" w:hAnsi="Times New Roman"/>
                <w:sz w:val="16"/>
                <w:szCs w:val="16"/>
                <w:color w:val="auto"/>
              </w:rPr>
            </w:pPr>
            <w:hyperlink r:id="rId141">
              <w:r>
                <w:rPr>
                  <w:rFonts w:ascii="Times New Roman" w:cs="Times New Roman" w:eastAsia="Times New Roman" w:hAnsi="Times New Roman"/>
                  <w:sz w:val="16"/>
                  <w:szCs w:val="16"/>
                  <w:color w:val="auto"/>
                </w:rPr>
                <w:t>(filed as Exhibit 10.1 to Ashland’s Form 8-K filed on September 16, 2024 (SEC File No. 333-211719), and incorporated herein by</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5"/>
              </w:rPr>
            </w:pPr>
            <w:hyperlink r:id="rId141">
              <w:r>
                <w:rPr>
                  <w:rFonts w:ascii="Times New Roman" w:cs="Times New Roman" w:eastAsia="Times New Roman" w:hAnsi="Times New Roman"/>
                  <w:sz w:val="16"/>
                  <w:szCs w:val="16"/>
                  <w:color w:val="auto"/>
                  <w:w w:val="95"/>
                </w:rPr>
                <w:t>reference).</w:t>
              </w:r>
            </w:hyperlink>
          </w:p>
        </w:tc>
        <w:tc>
          <w:tcPr>
            <w:tcW w:w="7500" w:type="dxa"/>
            <w:vAlign w:val="bottom"/>
            <w:tcBorders>
              <w:top w:val="single" w:sz="8" w:color="0000EE"/>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10.65**</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Form of Restricted Stock Unit Agreement pursuant to Ashland Inc.’s 2021 Omnibus Incentive Compensation Plan, filed herewith.</w:t>
              </w:r>
            </w:hyperlink>
          </w:p>
        </w:tc>
      </w:tr>
      <w:tr>
        <w:trPr>
          <w:trHeight w:val="20"/>
        </w:trPr>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10.66**</w:t>
            </w:r>
          </w:p>
        </w:tc>
        <w:tc>
          <w:tcPr>
            <w:tcW w:w="9460" w:type="dxa"/>
            <w:vAlign w:val="bottom"/>
            <w:gridSpan w:val="29"/>
          </w:tcPr>
          <w:p>
            <w:pPr>
              <w:ind w:left="440"/>
              <w:spacing w:after="0"/>
              <w:rPr>
                <w:rFonts w:ascii="Times New Roman" w:cs="Times New Roman" w:eastAsia="Times New Roman" w:hAnsi="Times New Roman"/>
                <w:sz w:val="16"/>
                <w:szCs w:val="16"/>
                <w:color w:val="auto"/>
                <w:w w:val="98"/>
              </w:rPr>
            </w:pPr>
            <w:r>
              <w:rPr>
                <w:rFonts w:ascii="Times New Roman" w:cs="Times New Roman" w:eastAsia="Times New Roman" w:hAnsi="Times New Roman"/>
                <w:sz w:val="16"/>
                <w:szCs w:val="16"/>
                <w:color w:val="auto"/>
                <w:w w:val="98"/>
              </w:rPr>
              <w:t xml:space="preserve">–  </w:t>
            </w:r>
            <w:hyperlink w:anchor="page1">
              <w:r>
                <w:rPr>
                  <w:rFonts w:ascii="Times New Roman" w:cs="Times New Roman" w:eastAsia="Times New Roman" w:hAnsi="Times New Roman"/>
                  <w:sz w:val="16"/>
                  <w:szCs w:val="16"/>
                  <w:color w:val="auto"/>
                  <w:w w:val="98"/>
                </w:rPr>
                <w:t>Form of Cash-Settled Restricted Stock Equivalent Agreement for Non-U.S. Participants pursuant to Ashland Inc.’s 2021 Omnibus Incentive</w:t>
              </w:r>
            </w:hyperlink>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2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w:anchor="page1">
              <w:r>
                <w:rPr>
                  <w:rFonts w:ascii="Times New Roman" w:cs="Times New Roman" w:eastAsia="Times New Roman" w:hAnsi="Times New Roman"/>
                  <w:sz w:val="16"/>
                  <w:szCs w:val="16"/>
                  <w:color w:val="auto"/>
                  <w:w w:val="97"/>
                </w:rPr>
                <w:t>Compensation Plan, filed herewith.</w:t>
              </w:r>
            </w:hyperlink>
          </w:p>
        </w:tc>
        <w:tc>
          <w:tcPr>
            <w:tcW w:w="6540" w:type="dxa"/>
            <w:vAlign w:val="bottom"/>
            <w:tcBorders>
              <w:top w:val="single" w:sz="8" w:color="0000EE"/>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10.67**</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Form of Stock-Settled Performance Unit Agreement pursuant to Ashland Inc.’s 2021 Omnibus Incentive Compensation Plan, filed</w:t>
              </w:r>
            </w:hyperlink>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6"/>
              </w:rPr>
            </w:pPr>
            <w:hyperlink w:anchor="page1">
              <w:r>
                <w:rPr>
                  <w:rFonts w:ascii="Times New Roman" w:cs="Times New Roman" w:eastAsia="Times New Roman" w:hAnsi="Times New Roman"/>
                  <w:sz w:val="16"/>
                  <w:szCs w:val="16"/>
                  <w:color w:val="auto"/>
                  <w:w w:val="96"/>
                </w:rPr>
                <w:t>herewith.</w:t>
              </w:r>
            </w:hyperlink>
          </w:p>
        </w:tc>
        <w:tc>
          <w:tcPr>
            <w:tcW w:w="7600" w:type="dxa"/>
            <w:vAlign w:val="bottom"/>
            <w:tcBorders>
              <w:top w:val="single" w:sz="8" w:color="0000EE"/>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10.68**</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Form of Cash-Settled Performance Unit Agreement for Non-U.S. Participants pursuant to Ashland Inc.’s 2021 Omnibus Incentive</w:t>
              </w:r>
            </w:hyperlink>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2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w:anchor="page1">
              <w:r>
                <w:rPr>
                  <w:rFonts w:ascii="Times New Roman" w:cs="Times New Roman" w:eastAsia="Times New Roman" w:hAnsi="Times New Roman"/>
                  <w:sz w:val="16"/>
                  <w:szCs w:val="16"/>
                  <w:color w:val="auto"/>
                  <w:w w:val="97"/>
                </w:rPr>
                <w:t>Compensation Plan, filed herewith.</w:t>
              </w:r>
            </w:hyperlink>
          </w:p>
        </w:tc>
        <w:tc>
          <w:tcPr>
            <w:tcW w:w="5940" w:type="dxa"/>
            <w:vAlign w:val="bottom"/>
            <w:tcBorders>
              <w:top w:val="single" w:sz="8" w:color="0000EE"/>
            </w:tcBorders>
            <w:gridSpan w:val="7"/>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10.69**</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Form of Restricted Stock Unit (Non-Employee Directors) pursuant to Ashland Inc.'s 2021 Omnibus Incentive Compensation Plan, filed</w:t>
              </w:r>
            </w:hyperlink>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6"/>
              </w:rPr>
            </w:pPr>
            <w:hyperlink w:anchor="page1">
              <w:r>
                <w:rPr>
                  <w:rFonts w:ascii="Times New Roman" w:cs="Times New Roman" w:eastAsia="Times New Roman" w:hAnsi="Times New Roman"/>
                  <w:sz w:val="16"/>
                  <w:szCs w:val="16"/>
                  <w:color w:val="auto"/>
                  <w:w w:val="96"/>
                </w:rPr>
                <w:t>herewith.</w:t>
              </w:r>
            </w:hyperlink>
          </w:p>
        </w:tc>
        <w:tc>
          <w:tcPr>
            <w:tcW w:w="7880" w:type="dxa"/>
            <w:vAlign w:val="bottom"/>
            <w:tcBorders>
              <w:top w:val="single" w:sz="8" w:color="0000EE"/>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10.70**</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Form of Stock-Settled Appreciation Rights Award Agreement for U.S. Participants pursuant to Ashland Inc.'s 2021 Omnibus Incentive</w:t>
              </w:r>
            </w:hyperlink>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2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w:anchor="page1">
              <w:r>
                <w:rPr>
                  <w:rFonts w:ascii="Times New Roman" w:cs="Times New Roman" w:eastAsia="Times New Roman" w:hAnsi="Times New Roman"/>
                  <w:sz w:val="16"/>
                  <w:szCs w:val="16"/>
                  <w:color w:val="auto"/>
                  <w:w w:val="97"/>
                </w:rPr>
                <w:t>Compensation Plan, filed herewith.</w:t>
              </w:r>
            </w:hyperlink>
          </w:p>
        </w:tc>
        <w:tc>
          <w:tcPr>
            <w:tcW w:w="6220" w:type="dxa"/>
            <w:vAlign w:val="bottom"/>
            <w:tcBorders>
              <w:top w:val="single" w:sz="8" w:color="0000EE"/>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gridSpan w:val="3"/>
          </w:tcPr>
          <w:p>
            <w:pPr>
              <w:spacing w:after="0"/>
              <w:rPr>
                <w:sz w:val="13"/>
                <w:szCs w:val="13"/>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10.71**</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Form of Cash-Settled Stock Appreciation Rights Award Agreement for Non-U.S. Participants pursuant to Ashland Inc.'s 2021 Omnibus</w:t>
              </w:r>
            </w:hyperlink>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50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auto"/>
              </w:rPr>
            </w:pPr>
            <w:hyperlink w:anchor="page1">
              <w:r>
                <w:rPr>
                  <w:rFonts w:ascii="Times New Roman" w:cs="Times New Roman" w:eastAsia="Times New Roman" w:hAnsi="Times New Roman"/>
                  <w:sz w:val="16"/>
                  <w:szCs w:val="16"/>
                  <w:color w:val="auto"/>
                </w:rPr>
                <w:t>Incentive Compensation Plan, filed herewith.</w:t>
              </w:r>
            </w:hyperlink>
          </w:p>
        </w:tc>
        <w:tc>
          <w:tcPr>
            <w:tcW w:w="280" w:type="dxa"/>
            <w:vAlign w:val="bottom"/>
            <w:gridSpan w:val="3"/>
          </w:tcPr>
          <w:p>
            <w:pPr>
              <w:spacing w:after="0"/>
              <w:rPr>
                <w:sz w:val="13"/>
                <w:szCs w:val="13"/>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20" w:type="dxa"/>
            <w:vAlign w:val="bottom"/>
            <w:tcBorders>
              <w:top w:val="single" w:sz="8" w:color="0000EE"/>
            </w:tcBorders>
            <w:gridSpan w:val="11"/>
          </w:tcPr>
          <w:p>
            <w:pPr>
              <w:spacing w:after="0"/>
              <w:rPr>
                <w:rFonts w:ascii="Times New Roman" w:cs="Times New Roman" w:eastAsia="Times New Roman" w:hAnsi="Times New Roman"/>
                <w:sz w:val="16"/>
                <w:szCs w:val="16"/>
                <w:color w:val="auto"/>
              </w:rPr>
            </w:pPr>
            <w:hyperlink w:anchor="page1">
              <w:r>
                <w:rPr>
                  <w:rFonts w:ascii="Times New Roman" w:cs="Times New Roman" w:eastAsia="Times New Roman" w:hAnsi="Times New Roman"/>
                  <w:sz w:val="16"/>
                  <w:szCs w:val="16"/>
                  <w:color w:val="auto"/>
                </w:rPr>
                <w:t>Insider Trading Policy.</w:t>
              </w:r>
            </w:hyperlink>
          </w:p>
        </w:tc>
        <w:tc>
          <w:tcPr>
            <w:tcW w:w="5960" w:type="dxa"/>
            <w:vAlign w:val="bottom"/>
            <w:gridSpan w:val="17"/>
          </w:tcPr>
          <w:p>
            <w:pPr>
              <w:spacing w:after="0"/>
              <w:rPr>
                <w:sz w:val="24"/>
                <w:szCs w:val="24"/>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color w:val="auto"/>
                <w:w w:val="96"/>
              </w:rPr>
            </w:pPr>
            <w:hyperlink w:anchor="page1">
              <w:r>
                <w:rPr>
                  <w:rFonts w:ascii="Times New Roman" w:cs="Times New Roman" w:eastAsia="Times New Roman" w:hAnsi="Times New Roman"/>
                  <w:sz w:val="16"/>
                  <w:szCs w:val="16"/>
                  <w:color w:val="auto"/>
                  <w:w w:val="96"/>
                </w:rPr>
                <w:t>List of Subsidiaries.</w:t>
              </w:r>
            </w:hyperlink>
          </w:p>
        </w:tc>
        <w:tc>
          <w:tcPr>
            <w:tcW w:w="180" w:type="dxa"/>
            <w:vAlign w:val="bottom"/>
            <w:tcBorders>
              <w:top w:val="single" w:sz="8" w:color="0000EE"/>
            </w:tcBorders>
          </w:tcPr>
          <w:p>
            <w:pPr>
              <w:spacing w:after="0"/>
              <w:rPr>
                <w:sz w:val="24"/>
                <w:szCs w:val="24"/>
                <w:color w:val="auto"/>
              </w:rPr>
            </w:pPr>
          </w:p>
        </w:tc>
        <w:tc>
          <w:tcPr>
            <w:tcW w:w="7340" w:type="dxa"/>
            <w:vAlign w:val="bottom"/>
            <w:gridSpan w:val="22"/>
          </w:tcPr>
          <w:p>
            <w:pPr>
              <w:spacing w:after="0"/>
              <w:rPr>
                <w:sz w:val="24"/>
                <w:szCs w:val="24"/>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Consent of Ernst &amp; Young LLP.</w:t>
              </w:r>
            </w:hyperlink>
          </w:p>
        </w:tc>
      </w:tr>
      <w:tr>
        <w:trPr>
          <w:trHeight w:val="20"/>
        </w:trPr>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Consent of Gnarus Advisors LLC.</w:t>
              </w:r>
            </w:hyperlink>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24**</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Borders>
              <w:top w:val="single" w:sz="8" w:color="0000EE"/>
            </w:tcBorders>
            <w:gridSpan w:val="8"/>
          </w:tcPr>
          <w:p>
            <w:pPr>
              <w:spacing w:after="0"/>
              <w:rPr>
                <w:rFonts w:ascii="Times New Roman" w:cs="Times New Roman" w:eastAsia="Times New Roman" w:hAnsi="Times New Roman"/>
                <w:sz w:val="16"/>
                <w:szCs w:val="16"/>
                <w:color w:val="auto"/>
              </w:rPr>
            </w:pPr>
            <w:hyperlink w:anchor="page1">
              <w:r>
                <w:rPr>
                  <w:rFonts w:ascii="Times New Roman" w:cs="Times New Roman" w:eastAsia="Times New Roman" w:hAnsi="Times New Roman"/>
                  <w:sz w:val="16"/>
                  <w:szCs w:val="16"/>
                  <w:color w:val="auto"/>
                </w:rPr>
                <w:t>Power of Attorney.</w:t>
              </w:r>
            </w:hyperlink>
          </w:p>
        </w:tc>
        <w:tc>
          <w:tcPr>
            <w:tcW w:w="6680" w:type="dxa"/>
            <w:vAlign w:val="bottom"/>
            <w:gridSpan w:val="20"/>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Certification of Guillermo Novo, Chief Executive Officer of Ashland, 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 xml:space="preserve">Certification of </w:t>
              </w:r>
            </w:hyperlink>
            <w:r>
              <w:rPr>
                <w:rFonts w:ascii="Times New Roman" w:cs="Times New Roman" w:eastAsia="Times New Roman" w:hAnsi="Times New Roman"/>
                <w:sz w:val="16"/>
                <w:szCs w:val="16"/>
                <w:color w:val="auto"/>
              </w:rPr>
              <w:t xml:space="preserve">William C. Whitaker, </w:t>
            </w:r>
            <w:hyperlink w:anchor="page1">
              <w:r>
                <w:rPr>
                  <w:rFonts w:ascii="Times New Roman" w:cs="Times New Roman" w:eastAsia="Times New Roman" w:hAnsi="Times New Roman"/>
                  <w:sz w:val="16"/>
                  <w:szCs w:val="16"/>
                  <w:color w:val="auto"/>
                </w:rPr>
                <w:t>Chief Financial Officer of Ashland, 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Certification of Guillermo Novo, Chief Executive Officer of Ashland, and William C. Whitaker, Chief Financial Officer of Ashland,</w:t>
              </w:r>
            </w:hyperlink>
          </w:p>
        </w:tc>
      </w:tr>
      <w:tr>
        <w:trPr>
          <w:trHeight w:val="160"/>
        </w:trPr>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8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auto"/>
              </w:rPr>
            </w:pPr>
            <w:hyperlink w:anchor="page1">
              <w:r>
                <w:rPr>
                  <w:rFonts w:ascii="Times New Roman" w:cs="Times New Roman" w:eastAsia="Times New Roman" w:hAnsi="Times New Roman"/>
                  <w:sz w:val="16"/>
                  <w:szCs w:val="16"/>
                  <w:color w:val="auto"/>
                </w:rPr>
                <w:t>pursuant to Section 906 of the Sarbanes-Oxley Act of 2002.</w:t>
              </w:r>
            </w:hyperlink>
          </w:p>
        </w:tc>
        <w:tc>
          <w:tcPr>
            <w:tcW w:w="1300" w:type="dxa"/>
            <w:vAlign w:val="bottom"/>
          </w:tcPr>
          <w:p>
            <w:pPr>
              <w:spacing w:after="0"/>
              <w:rPr>
                <w:sz w:val="13"/>
                <w:szCs w:val="13"/>
                <w:color w:val="auto"/>
              </w:rPr>
            </w:pPr>
          </w:p>
        </w:tc>
        <w:tc>
          <w:tcPr>
            <w:tcW w:w="2300" w:type="dxa"/>
            <w:vAlign w:val="bottom"/>
            <w:tcBorders>
              <w:top w:val="single" w:sz="8" w:color="0000EE"/>
            </w:tcBorders>
            <w:gridSpan w:val="4"/>
          </w:tcPr>
          <w:p>
            <w:pPr>
              <w:spacing w:after="0"/>
              <w:rPr>
                <w:sz w:val="13"/>
                <w:szCs w:val="13"/>
                <w:color w:val="auto"/>
              </w:rPr>
            </w:pPr>
          </w:p>
        </w:tc>
        <w:tc>
          <w:tcPr>
            <w:tcW w:w="500" w:type="dxa"/>
            <w:vAlign w:val="bottom"/>
            <w:gridSpan w:val="9"/>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40" w:type="dxa"/>
            <w:vAlign w:val="bottom"/>
            <w:gridSpan w:val="1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gridSpan w:val="15"/>
          </w:tcPr>
          <w:p>
            <w:pPr>
              <w:spacing w:after="0" w:line="20" w:lineRule="exact"/>
              <w:rPr>
                <w:sz w:val="1"/>
                <w:szCs w:val="1"/>
                <w:color w:val="auto"/>
              </w:rPr>
            </w:pPr>
          </w:p>
        </w:tc>
      </w:tr>
      <w:tr>
        <w:trPr>
          <w:trHeight w:val="28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97**</w:t>
            </w:r>
          </w:p>
        </w:tc>
        <w:tc>
          <w:tcPr>
            <w:tcW w:w="9460" w:type="dxa"/>
            <w:vAlign w:val="bottom"/>
            <w:gridSpan w:val="29"/>
          </w:tcPr>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w:anchor="page1">
              <w:r>
                <w:rPr>
                  <w:rFonts w:ascii="Times New Roman" w:cs="Times New Roman" w:eastAsia="Times New Roman" w:hAnsi="Times New Roman"/>
                  <w:sz w:val="16"/>
                  <w:szCs w:val="16"/>
                  <w:color w:val="auto"/>
                </w:rPr>
                <w:t>Ashland, Inc. Dodd-Frank Compensation Recoupment Policy.</w:t>
              </w:r>
            </w:hyperlink>
          </w:p>
        </w:tc>
      </w:tr>
      <w:tr>
        <w:trPr>
          <w:trHeight w:val="20"/>
        </w:trPr>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80" w:type="dxa"/>
            <w:vAlign w:val="bottom"/>
            <w:gridSpan w:val="13"/>
            <w:shd w:val="clear" w:color="auto" w:fill="0000EE"/>
          </w:tcPr>
          <w:p>
            <w:pPr>
              <w:spacing w:after="0" w:line="20" w:lineRule="exact"/>
              <w:rPr>
                <w:sz w:val="1"/>
                <w:szCs w:val="1"/>
                <w:color w:val="auto"/>
              </w:rPr>
            </w:pPr>
          </w:p>
        </w:tc>
        <w:tc>
          <w:tcPr>
            <w:tcW w:w="4900" w:type="dxa"/>
            <w:vAlign w:val="bottom"/>
            <w:gridSpan w:val="15"/>
          </w:tcPr>
          <w:p>
            <w:pPr>
              <w:spacing w:after="0" w:line="20" w:lineRule="exact"/>
              <w:rPr>
                <w:sz w:val="1"/>
                <w:szCs w:val="1"/>
                <w:color w:val="auto"/>
              </w:rPr>
            </w:pPr>
          </w:p>
        </w:tc>
      </w:tr>
      <w:tr>
        <w:trPr>
          <w:trHeight w:val="314"/>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460" w:type="dxa"/>
            <w:vAlign w:val="bottom"/>
            <w:gridSpan w:val="29"/>
          </w:tcPr>
          <w:p>
            <w:pPr>
              <w:ind w:left="440"/>
              <w:spacing w:after="0"/>
              <w:rPr>
                <w:sz w:val="20"/>
                <w:szCs w:val="20"/>
                <w:color w:val="auto"/>
              </w:rPr>
            </w:pPr>
            <w:r>
              <w:rPr>
                <w:rFonts w:ascii="Times New Roman" w:cs="Times New Roman" w:eastAsia="Times New Roman" w:hAnsi="Times New Roman"/>
                <w:sz w:val="16"/>
                <w:szCs w:val="16"/>
                <w:color w:val="auto"/>
              </w:rPr>
              <w:t>–  Inline XBRL Instance Document.</w:t>
            </w:r>
          </w:p>
        </w:tc>
      </w:tr>
      <w:tr>
        <w:trPr>
          <w:trHeight w:val="30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460" w:type="dxa"/>
            <w:vAlign w:val="bottom"/>
            <w:gridSpan w:val="29"/>
          </w:tcPr>
          <w:p>
            <w:pPr>
              <w:ind w:left="440"/>
              <w:spacing w:after="0"/>
              <w:rPr>
                <w:sz w:val="20"/>
                <w:szCs w:val="20"/>
                <w:color w:val="auto"/>
              </w:rPr>
            </w:pPr>
            <w:r>
              <w:rPr>
                <w:rFonts w:ascii="Times New Roman" w:cs="Times New Roman" w:eastAsia="Times New Roman" w:hAnsi="Times New Roman"/>
                <w:sz w:val="16"/>
                <w:szCs w:val="16"/>
                <w:color w:val="auto"/>
              </w:rPr>
              <w:t>–  Inline XBRL Taxonomy Extension Schema Document.</w:t>
            </w:r>
          </w:p>
        </w:tc>
      </w:tr>
      <w:tr>
        <w:trPr>
          <w:trHeight w:val="30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460" w:type="dxa"/>
            <w:vAlign w:val="bottom"/>
            <w:gridSpan w:val="29"/>
          </w:tcPr>
          <w:p>
            <w:pPr>
              <w:ind w:left="440"/>
              <w:spacing w:after="0"/>
              <w:rPr>
                <w:sz w:val="20"/>
                <w:szCs w:val="20"/>
                <w:color w:val="auto"/>
              </w:rPr>
            </w:pPr>
            <w:r>
              <w:rPr>
                <w:rFonts w:ascii="Times New Roman" w:cs="Times New Roman" w:eastAsia="Times New Roman" w:hAnsi="Times New Roman"/>
                <w:sz w:val="16"/>
                <w:szCs w:val="16"/>
                <w:color w:val="auto"/>
              </w:rPr>
              <w:t>–  Inline XBRL Taxonomy Extension Calculation Linkbase Document.</w:t>
            </w:r>
          </w:p>
        </w:tc>
      </w:tr>
      <w:tr>
        <w:trPr>
          <w:trHeight w:val="30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460" w:type="dxa"/>
            <w:vAlign w:val="bottom"/>
            <w:gridSpan w:val="29"/>
          </w:tcPr>
          <w:p>
            <w:pPr>
              <w:ind w:left="440"/>
              <w:spacing w:after="0"/>
              <w:rPr>
                <w:sz w:val="20"/>
                <w:szCs w:val="20"/>
                <w:color w:val="auto"/>
              </w:rPr>
            </w:pPr>
            <w:r>
              <w:rPr>
                <w:rFonts w:ascii="Times New Roman" w:cs="Times New Roman" w:eastAsia="Times New Roman" w:hAnsi="Times New Roman"/>
                <w:sz w:val="16"/>
                <w:szCs w:val="16"/>
                <w:color w:val="auto"/>
              </w:rPr>
              <w:t>–  Inline XBRL Taxonomy Extension Definition Linkbase Document.</w:t>
            </w:r>
          </w:p>
        </w:tc>
      </w:tr>
      <w:tr>
        <w:trPr>
          <w:trHeight w:val="30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460" w:type="dxa"/>
            <w:vAlign w:val="bottom"/>
            <w:gridSpan w:val="29"/>
          </w:tcPr>
          <w:p>
            <w:pPr>
              <w:ind w:left="440"/>
              <w:spacing w:after="0"/>
              <w:rPr>
                <w:sz w:val="20"/>
                <w:szCs w:val="20"/>
                <w:color w:val="auto"/>
              </w:rPr>
            </w:pPr>
            <w:r>
              <w:rPr>
                <w:rFonts w:ascii="Times New Roman" w:cs="Times New Roman" w:eastAsia="Times New Roman" w:hAnsi="Times New Roman"/>
                <w:sz w:val="16"/>
                <w:szCs w:val="16"/>
                <w:color w:val="auto"/>
              </w:rPr>
              <w:t>–  Inline XBRL Taxonomy Extension Label Linkbase Document.</w:t>
            </w:r>
          </w:p>
        </w:tc>
      </w:tr>
      <w:tr>
        <w:trPr>
          <w:trHeight w:val="30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460" w:type="dxa"/>
            <w:vAlign w:val="bottom"/>
            <w:gridSpan w:val="29"/>
          </w:tcPr>
          <w:p>
            <w:pPr>
              <w:ind w:left="440"/>
              <w:spacing w:after="0"/>
              <w:rPr>
                <w:sz w:val="20"/>
                <w:szCs w:val="20"/>
                <w:color w:val="auto"/>
              </w:rPr>
            </w:pPr>
            <w:r>
              <w:rPr>
                <w:rFonts w:ascii="Times New Roman" w:cs="Times New Roman" w:eastAsia="Times New Roman" w:hAnsi="Times New Roman"/>
                <w:sz w:val="16"/>
                <w:szCs w:val="16"/>
                <w:color w:val="auto"/>
              </w:rPr>
              <w:t>–  Inline XBRL Taxonomy Extension Presentation Linkbase Document.</w:t>
            </w:r>
          </w:p>
        </w:tc>
      </w:tr>
    </w:tbl>
    <w:p>
      <w:pPr>
        <w:spacing w:after="0" w:line="217" w:lineRule="exact"/>
        <w:rPr>
          <w:sz w:val="20"/>
          <w:szCs w:val="20"/>
          <w:color w:val="auto"/>
        </w:rPr>
      </w:pPr>
    </w:p>
    <w:p>
      <w:pPr>
        <w:ind w:left="1540" w:hanging="1518"/>
        <w:spacing w:after="0"/>
        <w:tabs>
          <w:tab w:leader="none" w:pos="15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Cover Page Interactive Data File (formatted as inline XBRL and contained in Exhibit 101).</w:t>
      </w:r>
    </w:p>
    <w:p>
      <w:pPr>
        <w:spacing w:after="0" w:line="116" w:lineRule="exact"/>
        <w:rPr>
          <w:rFonts w:ascii="Times New Roman" w:cs="Times New Roman" w:eastAsia="Times New Roman" w:hAnsi="Times New Roman"/>
          <w:sz w:val="16"/>
          <w:szCs w:val="16"/>
          <w:color w:val="auto"/>
        </w:rPr>
      </w:pPr>
    </w:p>
    <w:p>
      <w:pPr>
        <w:ind w:left="260" w:right="320" w:hanging="264"/>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Attached as Exhibit 101 to this report are the following documents formatted in XBRL (Extensible Business Reporting Language): (i) Statements of Consolidated Comprehensive Income (Loss) for years ended September 30, 2025, 2024 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80" w:top="1322" w:right="680" w:bottom="1440" w:gutter="0" w:footer="0" w:header="0"/>
        </w:sectPr>
      </w:pPr>
    </w:p>
    <w:bookmarkStart w:id="37" w:name="page38"/>
    <w:bookmarkEnd w:id="37"/>
    <w:p>
      <w:pPr>
        <w:ind w:left="280"/>
        <w:spacing w:after="0" w:line="246" w:lineRule="auto"/>
        <w:rPr>
          <w:sz w:val="20"/>
          <w:szCs w:val="20"/>
          <w:color w:val="auto"/>
        </w:rPr>
      </w:pPr>
      <w:r>
        <w:rPr>
          <w:rFonts w:ascii="Times New Roman" w:cs="Times New Roman" w:eastAsia="Times New Roman" w:hAnsi="Times New Roman"/>
          <w:sz w:val="16"/>
          <w:szCs w:val="16"/>
          <w:color w:val="auto"/>
        </w:rPr>
        <w:t>2023; (ii) Consolidated Balance Sheets at September 30, 2025 and 2024; (iii) Statements of Consolidated Equity at September 30, 2025, 2024 and 2023; (iv) Statements of Consolidated Cash Flows for years ended September 30, 2025, 2024 and 2023; and (v) Notes to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 xml:space="preserve"> Service mark, Ashland or its subsidiaries, registered in various countries.</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Trademark, Ashland or its subsidiaries, registered in various countries.</w:t>
      </w:r>
    </w:p>
    <w:p>
      <w:pPr>
        <w:spacing w:after="0" w:line="66" w:lineRule="exact"/>
        <w:rPr>
          <w:sz w:val="20"/>
          <w:szCs w:val="20"/>
          <w:color w:val="auto"/>
        </w:rPr>
      </w:pPr>
    </w:p>
    <w:p>
      <w:pPr>
        <w:ind w:left="460" w:hanging="106"/>
        <w:spacing w:after="0"/>
        <w:tabs>
          <w:tab w:leader="none" w:pos="46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Trademark owned by a third party.</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Upon written or oral request, a copy of the above exhibits will be furnished at cost.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None.</w:t>
      </w:r>
    </w:p>
    <w:p>
      <w:pPr>
        <w:spacing w:after="0" w:line="1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40"/>
          </w:cols>
          <w:pgMar w:left="660" w:top="1313" w:right="1200" w:bottom="1440" w:gutter="0" w:footer="0" w:header="0"/>
        </w:sectPr>
      </w:pPr>
    </w:p>
    <w:bookmarkStart w:id="38" w:name="page39"/>
    <w:bookmarkEnd w:id="38"/>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ASHLAND INC.</w:t>
      </w:r>
    </w:p>
    <w:p>
      <w:pPr>
        <w:spacing w:after="0" w:line="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(Registrant)</w:t>
      </w:r>
    </w:p>
    <w:p>
      <w:pPr>
        <w:ind w:left="5280"/>
        <w:spacing w:after="0" w:line="234" w:lineRule="auto"/>
        <w:rPr>
          <w:sz w:val="20"/>
          <w:szCs w:val="20"/>
          <w:color w:val="auto"/>
        </w:rPr>
      </w:pPr>
      <w:r>
        <w:rPr>
          <w:rFonts w:ascii="Times New Roman" w:cs="Times New Roman" w:eastAsia="Times New Roman" w:hAnsi="Times New Roman"/>
          <w:sz w:val="16"/>
          <w:szCs w:val="16"/>
          <w:color w:val="auto"/>
        </w:rPr>
        <w:t>By:</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color w:val="auto"/>
        </w:rPr>
        <w:t>/s/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-5080</wp:posOffset>
            </wp:positionV>
            <wp:extent cx="335343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4">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6"/>
          <w:szCs w:val="16"/>
          <w:color w:val="auto"/>
        </w:rPr>
        <w:t>William C. Whitaker</w:t>
      </w:r>
    </w:p>
    <w:p>
      <w:pPr>
        <w:ind w:left="528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p>
      <w:pPr>
        <w:ind w:left="5280"/>
        <w:spacing w:after="0"/>
        <w:rPr>
          <w:sz w:val="20"/>
          <w:szCs w:val="20"/>
          <w:color w:val="auto"/>
        </w:rPr>
      </w:pPr>
      <w:r>
        <w:rPr>
          <w:rFonts w:ascii="Times New Roman" w:cs="Times New Roman" w:eastAsia="Times New Roman" w:hAnsi="Times New Roman"/>
          <w:sz w:val="16"/>
          <w:szCs w:val="16"/>
          <w:color w:val="auto"/>
        </w:rPr>
        <w:t>Date: November 20, 2025</w:t>
      </w:r>
    </w:p>
    <w:p>
      <w:pPr>
        <w:spacing w:after="0" w:line="9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in the capacities indicated, on November 20,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Signatures</w:t>
            </w:r>
          </w:p>
        </w:tc>
        <w:tc>
          <w:tcPr>
            <w:tcW w:w="3960" w:type="dxa"/>
            <w:vAlign w:val="bottom"/>
          </w:tcPr>
          <w:p>
            <w:pPr>
              <w:ind w:left="2540"/>
              <w:spacing w:after="0"/>
              <w:rPr>
                <w:sz w:val="20"/>
                <w:szCs w:val="20"/>
                <w:color w:val="auto"/>
              </w:rPr>
            </w:pPr>
            <w:r>
              <w:rPr>
                <w:rFonts w:ascii="Times New Roman" w:cs="Times New Roman" w:eastAsia="Times New Roman" w:hAnsi="Times New Roman"/>
                <w:sz w:val="16"/>
                <w:szCs w:val="16"/>
                <w:b w:val="1"/>
                <w:bCs w:val="1"/>
                <w:color w:val="auto"/>
              </w:rPr>
              <w:t>Capacity</w:t>
            </w:r>
          </w:p>
        </w:tc>
      </w:tr>
      <w:tr>
        <w:trPr>
          <w:trHeight w:val="206"/>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Guillermo Novo</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Chair of the Board, Chief Executive Officer and Director</w:t>
            </w:r>
          </w:p>
        </w:tc>
      </w:tr>
      <w:tr>
        <w:trPr>
          <w:trHeight w:val="314"/>
        </w:trPr>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Guillermo Novo</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06"/>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William C. Whitaker</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tc>
      </w:tr>
      <w:tr>
        <w:trPr>
          <w:trHeight w:val="195"/>
        </w:trPr>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William C. Whitaker</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205"/>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Samuel A. Richardson</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7"/>
              </w:rPr>
              <w:t>Vice President, Controller and Principal Accounting Officer</w:t>
            </w:r>
          </w:p>
        </w:tc>
      </w:tr>
      <w:tr>
        <w:trPr>
          <w:trHeight w:val="195"/>
        </w:trPr>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Samuel A. Richardson</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390"/>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r>
      <w:tr>
        <w:trPr>
          <w:trHeight w:val="202"/>
        </w:trPr>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Steven D. Bishop</w:t>
            </w:r>
          </w:p>
        </w:tc>
        <w:tc>
          <w:tcPr>
            <w:tcW w:w="3960" w:type="dxa"/>
            <w:vAlign w:val="bottom"/>
          </w:tcPr>
          <w:p>
            <w:pPr>
              <w:spacing w:after="0"/>
              <w:rPr>
                <w:sz w:val="17"/>
                <w:szCs w:val="17"/>
                <w:color w:val="auto"/>
              </w:rPr>
            </w:pPr>
          </w:p>
        </w:tc>
      </w:tr>
      <w:tr>
        <w:trPr>
          <w:trHeight w:val="205"/>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Sanat Chattopadhyay</w:t>
            </w:r>
          </w:p>
        </w:tc>
        <w:tc>
          <w:tcPr>
            <w:tcW w:w="3960" w:type="dxa"/>
            <w:vAlign w:val="bottom"/>
          </w:tcPr>
          <w:p>
            <w:pPr>
              <w:spacing w:after="0"/>
              <w:rPr>
                <w:sz w:val="16"/>
                <w:szCs w:val="16"/>
                <w:color w:val="auto"/>
              </w:rPr>
            </w:pPr>
          </w:p>
        </w:tc>
      </w:tr>
      <w:tr>
        <w:trPr>
          <w:trHeight w:val="205"/>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Suzan F. Harrison</w:t>
            </w:r>
          </w:p>
        </w:tc>
        <w:tc>
          <w:tcPr>
            <w:tcW w:w="3960" w:type="dxa"/>
            <w:vAlign w:val="bottom"/>
          </w:tcPr>
          <w:p>
            <w:pPr>
              <w:spacing w:after="0"/>
              <w:rPr>
                <w:sz w:val="16"/>
                <w:szCs w:val="16"/>
                <w:color w:val="auto"/>
              </w:rPr>
            </w:pPr>
          </w:p>
        </w:tc>
      </w:tr>
      <w:tr>
        <w:trPr>
          <w:trHeight w:val="203"/>
        </w:trPr>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5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Ashish K. Kulkarni</w:t>
            </w:r>
          </w:p>
        </w:tc>
        <w:tc>
          <w:tcPr>
            <w:tcW w:w="3960" w:type="dxa"/>
            <w:vAlign w:val="bottom"/>
          </w:tcPr>
          <w:p>
            <w:pPr>
              <w:spacing w:after="0"/>
              <w:rPr>
                <w:sz w:val="17"/>
                <w:szCs w:val="17"/>
                <w:color w:val="auto"/>
              </w:rPr>
            </w:pPr>
          </w:p>
        </w:tc>
      </w:tr>
    </w:tbl>
    <w:p>
      <w:pPr>
        <w:spacing w:after="0" w:line="61" w:lineRule="exact"/>
        <w:rPr>
          <w:sz w:val="20"/>
          <w:szCs w:val="20"/>
          <w:color w:val="auto"/>
        </w:rPr>
      </w:pPr>
    </w:p>
    <w:p>
      <w:pPr>
        <w:sectPr>
          <w:pgSz w:w="11900" w:h="16840" w:orient="portrait"/>
          <w:cols w:equalWidth="0" w:num="1">
            <w:col w:w="10380"/>
          </w:cols>
          <w:pgMar w:left="660" w:top="1311" w:right="860" w:bottom="1440" w:gutter="0" w:footer="0" w:header="0"/>
        </w:sectPr>
      </w:pPr>
    </w:p>
    <w:p>
      <w:pPr>
        <w:ind w:left="25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2238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5">
                      <a:extLst>
                        <a:ext uri="{28A0092B-C50C-407E-A947-70E740481C1C}"/>
                      </a:extLst>
                    </a:blip>
                    <a:srcRect/>
                    <a:stretch>
                      <a:fillRect/>
                    </a:stretch>
                  </pic:blipFill>
                  <pic:spPr bwMode="auto">
                    <a:xfrm>
                      <a:off x="0" y="0"/>
                      <a:ext cx="3223895" cy="7620"/>
                    </a:xfrm>
                    <a:prstGeom prst="rect">
                      <a:avLst/>
                    </a:prstGeom>
                    <a:noFill/>
                  </pic:spPr>
                </pic:pic>
              </a:graphicData>
            </a:graphic>
          </wp:anchor>
        </w:drawing>
      </w:r>
    </w:p>
    <w:p>
      <w:pPr>
        <w:spacing w:after="0" w:line="1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Susan L. Main</w:t>
      </w:r>
    </w:p>
    <w:p>
      <w:pPr>
        <w:spacing w:after="0" w:line="2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2238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6">
                      <a:extLst>
                        <a:ext uri="{28A0092B-C50C-407E-A947-70E740481C1C}"/>
                      </a:extLst>
                    </a:blip>
                    <a:srcRect/>
                    <a:stretch>
                      <a:fillRect/>
                    </a:stretch>
                  </pic:blipFill>
                  <pic:spPr bwMode="auto">
                    <a:xfrm>
                      <a:off x="0" y="0"/>
                      <a:ext cx="3223895" cy="7620"/>
                    </a:xfrm>
                    <a:prstGeom prst="rect">
                      <a:avLst/>
                    </a:prstGeom>
                    <a:noFill/>
                  </pic:spPr>
                </pic:pic>
              </a:graphicData>
            </a:graphic>
          </wp:anchor>
        </w:drawing>
      </w:r>
    </w:p>
    <w:p>
      <w:pPr>
        <w:spacing w:after="0" w:line="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Jerome A. Peribere</w:t>
      </w:r>
    </w:p>
    <w:p>
      <w:pPr>
        <w:spacing w:after="0" w:line="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32238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7">
                      <a:extLst>
                        <a:ext uri="{28A0092B-C50C-407E-A947-70E740481C1C}"/>
                      </a:extLst>
                    </a:blip>
                    <a:srcRect/>
                    <a:stretch>
                      <a:fillRect/>
                    </a:stretch>
                  </pic:blipFill>
                  <pic:spPr bwMode="auto">
                    <a:xfrm>
                      <a:off x="0" y="0"/>
                      <a:ext cx="3223895" cy="7620"/>
                    </a:xfrm>
                    <a:prstGeom prst="rect">
                      <a:avLst/>
                    </a:prstGeom>
                    <a:noFill/>
                  </pic:spPr>
                </pic:pic>
              </a:graphicData>
            </a:graphic>
          </wp:anchor>
        </w:drawing>
      </w:r>
    </w:p>
    <w:p>
      <w:pPr>
        <w:spacing w:after="0" w:line="1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6"/>
          <w:szCs w:val="16"/>
          <w:color w:val="auto"/>
        </w:rPr>
        <w:t>Scott A. Tozier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Robin E. Lampkin</w:t>
            </w:r>
          </w:p>
        </w:tc>
      </w:tr>
      <w:tr>
        <w:trPr>
          <w:trHeight w:val="159"/>
        </w:trPr>
        <w:tc>
          <w:tcPr>
            <w:tcW w:w="640" w:type="dxa"/>
            <w:vAlign w:val="bottom"/>
          </w:tcPr>
          <w:p>
            <w:pPr>
              <w:spacing w:after="0"/>
              <w:rPr>
                <w:sz w:val="13"/>
                <w:szCs w:val="13"/>
                <w:color w:val="auto"/>
              </w:rPr>
            </w:pPr>
          </w:p>
        </w:tc>
        <w:tc>
          <w:tcPr>
            <w:tcW w:w="31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Robin E. Lampkin</w:t>
            </w:r>
          </w:p>
        </w:tc>
      </w:tr>
      <w:tr>
        <w:trPr>
          <w:trHeight w:val="203"/>
        </w:trPr>
        <w:tc>
          <w:tcPr>
            <w:tcW w:w="64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Attorney-in-Fact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1519" w:lineRule="exact"/>
        <w:rPr>
          <w:sz w:val="20"/>
          <w:szCs w:val="20"/>
          <w:color w:val="auto"/>
        </w:rPr>
      </w:pPr>
    </w:p>
    <w:p>
      <w:pPr>
        <w:sectPr>
          <w:pgSz w:w="11900" w:h="16840" w:orient="portrait"/>
          <w:cols w:equalWidth="0" w:num="2">
            <w:col w:w="4560" w:space="720"/>
            <w:col w:w="5100"/>
          </w:cols>
          <w:pgMar w:left="660" w:top="1311" w:right="860" w:bottom="1440" w:gutter="0" w:footer="0" w:header="0"/>
          <w:type w:val="continuous"/>
        </w:sectPr>
      </w:pPr>
    </w:p>
    <w:p>
      <w:pPr>
        <w:spacing w:after="0"/>
        <w:tabs>
          <w:tab w:leader="none" w:pos="6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November 20, 2025</w:t>
      </w: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60" w:top="1311" w:right="860" w:bottom="1440"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This page intentionally left blank.</w:t>
      </w:r>
    </w:p>
    <w:p>
      <w:pPr>
        <w:sectPr>
          <w:pgSz w:w="11900" w:h="16840" w:orient="portrait"/>
          <w:cols w:equalWidth="0" w:num="1">
            <w:col w:w="9020"/>
          </w:cols>
          <w:pgMar w:left="1440" w:top="1440" w:right="1440" w:bottom="1440" w:gutter="0" w:footer="0" w:header="0"/>
        </w:sect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type w:val="continuous"/>
        </w:sectPr>
      </w:pPr>
    </w:p>
    <w:bookmarkStart w:id="40" w:name="page41"/>
    <w:bookmarkEnd w:id="40"/>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94" w:lineRule="exact"/>
        <w:rPr>
          <w:sz w:val="20"/>
          <w:szCs w:val="20"/>
          <w:color w:val="auto"/>
        </w:rPr>
      </w:pPr>
    </w:p>
    <w:p>
      <w:pPr>
        <w:ind w:right="520" w:firstLine="348"/>
        <w:spacing w:after="0" w:line="259" w:lineRule="auto"/>
        <w:rPr>
          <w:sz w:val="20"/>
          <w:szCs w:val="20"/>
          <w:color w:val="auto"/>
        </w:rPr>
      </w:pPr>
      <w:r>
        <w:rPr>
          <w:rFonts w:ascii="Times New Roman" w:cs="Times New Roman" w:eastAsia="Times New Roman" w:hAnsi="Times New Roman"/>
          <w:sz w:val="16"/>
          <w:szCs w:val="16"/>
          <w:color w:val="auto"/>
        </w:rPr>
        <w:t>The following discussion should be read in conjunction with the Consolidated Financial Statements and the accompanying Notes to Consolidated Financial Statements for the years ended September 30, 2025, 2024 and 2023.</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Ashland profile</w:t>
      </w:r>
    </w:p>
    <w:p>
      <w:pPr>
        <w:spacing w:after="0" w:line="94" w:lineRule="exact"/>
        <w:rPr>
          <w:sz w:val="20"/>
          <w:szCs w:val="20"/>
          <w:color w:val="auto"/>
        </w:rPr>
      </w:pPr>
    </w:p>
    <w:p>
      <w:pPr>
        <w:ind w:right="300" w:firstLine="348"/>
        <w:spacing w:after="0" w:line="247" w:lineRule="auto"/>
        <w:rPr>
          <w:sz w:val="20"/>
          <w:szCs w:val="20"/>
          <w:color w:val="auto"/>
        </w:rPr>
      </w:pPr>
      <w:r>
        <w:rPr>
          <w:rFonts w:ascii="Times New Roman" w:cs="Times New Roman" w:eastAsia="Times New Roman" w:hAnsi="Times New Roman"/>
          <w:sz w:val="16"/>
          <w:szCs w:val="16"/>
          <w:color w:val="auto"/>
        </w:rPr>
        <w:t>Ashland is a global additives and specialty ingredients company with a conscious and proactive mindset for sustainability. The Company serves customers in a wide range of consumer and industrial markets, including architectural coatings, construction, energy, food and beverage, personal care and pharmaceutical. With approximately 2,900 employees worldwide, Ashland serves customers in more than 100 countries.</w:t>
      </w:r>
    </w:p>
    <w:p>
      <w:pPr>
        <w:spacing w:after="0" w:line="68" w:lineRule="exact"/>
        <w:rPr>
          <w:sz w:val="20"/>
          <w:szCs w:val="20"/>
          <w:color w:val="auto"/>
        </w:rPr>
      </w:pPr>
    </w:p>
    <w:p>
      <w:pPr>
        <w:ind w:right="140" w:firstLine="348"/>
        <w:spacing w:after="0" w:line="259" w:lineRule="auto"/>
        <w:rPr>
          <w:sz w:val="20"/>
          <w:szCs w:val="20"/>
          <w:color w:val="auto"/>
        </w:rPr>
      </w:pPr>
      <w:r>
        <w:rPr>
          <w:rFonts w:ascii="Times New Roman" w:cs="Times New Roman" w:eastAsia="Times New Roman" w:hAnsi="Times New Roman"/>
          <w:sz w:val="16"/>
          <w:szCs w:val="16"/>
          <w:color w:val="auto"/>
        </w:rPr>
        <w:t>Ashland’s sales generated outside of North America were 73%, 69% and 69% in 2025, 2024 and 2023, respectively. Sales by region expressed as a percentage of total consolidated sales for the years ended September 30,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Sales by Geography</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2025</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500" w:type="dxa"/>
            <w:vAlign w:val="bottom"/>
          </w:tcPr>
          <w:p>
            <w:pPr>
              <w:spacing w:after="0"/>
              <w:rPr>
                <w:sz w:val="16"/>
                <w:szCs w:val="16"/>
                <w:color w:val="auto"/>
              </w:rPr>
            </w:pPr>
          </w:p>
        </w:tc>
        <w:tc>
          <w:tcPr>
            <w:tcW w:w="150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North America</w:t>
            </w:r>
            <w:r>
              <w:rPr>
                <w:rFonts w:ascii="Times New Roman" w:cs="Times New Roman" w:eastAsia="Times New Roman" w:hAnsi="Times New Roman"/>
                <w:sz w:val="20"/>
                <w:szCs w:val="20"/>
                <w:color w:val="auto"/>
                <w:vertAlign w:val="superscript"/>
              </w:rPr>
              <w:t>(a)</w:t>
            </w: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5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61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Europe</w:t>
            </w:r>
            <w:r>
              <w:rPr>
                <w:rFonts w:ascii="Times New Roman" w:cs="Times New Roman" w:eastAsia="Times New Roman" w:hAnsi="Times New Roman"/>
                <w:sz w:val="20"/>
                <w:szCs w:val="20"/>
                <w:color w:val="auto"/>
                <w:vertAlign w:val="superscript"/>
              </w:rPr>
              <w:t>(a)</w:t>
            </w:r>
          </w:p>
        </w:tc>
        <w:tc>
          <w:tcPr>
            <w:tcW w:w="9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6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Asia Pacific</w:t>
            </w: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5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6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Latin America &amp; other</w:t>
            </w:r>
          </w:p>
        </w:tc>
        <w:tc>
          <w:tcPr>
            <w:tcW w:w="9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220"/>
        </w:trPr>
        <w:tc>
          <w:tcPr>
            <w:tcW w:w="6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(a)Ashland includes only U.S. and Canada in its North America designation and includes Europe, the Middle East and Africa in its Europe designation.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Reportable segments</w:t>
      </w:r>
    </w:p>
    <w:p>
      <w:pPr>
        <w:spacing w:after="0" w:line="94"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for the years ended September 30,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Sales by Reportable Segment</w:t>
            </w:r>
          </w:p>
        </w:tc>
        <w:tc>
          <w:tcPr>
            <w:tcW w:w="140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2025</w:t>
            </w:r>
          </w:p>
        </w:tc>
        <w:tc>
          <w:tcPr>
            <w:tcW w:w="148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color w:val="auto"/>
              </w:rPr>
              <w:t>2024</w:t>
            </w:r>
          </w:p>
        </w:tc>
        <w:tc>
          <w:tcPr>
            <w:tcW w:w="150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Life Sciences</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4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5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180"/>
        </w:trPr>
        <w:tc>
          <w:tcPr>
            <w:tcW w:w="6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Personal Care</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r>
      <w:tr>
        <w:trPr>
          <w:trHeight w:val="180"/>
        </w:trPr>
        <w:tc>
          <w:tcPr>
            <w:tcW w:w="6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Specialty Additives</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4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5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6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Intermediates</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220"/>
        </w:trPr>
        <w:tc>
          <w:tcPr>
            <w:tcW w:w="618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DEVELOPMENTS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Uncertainty related to tariffs and global trade policy changes</w:t>
      </w:r>
    </w:p>
    <w:p>
      <w:pPr>
        <w:spacing w:after="0" w:line="94" w:lineRule="exact"/>
        <w:rPr>
          <w:sz w:val="20"/>
          <w:szCs w:val="20"/>
          <w:color w:val="auto"/>
        </w:rPr>
      </w:pPr>
    </w:p>
    <w:p>
      <w:pPr>
        <w:ind w:right="20" w:firstLine="348"/>
        <w:spacing w:after="0" w:line="284" w:lineRule="auto"/>
        <w:rPr>
          <w:sz w:val="20"/>
          <w:szCs w:val="20"/>
          <w:color w:val="auto"/>
        </w:rPr>
      </w:pPr>
      <w:r>
        <w:rPr>
          <w:rFonts w:ascii="Times New Roman" w:cs="Times New Roman" w:eastAsia="Times New Roman" w:hAnsi="Times New Roman"/>
          <w:sz w:val="14"/>
          <w:szCs w:val="14"/>
          <w:color w:val="auto"/>
        </w:rPr>
        <w:t>Fiscal 2025 saw increased and continuing regulatory activity involving notable changes to U.S. and foreign trade policy, leading to significant uncertainty in the macroeconomic and geopolitical environments. Beginning in the second quarter of 2025, the U.S. instituted a series of tariffs on imports from China, the E.U., India, and other countries which has resulted in the imposition of retaliatory measures against U.S. goods. As a global business, we are exposed to risks associated with tariffs and other trade conflicts. Such risks may include, but are not limited to, (i) changes to and strains on the global supply chain and our ability to source materials; (ii) increased sourcing and manufacturing costs; (iii) decreased demand for Ashland’s products in affected markets; and (iv) other impacts on Ashland’s ability to operate optimally.</w:t>
      </w:r>
    </w:p>
    <w:p>
      <w:pPr>
        <w:spacing w:after="0" w:line="44"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The ultimate impact of these recent tariffs and trade disputes on general economic conditions, and on Ashland’s business, financial performance, and results of operations, is uncertain and depends on various factors, including the duration of the tariffs and disputes, negotiations between the U.S. and affected countries, whether additional or incremental tariffs are imposed and the responses of other countries or regions, and the potential for trade restriction-related exemptions. Given the dynamic nature of the situation, Ashland continues to monitor tariff developments as well as the broader global trade landscape and is working to mitigate potential impacts on its business.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1" w:name="page42"/>
    <w:bookmarkEnd w:id="41"/>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Uncertainty relating to the ongoing Israel/Iran, Ukraine/Russia and Israel/Hamas conflict</w:t>
      </w:r>
    </w:p>
    <w:p>
      <w:pPr>
        <w:spacing w:after="0" w:line="94" w:lineRule="exact"/>
        <w:rPr>
          <w:sz w:val="20"/>
          <w:szCs w:val="20"/>
          <w:color w:val="auto"/>
        </w:rPr>
      </w:pPr>
    </w:p>
    <w:p>
      <w:pPr>
        <w:ind w:right="100" w:firstLine="348"/>
        <w:spacing w:after="0" w:line="241" w:lineRule="auto"/>
        <w:rPr>
          <w:sz w:val="20"/>
          <w:szCs w:val="20"/>
          <w:color w:val="auto"/>
        </w:rPr>
      </w:pPr>
      <w:r>
        <w:rPr>
          <w:rFonts w:ascii="Times New Roman" w:cs="Times New Roman" w:eastAsia="Times New Roman" w:hAnsi="Times New Roman"/>
          <w:sz w:val="16"/>
          <w:szCs w:val="16"/>
          <w:color w:val="auto"/>
        </w:rPr>
        <w:t>Business disruptions, including those related to the ongoing conflicts between Israel/Iran, Ukraine/Russia, and Israel/Hamas continue to impact businesses around the globe. While it is impossible to predict the effects of the conflicts, they may include escalating geopolitical tensions (including the imposition of existing and additional sanctions by the U.S. and the EU on Russia), worsening macroeconomic and general business conditions, supply chain interruptions and unfavorable energy markets, and the impact to Ashland could be material. Ashland is closely monitoring these situations and maintains business continuity plans that are intended to continue operations and mitigate the effects of events that could disrupt its business.</w:t>
      </w:r>
    </w:p>
    <w:p>
      <w:pPr>
        <w:spacing w:after="0" w:line="73"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Ashland does not have manufacturing operations in Israel,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Israel, Ukraine, Russia, and Belarus represent less than 1% of total consolidated sales and less than 1% of total consolidated assets (related to accounts receivable).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significant items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repurchase program agreements</w:t>
      </w:r>
    </w:p>
    <w:p>
      <w:pPr>
        <w:spacing w:after="0" w:line="94" w:lineRule="exact"/>
        <w:rPr>
          <w:sz w:val="20"/>
          <w:szCs w:val="20"/>
          <w:color w:val="auto"/>
        </w:rPr>
      </w:pPr>
    </w:p>
    <w:p>
      <w:pPr>
        <w:ind w:right="160" w:firstLine="348"/>
        <w:spacing w:after="0" w:line="243" w:lineRule="auto"/>
        <w:rPr>
          <w:sz w:val="20"/>
          <w:szCs w:val="20"/>
          <w:color w:val="auto"/>
        </w:rPr>
      </w:pPr>
      <w:r>
        <w:rPr>
          <w:rFonts w:ascii="Times New Roman" w:cs="Times New Roman" w:eastAsia="Times New Roman" w:hAnsi="Times New Roman"/>
          <w:sz w:val="16"/>
          <w:szCs w:val="16"/>
          <w:color w:val="auto"/>
        </w:rPr>
        <w:t>During fiscal 2025, under the Company's current common share repurchase program (the "2023 Stock Repurchase Program"), Ashland initiated and completed a number of Rule 10b5-1 trading plan agreements. Ashland paid a total of $100 million and repurchased a total of 1.5 million shares. During the most recent three fiscal years, Ashland paid a total of $780 million and received a total of 8.9 million shares. See Note N of the Notes to Consolidated Financial Statements for more information.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Restructuring programs</w:t>
      </w:r>
    </w:p>
    <w:p>
      <w:pPr>
        <w:spacing w:after="0" w:line="94" w:lineRule="exact"/>
        <w:rPr>
          <w:sz w:val="20"/>
          <w:szCs w:val="20"/>
          <w:color w:val="auto"/>
        </w:rPr>
      </w:pPr>
    </w:p>
    <w:p>
      <w:pPr>
        <w:ind w:right="180" w:firstLine="348"/>
        <w:spacing w:after="0" w:line="247" w:lineRule="auto"/>
        <w:rPr>
          <w:sz w:val="20"/>
          <w:szCs w:val="20"/>
          <w:color w:val="auto"/>
        </w:rPr>
      </w:pPr>
      <w:r>
        <w:rPr>
          <w:rFonts w:ascii="Times New Roman" w:cs="Times New Roman" w:eastAsia="Times New Roman" w:hAnsi="Times New Roman"/>
          <w:sz w:val="16"/>
          <w:szCs w:val="16"/>
          <w:color w:val="auto"/>
        </w:rPr>
        <w:t>As previously announced, Ashland initiated a new $30 million pre-tax restructuring plan to offset the impact from the Nutraceuticals business sale, completed in fiscal 2024, and other portfolio optimization actions, which were expected to be realized 50 percent in fiscal 2025 and 50 percent in fiscal 2026. Ashland realized approximately $20 million or 67% of the total targeted savings in fiscal 2025.</w:t>
      </w:r>
    </w:p>
    <w:p>
      <w:pPr>
        <w:spacing w:after="0" w:line="68" w:lineRule="exact"/>
        <w:rPr>
          <w:sz w:val="20"/>
          <w:szCs w:val="20"/>
          <w:color w:val="auto"/>
        </w:rPr>
      </w:pPr>
    </w:p>
    <w:p>
      <w:pPr>
        <w:jc w:val="both"/>
        <w:ind w:right="300" w:firstLine="348"/>
        <w:spacing w:after="0" w:line="247" w:lineRule="auto"/>
        <w:rPr>
          <w:sz w:val="20"/>
          <w:szCs w:val="20"/>
          <w:color w:val="auto"/>
        </w:rPr>
      </w:pPr>
      <w:r>
        <w:rPr>
          <w:rFonts w:ascii="Times New Roman" w:cs="Times New Roman" w:eastAsia="Times New Roman" w:hAnsi="Times New Roman"/>
          <w:sz w:val="16"/>
          <w:szCs w:val="16"/>
          <w:color w:val="auto"/>
        </w:rPr>
        <w:t>Ashland is also advancing a multi-year manufacturing optimization restructuring plan to improve operational cost and strengthen its competitive position. This optimization plan is expected to generate pre-tax savings of $50 million to $55 million with $60 million being achievable as market conditions improve, particularly within China. Ashland realized approximately $5 million in savings in fiscal 2025.</w:t>
      </w:r>
    </w:p>
    <w:p>
      <w:pPr>
        <w:spacing w:after="0" w:line="68" w:lineRule="exact"/>
        <w:rPr>
          <w:sz w:val="20"/>
          <w:szCs w:val="20"/>
          <w:color w:val="auto"/>
        </w:rPr>
      </w:pPr>
    </w:p>
    <w:p>
      <w:pPr>
        <w:ind w:right="140" w:firstLine="348"/>
        <w:spacing w:after="0" w:line="241" w:lineRule="auto"/>
        <w:rPr>
          <w:sz w:val="20"/>
          <w:szCs w:val="20"/>
          <w:color w:val="auto"/>
        </w:rPr>
      </w:pPr>
      <w:r>
        <w:rPr>
          <w:rFonts w:ascii="Times New Roman" w:cs="Times New Roman" w:eastAsia="Times New Roman" w:hAnsi="Times New Roman"/>
          <w:sz w:val="16"/>
          <w:szCs w:val="16"/>
          <w:color w:val="auto"/>
        </w:rPr>
        <w:t>Ashland is also continuing to execute its fiscal 2024 portfolio and plant optimization actions to further strengthen Ashland’s resilience and improve margins and returns. These previously announced actions include initiatives focused on carboxymethylcellulose (CMC), methylcellulose (MC), Nutraceuticals and Avoca Portfolio Optimization (collectively, Portfolio Optimization). Overall, these Portfolio Optimization actions reduced sales and operating income (loss) by approximately $208 million and $29 million, respectively, for fiscal 2025, as compared to the prior year. Adjusted EBITDA was also reduced by $45 million in fiscal 2025, as compared to the prior year.</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summarizes the expense impact of the Portfolio Optimization actions for the years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400" w:type="dxa"/>
            <w:vAlign w:val="bottom"/>
          </w:tcPr>
          <w:p>
            <w:pPr>
              <w:spacing w:after="0"/>
              <w:rPr>
                <w:sz w:val="16"/>
                <w:szCs w:val="16"/>
                <w:color w:val="auto"/>
              </w:rPr>
            </w:pPr>
          </w:p>
        </w:tc>
        <w:tc>
          <w:tcPr>
            <w:tcW w:w="15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Accelerated Depreciation</w:t>
            </w:r>
          </w:p>
        </w:tc>
        <w:tc>
          <w:tcPr>
            <w:tcW w:w="400" w:type="dxa"/>
            <w:vAlign w:val="bottom"/>
            <w:shd w:val="clear" w:color="auto" w:fill="CFF0FC"/>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60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620" w:type="dxa"/>
            <w:vAlign w:val="bottom"/>
            <w:gridSpan w:val="2"/>
            <w:shd w:val="clear" w:color="auto" w:fill="CFF0FC"/>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Restructuring, separation and other costs</w:t>
            </w:r>
          </w:p>
        </w:tc>
        <w:tc>
          <w:tcPr>
            <w:tcW w:w="400" w:type="dxa"/>
            <w:vAlign w:val="bottom"/>
          </w:tcPr>
          <w:p>
            <w:pPr>
              <w:spacing w:after="0"/>
              <w:rPr>
                <w:sz w:val="15"/>
                <w:szCs w:val="15"/>
                <w:color w:val="auto"/>
              </w:rPr>
            </w:pPr>
          </w:p>
        </w:tc>
        <w:tc>
          <w:tcPr>
            <w:tcW w:w="1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plant optimization costs</w:t>
            </w:r>
          </w:p>
        </w:tc>
        <w:tc>
          <w:tcPr>
            <w:tcW w:w="40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440" w:type="dxa"/>
            <w:vAlign w:val="bottom"/>
          </w:tcPr>
          <w:p>
            <w:pPr>
              <w:spacing w:after="0"/>
              <w:rPr>
                <w:sz w:val="15"/>
                <w:szCs w:val="15"/>
                <w:color w:val="auto"/>
              </w:rPr>
            </w:pPr>
          </w:p>
        </w:tc>
        <w:tc>
          <w:tcPr>
            <w:tcW w:w="400" w:type="dxa"/>
            <w:vAlign w:val="bottom"/>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6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62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20"/>
        </w:trPr>
        <w:tc>
          <w:tcPr>
            <w:tcW w:w="4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Avoca business sale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2" w:name="page43"/>
    <w:bookmarkEnd w:id="42"/>
    <w:p>
      <w:pPr>
        <w:spacing w:after="0" w:line="17" w:lineRule="exact"/>
        <w:rPr>
          <w:sz w:val="20"/>
          <w:szCs w:val="20"/>
          <w:color w:val="auto"/>
        </w:rPr>
      </w:pPr>
    </w:p>
    <w:p>
      <w:pPr>
        <w:ind w:right="200" w:firstLine="348"/>
        <w:spacing w:after="0" w:line="247" w:lineRule="auto"/>
        <w:rPr>
          <w:sz w:val="20"/>
          <w:szCs w:val="20"/>
          <w:color w:val="auto"/>
        </w:rPr>
      </w:pPr>
      <w:r>
        <w:rPr>
          <w:rFonts w:ascii="Times New Roman" w:cs="Times New Roman" w:eastAsia="Times New Roman" w:hAnsi="Times New Roman"/>
          <w:sz w:val="16"/>
          <w:szCs w:val="16"/>
          <w:color w:val="auto"/>
        </w:rPr>
        <w:t>During fiscal 2025, Ashland completed the sale of its Avoca business to Mane SA. Proceeds from the sale were $ 16 million, net of transaction costs. The Avoca business was included within Ashland's Personal Care reportable segment. Ashland determined this transaction did not qualify for discontinued operations treatment since it neither represented a strategic shift nor did it have a major effect on Ashland's operations and financial results.</w:t>
      </w:r>
    </w:p>
    <w:p>
      <w:pPr>
        <w:spacing w:after="0" w:line="68" w:lineRule="exact"/>
        <w:rPr>
          <w:sz w:val="20"/>
          <w:szCs w:val="20"/>
          <w:color w:val="auto"/>
        </w:rPr>
      </w:pPr>
    </w:p>
    <w:p>
      <w:pPr>
        <w:ind w:right="60" w:firstLine="348"/>
        <w:spacing w:after="0" w:line="239" w:lineRule="auto"/>
        <w:rPr>
          <w:sz w:val="20"/>
          <w:szCs w:val="20"/>
          <w:color w:val="auto"/>
        </w:rPr>
      </w:pPr>
      <w:r>
        <w:rPr>
          <w:rFonts w:ascii="Times New Roman" w:cs="Times New Roman" w:eastAsia="Times New Roman" w:hAnsi="Times New Roman"/>
          <w:sz w:val="16"/>
          <w:szCs w:val="16"/>
          <w:color w:val="auto"/>
        </w:rPr>
        <w:t>Ashland recorded an impairment charge of $183 million ($ 1 million allocated to goodwill, $134 million to other intangible assets, $33 million to property, plant and equipment, $14 million to operating lease assets, net and $1 million to other current assets) during the year ended September 30, 2025, within the income (loss) on acquisitions and divestitures, net caption of the Statement of Consolidated Comprehensive Income (Loss) . The tax benefit associated with the sale is included within the income tax expense (benefit) caption of the Statement of Consolidated Comprehensive Income (Loss) for the year ended September 30, 2025. See Note K of the Notes to Consolidated Financial Statements for tax details associated with the transaction. Ashland also recorded a pre-tax gain on sale of $8 million following the completion of this sale, mainly related to working capital movements, within the income (loss) on acquisitions and divestitures, net caption of the Statement of Consolidated Comprehensive Income (Loss) during the year ended September 30,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94" w:lineRule="exact"/>
        <w:rPr>
          <w:sz w:val="20"/>
          <w:szCs w:val="20"/>
          <w:color w:val="auto"/>
        </w:rPr>
      </w:pPr>
    </w:p>
    <w:p>
      <w:pPr>
        <w:ind w:right="20" w:firstLine="348"/>
        <w:spacing w:after="0" w:line="238" w:lineRule="auto"/>
        <w:rPr>
          <w:sz w:val="20"/>
          <w:szCs w:val="20"/>
          <w:color w:val="auto"/>
        </w:rPr>
      </w:pPr>
      <w:r>
        <w:rPr>
          <w:rFonts w:ascii="Times New Roman" w:cs="Times New Roman" w:eastAsia="Times New Roman" w:hAnsi="Times New Roman"/>
          <w:sz w:val="16"/>
          <w:szCs w:val="16"/>
          <w:color w:val="auto"/>
        </w:rPr>
        <w:t>During the third quarter of fiscal 2025, Ashland experienced a continued decline in the market price of its Common Stock. Ashland also experienced slowing growth due to a weakening macroeconomic environment that is dampening consumer sentiment and demand globally which resulted in lower growth and lower margins for the Life Sciences and Specialty Additives reportable segments (and reporting units) than what was previously expected. These factors led Ashland to determine that triggering events occurred, and a quantitative goodwill impairment assessment was performed during the third quarter of fiscal 2025. Following the aforementioned quantitative analysis, the carrying value of the Life Sciences and the Specialty Additives reporting units exceeded their fair value, resulting in non-cash goodwill impairment charges of $375 million and $331 million, respectively, for a total goodwill impairment charge of $ 706 million, which was recorded during the year ended September 30, 2025, within the goodwill impairment caption of the Statement of Consolidated Comprehensive Income (Loss). No subsequent indicators of impairment have been identified.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RESULTS OF OPERATIONS – CONSOLIDATED REVIEW</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7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Consolidated review</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6"/>
        </w:trPr>
        <w:tc>
          <w:tcPr>
            <w:tcW w:w="57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Overview</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6"/>
        </w:trPr>
        <w:tc>
          <w:tcPr>
            <w:tcW w:w="5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Key financial results for fiscal 2025, 2024 and 2023 included the following:</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7"/>
        </w:trPr>
        <w:tc>
          <w:tcPr>
            <w:tcW w:w="5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24"/>
                <w:szCs w:val="24"/>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(In millions except per share data)</w:t>
            </w:r>
          </w:p>
        </w:tc>
        <w:tc>
          <w:tcPr>
            <w:tcW w:w="420" w:type="dxa"/>
            <w:vAlign w:val="bottom"/>
          </w:tcPr>
          <w:p>
            <w:pPr>
              <w:spacing w:after="0"/>
              <w:rPr>
                <w:sz w:val="16"/>
                <w:szCs w:val="16"/>
                <w:color w:val="auto"/>
              </w:rPr>
            </w:pPr>
          </w:p>
        </w:tc>
        <w:tc>
          <w:tcPr>
            <w:tcW w:w="7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7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change</w:t>
            </w:r>
          </w:p>
        </w:tc>
        <w:tc>
          <w:tcPr>
            <w:tcW w:w="180" w:type="dxa"/>
            <w:vAlign w:val="bottom"/>
          </w:tcPr>
          <w:p>
            <w:pPr>
              <w:spacing w:after="0"/>
              <w:rPr>
                <w:sz w:val="16"/>
                <w:szCs w:val="16"/>
                <w:color w:val="auto"/>
              </w:rPr>
            </w:pPr>
          </w:p>
        </w:tc>
        <w:tc>
          <w:tcPr>
            <w:tcW w:w="6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5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(845)</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   (1,014)</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Diluted earnings per share (EPS) net income (loss)</w:t>
            </w:r>
            <w:r>
              <w:rPr>
                <w:rFonts w:ascii="Times New Roman" w:cs="Times New Roman" w:eastAsia="Times New Roman" w:hAnsi="Times New Roman"/>
                <w:sz w:val="21"/>
                <w:szCs w:val="21"/>
                <w:color w:val="auto"/>
                <w:vertAlign w:val="superscript"/>
              </w:rPr>
              <w:t>(a)</w:t>
            </w:r>
          </w:p>
        </w:tc>
        <w:tc>
          <w:tcPr>
            <w:tcW w:w="420" w:type="dxa"/>
            <w:vAlign w:val="bottom"/>
          </w:tcPr>
          <w:p>
            <w:pPr>
              <w:spacing w:after="0"/>
              <w:rPr>
                <w:sz w:val="18"/>
                <w:szCs w:val="18"/>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(18.23)</w:t>
            </w:r>
          </w:p>
        </w:tc>
        <w:tc>
          <w:tcPr>
            <w:tcW w:w="240" w:type="dxa"/>
            <w:vAlign w:val="bottom"/>
          </w:tcPr>
          <w:p>
            <w:pPr>
              <w:spacing w:after="0"/>
              <w:rPr>
                <w:sz w:val="18"/>
                <w:szCs w:val="18"/>
                <w:color w:val="auto"/>
              </w:rPr>
            </w:pP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3.36</w:t>
            </w:r>
          </w:p>
        </w:tc>
        <w:tc>
          <w:tcPr>
            <w:tcW w:w="22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3.31</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(21.59)</w:t>
            </w:r>
          </w:p>
        </w:tc>
        <w:tc>
          <w:tcPr>
            <w:tcW w:w="18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0.05</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(822)</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168</w:t>
            </w:r>
          </w:p>
        </w:tc>
        <w:tc>
          <w:tcPr>
            <w:tcW w:w="9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(1,021)</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Diluted EPS income (loss) from continuing operations</w:t>
            </w:r>
            <w:r>
              <w:rPr>
                <w:rFonts w:ascii="Times New Roman" w:cs="Times New Roman" w:eastAsia="Times New Roman" w:hAnsi="Times New Roman"/>
                <w:sz w:val="21"/>
                <w:szCs w:val="21"/>
                <w:color w:val="auto"/>
                <w:vertAlign w:val="superscript"/>
              </w:rPr>
              <w:t>(a)</w:t>
            </w:r>
          </w:p>
        </w:tc>
        <w:tc>
          <w:tcPr>
            <w:tcW w:w="420" w:type="dxa"/>
            <w:vAlign w:val="bottom"/>
          </w:tcPr>
          <w:p>
            <w:pPr>
              <w:spacing w:after="0"/>
              <w:rPr>
                <w:sz w:val="18"/>
                <w:szCs w:val="18"/>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(17.74)</w:t>
            </w:r>
          </w:p>
        </w:tc>
        <w:tc>
          <w:tcPr>
            <w:tcW w:w="240" w:type="dxa"/>
            <w:vAlign w:val="bottom"/>
          </w:tcPr>
          <w:p>
            <w:pPr>
              <w:spacing w:after="0"/>
              <w:rPr>
                <w:sz w:val="18"/>
                <w:szCs w:val="18"/>
                <w:color w:val="auto"/>
              </w:rPr>
            </w:pP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3.95</w:t>
            </w:r>
          </w:p>
        </w:tc>
        <w:tc>
          <w:tcPr>
            <w:tcW w:w="22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3.13</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(21.69)</w:t>
            </w:r>
          </w:p>
        </w:tc>
        <w:tc>
          <w:tcPr>
            <w:tcW w:w="18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0.82</w:t>
            </w:r>
          </w:p>
        </w:tc>
      </w:tr>
      <w:tr>
        <w:trPr>
          <w:trHeight w:val="192"/>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4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(775)</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172</w:t>
            </w:r>
          </w:p>
        </w:tc>
        <w:tc>
          <w:tcPr>
            <w:tcW w:w="9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(749)</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180"/>
        </w:trPr>
        <w:tc>
          <w:tcPr>
            <w:tcW w:w="57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EBITDA</w:t>
            </w:r>
            <w:r>
              <w:rPr>
                <w:rFonts w:ascii="Times New Roman" w:cs="Times New Roman" w:eastAsia="Times New Roman" w:hAnsi="Times New Roman"/>
                <w:sz w:val="20"/>
                <w:szCs w:val="20"/>
                <w:color w:val="auto"/>
                <w:vertAlign w:val="superscript"/>
              </w:rPr>
              <w:t>(b)</w:t>
            </w:r>
          </w:p>
        </w:tc>
        <w:tc>
          <w:tcPr>
            <w:tcW w:w="420" w:type="dxa"/>
            <w:vAlign w:val="bottom"/>
          </w:tcPr>
          <w:p>
            <w:pPr>
              <w:spacing w:after="0"/>
              <w:rPr>
                <w:sz w:val="15"/>
                <w:szCs w:val="15"/>
                <w:color w:val="auto"/>
              </w:rPr>
            </w:pPr>
          </w:p>
        </w:tc>
        <w:tc>
          <w:tcPr>
            <w:tcW w:w="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(601)</w:t>
            </w:r>
          </w:p>
        </w:tc>
        <w:tc>
          <w:tcPr>
            <w:tcW w:w="240" w:type="dxa"/>
            <w:vAlign w:val="bottom"/>
          </w:tcPr>
          <w:p>
            <w:pPr>
              <w:spacing w:after="0"/>
              <w:rPr>
                <w:sz w:val="15"/>
                <w:szCs w:val="15"/>
                <w:color w:val="auto"/>
              </w:rPr>
            </w:pPr>
          </w:p>
        </w:tc>
        <w:tc>
          <w:tcPr>
            <w:tcW w:w="7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142</w:t>
            </w:r>
          </w:p>
        </w:tc>
        <w:tc>
          <w:tcPr>
            <w:tcW w:w="220" w:type="dxa"/>
            <w:vAlign w:val="bottom"/>
          </w:tcPr>
          <w:p>
            <w:pPr>
              <w:spacing w:after="0"/>
              <w:rPr>
                <w:sz w:val="15"/>
                <w:szCs w:val="15"/>
                <w:color w:val="auto"/>
              </w:rPr>
            </w:pPr>
          </w:p>
        </w:tc>
        <w:tc>
          <w:tcPr>
            <w:tcW w:w="6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419</w:t>
            </w: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(743)</w:t>
            </w:r>
          </w:p>
        </w:tc>
        <w:tc>
          <w:tcPr>
            <w:tcW w:w="1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(277)</w:t>
            </w:r>
          </w:p>
        </w:tc>
      </w:tr>
      <w:tr>
        <w:trPr>
          <w:trHeight w:val="180"/>
        </w:trPr>
        <w:tc>
          <w:tcPr>
            <w:tcW w:w="5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0"/>
                <w:szCs w:val="20"/>
                <w:color w:val="auto"/>
                <w:vertAlign w:val="superscript"/>
              </w:rPr>
              <w:t>(b)</w:t>
            </w:r>
          </w:p>
        </w:tc>
        <w:tc>
          <w:tcPr>
            <w:tcW w:w="4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44"/>
        </w:trPr>
        <w:tc>
          <w:tcPr>
            <w:tcW w:w="576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Adjusted Diluted EPS from Continuing Operations Excluding Intangibles Amortization</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85"/>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Expense</w:t>
            </w:r>
            <w:r>
              <w:rPr>
                <w:rFonts w:ascii="Times New Roman" w:cs="Times New Roman" w:eastAsia="Times New Roman" w:hAnsi="Times New Roman"/>
                <w:sz w:val="21"/>
                <w:szCs w:val="21"/>
                <w:color w:val="auto"/>
                <w:vertAlign w:val="superscript"/>
              </w:rPr>
              <w:t>(b)</w:t>
            </w:r>
          </w:p>
        </w:tc>
        <w:tc>
          <w:tcPr>
            <w:tcW w:w="420" w:type="dxa"/>
            <w:vAlign w:val="bottom"/>
          </w:tcPr>
          <w:p>
            <w:pPr>
              <w:spacing w:after="0"/>
              <w:rPr>
                <w:sz w:val="24"/>
                <w:szCs w:val="24"/>
                <w:color w:val="auto"/>
              </w:rPr>
            </w:pP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tcPr>
          <w:p>
            <w:pPr>
              <w:spacing w:after="0"/>
              <w:rPr>
                <w:sz w:val="24"/>
                <w:szCs w:val="24"/>
                <w:color w:val="auto"/>
              </w:rPr>
            </w:pP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4.45</w:t>
            </w:r>
          </w:p>
        </w:tc>
        <w:tc>
          <w:tcPr>
            <w:tcW w:w="22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4.07</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tcPr>
          <w:p>
            <w:pPr>
              <w:spacing w:after="0"/>
              <w:rPr>
                <w:sz w:val="24"/>
                <w:szCs w:val="24"/>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0.38</w:t>
            </w:r>
          </w:p>
        </w:tc>
      </w:tr>
    </w:tbl>
    <w:p>
      <w:pPr>
        <w:spacing w:after="0" w:line="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3"/>
          <w:szCs w:val="13"/>
          <w:color w:val="auto"/>
        </w:rPr>
        <w:t>(a)As a result of the loss from continuing operations attributable to Ashland during fiscal 2025, the effect of the share-based awards convertible to common stock would be antidilutive and have been excluded from the diluted EPS calculation.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(b)These are non-GAAP financial measures. See "Use of Non-GAAP Financial Measures" section below for reconciliations to U.S. GAAP.</w:t>
      </w:r>
    </w:p>
    <w:p>
      <w:pPr>
        <w:spacing w:after="0" w:line="101" w:lineRule="exact"/>
        <w:rPr>
          <w:sz w:val="20"/>
          <w:szCs w:val="20"/>
          <w:color w:val="auto"/>
        </w:rPr>
      </w:pPr>
    </w:p>
    <w:p>
      <w:pPr>
        <w:ind w:right="180" w:firstLine="348"/>
        <w:spacing w:after="0" w:line="243" w:lineRule="auto"/>
        <w:rPr>
          <w:sz w:val="20"/>
          <w:szCs w:val="20"/>
          <w:color w:val="auto"/>
        </w:rPr>
      </w:pPr>
      <w:r>
        <w:rPr>
          <w:rFonts w:ascii="Times New Roman" w:cs="Times New Roman" w:eastAsia="Times New Roman" w:hAnsi="Times New Roman"/>
          <w:sz w:val="16"/>
          <w:szCs w:val="16"/>
          <w:color w:val="auto"/>
        </w:rPr>
        <w:t>Ashland’s net loss of $845 million (loss of $18.23 diluted earnings per share) in 2025, and net income of $ 169 million ($ 3.36 diluted earnings per share) in 2024 and $178 million ($3.31 diluted earnings per share) in 2023 included a loss from discontinued operations of $23 million, (loss of $0.49 diluted earnings per share) in 2025, and $30 million ($0.59 diluted earnings per share) in 2024, and a net income from discontinued operations of $10 million ($0.18 diluted earnings per share) in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3" w:name="page44"/>
    <w:bookmarkEnd w:id="43"/>
    <w:p>
      <w:pPr>
        <w:spacing w:after="0" w:line="17" w:lineRule="exact"/>
        <w:rPr>
          <w:sz w:val="20"/>
          <w:szCs w:val="20"/>
          <w:color w:val="auto"/>
        </w:rPr>
      </w:pPr>
    </w:p>
    <w:p>
      <w:pPr>
        <w:ind w:right="80" w:firstLine="348"/>
        <w:spacing w:after="0" w:line="273" w:lineRule="auto"/>
        <w:rPr>
          <w:sz w:val="20"/>
          <w:szCs w:val="20"/>
          <w:color w:val="auto"/>
        </w:rPr>
      </w:pPr>
      <w:r>
        <w:rPr>
          <w:rFonts w:ascii="Times New Roman" w:cs="Times New Roman" w:eastAsia="Times New Roman" w:hAnsi="Times New Roman"/>
          <w:sz w:val="14"/>
          <w:szCs w:val="14"/>
          <w:color w:val="auto"/>
        </w:rPr>
        <w:t>Results for Ashland’s continuing operations, diluted earnings (loss) per share from continuing operations and operating income (loss) for fiscal 2025, 2024 and 2023 included certain key items that were excluded to arrive at Adjusted EBITDA and are quantified in the “Use of Non -GAAP Financial Measures” section of this Annual Report on Form 10-K. These pre-tax key items totaled expense of $959 million, $227 million and $21 million in fiscal 2025, 2024 and 2023, respectively, impacting continuing operations, including a non -cash goodwill impairment charge of $706 million in fiscal 2025 ( $375 million for the Life Sciences and $331 million for the Specialty Additives reportable segments). Continuing operations was also impacted by unfavorable discrete tax items totaling $31 million in 2025 and favorable discrete items totaling $234 million and $44 million in 2024 and 2023, respectively, for various tax specific key items for uncertain tax positions, valuation allowances, restructuring and separation activity and tax reform related activity. The pre-tax key items impacting operating income (loss) totaled expense of $ 982 million, $273 million, and $52 million in fiscal 2025, 2024 and 2023, respectively. Excluding these key items, continuing operations, diluted earnings per share from continuing operations and operating income (loss) decreased from fiscal 2024 to 2025, driven by Portfolio Optimization actions, reduced volume, and lower pricing. This was partially offset by lower selling, administrative, research and development costs. The increase in income from continuing operations, diluted earnings per share from continuing operations and operating income (loss) from fiscal 2023 to 2024 was primarily due to deflationary raw materials offset by unfavorable pricing and lower volume. In addition, diluted earnings per share from continuing operations was also impacted by common share reductions from repurchases of Ashland common stock in the amount of $100 million in 2025, $380 million in 2024 and $ 300 million in 2023. These common stock repurchases reduced the number of weighted average shares from 54 million diluted shares in 2023 to 50 million diluted shares in 2024 and to 47 million diluted shares in 2025.</w:t>
      </w:r>
    </w:p>
    <w:p>
      <w:pPr>
        <w:spacing w:after="0" w:line="236" w:lineRule="exact"/>
        <w:rPr>
          <w:sz w:val="20"/>
          <w:szCs w:val="20"/>
          <w:color w:val="auto"/>
        </w:rPr>
      </w:pPr>
    </w:p>
    <w:p>
      <w:pPr>
        <w:ind w:right="60" w:firstLine="348"/>
        <w:spacing w:after="0" w:line="239" w:lineRule="auto"/>
        <w:rPr>
          <w:sz w:val="20"/>
          <w:szCs w:val="20"/>
          <w:color w:val="auto"/>
        </w:rPr>
      </w:pPr>
      <w:r>
        <w:rPr>
          <w:rFonts w:ascii="Times New Roman" w:cs="Times New Roman" w:eastAsia="Times New Roman" w:hAnsi="Times New Roman"/>
          <w:sz w:val="16"/>
          <w:szCs w:val="16"/>
          <w:color w:val="auto"/>
        </w:rPr>
        <w:t>Ashland’s Adjusted EBITDA was $401 million for 2025 and $459 for both 2024 and 2023 (see U.S. GAAP reconciliation under “Use of Non-GAAP Financial Measures” below) . Adjusted EBITDA decreased from fiscal 2024 to 2025 primarily due to Portfolio Optimization actions, reduced volume, and lower pricing. This was partially offset by lower selling, administrative, research and development costs. Adjusted EBITDA remained consistent from fiscal 2023 to 2024 primarily due to deflationary raw materials, unfavorable product mix and favorable foreign exchange currency, offset by unfavorable pricing and lower volume. Adjusted Diluted EPS from Continuing Operations (non-GAAP) Excluding Intangibles Amortization Expense was also impacted by these key factors along with the impact of common share repurchases noted above.</w:t>
      </w:r>
    </w:p>
    <w:p>
      <w:pPr>
        <w:spacing w:after="0" w:line="77" w:lineRule="exact"/>
        <w:rPr>
          <w:sz w:val="20"/>
          <w:szCs w:val="20"/>
          <w:color w:val="auto"/>
        </w:rPr>
      </w:pPr>
    </w:p>
    <w:p>
      <w:pPr>
        <w:ind w:right="360" w:firstLine="348"/>
        <w:spacing w:after="0" w:line="259" w:lineRule="auto"/>
        <w:rPr>
          <w:sz w:val="20"/>
          <w:szCs w:val="20"/>
          <w:color w:val="auto"/>
        </w:rPr>
      </w:pPr>
      <w:r>
        <w:rPr>
          <w:rFonts w:ascii="Times New Roman" w:cs="Times New Roman" w:eastAsia="Times New Roman" w:hAnsi="Times New Roman"/>
          <w:sz w:val="16"/>
          <w:szCs w:val="16"/>
          <w:color w:val="auto"/>
        </w:rPr>
        <w:t>For further information on the items reported above, see the discussion in the comparative Statements of Consolidated Comprehensive Income (Loss) caption review.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Statements of Consolidated Comprehensive Income (Loss) – caption review</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comparative analysis of the Statements of Consolidated Comprehensive Income (Loss) by caption is provided as follows for the years ended September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Pr>
          <w:p>
            <w:pPr>
              <w:spacing w:after="0"/>
              <w:rPr>
                <w:sz w:val="16"/>
                <w:szCs w:val="16"/>
                <w:color w:val="auto"/>
              </w:rPr>
            </w:pPr>
          </w:p>
        </w:tc>
        <w:tc>
          <w:tcPr>
            <w:tcW w:w="90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change</w:t>
            </w:r>
          </w:p>
        </w:tc>
        <w:tc>
          <w:tcPr>
            <w:tcW w:w="24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Sales</w:t>
            </w:r>
          </w:p>
        </w:tc>
        <w:tc>
          <w:tcPr>
            <w:tcW w:w="22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1,824</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2,113</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2,191</w:t>
            </w: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r>
    </w:tbl>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provides a reconciliation of the change in sales between fiscal years 2025 and 2024 and between fiscal years 2024 and 2023.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16"/>
                <w:szCs w:val="16"/>
                <w:color w:val="auto"/>
              </w:rPr>
            </w:pPr>
          </w:p>
        </w:tc>
        <w:tc>
          <w:tcPr>
            <w:tcW w:w="13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 change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Sales change</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r>
      <w:tr>
        <w:trPr>
          <w:trHeight w:val="180"/>
        </w:trPr>
        <w:tc>
          <w:tcPr>
            <w:tcW w:w="73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Divestitures</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73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73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20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r>
      <w:tr>
        <w:trPr>
          <w:trHeight w:val="180"/>
        </w:trPr>
        <w:tc>
          <w:tcPr>
            <w:tcW w:w="73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Foreign currency exchange</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Change in sales</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20" w:firstLine="348"/>
        <w:spacing w:after="0" w:line="247" w:lineRule="auto"/>
        <w:rPr>
          <w:sz w:val="20"/>
          <w:szCs w:val="20"/>
          <w:color w:val="auto"/>
        </w:rPr>
      </w:pPr>
      <w:r>
        <w:rPr>
          <w:rFonts w:ascii="Times New Roman" w:cs="Times New Roman" w:eastAsia="Times New Roman" w:hAnsi="Times New Roman"/>
          <w:sz w:val="16"/>
          <w:szCs w:val="16"/>
          <w:color w:val="auto"/>
        </w:rPr>
        <w:t>Sales for 2025 decreased $289 million, or 14%, compared to 2024. The decrease was driven by the unfavorable impact of divestitures, lower volume, and unfavorable pricing, which was partially offset by favorable foreign currency exchange. Portfolio optimization initiatives had an approximate $208 million impact on sales in the current year compared to the prior year, primarily within divestitures and volume caption changes.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p>
      <w:pPr>
        <w:spacing w:after="0" w:line="17"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Sales for 2024 decreased $78 million, or 4%, compared to 2023 primarily from unfavorable pricing. Pricing was softer as compared to the prior year in a moderately deflationary raw material environment. CMC and MC portfolio optimization initiatives and the Nutraceuticals business sale reduced sales by approximately $30 million during fiscal year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560" w:type="dxa"/>
            <w:vAlign w:val="bottom"/>
          </w:tcPr>
          <w:p>
            <w:pPr>
              <w:spacing w:after="0"/>
              <w:rPr>
                <w:sz w:val="16"/>
                <w:szCs w:val="16"/>
                <w:color w:val="auto"/>
              </w:rPr>
            </w:pPr>
          </w:p>
        </w:tc>
        <w:tc>
          <w:tcPr>
            <w:tcW w:w="92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92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6"/>
                <w:szCs w:val="16"/>
                <w:color w:val="auto"/>
              </w:rPr>
            </w:pPr>
          </w:p>
        </w:tc>
        <w:tc>
          <w:tcPr>
            <w:tcW w:w="92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6"/>
                <w:szCs w:val="16"/>
                <w:color w:val="auto"/>
              </w:rPr>
            </w:pPr>
          </w:p>
        </w:tc>
        <w:tc>
          <w:tcPr>
            <w:tcW w:w="90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change</w:t>
            </w:r>
          </w:p>
        </w:tc>
        <w:tc>
          <w:tcPr>
            <w:tcW w:w="240" w:type="dxa"/>
            <w:vAlign w:val="bottom"/>
          </w:tcPr>
          <w:p>
            <w:pPr>
              <w:spacing w:after="0"/>
              <w:rPr>
                <w:sz w:val="16"/>
                <w:szCs w:val="16"/>
                <w:color w:val="auto"/>
              </w:rPr>
            </w:pPr>
          </w:p>
        </w:tc>
        <w:tc>
          <w:tcPr>
            <w:tcW w:w="88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3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 of sales</w:t>
            </w:r>
          </w:p>
        </w:tc>
        <w:tc>
          <w:tcPr>
            <w:tcW w:w="15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1,275</w:t>
            </w:r>
          </w:p>
        </w:tc>
        <w:tc>
          <w:tcPr>
            <w:tcW w:w="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1,495</w:t>
            </w:r>
          </w:p>
        </w:tc>
        <w:tc>
          <w:tcPr>
            <w:tcW w:w="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1,523</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 as a percent of sales</w:t>
            </w:r>
          </w:p>
        </w:tc>
        <w:tc>
          <w:tcPr>
            <w:tcW w:w="1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118"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6"/>
          <w:szCs w:val="16"/>
          <w:color w:val="auto"/>
        </w:rPr>
        <w:t>Fluctuations in cost of sales were impacted by product line and plant optimization costs in 2025 and 2024 and the effects of challenges in shipping and logistics in 2023. In addition, divestitures and other certain charges incurred relating to restructuring activities contributed to a significant impact in 2025.</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provides a reconciliation of the changes in cost of sales between fiscal years 2025 and 2024 and between fiscal years 2024 and 2023.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 change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 of sales change</w:t>
            </w:r>
          </w:p>
        </w:tc>
        <w:tc>
          <w:tcPr>
            <w:tcW w:w="2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r>
      <w:tr>
        <w:trPr>
          <w:trHeight w:val="180"/>
        </w:trPr>
        <w:tc>
          <w:tcPr>
            <w:tcW w:w="45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Divestiture</w:t>
            </w:r>
          </w:p>
        </w:tc>
        <w:tc>
          <w:tcPr>
            <w:tcW w:w="294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3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456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2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45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Operating costs</w:t>
            </w:r>
          </w:p>
        </w:tc>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456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Foreign currency exchange</w:t>
            </w:r>
          </w:p>
        </w:tc>
        <w:tc>
          <w:tcPr>
            <w:tcW w:w="2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45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r>
      <w:tr>
        <w:trPr>
          <w:trHeight w:val="220"/>
        </w:trPr>
        <w:tc>
          <w:tcPr>
            <w:tcW w:w="456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Change in cost of sales</w:t>
            </w:r>
          </w:p>
        </w:tc>
        <w:tc>
          <w:tcPr>
            <w:tcW w:w="2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r>
    </w:tbl>
    <w:p>
      <w:pPr>
        <w:spacing w:after="0" w:line="143" w:lineRule="exact"/>
        <w:rPr>
          <w:sz w:val="20"/>
          <w:szCs w:val="20"/>
          <w:color w:val="auto"/>
        </w:rPr>
      </w:pPr>
    </w:p>
    <w:p>
      <w:pPr>
        <w:ind w:right="180" w:firstLine="348"/>
        <w:spacing w:after="0" w:line="239" w:lineRule="auto"/>
        <w:rPr>
          <w:sz w:val="20"/>
          <w:szCs w:val="20"/>
          <w:color w:val="auto"/>
        </w:rPr>
      </w:pPr>
      <w:r>
        <w:rPr>
          <w:rFonts w:ascii="Times New Roman" w:cs="Times New Roman" w:eastAsia="Times New Roman" w:hAnsi="Times New Roman"/>
          <w:sz w:val="16"/>
          <w:szCs w:val="16"/>
          <w:color w:val="auto"/>
        </w:rPr>
        <w:t>Cost of sales for 2025 decreased $220 million compared to 2024. The decrease was primarily driven by the favorable impact of divestitures, lower sales volume, and lower operating costs, partially offset by unfavorable pricing and unfavorable foreign exchange currency. The current year operating costs were affected by $41 million of accelerated depreciation for product line optimization activities at manufacturing facilities within the Life Sciences, Personal Care and Specialty Additives reportable segments and $22 million of other plant optimization costs while the prior year period included $57 million of accelerated depreciation for product line optimization activities at two Specialty Additives manufacturing plants and one Personal Care manufacturing plant, and $10 million of other plant optimization costs. Gross profit as a percentage of sales increased 0.9 percentage points primarily due to production volume recovery versus inventory corrective actions and decreased accelerated depreciation compared to the prior year period.</w:t>
      </w:r>
    </w:p>
    <w:p>
      <w:pPr>
        <w:spacing w:after="0" w:line="74" w:lineRule="exact"/>
        <w:rPr>
          <w:sz w:val="20"/>
          <w:szCs w:val="20"/>
          <w:color w:val="auto"/>
        </w:rPr>
      </w:pPr>
    </w:p>
    <w:p>
      <w:pPr>
        <w:ind w:right="20" w:firstLine="348"/>
        <w:spacing w:after="0" w:line="239" w:lineRule="auto"/>
        <w:rPr>
          <w:sz w:val="20"/>
          <w:szCs w:val="20"/>
          <w:color w:val="auto"/>
        </w:rPr>
      </w:pPr>
      <w:r>
        <w:rPr>
          <w:rFonts w:ascii="Times New Roman" w:cs="Times New Roman" w:eastAsia="Times New Roman" w:hAnsi="Times New Roman"/>
          <w:sz w:val="16"/>
          <w:szCs w:val="16"/>
          <w:color w:val="auto"/>
        </w:rPr>
        <w:t>Cost of sales for 2024 decreased $28 million compared to 2023. Favorable product price/mix was the primary factor for the decrease. This decrease was partially offset by higher operating costs driven by higher unit manufacturing costs associated with decreased plant loading to produce to demand in the first half of fiscal 2024, $57 million of accelerated depreciation for product line optimization activities associated with two Specialty Additives manufacturing facilities and one Personal Care manufacturing facility, $10 million of other plant optimization costs, and higher volume compared to inventory control measures in the prior year. Gross profit as a percentage of sales decreased 1.3 percentage points primarily as a result of higher operating costs including higher unit manufacturing cost and product line optimization activities.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180" w:type="dxa"/>
            <w:vAlign w:val="bottom"/>
          </w:tcPr>
          <w:p>
            <w:pPr>
              <w:spacing w:after="0"/>
              <w:rPr>
                <w:sz w:val="16"/>
                <w:szCs w:val="16"/>
                <w:color w:val="auto"/>
              </w:rPr>
            </w:pPr>
          </w:p>
        </w:tc>
        <w:tc>
          <w:tcPr>
            <w:tcW w:w="94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92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6"/>
                <w:szCs w:val="16"/>
                <w:color w:val="auto"/>
              </w:rPr>
            </w:pPr>
          </w:p>
        </w:tc>
        <w:tc>
          <w:tcPr>
            <w:tcW w:w="92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6"/>
                <w:szCs w:val="16"/>
                <w:color w:val="auto"/>
              </w:rPr>
            </w:pPr>
          </w:p>
        </w:tc>
        <w:tc>
          <w:tcPr>
            <w:tcW w:w="90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change</w:t>
            </w:r>
          </w:p>
        </w:tc>
        <w:tc>
          <w:tcPr>
            <w:tcW w:w="240" w:type="dxa"/>
            <w:vAlign w:val="bottom"/>
          </w:tcPr>
          <w:p>
            <w:pPr>
              <w:spacing w:after="0"/>
              <w:rPr>
                <w:sz w:val="16"/>
                <w:szCs w:val="16"/>
                <w:color w:val="auto"/>
              </w:rPr>
            </w:pPr>
          </w:p>
        </w:tc>
        <w:tc>
          <w:tcPr>
            <w:tcW w:w="88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3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Selling, general and administrative expense</w:t>
            </w: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344</w:t>
            </w:r>
          </w:p>
        </w:tc>
        <w:tc>
          <w:tcPr>
            <w:tcW w:w="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404</w:t>
            </w:r>
          </w:p>
        </w:tc>
        <w:tc>
          <w:tcPr>
            <w:tcW w:w="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365</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w:t>
            </w:r>
          </w:p>
        </w:tc>
      </w:tr>
      <w:tr>
        <w:trPr>
          <w:trHeight w:val="205"/>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a percent of sales</w:t>
            </w:r>
          </w:p>
        </w:tc>
        <w:tc>
          <w:tcPr>
            <w:tcW w:w="1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97"/>
        </w:trPr>
        <w:tc>
          <w:tcPr>
            <w:tcW w:w="3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M-5</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4"/>
        </w:trPr>
        <w:tc>
          <w:tcPr>
            <w:tcW w:w="38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5" w:name="page46"/>
    <w:bookmarkEnd w:id="45"/>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 for 2025 decreased $60 million compared to 2024, while expenses as a percent of sales decreased 0.2 percentage points.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drivers of the fluctuation in selling, general and administrative expense compared to 2024 were:</w:t>
      </w:r>
    </w:p>
    <w:p>
      <w:pPr>
        <w:spacing w:after="0" w:line="74" w:lineRule="exact"/>
        <w:rPr>
          <w:sz w:val="20"/>
          <w:szCs w:val="20"/>
          <w:color w:val="auto"/>
        </w:rPr>
      </w:pPr>
    </w:p>
    <w:p>
      <w:pPr>
        <w:ind w:left="360" w:right="800"/>
        <w:spacing w:after="0" w:line="259" w:lineRule="auto"/>
        <w:rPr>
          <w:sz w:val="20"/>
          <w:szCs w:val="20"/>
          <w:color w:val="auto"/>
        </w:rPr>
      </w:pPr>
      <w:r>
        <w:rPr>
          <w:rFonts w:ascii="Times New Roman" w:cs="Times New Roman" w:eastAsia="Times New Roman" w:hAnsi="Times New Roman"/>
          <w:sz w:val="16"/>
          <w:szCs w:val="16"/>
          <w:color w:val="auto"/>
        </w:rPr>
        <w:t>•Expense of $22 million and $30 million comprised of key items for severance, lease abandonment and other restructuring costs during 2025 and 2024, respectively;</w:t>
      </w:r>
    </w:p>
    <w:p>
      <w:pPr>
        <w:spacing w:after="0" w:line="59" w:lineRule="exact"/>
        <w:rPr>
          <w:sz w:val="20"/>
          <w:szCs w:val="20"/>
          <w:color w:val="auto"/>
        </w:rPr>
      </w:pPr>
    </w:p>
    <w:p>
      <w:pPr>
        <w:ind w:left="360" w:right="540"/>
        <w:spacing w:after="0" w:line="259" w:lineRule="auto"/>
        <w:rPr>
          <w:sz w:val="20"/>
          <w:szCs w:val="20"/>
          <w:color w:val="auto"/>
        </w:rPr>
      </w:pPr>
      <w:r>
        <w:rPr>
          <w:rFonts w:ascii="Times New Roman" w:cs="Times New Roman" w:eastAsia="Times New Roman" w:hAnsi="Times New Roman"/>
          <w:sz w:val="16"/>
          <w:szCs w:val="16"/>
          <w:color w:val="auto"/>
        </w:rPr>
        <w:t>•$34 million and $45 million in net environmental-related expenses during 2025 and 2024, respectively (see Note M of the Notes to Consolidated Financial Statements for more information);</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•$11 million capital project impairment charge in 2024;</w:t>
      </w:r>
    </w:p>
    <w:p>
      <w:pPr>
        <w:spacing w:after="0" w:line="92" w:lineRule="exact"/>
        <w:rPr>
          <w:sz w:val="20"/>
          <w:szCs w:val="20"/>
          <w:color w:val="auto"/>
        </w:rPr>
      </w:pPr>
    </w:p>
    <w:p>
      <w:pPr>
        <w:ind w:left="360" w:right="3960"/>
        <w:spacing w:after="0" w:line="360" w:lineRule="auto"/>
        <w:rPr>
          <w:sz w:val="20"/>
          <w:szCs w:val="20"/>
          <w:color w:val="auto"/>
        </w:rPr>
      </w:pPr>
      <w:r>
        <w:rPr>
          <w:rFonts w:ascii="Times New Roman" w:cs="Times New Roman" w:eastAsia="Times New Roman" w:hAnsi="Times New Roman"/>
          <w:sz w:val="16"/>
          <w:szCs w:val="16"/>
          <w:color w:val="auto"/>
        </w:rPr>
        <w:t>•A $5 million charge associated with the impact of a currency devaluation in Argentina during 2024; •A $4 million legal settlement during 2024;</w:t>
      </w:r>
    </w:p>
    <w:p>
      <w:pPr>
        <w:ind w:left="360"/>
        <w:spacing w:after="0"/>
        <w:rPr>
          <w:sz w:val="20"/>
          <w:szCs w:val="20"/>
          <w:color w:val="auto"/>
        </w:rPr>
      </w:pPr>
      <w:r>
        <w:rPr>
          <w:rFonts w:ascii="Times New Roman" w:cs="Times New Roman" w:eastAsia="Times New Roman" w:hAnsi="Times New Roman"/>
          <w:sz w:val="16"/>
          <w:szCs w:val="16"/>
          <w:color w:val="auto"/>
        </w:rPr>
        <w:t>•A $3 million benefit related to domestic tax credits in 2025;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•Decreases associated with the following:</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oLower variable compensation and stock based compensation expense;</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oThe favorable impact of divestitures in the current year;</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oThe realized cost reductions associated with restructuring actions ; and</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oFavorable foreign currency exchange of $2 million.</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 for 2024 increased $39 million compared to 2023, while expenses as a percent of sales increased 2.4 percentage points.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drivers of the fluctuation in selling, general and administrative expense compared to 2023 were:</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•Expense of $30 million and $9 million comprised of key items for severance, lease abandonment and other restructuring costs during 2024 and 2023, respectively;</w:t>
      </w:r>
    </w:p>
    <w:p>
      <w:pPr>
        <w:spacing w:after="0" w:line="115" w:lineRule="exact"/>
        <w:rPr>
          <w:sz w:val="20"/>
          <w:szCs w:val="20"/>
          <w:color w:val="auto"/>
        </w:rPr>
      </w:pPr>
    </w:p>
    <w:p>
      <w:pPr>
        <w:ind w:left="360" w:right="540"/>
        <w:spacing w:after="0" w:line="259" w:lineRule="auto"/>
        <w:rPr>
          <w:sz w:val="20"/>
          <w:szCs w:val="20"/>
          <w:color w:val="auto"/>
        </w:rPr>
      </w:pPr>
      <w:r>
        <w:rPr>
          <w:rFonts w:ascii="Times New Roman" w:cs="Times New Roman" w:eastAsia="Times New Roman" w:hAnsi="Times New Roman"/>
          <w:sz w:val="16"/>
          <w:szCs w:val="16"/>
          <w:color w:val="auto"/>
        </w:rPr>
        <w:t>•$45 million and $54 million in net environmental-related expenses during 2024 and 2023, respectively (see Note M of the Notes to Consolidated Financial Statements for more information);</w:t>
      </w:r>
    </w:p>
    <w:p>
      <w:pPr>
        <w:spacing w:after="0" w:line="59" w:lineRule="exact"/>
        <w:rPr>
          <w:sz w:val="20"/>
          <w:szCs w:val="20"/>
          <w:color w:val="auto"/>
        </w:rPr>
      </w:pPr>
    </w:p>
    <w:p>
      <w:pPr>
        <w:ind w:left="360" w:right="40"/>
        <w:spacing w:after="0" w:line="259" w:lineRule="auto"/>
        <w:rPr>
          <w:sz w:val="20"/>
          <w:szCs w:val="20"/>
          <w:color w:val="auto"/>
        </w:rPr>
      </w:pPr>
      <w:r>
        <w:rPr>
          <w:rFonts w:ascii="Times New Roman" w:cs="Times New Roman" w:eastAsia="Times New Roman" w:hAnsi="Times New Roman"/>
          <w:sz w:val="16"/>
          <w:szCs w:val="16"/>
          <w:color w:val="auto"/>
        </w:rPr>
        <w:t>•$11 million capital project impairment charge in 2024 and a $4 million impairment charge in 2023 associated with the sale of a Specialty Additives manufacturing facility;</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•$12 million gain associated with ICMS Brazil tax credit in 2023;</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$5 million charge associated with the impact of a currency devaluation in Argentina during 2024;</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$4 million legal settlement during 2024;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•Increases associated with the following:</w:t>
      </w:r>
    </w:p>
    <w:p>
      <w:pPr>
        <w:spacing w:after="0" w:line="92" w:lineRule="exact"/>
        <w:rPr>
          <w:sz w:val="20"/>
          <w:szCs w:val="20"/>
          <w:color w:val="auto"/>
        </w:rPr>
      </w:pPr>
    </w:p>
    <w:p>
      <w:pPr>
        <w:ind w:left="960" w:right="3840"/>
        <w:spacing w:after="0" w:line="372" w:lineRule="auto"/>
        <w:rPr>
          <w:sz w:val="20"/>
          <w:szCs w:val="20"/>
          <w:color w:val="auto"/>
        </w:rPr>
      </w:pPr>
      <w:r>
        <w:rPr>
          <w:rFonts w:ascii="Times New Roman" w:cs="Times New Roman" w:eastAsia="Times New Roman" w:hAnsi="Times New Roman"/>
          <w:sz w:val="16"/>
          <w:szCs w:val="16"/>
          <w:color w:val="auto"/>
        </w:rPr>
        <w:t>oHigher variable compensation expense, partially offset by lower stock based compensation; oHigher salary, benefits and travel expenses of $10 million; and oPartially offset by favorable foreign currency exchange of $5 million.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Pr>
          <w:p>
            <w:pPr>
              <w:spacing w:after="0"/>
              <w:rPr>
                <w:sz w:val="16"/>
                <w:szCs w:val="16"/>
                <w:color w:val="auto"/>
              </w:rPr>
            </w:pPr>
          </w:p>
        </w:tc>
        <w:tc>
          <w:tcPr>
            <w:tcW w:w="90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change</w:t>
            </w:r>
          </w:p>
        </w:tc>
        <w:tc>
          <w:tcPr>
            <w:tcW w:w="24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Research and development expense</w:t>
            </w:r>
          </w:p>
        </w:tc>
        <w:tc>
          <w:tcPr>
            <w:tcW w:w="2000" w:type="dxa"/>
            <w:vAlign w:val="bottom"/>
            <w:shd w:val="clear" w:color="auto" w:fill="CFF0FC"/>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r>
    </w:tbl>
    <w:p>
      <w:pPr>
        <w:spacing w:after="0" w:line="143" w:lineRule="exact"/>
        <w:rPr>
          <w:sz w:val="20"/>
          <w:szCs w:val="20"/>
          <w:color w:val="auto"/>
        </w:rPr>
      </w:pPr>
    </w:p>
    <w:p>
      <w:pPr>
        <w:ind w:right="260" w:firstLine="348"/>
        <w:spacing w:after="0" w:line="259" w:lineRule="auto"/>
        <w:rPr>
          <w:sz w:val="20"/>
          <w:szCs w:val="20"/>
          <w:color w:val="auto"/>
        </w:rPr>
      </w:pPr>
      <w:r>
        <w:rPr>
          <w:rFonts w:ascii="Times New Roman" w:cs="Times New Roman" w:eastAsia="Times New Roman" w:hAnsi="Times New Roman"/>
          <w:sz w:val="16"/>
          <w:szCs w:val="16"/>
          <w:color w:val="auto"/>
        </w:rPr>
        <w:t>Research and development expense decreased $1 million in 2025 compared to 2024 primarily due to lower compensation costs. In 2024, the $4 million increase compared to 2023 was primarily due to higher compensation costs.</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Pr>
          <w:p>
            <w:pPr>
              <w:spacing w:after="0"/>
              <w:rPr>
                <w:sz w:val="16"/>
                <w:szCs w:val="16"/>
                <w:color w:val="auto"/>
              </w:rPr>
            </w:pPr>
          </w:p>
        </w:tc>
        <w:tc>
          <w:tcPr>
            <w:tcW w:w="90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change</w:t>
            </w:r>
          </w:p>
        </w:tc>
        <w:tc>
          <w:tcPr>
            <w:tcW w:w="24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Intangibles amortization expense</w:t>
            </w:r>
          </w:p>
        </w:tc>
        <w:tc>
          <w:tcPr>
            <w:tcW w:w="2080" w:type="dxa"/>
            <w:vAlign w:val="bottom"/>
            <w:shd w:val="clear" w:color="auto" w:fill="CFF0FC"/>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r>
    </w:tbl>
    <w:p>
      <w:pPr>
        <w:spacing w:after="0" w:line="143" w:lineRule="exact"/>
        <w:rPr>
          <w:sz w:val="20"/>
          <w:szCs w:val="20"/>
          <w:color w:val="auto"/>
        </w:rPr>
      </w:pPr>
    </w:p>
    <w:p>
      <w:pPr>
        <w:ind w:firstLine="348"/>
        <w:spacing w:after="0" w:line="247" w:lineRule="auto"/>
        <w:rPr>
          <w:sz w:val="20"/>
          <w:szCs w:val="20"/>
          <w:color w:val="auto"/>
        </w:rPr>
      </w:pPr>
      <w:r>
        <w:rPr>
          <w:rFonts w:ascii="Times New Roman" w:cs="Times New Roman" w:eastAsia="Times New Roman" w:hAnsi="Times New Roman"/>
          <w:sz w:val="16"/>
          <w:szCs w:val="16"/>
          <w:color w:val="auto"/>
        </w:rPr>
        <w:t>Amortization expense decreased $13 million in 2025 compared to 2024 primarily due to the impact of fully amortized intangibles in prior periods and the impact of the Avoca business divested during 2025. Amortization expense decreased $17 million in 2024 compared to 2023 primarily due to the impact of fully amortized intangibles in prior periods and the impact of the Nutraceuticals business divested during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6"/>
                <w:szCs w:val="16"/>
                <w:color w:val="auto"/>
              </w:rPr>
            </w:pPr>
          </w:p>
        </w:tc>
        <w:tc>
          <w:tcPr>
            <w:tcW w:w="90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change</w:t>
            </w:r>
          </w:p>
        </w:tc>
        <w:tc>
          <w:tcPr>
            <w:tcW w:w="24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3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Equity and other income</w:t>
            </w:r>
          </w:p>
        </w:tc>
        <w:tc>
          <w:tcPr>
            <w:tcW w:w="2380" w:type="dxa"/>
            <w:vAlign w:val="bottom"/>
            <w:shd w:val="clear" w:color="auto" w:fill="CFF0FC"/>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bl>
    <w:p>
      <w:pPr>
        <w:spacing w:after="0" w:line="143" w:lineRule="exact"/>
        <w:rPr>
          <w:sz w:val="20"/>
          <w:szCs w:val="20"/>
          <w:color w:val="auto"/>
        </w:rPr>
      </w:pPr>
    </w:p>
    <w:p>
      <w:pPr>
        <w:jc w:val="both"/>
        <w:ind w:right="60" w:firstLine="348"/>
        <w:spacing w:after="0" w:line="259" w:lineRule="auto"/>
        <w:rPr>
          <w:sz w:val="20"/>
          <w:szCs w:val="20"/>
          <w:color w:val="auto"/>
        </w:rPr>
      </w:pPr>
      <w:r>
        <w:rPr>
          <w:rFonts w:ascii="Times New Roman" w:cs="Times New Roman" w:eastAsia="Times New Roman" w:hAnsi="Times New Roman"/>
          <w:sz w:val="16"/>
          <w:szCs w:val="16"/>
          <w:color w:val="auto"/>
        </w:rPr>
        <w:t>Equity and other income decreased in 2025 compared to 2024 primarily related to lower China financial cash subsidies in 2025. Equity and other income remained relatively consistent in 2024 compared to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94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Pr>
          <w:p>
            <w:pPr>
              <w:spacing w:after="0"/>
              <w:rPr>
                <w:sz w:val="16"/>
                <w:szCs w:val="16"/>
                <w:color w:val="auto"/>
              </w:rPr>
            </w:pPr>
          </w:p>
        </w:tc>
        <w:tc>
          <w:tcPr>
            <w:tcW w:w="114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2024</w:t>
            </w: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c>
          <w:tcPr>
            <w:tcW w:w="28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3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Goodwill impairment</w:t>
            </w:r>
          </w:p>
        </w:tc>
        <w:tc>
          <w:tcPr>
            <w:tcW w:w="1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   $</w:t>
            </w:r>
          </w:p>
        </w:tc>
        <w:tc>
          <w:tcPr>
            <w:tcW w:w="11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   $</w:t>
            </w:r>
          </w:p>
        </w:tc>
        <w:tc>
          <w:tcPr>
            <w:tcW w:w="8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640"/>
              <w:spacing w:after="0" w:line="180" w:lineRule="exact"/>
              <w:rPr>
                <w:sz w:val="20"/>
                <w:szCs w:val="20"/>
                <w:color w:val="auto"/>
              </w:rPr>
            </w:pPr>
            <w:r>
              <w:rPr>
                <w:rFonts w:ascii="Times New Roman" w:cs="Times New Roman" w:eastAsia="Times New Roman" w:hAnsi="Times New Roman"/>
                <w:sz w:val="16"/>
                <w:szCs w:val="16"/>
                <w:color w:val="auto"/>
              </w:rPr>
              <w:t>—</w:t>
            </w:r>
          </w:p>
        </w:tc>
      </w:tr>
    </w:tbl>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Ashland recorded a $706 million goodwill impairment charge in 2025. See Note G of the Notes to Consolidated Financial Statements for more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6"/>
              </w:rPr>
              <w:t>change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(loss) on acquisitions and divestitures, net</w:t>
            </w:r>
          </w:p>
        </w:tc>
        <w:tc>
          <w:tcPr>
            <w:tcW w:w="146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2"/>
              </w:rPr>
              <w:t>(161)</w:t>
            </w:r>
          </w:p>
        </w:tc>
        <w:tc>
          <w:tcPr>
            <w:tcW w:w="2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2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820" w:type="dxa"/>
            <w:vAlign w:val="bottom"/>
            <w:shd w:val="clear" w:color="auto" w:fill="CFF0FC"/>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7"/>
              </w:rPr>
              <w:t>(46)</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w:t>
            </w:r>
          </w:p>
        </w:tc>
      </w:tr>
    </w:tbl>
    <w:p>
      <w:pPr>
        <w:spacing w:after="0" w:line="143" w:lineRule="exact"/>
        <w:rPr>
          <w:sz w:val="20"/>
          <w:szCs w:val="20"/>
          <w:color w:val="auto"/>
        </w:rPr>
      </w:pPr>
    </w:p>
    <w:p>
      <w:pPr>
        <w:ind w:right="280" w:firstLine="348"/>
        <w:spacing w:after="0" w:line="247" w:lineRule="auto"/>
        <w:rPr>
          <w:sz w:val="20"/>
          <w:szCs w:val="20"/>
          <w:color w:val="auto"/>
        </w:rPr>
      </w:pPr>
      <w:r>
        <w:rPr>
          <w:rFonts w:ascii="Times New Roman" w:cs="Times New Roman" w:eastAsia="Times New Roman" w:hAnsi="Times New Roman"/>
          <w:sz w:val="16"/>
          <w:szCs w:val="16"/>
          <w:color w:val="auto"/>
        </w:rPr>
        <w:t>Income (loss) on acquisitions and divestitures, net during 2025 primarily relates to a net $175 million impairment and sale of the Avoca business. In addition, Ashland recorded a pre-tax gain on sale of excess corporate real estate of $14 million during 2025. See Note B of the Notes to Consolidated Financial Statements for more information.</w:t>
      </w:r>
    </w:p>
    <w:p>
      <w:pPr>
        <w:spacing w:after="0" w:line="68"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Income (loss) on acquisitions and divestitures, net during 2024 primarily relates to $107 million impairment charge and loss on sale associated with the divestiture of the Nutraceuticals business. In addition, a $7 million reserve for foreign VAT taxes was also recorded in 2024 associated with the divested Nutraceuticals business legal entities. See Note B of the Notes to Consolidated Financial Statements for more information.</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Income (loss) on acquisitions and divestitures, net during 2023 primarily relates to a $7 million gain on the sale of excess corporate real estate.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change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change</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interest and other expense (income)</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2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2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2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49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Loss on the accounts receivable sale programs</w:t>
            </w: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49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Investment securities income</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180"/>
        </w:trPr>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financing costs</w:t>
            </w: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220"/>
        </w:trPr>
        <w:tc>
          <w:tcPr>
            <w:tcW w:w="4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r>
    </w:tbl>
    <w:p>
      <w:pPr>
        <w:spacing w:after="0" w:line="143" w:lineRule="exact"/>
        <w:rPr>
          <w:sz w:val="20"/>
          <w:szCs w:val="20"/>
          <w:color w:val="auto"/>
        </w:rPr>
      </w:pPr>
    </w:p>
    <w:p>
      <w:pPr>
        <w:ind w:right="120" w:firstLine="348"/>
        <w:spacing w:after="0" w:line="243" w:lineRule="auto"/>
        <w:rPr>
          <w:sz w:val="20"/>
          <w:szCs w:val="20"/>
          <w:color w:val="auto"/>
        </w:rPr>
      </w:pPr>
      <w:r>
        <w:rPr>
          <w:rFonts w:ascii="Times New Roman" w:cs="Times New Roman" w:eastAsia="Times New Roman" w:hAnsi="Times New Roman"/>
          <w:sz w:val="16"/>
          <w:szCs w:val="16"/>
          <w:color w:val="auto"/>
        </w:rPr>
        <w:t>Net interest and other expense (income) increased by $57 million during 2025 compared to 2024. Interest expense increased primarily related to lower capitalized interest on capital projects in 2025 while interest income decreased primarily due to the decrease in cash equivalents during the 2025 compared to 2024. Restricted investments gains of $ 33 million and $75 million included realized gains of $20 million compared to $60 million for 2025 and 2024, respectively. See Note E of the Notes to Consolidated Financial Statements for more information on the restricted investments.</w:t>
      </w:r>
    </w:p>
    <w:p>
      <w:pPr>
        <w:spacing w:after="0" w:line="71"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6"/>
          <w:szCs w:val="16"/>
          <w:color w:val="auto"/>
        </w:rPr>
        <w:t>Net interest and other expense (income) decreased by $30 million in 2024 compared to 2023. Interest expense and interest income remained primarily consistent to the prior year. Restricted investments gains of $75 million and $42 million included</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1" w:right="660" w:bottom="1440" w:gutter="0" w:footer="0" w:header="0"/>
        </w:sectPr>
      </w:pPr>
    </w:p>
    <w:bookmarkStart w:id="47" w:name="page48"/>
    <w:bookmarkEnd w:id="47"/>
    <w:p>
      <w:pPr>
        <w:spacing w:after="0" w:line="17"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16"/>
          <w:szCs w:val="16"/>
          <w:color w:val="auto"/>
        </w:rPr>
        <w:t>realized gains of $60 million compared to $29 million for 2024 and 2023, respectively. See Note E of the Notes to Consolidated Financial Statements for more information on the restricted investments.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6"/>
                <w:szCs w:val="16"/>
                <w:color w:val="auto"/>
              </w:rPr>
            </w:pPr>
          </w:p>
        </w:tc>
        <w:tc>
          <w:tcPr>
            <w:tcW w:w="90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change</w:t>
            </w:r>
          </w:p>
        </w:tc>
        <w:tc>
          <w:tcPr>
            <w:tcW w:w="24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3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net periodic benefit loss</w:t>
            </w:r>
          </w:p>
        </w:tc>
        <w:tc>
          <w:tcPr>
            <w:tcW w:w="2200" w:type="dxa"/>
            <w:vAlign w:val="bottom"/>
            <w:shd w:val="clear" w:color="auto" w:fill="CFF0FC"/>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w:t>
            </w:r>
          </w:p>
        </w:tc>
      </w:tr>
    </w:tbl>
    <w:p>
      <w:pPr>
        <w:spacing w:after="0" w:line="143" w:lineRule="exact"/>
        <w:rPr>
          <w:sz w:val="20"/>
          <w:szCs w:val="20"/>
          <w:color w:val="auto"/>
        </w:rPr>
      </w:pPr>
    </w:p>
    <w:p>
      <w:pPr>
        <w:ind w:right="340" w:firstLine="348"/>
        <w:spacing w:after="0" w:line="259" w:lineRule="auto"/>
        <w:rPr>
          <w:sz w:val="20"/>
          <w:szCs w:val="20"/>
          <w:color w:val="auto"/>
        </w:rPr>
      </w:pPr>
      <w:r>
        <w:rPr>
          <w:rFonts w:ascii="Times New Roman" w:cs="Times New Roman" w:eastAsia="Times New Roman" w:hAnsi="Times New Roman"/>
          <w:sz w:val="16"/>
          <w:szCs w:val="16"/>
          <w:color w:val="auto"/>
        </w:rPr>
        <w:t>Other net periodic benefit expense during 2025 primarily included interest cost of $14 million offset by expected return on plan assets of $10 million and a $3 million gain on pension postretirement plan remeasurements.</w:t>
      </w:r>
    </w:p>
    <w:p>
      <w:pPr>
        <w:spacing w:after="0" w:line="59" w:lineRule="exact"/>
        <w:rPr>
          <w:sz w:val="20"/>
          <w:szCs w:val="20"/>
          <w:color w:val="auto"/>
        </w:rPr>
      </w:pPr>
    </w:p>
    <w:p>
      <w:pPr>
        <w:ind w:right="960" w:firstLine="348"/>
        <w:spacing w:after="0" w:line="259" w:lineRule="auto"/>
        <w:rPr>
          <w:sz w:val="20"/>
          <w:szCs w:val="20"/>
          <w:color w:val="auto"/>
        </w:rPr>
      </w:pPr>
      <w:r>
        <w:rPr>
          <w:rFonts w:ascii="Times New Roman" w:cs="Times New Roman" w:eastAsia="Times New Roman" w:hAnsi="Times New Roman"/>
          <w:sz w:val="16"/>
          <w:szCs w:val="16"/>
          <w:color w:val="auto"/>
        </w:rPr>
        <w:t>Other net periodic benefit expense during 2024 primarily included interest cost of $16 million and a $14 million loss on pension postretirement plan remeasurements offset by expected return on plan assets of $8 million.</w:t>
      </w:r>
    </w:p>
    <w:p>
      <w:pPr>
        <w:spacing w:after="0" w:line="59" w:lineRule="exact"/>
        <w:rPr>
          <w:sz w:val="20"/>
          <w:szCs w:val="20"/>
          <w:color w:val="auto"/>
        </w:rPr>
      </w:pPr>
    </w:p>
    <w:p>
      <w:pPr>
        <w:ind w:right="420" w:firstLine="348"/>
        <w:spacing w:after="0" w:line="259" w:lineRule="auto"/>
        <w:rPr>
          <w:sz w:val="20"/>
          <w:szCs w:val="20"/>
          <w:color w:val="auto"/>
        </w:rPr>
      </w:pPr>
      <w:r>
        <w:rPr>
          <w:rFonts w:ascii="Times New Roman" w:cs="Times New Roman" w:eastAsia="Times New Roman" w:hAnsi="Times New Roman"/>
          <w:sz w:val="16"/>
          <w:szCs w:val="16"/>
          <w:color w:val="auto"/>
        </w:rPr>
        <w:t>Other net periodic benefit expense during 2023 primarily included interest cost of $15 million offset by expected return on plan assets of $7 million and a $2 million gain on pension and other postretirement plan remeasurements.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640" w:type="dxa"/>
            <w:vAlign w:val="bottom"/>
          </w:tcPr>
          <w:p>
            <w:pPr>
              <w:spacing w:after="0"/>
              <w:rPr>
                <w:sz w:val="16"/>
                <w:szCs w:val="16"/>
                <w:color w:val="auto"/>
              </w:rPr>
            </w:pPr>
          </w:p>
        </w:tc>
        <w:tc>
          <w:tcPr>
            <w:tcW w:w="96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92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2023</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6"/>
              </w:rPr>
              <w:t>change</w:t>
            </w:r>
          </w:p>
        </w:tc>
        <w:tc>
          <w:tcPr>
            <w:tcW w:w="260" w:type="dxa"/>
            <w:vAlign w:val="bottom"/>
          </w:tcPr>
          <w:p>
            <w:pPr>
              <w:spacing w:after="0"/>
              <w:rPr>
                <w:sz w:val="16"/>
                <w:szCs w:val="16"/>
                <w:color w:val="auto"/>
              </w:rPr>
            </w:pPr>
          </w:p>
        </w:tc>
        <w:tc>
          <w:tcPr>
            <w:tcW w:w="86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r>
      <w:tr>
        <w:trPr>
          <w:trHeight w:val="180"/>
        </w:trPr>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tax expense (benefit)</w:t>
            </w:r>
          </w:p>
        </w:tc>
        <w:tc>
          <w:tcPr>
            <w:tcW w:w="16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740" w:type="dxa"/>
            <w:vAlign w:val="bottom"/>
            <w:shd w:val="clear" w:color="auto" w:fill="CFF0FC"/>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(215)</w:t>
            </w:r>
          </w:p>
        </w:tc>
      </w:tr>
      <w:tr>
        <w:trPr>
          <w:trHeight w:val="205"/>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1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74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118"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The 2025 effective tax rate was impacted by jurisdictional income mix, nondeductible goodwill impairment of $706 million, as well as unfavorable discrete items of $36 million primarily related changes in state and foreign tax activity and uncertain tax positions.</w:t>
      </w:r>
    </w:p>
    <w:p>
      <w:pPr>
        <w:spacing w:after="0" w:line="59" w:lineRule="exact"/>
        <w:rPr>
          <w:sz w:val="20"/>
          <w:szCs w:val="20"/>
          <w:color w:val="auto"/>
        </w:rPr>
      </w:pPr>
    </w:p>
    <w:p>
      <w:pPr>
        <w:ind w:right="140" w:firstLine="348"/>
        <w:spacing w:after="0" w:line="259" w:lineRule="auto"/>
        <w:rPr>
          <w:sz w:val="20"/>
          <w:szCs w:val="20"/>
          <w:color w:val="auto"/>
        </w:rPr>
      </w:pPr>
      <w:r>
        <w:rPr>
          <w:rFonts w:ascii="Times New Roman" w:cs="Times New Roman" w:eastAsia="Times New Roman" w:hAnsi="Times New Roman"/>
          <w:sz w:val="16"/>
          <w:szCs w:val="16"/>
          <w:color w:val="auto"/>
        </w:rPr>
        <w:t>The 2024 effective tax rate was impacted by jurisdictional income mix, as well as favorable discrete items of $231 million primarily related to changes in foreign tax activity and the tax impact of the Nutraceuticals business divestiture.</w:t>
      </w:r>
    </w:p>
    <w:p>
      <w:pPr>
        <w:spacing w:after="0" w:line="59" w:lineRule="exact"/>
        <w:rPr>
          <w:sz w:val="20"/>
          <w:szCs w:val="20"/>
          <w:color w:val="auto"/>
        </w:rPr>
      </w:pPr>
    </w:p>
    <w:p>
      <w:pPr>
        <w:ind w:right="560" w:firstLine="348"/>
        <w:spacing w:after="0" w:line="259" w:lineRule="auto"/>
        <w:rPr>
          <w:sz w:val="20"/>
          <w:szCs w:val="20"/>
          <w:color w:val="auto"/>
        </w:rPr>
      </w:pPr>
      <w:r>
        <w:rPr>
          <w:rFonts w:ascii="Times New Roman" w:cs="Times New Roman" w:eastAsia="Times New Roman" w:hAnsi="Times New Roman"/>
          <w:sz w:val="16"/>
          <w:szCs w:val="16"/>
          <w:color w:val="auto"/>
        </w:rPr>
        <w:t>The 2023 effective tax rate was impacted by jurisdictional income mix, as well as favorable discrete items of $49 million primarily related to uncertain tax positions.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income tax expense</w:t>
      </w:r>
    </w:p>
    <w:p>
      <w:pPr>
        <w:spacing w:after="0" w:line="94" w:lineRule="exact"/>
        <w:rPr>
          <w:sz w:val="20"/>
          <w:szCs w:val="20"/>
          <w:color w:val="auto"/>
        </w:rPr>
      </w:pPr>
    </w:p>
    <w:p>
      <w:pPr>
        <w:ind w:right="120" w:firstLine="348"/>
        <w:spacing w:after="0" w:line="280" w:lineRule="auto"/>
        <w:rPr>
          <w:sz w:val="20"/>
          <w:szCs w:val="20"/>
          <w:color w:val="auto"/>
        </w:rPr>
      </w:pPr>
      <w:r>
        <w:rPr>
          <w:rFonts w:ascii="Times New Roman" w:cs="Times New Roman" w:eastAsia="Times New Roman" w:hAnsi="Times New Roman"/>
          <w:sz w:val="14"/>
          <w:szCs w:val="14"/>
          <w:color w:val="auto"/>
        </w:rPr>
        <w:t>Key items are defined as the financial effects from significant transactions that may have caused short -term fluctuations in net income (loss) and/or operating income (loss)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49" w:lineRule="exact"/>
        <w:rPr>
          <w:sz w:val="20"/>
          <w:szCs w:val="20"/>
          <w:color w:val="auto"/>
        </w:rPr>
      </w:pPr>
    </w:p>
    <w:p>
      <w:pPr>
        <w:jc w:val="both"/>
        <w:ind w:left="360" w:right="2720"/>
        <w:spacing w:after="0" w:line="411" w:lineRule="auto"/>
        <w:rPr>
          <w:sz w:val="20"/>
          <w:szCs w:val="20"/>
          <w:color w:val="auto"/>
        </w:rPr>
      </w:pPr>
      <w:r>
        <w:rPr>
          <w:rFonts w:ascii="Times New Roman" w:cs="Times New Roman" w:eastAsia="Times New Roman" w:hAnsi="Times New Roman"/>
          <w:sz w:val="14"/>
          <w:szCs w:val="14"/>
          <w:color w:val="auto"/>
        </w:rPr>
        <w:t>The effective tax rates during 2025, 2024 and 2023 were significantly impacted by the following tax specific key items: •Uncertain tax position – Includes the impact from the settlement of uncertain tax positions with various tax authorities; •Valuation allowances – Includes the impact from the release of certain foreign tax credit valuation allowances;</w:t>
      </w:r>
    </w:p>
    <w:p>
      <w:pPr>
        <w:spacing w:after="0" w:line="1" w:lineRule="exact"/>
        <w:rPr>
          <w:sz w:val="20"/>
          <w:szCs w:val="20"/>
          <w:color w:val="auto"/>
        </w:rPr>
      </w:pPr>
    </w:p>
    <w:p>
      <w:pPr>
        <w:ind w:left="360" w:right="660"/>
        <w:spacing w:after="0" w:line="384" w:lineRule="auto"/>
        <w:rPr>
          <w:sz w:val="20"/>
          <w:szCs w:val="20"/>
          <w:color w:val="auto"/>
        </w:rPr>
      </w:pPr>
      <w:r>
        <w:rPr>
          <w:rFonts w:ascii="Times New Roman" w:cs="Times New Roman" w:eastAsia="Times New Roman" w:hAnsi="Times New Roman"/>
          <w:sz w:val="16"/>
          <w:szCs w:val="16"/>
          <w:color w:val="auto"/>
        </w:rPr>
        <w:t>•Restructuring and separation activity – Includes the tax impact of the Nutraceuticals business divestiture and company-wide restructuring activities; and •Other and tax reform related activity – Includes miscellaneous state and foreign statute adjustments.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 w:name="page49"/>
    <w:bookmarkEnd w:id="48"/>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is a calculation of the effective tax rate, excluding the impact of these key items for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40" w:type="dxa"/>
            <w:vAlign w:val="bottom"/>
          </w:tcPr>
          <w:p>
            <w:pPr>
              <w:spacing w:after="0"/>
              <w:rPr>
                <w:sz w:val="16"/>
                <w:szCs w:val="16"/>
                <w:color w:val="auto"/>
              </w:rPr>
            </w:pPr>
          </w:p>
        </w:tc>
        <w:tc>
          <w:tcPr>
            <w:tcW w:w="10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(809)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Key items (pre-tax)</w:t>
            </w:r>
            <w:r>
              <w:rPr>
                <w:rFonts w:ascii="Times New Roman" w:cs="Times New Roman" w:eastAsia="Times New Roman" w:hAnsi="Times New Roman"/>
                <w:sz w:val="20"/>
                <w:szCs w:val="20"/>
                <w:color w:val="auto"/>
                <w:vertAlign w:val="superscript"/>
              </w:rPr>
              <w:t>(a)</w:t>
            </w:r>
          </w:p>
        </w:tc>
        <w:tc>
          <w:tcPr>
            <w:tcW w:w="240" w:type="dxa"/>
            <w:vAlign w:val="bottom"/>
          </w:tcPr>
          <w:p>
            <w:pPr>
              <w:spacing w:after="0"/>
              <w:rPr>
                <w:sz w:val="15"/>
                <w:szCs w:val="15"/>
                <w:color w:val="auto"/>
              </w:rPr>
            </w:pPr>
          </w:p>
        </w:tc>
        <w:tc>
          <w:tcPr>
            <w:tcW w:w="10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959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Adjusted income from continuing operations before income taxes</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203</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8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rate adjustments: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5"/>
                <w:szCs w:val="15"/>
                <w:color w:val="auto"/>
              </w:rPr>
              <w:t>Tax effect of key items</w:t>
            </w:r>
            <w:r>
              <w:rPr>
                <w:rFonts w:ascii="Times New Roman" w:cs="Times New Roman" w:eastAsia="Times New Roman" w:hAnsi="Times New Roman"/>
                <w:sz w:val="20"/>
                <w:szCs w:val="20"/>
                <w:color w:val="auto"/>
                <w:vertAlign w:val="superscript"/>
              </w:rPr>
              <w:t>(b)</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Tax specific key items:</w:t>
            </w:r>
            <w:r>
              <w:rPr>
                <w:rFonts w:ascii="Times New Roman" w:cs="Times New Roman" w:eastAsia="Times New Roman" w:hAnsi="Times New Roman"/>
                <w:sz w:val="20"/>
                <w:szCs w:val="20"/>
                <w:color w:val="auto"/>
                <w:vertAlign w:val="superscript"/>
              </w:rPr>
              <w:t>(c)</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Uncertain tax positions</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Valuation allowance</w:t>
            </w:r>
          </w:p>
        </w:tc>
        <w:tc>
          <w:tcPr>
            <w:tcW w:w="24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Restructuring and separation activity</w:t>
            </w:r>
          </w:p>
        </w:tc>
        <w:tc>
          <w:tcPr>
            <w:tcW w:w="2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Other and tax reform related activity</w:t>
            </w:r>
          </w:p>
        </w:tc>
        <w:tc>
          <w:tcPr>
            <w:tcW w:w="24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income tax rate adjustments</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Adjusted income tax expense</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5"/>
                <w:szCs w:val="15"/>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3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Effective tax rate</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929%</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Effective Tax Rate, Excluding Key Items (Non-GAAP)</w:t>
            </w:r>
            <w:r>
              <w:rPr>
                <w:rFonts w:ascii="Times New Roman" w:cs="Times New Roman" w:eastAsia="Times New Roman" w:hAnsi="Times New Roman"/>
                <w:sz w:val="21"/>
                <w:szCs w:val="21"/>
                <w:color w:val="auto"/>
                <w:vertAlign w:val="superscript"/>
              </w:rPr>
              <w:t>(d)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right="160"/>
        <w:spacing w:after="0" w:line="258" w:lineRule="auto"/>
        <w:rPr>
          <w:sz w:val="20"/>
          <w:szCs w:val="20"/>
          <w:color w:val="auto"/>
        </w:rPr>
      </w:pPr>
      <w:r>
        <w:rPr>
          <w:rFonts w:ascii="Times New Roman" w:cs="Times New Roman" w:eastAsia="Times New Roman" w:hAnsi="Times New Roman"/>
          <w:sz w:val="13"/>
          <w:szCs w:val="13"/>
          <w:color w:val="auto"/>
        </w:rPr>
        <w:t>(a)See Adjusted EBITDA reconciliation table disclosed below in this Management, Discussion and Analysis of Financial Condition and Results of Operation for a summary of the key items, before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(b)The tax rate specific to the jurisdiction in which the key item originates is used to calculate the tax effect of key items.</w:t>
      </w:r>
    </w:p>
    <w:p>
      <w:pPr>
        <w:spacing w:after="0" w:line="3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3"/>
          <w:szCs w:val="13"/>
          <w:color w:val="auto"/>
        </w:rPr>
        <w:t>(c)For additional information on the effect that these tax specific key items had on EPS, see the Adjusted Diluted EPS table disclosed below in this Management Discussion and Analysis of Financial Condition and Results of Operation.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(d)Due to rounding conventions, the effective tax rate presented may not recalculate precisely based on the numbers disclosed within this table.</w:t>
      </w:r>
    </w:p>
    <w:p>
      <w:pPr>
        <w:spacing w:after="0" w:line="101" w:lineRule="exact"/>
        <w:rPr>
          <w:sz w:val="20"/>
          <w:szCs w:val="20"/>
          <w:color w:val="auto"/>
        </w:rPr>
      </w:pPr>
    </w:p>
    <w:p>
      <w:pPr>
        <w:ind w:right="50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provides a reconciliation of tax specific key items within the statutory federal income tax with the provision for income taxes summary disclosed in Note K of the Notes to Consolidated Financial Statements for the years ended September 30: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Tax effect of key items computed at applicable statutory rate</w:t>
            </w:r>
            <w:r>
              <w:rPr>
                <w:rFonts w:ascii="Times New Roman" w:cs="Times New Roman" w:eastAsia="Times New Roman" w:hAnsi="Times New Roman"/>
                <w:sz w:val="20"/>
                <w:szCs w:val="20"/>
                <w:color w:val="auto"/>
                <w:vertAlign w:val="superscript"/>
              </w:rPr>
              <w:t>(a)</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4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4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Uncertain tax positions</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Valuation allowance changes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Basis difference on stock sale</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Tax law changes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 US restructuring</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Deemed inclusions, foreign dividends and other restructuring</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6300" w:type="dxa"/>
            <w:vAlign w:val="bottom"/>
          </w:tcPr>
          <w:p>
            <w:pPr>
              <w:spacing w:after="0"/>
              <w:rPr>
                <w:sz w:val="15"/>
                <w:szCs w:val="15"/>
                <w:color w:val="auto"/>
              </w:rPr>
            </w:pP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20"/>
        </w:trPr>
        <w:tc>
          <w:tcPr>
            <w:tcW w:w="6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(a)The tax rate specific to the jurisdiction in which the key item originates is used to calculate the tax effect of key items.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6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change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change</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(loss) from discontinued operations, net of income taxes</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Performance Adhesives</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49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Composites/Marl Facility</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Asbestos-related litigation</w:t>
            </w:r>
          </w:p>
        </w:tc>
        <w:tc>
          <w:tcPr>
            <w:tcW w:w="1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49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Water Technologies</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4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Distribution</w:t>
            </w:r>
          </w:p>
        </w:tc>
        <w:tc>
          <w:tcPr>
            <w:tcW w:w="1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49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Valvoline</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492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20"/>
        </w:trPr>
        <w:tc>
          <w:tcPr>
            <w:tcW w:w="4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598"/>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M-9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49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9" w:name="page50"/>
    <w:bookmarkEnd w:id="49"/>
    <w:p>
      <w:pPr>
        <w:spacing w:after="0" w:line="17" w:lineRule="exact"/>
        <w:rPr>
          <w:sz w:val="20"/>
          <w:szCs w:val="20"/>
          <w:color w:val="auto"/>
        </w:rPr>
      </w:pPr>
    </w:p>
    <w:p>
      <w:pPr>
        <w:ind w:right="140" w:firstLine="348"/>
        <w:spacing w:after="0" w:line="259" w:lineRule="auto"/>
        <w:rPr>
          <w:sz w:val="20"/>
          <w:szCs w:val="20"/>
          <w:color w:val="auto"/>
        </w:rPr>
      </w:pPr>
      <w:r>
        <w:rPr>
          <w:rFonts w:ascii="Times New Roman" w:cs="Times New Roman" w:eastAsia="Times New Roman" w:hAnsi="Times New Roman"/>
          <w:sz w:val="16"/>
          <w:szCs w:val="16"/>
          <w:color w:val="auto"/>
        </w:rPr>
        <w:t>In 2025, 2024 and 2023, the Performance Adhesives activity represents subsequent adjustments that were made in conjunction with the post-closing disputes and tax reserves.</w:t>
      </w:r>
    </w:p>
    <w:p>
      <w:pPr>
        <w:spacing w:after="0" w:line="59" w:lineRule="exact"/>
        <w:rPr>
          <w:sz w:val="20"/>
          <w:szCs w:val="20"/>
          <w:color w:val="auto"/>
        </w:rPr>
      </w:pPr>
    </w:p>
    <w:p>
      <w:pPr>
        <w:ind w:right="20" w:firstLine="348"/>
        <w:spacing w:after="0" w:line="259" w:lineRule="auto"/>
        <w:rPr>
          <w:sz w:val="20"/>
          <w:szCs w:val="20"/>
          <w:color w:val="auto"/>
        </w:rPr>
      </w:pPr>
      <w:r>
        <w:rPr>
          <w:rFonts w:ascii="Times New Roman" w:cs="Times New Roman" w:eastAsia="Times New Roman" w:hAnsi="Times New Roman"/>
          <w:sz w:val="16"/>
          <w:szCs w:val="16"/>
          <w:color w:val="auto"/>
        </w:rPr>
        <w:t>Asbestos-related activity during 2025, 2024 and 2023 included after-tax net expense adjustments to the asbestos reserves and receivables including the adjustments for the annual update for each of these years.</w:t>
      </w:r>
    </w:p>
    <w:p>
      <w:pPr>
        <w:spacing w:after="0" w:line="59" w:lineRule="exact"/>
        <w:rPr>
          <w:sz w:val="20"/>
          <w:szCs w:val="20"/>
          <w:color w:val="auto"/>
        </w:rPr>
      </w:pPr>
    </w:p>
    <w:p>
      <w:pPr>
        <w:ind w:right="120" w:firstLine="348"/>
        <w:spacing w:after="0" w:line="259" w:lineRule="auto"/>
        <w:rPr>
          <w:sz w:val="20"/>
          <w:szCs w:val="20"/>
          <w:color w:val="auto"/>
        </w:rPr>
      </w:pPr>
      <w:r>
        <w:rPr>
          <w:rFonts w:ascii="Times New Roman" w:cs="Times New Roman" w:eastAsia="Times New Roman" w:hAnsi="Times New Roman"/>
          <w:sz w:val="16"/>
          <w:szCs w:val="16"/>
          <w:color w:val="auto"/>
        </w:rPr>
        <w:t>The Valvoline activity within 2025, 2024 and 2023 primarily represents subsequent adjustments that were made in conjunction with post-closing disputes and the Tax Matters Agreement with Valvoline.</w:t>
      </w:r>
    </w:p>
    <w:p>
      <w:pPr>
        <w:spacing w:after="0" w:line="59"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The activity for Water Technologies, Composites/Marl Facility and Distribution were primarily related to post-closing adjustments associated with environmental remediation reserves associated with these businesses.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See Note C of the Notes to Consolidated Financial Statements for more information related to discontinued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comprehensive income (loss)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comparative analysis of the components of other comprehensive income (loss) is provided below for the years ended September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2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6"/>
                <w:szCs w:val="16"/>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change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change</w:t>
            </w:r>
          </w:p>
        </w:tc>
      </w:tr>
      <w:tr>
        <w:trPr>
          <w:trHeight w:val="180"/>
        </w:trPr>
        <w:tc>
          <w:tcPr>
            <w:tcW w:w="4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47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translation gain</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880" w:type="dxa"/>
            <w:vAlign w:val="bottom"/>
            <w:gridSpan w:val="2"/>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47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gain (loss) on commodity hedges</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4740" w:type="dxa"/>
            <w:vAlign w:val="bottom"/>
          </w:tcPr>
          <w:p>
            <w:pPr>
              <w:spacing w:after="0"/>
              <w:rPr>
                <w:sz w:val="15"/>
                <w:szCs w:val="15"/>
                <w:color w:val="auto"/>
              </w:rPr>
            </w:pP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880" w:type="dxa"/>
            <w:vAlign w:val="bottom"/>
            <w:gridSpan w:val="2"/>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20"/>
        </w:trPr>
        <w:tc>
          <w:tcPr>
            <w:tcW w:w="4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other comprehensive income (loss), net of tax, decreased $8 million in 2025 as compared to 2024, as a result of the following components:</w:t>
      </w:r>
    </w:p>
    <w:p>
      <w:pPr>
        <w:spacing w:after="0" w:line="92" w:lineRule="exact"/>
        <w:rPr>
          <w:sz w:val="20"/>
          <w:szCs w:val="20"/>
          <w:color w:val="auto"/>
        </w:rPr>
      </w:pPr>
    </w:p>
    <w:p>
      <w:pPr>
        <w:jc w:val="both"/>
        <w:ind w:left="360" w:right="140" w:hanging="6"/>
        <w:spacing w:after="0" w:line="247" w:lineRule="auto"/>
        <w:tabs>
          <w:tab w:leader="none" w:pos="45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2025, the change in unrealized gain from foreign currency translation adjustments resulted in a gain of $45 million, compared to a gain of $54 million during 2024. The fluctuations in unrealized translation gains and losses were primarily due to translating foreign subsidiary financial statements from local currencies to U.S. Dollars; and</w:t>
      </w:r>
    </w:p>
    <w:p>
      <w:pPr>
        <w:spacing w:after="0" w:line="68" w:lineRule="exact"/>
        <w:rPr>
          <w:rFonts w:ascii="Times New Roman" w:cs="Times New Roman" w:eastAsia="Times New Roman" w:hAnsi="Times New Roman"/>
          <w:sz w:val="16"/>
          <w:szCs w:val="16"/>
          <w:color w:val="auto"/>
        </w:rPr>
      </w:pPr>
    </w:p>
    <w:p>
      <w:pPr>
        <w:ind w:left="360" w:right="40" w:hanging="6"/>
        <w:spacing w:after="0" w:line="259" w:lineRule="auto"/>
        <w:tabs>
          <w:tab w:leader="none" w:pos="45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2025, a $2 million unrealized gain on commodity hedges was recorded compared to a gain of $1 million during 2024. See Note E of the Notes to Consolidated Financial Statements for more information.</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other comprehensive income (loss), net of tax, decreased $11 million in 2024 as compared to 2023 as a result of the following components:</w:t>
      </w:r>
    </w:p>
    <w:p>
      <w:pPr>
        <w:spacing w:after="0" w:line="92" w:lineRule="exact"/>
        <w:rPr>
          <w:sz w:val="20"/>
          <w:szCs w:val="20"/>
          <w:color w:val="auto"/>
        </w:rPr>
      </w:pPr>
    </w:p>
    <w:p>
      <w:pPr>
        <w:jc w:val="both"/>
        <w:ind w:left="360" w:right="140" w:hanging="6"/>
        <w:spacing w:after="0" w:line="247" w:lineRule="auto"/>
        <w:tabs>
          <w:tab w:leader="none" w:pos="45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the change in unrealized gain from foreign currency translation adjustments resulted in a gain of $54 million, compared to a gain of $72 million during 2023. The fluctuations in unrealized translation gains and losses were primarily due to translating foreign subsidiary financial statements from local currencies to U.S. Dollars; and</w:t>
      </w:r>
    </w:p>
    <w:p>
      <w:pPr>
        <w:spacing w:after="0" w:line="68" w:lineRule="exact"/>
        <w:rPr>
          <w:rFonts w:ascii="Times New Roman" w:cs="Times New Roman" w:eastAsia="Times New Roman" w:hAnsi="Times New Roman"/>
          <w:sz w:val="16"/>
          <w:szCs w:val="16"/>
          <w:color w:val="auto"/>
        </w:rPr>
      </w:pPr>
    </w:p>
    <w:p>
      <w:pPr>
        <w:ind w:left="360" w:right="60" w:hanging="6"/>
        <w:spacing w:after="0" w:line="259" w:lineRule="auto"/>
        <w:tabs>
          <w:tab w:leader="none" w:pos="45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a $1 million unrealized gain on commodity hedges was recorded compared to a loss of $6 million during 2023. See Note E of the Notes to Consolidated Financial Statements for more information.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Non-GAAP Financial Measures</w:t>
      </w:r>
    </w:p>
    <w:p>
      <w:pPr>
        <w:spacing w:after="0" w:line="96" w:lineRule="exact"/>
        <w:rPr>
          <w:sz w:val="20"/>
          <w:szCs w:val="20"/>
          <w:color w:val="auto"/>
        </w:rPr>
      </w:pPr>
    </w:p>
    <w:p>
      <w:pPr>
        <w:ind w:right="220" w:firstLine="348"/>
        <w:spacing w:after="0" w:line="247" w:lineRule="auto"/>
        <w:rPr>
          <w:sz w:val="20"/>
          <w:szCs w:val="20"/>
          <w:color w:val="auto"/>
        </w:rPr>
      </w:pPr>
      <w:r>
        <w:rPr>
          <w:rFonts w:ascii="Times New Roman" w:cs="Times New Roman" w:eastAsia="Times New Roman" w:hAnsi="Times New Roman"/>
          <w:sz w:val="16"/>
          <w:szCs w:val="16"/>
          <w:color w:val="auto"/>
        </w:rPr>
        <w:t>Ashland has included within this document the following non-GAAP financial measures, on both a consolidated and reportable segment basis, which are not defined within U.S. GAAP and do not purport to be alternatives to net income (loss) or cash flows from operating activities as a measure of operating performance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EBITDA, Adjusted EBITDA and Adjusted EBITDA Margin</w:t>
      </w:r>
    </w:p>
    <w:p>
      <w:pPr>
        <w:spacing w:after="0" w:line="94" w:lineRule="exact"/>
        <w:rPr>
          <w:sz w:val="20"/>
          <w:szCs w:val="20"/>
          <w:color w:val="auto"/>
        </w:rPr>
      </w:pPr>
    </w:p>
    <w:p>
      <w:pPr>
        <w:ind w:right="140" w:firstLine="348"/>
        <w:spacing w:after="0" w:line="259" w:lineRule="auto"/>
        <w:rPr>
          <w:sz w:val="20"/>
          <w:szCs w:val="20"/>
          <w:color w:val="auto"/>
        </w:rPr>
      </w:pPr>
      <w:r>
        <w:rPr>
          <w:rFonts w:ascii="Times New Roman" w:cs="Times New Roman" w:eastAsia="Times New Roman" w:hAnsi="Times New Roman"/>
          <w:sz w:val="16"/>
          <w:szCs w:val="16"/>
          <w:color w:val="auto"/>
        </w:rPr>
        <w:t>EBITDA is defined as net income (loss), plus income tax expense (benefit), net interest and other expense (income), and depreciation and amortization. Adjusted EBITDA is EBITDA adjusted for discontinued operations and key items (including</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 w:name="page51"/>
    <w:bookmarkEnd w:id="50"/>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remeasurement gains and losses related to pension and other postretirement plans). Adjusted EBITDA margin is Adjusted EBITDA divided by sales.</w:t>
      </w:r>
    </w:p>
    <w:p>
      <w:pPr>
        <w:spacing w:after="0" w:line="92" w:lineRule="exact"/>
        <w:rPr>
          <w:sz w:val="20"/>
          <w:szCs w:val="20"/>
          <w:color w:val="auto"/>
        </w:rPr>
      </w:pPr>
    </w:p>
    <w:p>
      <w:pPr>
        <w:ind w:right="40" w:firstLine="348"/>
        <w:spacing w:after="0" w:line="237" w:lineRule="auto"/>
        <w:rPr>
          <w:sz w:val="20"/>
          <w:szCs w:val="20"/>
          <w:color w:val="auto"/>
        </w:rPr>
      </w:pPr>
      <w:r>
        <w:rPr>
          <w:rFonts w:ascii="Times New Roman" w:cs="Times New Roman" w:eastAsia="Times New Roman" w:hAnsi="Times New Roman"/>
          <w:sz w:val="16"/>
          <w:szCs w:val="16"/>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(loss) and operating income (loss). The adjustments Ashland makes to derive the non-GAAP financial measures of EBITDA and Adjusted EBITDA exclude items which may cause short-term fluctuations in net income (loss) and operating income (loss)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segments and provide continuity to investors for comparability purposes.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Diluted Earnings Per Share (EPS)</w:t>
      </w:r>
    </w:p>
    <w:p>
      <w:pPr>
        <w:spacing w:after="0" w:line="94" w:lineRule="exact"/>
        <w:rPr>
          <w:sz w:val="20"/>
          <w:szCs w:val="20"/>
          <w:color w:val="auto"/>
        </w:rPr>
      </w:pPr>
    </w:p>
    <w:p>
      <w:pPr>
        <w:ind w:right="60" w:firstLine="348"/>
        <w:spacing w:after="0" w:line="289" w:lineRule="auto"/>
        <w:rPr>
          <w:sz w:val="20"/>
          <w:szCs w:val="20"/>
          <w:color w:val="auto"/>
        </w:rPr>
      </w:pPr>
      <w:r>
        <w:rPr>
          <w:rFonts w:ascii="Times New Roman" w:cs="Times New Roman" w:eastAsia="Times New Roman" w:hAnsi="Times New Roman"/>
          <w:sz w:val="14"/>
          <w:szCs w:val="14"/>
          <w:color w:val="auto"/>
        </w:rPr>
        <w:t>Adjusted Diluted EPS is defined as income (loss) from continuing operations, adjusted for key items, net of tax, divided by the average outstanding diluted shares for the applicable period. The Adjusted Diluted EPS metric enables Ashland to demonstrate what effect key items have on EPS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Diluted Earnings Per Share (EPS) Excluding Intangibles Amortization Expense</w:t>
      </w:r>
    </w:p>
    <w:p>
      <w:pPr>
        <w:spacing w:after="0" w:line="94" w:lineRule="exact"/>
        <w:rPr>
          <w:sz w:val="20"/>
          <w:szCs w:val="20"/>
          <w:color w:val="auto"/>
        </w:rPr>
      </w:pPr>
    </w:p>
    <w:p>
      <w:pPr>
        <w:jc w:val="both"/>
        <w:ind w:right="120" w:firstLine="348"/>
        <w:spacing w:after="0" w:line="243" w:lineRule="auto"/>
        <w:rPr>
          <w:sz w:val="20"/>
          <w:szCs w:val="20"/>
          <w:color w:val="auto"/>
        </w:rPr>
      </w:pPr>
      <w:r>
        <w:rPr>
          <w:rFonts w:ascii="Times New Roman" w:cs="Times New Roman" w:eastAsia="Times New Roman" w:hAnsi="Times New Roman"/>
          <w:sz w:val="16"/>
          <w:szCs w:val="16"/>
          <w:color w:val="auto"/>
        </w:rPr>
        <w:t>The Adjusted Diluted EPS Excluding Intangible Amortization Expense is Adjusted Diluted EPS adjusted for intangibles amortization expense net of tax, divided by the average outstanding diluted shares for the applicable period. 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Free Cash Flow, Ongoing Free Cash Flow and Ongoing Free Cash Flow Conversion</w:t>
      </w:r>
    </w:p>
    <w:p>
      <w:pPr>
        <w:spacing w:after="0" w:line="94" w:lineRule="exact"/>
        <w:rPr>
          <w:sz w:val="20"/>
          <w:szCs w:val="20"/>
          <w:color w:val="auto"/>
        </w:rPr>
      </w:pPr>
    </w:p>
    <w:p>
      <w:pPr>
        <w:ind w:firstLine="348"/>
        <w:spacing w:after="0" w:line="237" w:lineRule="auto"/>
        <w:rPr>
          <w:sz w:val="20"/>
          <w:szCs w:val="20"/>
          <w:color w:val="auto"/>
        </w:rPr>
      </w:pPr>
      <w:r>
        <w:rPr>
          <w:rFonts w:ascii="Times New Roman" w:cs="Times New Roman" w:eastAsia="Times New Roman" w:hAnsi="Times New Roman"/>
          <w:sz w:val="16"/>
          <w:szCs w:val="16"/>
          <w:color w:val="auto"/>
        </w:rPr>
        <w:t>Free Cash Flow is defined as operating cash flows less capital expenditures while Ongoing Free Cash Flow is operating cash flows less capital expenditures and certain other adjustments as applicable. Ongoing Free Cash Flow Conversion is Ongoing Free Cash Flow divided by Adjusted EBITDA. These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Ongoing Free Cash Flow, and Free Cash Flow Conversion are non-GAAP liquidity measures that Ashland believes provide useful information to management and investors about Ashland's ability to convert Adjusted EBITDA to Ongoing Free Cash Flow. These liquidity measures are used regularly by Ashland's stakeholders and industry peers to measure the efficiency at providing cash from regular business activity. Free Cash Flow, Ongoing Free Cash Flow, and Ongoing Free Cash Flow Conversion have certain limitations, including that they do not reflect adjustments for certain non-discretionary cash flows such as mandatory debt repayments. The amount of mandatory versus discretionary expenditures can vary significantly between periods.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disclosures on non-GAAP financial measures</w:t>
      </w:r>
    </w:p>
    <w:p>
      <w:pPr>
        <w:spacing w:after="0" w:line="94"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1" w:name="page52"/>
    <w:bookmarkEnd w:id="51"/>
    <w:p>
      <w:pPr>
        <w:spacing w:after="0" w:line="17" w:lineRule="exact"/>
        <w:rPr>
          <w:sz w:val="20"/>
          <w:szCs w:val="20"/>
          <w:color w:val="auto"/>
        </w:rPr>
      </w:pPr>
    </w:p>
    <w:p>
      <w:pPr>
        <w:jc w:val="both"/>
        <w:ind w:right="120"/>
        <w:spacing w:after="0" w:line="299" w:lineRule="auto"/>
        <w:rPr>
          <w:sz w:val="20"/>
          <w:szCs w:val="20"/>
          <w:color w:val="auto"/>
        </w:rPr>
      </w:pPr>
      <w:r>
        <w:rPr>
          <w:rFonts w:ascii="Times New Roman" w:cs="Times New Roman" w:eastAsia="Times New Roman" w:hAnsi="Times New Roman"/>
          <w:sz w:val="14"/>
          <w:szCs w:val="14"/>
          <w:color w:val="auto"/>
        </w:rPr>
        <w:t>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34" w:lineRule="exact"/>
        <w:rPr>
          <w:sz w:val="20"/>
          <w:szCs w:val="20"/>
          <w:color w:val="auto"/>
        </w:rPr>
      </w:pPr>
    </w:p>
    <w:p>
      <w:pPr>
        <w:ind w:firstLine="348"/>
        <w:spacing w:after="0" w:line="239" w:lineRule="auto"/>
        <w:rPr>
          <w:sz w:val="20"/>
          <w:szCs w:val="20"/>
          <w:color w:val="auto"/>
        </w:rPr>
      </w:pPr>
      <w:r>
        <w:rPr>
          <w:rFonts w:ascii="Times New Roman" w:cs="Times New Roman" w:eastAsia="Times New Roman" w:hAnsi="Times New Roman"/>
          <w:sz w:val="16"/>
          <w:szCs w:val="16"/>
          <w:color w:val="auto"/>
        </w:rPr>
        <w:t>These non -GAAP financial measures should be considered supplemental in nature and should not be construed as more significant than comparable measures defined by U.S. GAAP. Limitations associated with the use of these non-GAAP financial measures include that these measures do not present all of the amounts associated with our results as determined in accordance with U.S. GAAP. The non-GAAP financial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financial measures and are defined further in the sections that reference this metric.</w:t>
      </w:r>
    </w:p>
    <w:p>
      <w:pPr>
        <w:spacing w:after="0" w:line="74" w:lineRule="exact"/>
        <w:rPr>
          <w:sz w:val="20"/>
          <w:szCs w:val="20"/>
          <w:color w:val="auto"/>
        </w:rPr>
      </w:pPr>
    </w:p>
    <w:p>
      <w:pPr>
        <w:ind w:right="20" w:firstLine="348"/>
        <w:spacing w:after="0" w:line="237" w:lineRule="auto"/>
        <w:rPr>
          <w:sz w:val="20"/>
          <w:szCs w:val="20"/>
          <w:color w:val="auto"/>
        </w:rPr>
      </w:pPr>
      <w:r>
        <w:rPr>
          <w:rFonts w:ascii="Times New Roman" w:cs="Times New Roman" w:eastAsia="Times New Roman" w:hAnsi="Times New Roman"/>
          <w:sz w:val="16"/>
          <w:szCs w:val="16"/>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L of the Notes to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EBITDA and Adjusted EBITDA</w:t>
      </w:r>
    </w:p>
    <w:p>
      <w:pPr>
        <w:spacing w:after="0" w:line="94" w:lineRule="exact"/>
        <w:rPr>
          <w:sz w:val="20"/>
          <w:szCs w:val="20"/>
          <w:color w:val="auto"/>
        </w:rPr>
      </w:pPr>
    </w:p>
    <w:p>
      <w:pPr>
        <w:ind w:right="240" w:firstLine="348"/>
        <w:spacing w:after="0" w:line="243" w:lineRule="auto"/>
        <w:rPr>
          <w:sz w:val="20"/>
          <w:szCs w:val="20"/>
          <w:color w:val="auto"/>
        </w:rPr>
      </w:pPr>
      <w:r>
        <w:rPr>
          <w:rFonts w:ascii="Times New Roman" w:cs="Times New Roman" w:eastAsia="Times New Roman" w:hAnsi="Times New Roman"/>
          <w:sz w:val="16"/>
          <w:szCs w:val="16"/>
          <w:color w:val="auto"/>
        </w:rPr>
        <w:t>EBITDA totaled loss of $601 million for 2025, and income of $142 million and $419 million for 2024 and 2023, respectively. EBITDA and Adjusted EBITDA results in the following table have been prepared to illustrate the ongoing effects of Ashland’s operations, which exclude certain key items previously described. Management believes the use of such non-GAAP financial measures on a consolidated and reportable segment basis assists investors in understanding the ongoing operating performance by presenting the financial results between periods on a more comparable basis.</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These operating key items for the applicable periods are summarized as follows:</w:t>
      </w:r>
    </w:p>
    <w:p>
      <w:pPr>
        <w:spacing w:after="0" w:line="92" w:lineRule="exact"/>
        <w:rPr>
          <w:sz w:val="20"/>
          <w:szCs w:val="20"/>
          <w:color w:val="auto"/>
        </w:rPr>
      </w:pPr>
    </w:p>
    <w:p>
      <w:pPr>
        <w:ind w:left="360" w:right="220" w:hanging="6"/>
        <w:spacing w:after="0" w:line="259" w:lineRule="auto"/>
        <w:tabs>
          <w:tab w:leader="none" w:pos="45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impairment – Ashland recorded a non-cash goodwill impairment charge of $706 million within the goodwill impairment caption of the Statement of Consolidated Comprehensive Income (Loss) in 2025. See Note G of the Notes to Consolidated Financial Statements for more information;</w:t>
      </w:r>
    </w:p>
    <w:p>
      <w:pPr>
        <w:spacing w:after="0" w:line="59" w:lineRule="exact"/>
        <w:rPr>
          <w:rFonts w:ascii="Times New Roman" w:cs="Times New Roman" w:eastAsia="Times New Roman" w:hAnsi="Times New Roman"/>
          <w:sz w:val="16"/>
          <w:szCs w:val="16"/>
          <w:color w:val="auto"/>
        </w:rPr>
      </w:pPr>
    </w:p>
    <w:p>
      <w:pPr>
        <w:ind w:left="360" w:right="40" w:hanging="6"/>
        <w:spacing w:after="0" w:line="247" w:lineRule="auto"/>
        <w:tabs>
          <w:tab w:leader="none" w:pos="45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Avoca business impairment and sale – During 2025, Ashland sold substantially all of the net assets of its Avoca business. As a result, Ashland recorded an impairment charge and gain on sale within the income (loss) on acquisitions and divestitures, net caption of the Statement of Consolidated Comprehensive Income (Loss) in 2025. See Note B of the Notes to Consolidated Financial Statements for more information;</w:t>
      </w:r>
    </w:p>
    <w:p>
      <w:pPr>
        <w:spacing w:after="0" w:line="68" w:lineRule="exact"/>
        <w:rPr>
          <w:rFonts w:ascii="Times New Roman" w:cs="Times New Roman" w:eastAsia="Times New Roman" w:hAnsi="Times New Roman"/>
          <w:sz w:val="16"/>
          <w:szCs w:val="16"/>
          <w:color w:val="auto"/>
        </w:rPr>
      </w:pPr>
    </w:p>
    <w:p>
      <w:pPr>
        <w:ind w:left="360" w:right="140" w:hanging="6"/>
        <w:spacing w:after="0" w:line="247" w:lineRule="auto"/>
        <w:tabs>
          <w:tab w:leader="none" w:pos="45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depreciation – As a result of product line optimization activities at manufacturing facilities within the Life Sciences, Specialty Additives and Personal Care reportable segments, Ashland recorded accelerated depreciation due to changes in the expected useful life of certain property, plant and equipment during 2025 and 2024. See Note D of the Notes to Consolidated Financial Statements for more information;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2" w:name="page53"/>
    <w:bookmarkEnd w:id="52"/>
    <w:p>
      <w:pPr>
        <w:spacing w:after="0" w:line="17" w:lineRule="exact"/>
        <w:rPr>
          <w:sz w:val="20"/>
          <w:szCs w:val="20"/>
          <w:color w:val="auto"/>
        </w:rPr>
      </w:pPr>
    </w:p>
    <w:p>
      <w:pPr>
        <w:ind w:left="360" w:right="180" w:hanging="6"/>
        <w:spacing w:after="0" w:line="243" w:lineRule="auto"/>
        <w:tabs>
          <w:tab w:leader="none" w:pos="4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 remediation reserves and receivables primarily related to previously divested businesses or non-operational sites. See Note M of the Notes to Consolidated Financial Statements for more information;</w:t>
      </w:r>
    </w:p>
    <w:p>
      <w:pPr>
        <w:spacing w:after="0" w:line="71" w:lineRule="exact"/>
        <w:rPr>
          <w:rFonts w:ascii="Times New Roman" w:cs="Times New Roman" w:eastAsia="Times New Roman" w:hAnsi="Times New Roman"/>
          <w:sz w:val="16"/>
          <w:szCs w:val="16"/>
          <w:color w:val="auto"/>
        </w:rPr>
      </w:pPr>
    </w:p>
    <w:p>
      <w:pPr>
        <w:ind w:left="360" w:right="320" w:hanging="6"/>
        <w:spacing w:after="0" w:line="243" w:lineRule="auto"/>
        <w:tabs>
          <w:tab w:leader="none" w:pos="4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separation and other costs – Ashland periodically implements company-wide and targeted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of the Notes to Consolidated Financial Statements for further information on the restructuring activities;</w:t>
      </w:r>
    </w:p>
    <w:p>
      <w:pPr>
        <w:spacing w:after="0" w:line="71" w:lineRule="exact"/>
        <w:rPr>
          <w:rFonts w:ascii="Times New Roman" w:cs="Times New Roman" w:eastAsia="Times New Roman" w:hAnsi="Times New Roman"/>
          <w:sz w:val="16"/>
          <w:szCs w:val="16"/>
          <w:color w:val="auto"/>
        </w:rPr>
      </w:pPr>
    </w:p>
    <w:p>
      <w:pPr>
        <w:ind w:left="360" w:right="240" w:hanging="6"/>
        <w:spacing w:after="0" w:line="259" w:lineRule="auto"/>
        <w:tabs>
          <w:tab w:leader="none" w:pos="4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plant optimization costs – During 2025 and 2024, Ashland incurred inventory adjustment and production costs associated with product line optimization actions;</w:t>
      </w:r>
    </w:p>
    <w:p>
      <w:pPr>
        <w:spacing w:after="0" w:line="59" w:lineRule="exact"/>
        <w:rPr>
          <w:rFonts w:ascii="Times New Roman" w:cs="Times New Roman" w:eastAsia="Times New Roman" w:hAnsi="Times New Roman"/>
          <w:sz w:val="16"/>
          <w:szCs w:val="16"/>
          <w:color w:val="auto"/>
        </w:rPr>
      </w:pPr>
    </w:p>
    <w:p>
      <w:pPr>
        <w:ind w:left="360" w:right="100" w:hanging="6"/>
        <w:spacing w:after="0" w:line="299"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Nutraceuticals business impairment and sale – During 2024, Ashland sold substantially all of the net assets of its Nutraceuticals business. As a result, Ashland recorded an impairment charge and loss on sale within the income (loss) on acquisitions and divestitures, net caption of the Statements of Consolidated Comprehensive Income (Loss) in 2024 and post-closing adjustments in 2025. See Note B of the Notes to Consolidated Financial Statements for more information;</w:t>
      </w:r>
    </w:p>
    <w:p>
      <w:pPr>
        <w:spacing w:after="0" w:line="34" w:lineRule="exact"/>
        <w:rPr>
          <w:rFonts w:ascii="Times New Roman" w:cs="Times New Roman" w:eastAsia="Times New Roman" w:hAnsi="Times New Roman"/>
          <w:sz w:val="14"/>
          <w:szCs w:val="14"/>
          <w:color w:val="auto"/>
        </w:rPr>
      </w:pPr>
    </w:p>
    <w:p>
      <w:pPr>
        <w:ind w:left="360" w:right="640" w:hanging="6"/>
        <w:spacing w:after="0" w:line="259" w:lineRule="auto"/>
        <w:tabs>
          <w:tab w:leader="none" w:pos="4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impairments – Ashland recognized impairment charges to certain assets during 2024 and 2023. See Note D of the Notes to Consolidated Financial Statements for more information;</w:t>
      </w:r>
    </w:p>
    <w:p>
      <w:pPr>
        <w:spacing w:after="0" w:line="59" w:lineRule="exact"/>
        <w:rPr>
          <w:rFonts w:ascii="Times New Roman" w:cs="Times New Roman" w:eastAsia="Times New Roman" w:hAnsi="Times New Roman"/>
          <w:sz w:val="16"/>
          <w:szCs w:val="16"/>
          <w:color w:val="auto"/>
        </w:rPr>
      </w:pPr>
    </w:p>
    <w:p>
      <w:pPr>
        <w:ind w:left="460" w:hanging="106"/>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Nutraceuticals VAT reserve – During 2024, Ashland incurred a Value-Added Tax ("VAT") reserve associated with the sale of the Nutraceuticals business;</w:t>
      </w:r>
    </w:p>
    <w:p>
      <w:pPr>
        <w:spacing w:after="0" w:line="92" w:lineRule="exact"/>
        <w:rPr>
          <w:rFonts w:ascii="Times New Roman" w:cs="Times New Roman" w:eastAsia="Times New Roman" w:hAnsi="Times New Roman"/>
          <w:sz w:val="16"/>
          <w:szCs w:val="16"/>
          <w:color w:val="auto"/>
        </w:rPr>
      </w:pPr>
    </w:p>
    <w:p>
      <w:pPr>
        <w:ind w:left="360" w:right="120" w:hanging="6"/>
        <w:spacing w:after="0" w:line="247" w:lineRule="auto"/>
        <w:tabs>
          <w:tab w:leader="none" w:pos="4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Argentina foreign currency devaluation – Following the enactment by the Argentina government of a 50% peso devaluation against the dollar, Ashland recorded a currency devaluation charge within the selling, general and administrative expense caption of the Statement of Consolidated Comprehensive Income (Loss) during 2024;</w:t>
      </w:r>
    </w:p>
    <w:p>
      <w:pPr>
        <w:spacing w:after="0" w:line="68" w:lineRule="exact"/>
        <w:rPr>
          <w:rFonts w:ascii="Times New Roman" w:cs="Times New Roman" w:eastAsia="Times New Roman" w:hAnsi="Times New Roman"/>
          <w:sz w:val="16"/>
          <w:szCs w:val="16"/>
          <w:color w:val="auto"/>
        </w:rPr>
      </w:pPr>
    </w:p>
    <w:p>
      <w:pPr>
        <w:ind w:left="460" w:hanging="106"/>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settlement – During 2024, Ashland incurred $4 million in costs associated with a legal settlement;</w:t>
      </w:r>
    </w:p>
    <w:p>
      <w:pPr>
        <w:spacing w:after="0" w:line="92" w:lineRule="exact"/>
        <w:rPr>
          <w:rFonts w:ascii="Times New Roman" w:cs="Times New Roman" w:eastAsia="Times New Roman" w:hAnsi="Times New Roman"/>
          <w:sz w:val="16"/>
          <w:szCs w:val="16"/>
          <w:color w:val="auto"/>
        </w:rPr>
      </w:pPr>
    </w:p>
    <w:p>
      <w:pPr>
        <w:ind w:left="360" w:right="100" w:hanging="6"/>
        <w:spacing w:after="0" w:line="241" w:lineRule="auto"/>
        <w:tabs>
          <w:tab w:leader="none" w:pos="4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ICMS Brazil tax credit – In 2017, the Federal Supreme Court of Brazil ruled in a leading case that a Brazil value-added tax (ICMS) should not be included in the base used to calculate a taxpayer's federal contribution on total revenue known as PIS/COFINS (2017 Decision). Following favorable court rulings from lawsuits previously filed by two of Ashland's Brazilian subsidiaries challenging the inclusion of ICMS in Ashland's calculation of PIS/COFINS, Ashland received acknowledgment from the Brazilian tax authorities that allows Ashland to begin the process to recover the taxes. See Note M of the Notes to Consolidated Financial Statements for more information;</w:t>
      </w:r>
    </w:p>
    <w:p>
      <w:pPr>
        <w:spacing w:after="0" w:line="72" w:lineRule="exact"/>
        <w:rPr>
          <w:rFonts w:ascii="Times New Roman" w:cs="Times New Roman" w:eastAsia="Times New Roman" w:hAnsi="Times New Roman"/>
          <w:sz w:val="16"/>
          <w:szCs w:val="16"/>
          <w:color w:val="auto"/>
        </w:rPr>
      </w:pPr>
    </w:p>
    <w:p>
      <w:pPr>
        <w:ind w:left="360" w:hanging="6"/>
        <w:spacing w:after="0" w:line="259" w:lineRule="auto"/>
        <w:tabs>
          <w:tab w:leader="none" w:pos="4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 for sale depreciation and amortization – Represents the depreciation and amortization for the Avoca business assets during fiscal 2025 and the Nutraceuticals business assets during fiscal 2024. See Note B of the Notes to Consolidated Financial Statements for more information;</w:t>
      </w:r>
    </w:p>
    <w:p>
      <w:pPr>
        <w:spacing w:after="0" w:line="59" w:lineRule="exact"/>
        <w:rPr>
          <w:rFonts w:ascii="Times New Roman" w:cs="Times New Roman" w:eastAsia="Times New Roman" w:hAnsi="Times New Roman"/>
          <w:sz w:val="16"/>
          <w:szCs w:val="16"/>
          <w:color w:val="auto"/>
        </w:rPr>
      </w:pPr>
    </w:p>
    <w:p>
      <w:pPr>
        <w:ind w:left="460" w:hanging="106"/>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credit – During 2025, Ashland recorded a $3 million benefit related to domestic tax credits; and</w:t>
      </w:r>
    </w:p>
    <w:p>
      <w:pPr>
        <w:spacing w:after="0" w:line="92" w:lineRule="exact"/>
        <w:rPr>
          <w:rFonts w:ascii="Times New Roman" w:cs="Times New Roman" w:eastAsia="Times New Roman" w:hAnsi="Times New Roman"/>
          <w:sz w:val="16"/>
          <w:szCs w:val="16"/>
          <w:color w:val="auto"/>
        </w:rPr>
      </w:pPr>
    </w:p>
    <w:p>
      <w:pPr>
        <w:ind w:left="360" w:right="140" w:hanging="6"/>
        <w:spacing w:after="0" w:line="259" w:lineRule="auto"/>
        <w:tabs>
          <w:tab w:leader="none" w:pos="4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on divestitures, net – Ashland recorded income of $14 million and $6 million during 2025 and 2023, respectively. The income was related to the pre-tax gains in connection with the sale of excess corporate property.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Non-operating key items affecting EBITDA</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the current and prior years, there were certain key items that were not included in operating income (loss) but were excluded to arrive at Adjusted EBITDA.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non-operating key items for the applicable periods are summarized as follows:</w:t>
      </w:r>
    </w:p>
    <w:p>
      <w:pPr>
        <w:spacing w:after="0" w:line="74" w:lineRule="exact"/>
        <w:rPr>
          <w:sz w:val="20"/>
          <w:szCs w:val="20"/>
          <w:color w:val="auto"/>
        </w:rPr>
      </w:pPr>
    </w:p>
    <w:p>
      <w:pPr>
        <w:ind w:left="360" w:right="440" w:hanging="6"/>
        <w:spacing w:after="0" w:line="259" w:lineRule="auto"/>
        <w:tabs>
          <w:tab w:leader="none" w:pos="45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(gain) on pension and other postretirement plan remeasurements – Ashland recognized actuarial gains and losses for defined benefit pension and other postretirement benefit plans annually in the fourth quarter of each fiscal year and</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M-13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3" w:name="page54"/>
    <w:bookmarkEnd w:id="53"/>
    <w:p>
      <w:pPr>
        <w:spacing w:after="0" w:line="17" w:lineRule="exact"/>
        <w:rPr>
          <w:sz w:val="20"/>
          <w:szCs w:val="20"/>
          <w:color w:val="auto"/>
        </w:rPr>
      </w:pPr>
    </w:p>
    <w:p>
      <w:pPr>
        <w:ind w:left="360" w:right="600"/>
        <w:spacing w:after="0" w:line="259" w:lineRule="auto"/>
        <w:rPr>
          <w:sz w:val="20"/>
          <w:szCs w:val="20"/>
          <w:color w:val="auto"/>
        </w:rPr>
      </w:pPr>
      <w:r>
        <w:rPr>
          <w:rFonts w:ascii="Times New Roman" w:cs="Times New Roman" w:eastAsia="Times New Roman" w:hAnsi="Times New Roman"/>
          <w:sz w:val="16"/>
          <w:szCs w:val="16"/>
          <w:color w:val="auto"/>
        </w:rPr>
        <w:t>whenever a plan is determined to qualify for a remeasurement during a fiscal year. See Note L of the Notes to Consolidated Financial Statements for more information.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(845)</w:t>
            </w:r>
          </w:p>
        </w:tc>
        <w:tc>
          <w:tcPr>
            <w:tcW w:w="42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40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Net interest and other financing expense (income)</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Depreciation and amortization</w:t>
            </w:r>
            <w:r>
              <w:rPr>
                <w:rFonts w:ascii="Times New Roman" w:cs="Times New Roman" w:eastAsia="Times New Roman" w:hAnsi="Times New Roman"/>
                <w:sz w:val="20"/>
                <w:szCs w:val="20"/>
                <w:color w:val="auto"/>
                <w:vertAlign w:val="superscript"/>
              </w:rPr>
              <w:t>(a)</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EBITDA</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(601)</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Loss (income) from discontinued operations, net of income taxes</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Key items included in EBITDA:</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Avoca business impairment and sale</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175</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Accelerated depreciation</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Environmental reserve adjustments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Restructuring, separation and other costs</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plant optimization costs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Nutraceuticals business impairment and sale</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Asset impairments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Nutraceuticals VAT reserve</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Argentina currency devaluation impact</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Legal settlement</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ICMS Brazil tax credit</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5"/>
                <w:szCs w:val="15"/>
                <w:color w:val="auto"/>
              </w:rPr>
              <w:t>Loss (gain) on pension and other postretirement plan remeasurements</w:t>
            </w:r>
            <w:r>
              <w:rPr>
                <w:rFonts w:ascii="Times New Roman" w:cs="Times New Roman" w:eastAsia="Times New Roman" w:hAnsi="Times New Roman"/>
                <w:sz w:val="20"/>
                <w:szCs w:val="20"/>
                <w:color w:val="auto"/>
                <w:vertAlign w:val="superscript"/>
              </w:rPr>
              <w:t>(b)</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Held for sale depreciation and amortization</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Tax credit</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on divestitures, net</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key items included in EBITDA</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979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8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0"/>
                <w:szCs w:val="20"/>
                <w:color w:val="auto"/>
                <w:vertAlign w:val="superscript"/>
              </w:rPr>
              <w:t>(b)</w:t>
            </w: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key items included in EBITDA</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979</w:t>
            </w:r>
          </w:p>
        </w:tc>
        <w:tc>
          <w:tcPr>
            <w:tcW w:w="42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40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gains on securities</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8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key items, before tax</w:t>
            </w: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959</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227</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3"/>
          <w:szCs w:val="13"/>
          <w:color w:val="auto"/>
        </w:rPr>
        <w:t>(a)Depreciation and amortization excludes accelerated depreciation of $ 21 million for Life Sciences for fiscal 2025, $1 million and $2 million for Personal Care for fiscal 2025 and 2024, respectively, and $19 million and $55 million for Specialty Additives for fiscal 2025 and 2024, respectively, which is included as a key item within this table as a component of Adjusted EBITDA. Depreciation and amortization includes $2 million for Personal Care associated with the Avoca business assets for fiscal 2025 and $3 million for Life Sciences associated with the Nutraceuticals business assets for fiscal 2024, which is included as a key item within this table as a component of Adjusted EBITDA.</w:t>
      </w:r>
    </w:p>
    <w:p>
      <w:pPr>
        <w:ind w:right="320"/>
        <w:spacing w:after="0" w:line="268" w:lineRule="auto"/>
        <w:rPr>
          <w:sz w:val="20"/>
          <w:szCs w:val="20"/>
          <w:color w:val="auto"/>
        </w:rPr>
      </w:pPr>
      <w:r>
        <w:rPr>
          <w:rFonts w:ascii="Times New Roman" w:cs="Times New Roman" w:eastAsia="Times New Roman" w:hAnsi="Times New Roman"/>
          <w:sz w:val="13"/>
          <w:szCs w:val="13"/>
          <w:color w:val="auto"/>
        </w:rPr>
        <w:t>(b)Includes $7 million during 2025, and $12 million each during 2024 and 2023, respectively, of net periodic pension and other postretirement expense recognized ratably through the fiscal year. These expenses are comprised of service cost, interest cost, expected return on plan assets, and amortization of prior service credit and are disclosed in further detail in Note L of the Notes to Consolidated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Diluted EPS and Adjusted Diluted EPS</w:t>
      </w:r>
    </w:p>
    <w:p>
      <w:pPr>
        <w:spacing w:after="0" w:line="94" w:lineRule="exact"/>
        <w:rPr>
          <w:sz w:val="20"/>
          <w:szCs w:val="20"/>
          <w:color w:val="auto"/>
        </w:rPr>
      </w:pPr>
    </w:p>
    <w:p>
      <w:pPr>
        <w:ind w:firstLine="348"/>
        <w:spacing w:after="0" w:line="278" w:lineRule="auto"/>
        <w:rPr>
          <w:sz w:val="20"/>
          <w:szCs w:val="20"/>
          <w:color w:val="auto"/>
        </w:rPr>
      </w:pPr>
      <w:r>
        <w:rPr>
          <w:rFonts w:ascii="Times New Roman" w:cs="Times New Roman" w:eastAsia="Times New Roman" w:hAnsi="Times New Roman"/>
          <w:sz w:val="14"/>
          <w:szCs w:val="14"/>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(loss) and/or operating income (loss) which Ashland believes do not accurately reflect Ashland’s underlying business performance and trends. The Adjusted Diluted EPS for the income (loss) from continuing operations and Adjusted Diluted EPS from Continuing Operations Excluding Intangibles Amortization Expense in the following table have been prepared to illustrate these ongoing effects on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 w:name="page55"/>
    <w:bookmarkEnd w:id="54"/>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addition to the operating key items previously described, additional non-operating key items for the applicable periods are summarized as follows:</w:t>
      </w:r>
    </w:p>
    <w:p>
      <w:pPr>
        <w:spacing w:after="0" w:line="92" w:lineRule="exact"/>
        <w:rPr>
          <w:sz w:val="20"/>
          <w:szCs w:val="20"/>
          <w:color w:val="auto"/>
        </w:rPr>
      </w:pPr>
    </w:p>
    <w:p>
      <w:pPr>
        <w:ind w:left="360" w:right="160" w:hanging="6"/>
        <w:spacing w:after="0" w:line="259" w:lineRule="auto"/>
        <w:tabs>
          <w:tab w:leader="none" w:pos="4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gains on securities – represents gains recognized on restricted investments related to the Asbestos trust and Environmental trust for each period. See Note E of the Notes to Consolidated Financial Statements for more information;</w:t>
      </w:r>
    </w:p>
    <w:p>
      <w:pPr>
        <w:spacing w:after="0" w:line="59" w:lineRule="exact"/>
        <w:rPr>
          <w:rFonts w:ascii="Times New Roman" w:cs="Times New Roman" w:eastAsia="Times New Roman" w:hAnsi="Times New Roman"/>
          <w:sz w:val="16"/>
          <w:szCs w:val="16"/>
          <w:color w:val="auto"/>
        </w:rPr>
      </w:pPr>
    </w:p>
    <w:p>
      <w:pPr>
        <w:ind w:left="460" w:hanging="106"/>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tax positions – represents the impact from the settlement of uncertain tax positions with various tax authorities for fiscal 2025, 2024 and 2023;</w:t>
      </w:r>
    </w:p>
    <w:p>
      <w:pPr>
        <w:spacing w:after="0" w:line="92" w:lineRule="exact"/>
        <w:rPr>
          <w:rFonts w:ascii="Times New Roman" w:cs="Times New Roman" w:eastAsia="Times New Roman" w:hAnsi="Times New Roman"/>
          <w:sz w:val="16"/>
          <w:szCs w:val="16"/>
          <w:color w:val="auto"/>
        </w:rPr>
      </w:pPr>
    </w:p>
    <w:p>
      <w:pPr>
        <w:ind w:left="460" w:hanging="106"/>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 allowance – represents the impact from the release of certain foreign tax credit valuation allowances;</w:t>
      </w:r>
    </w:p>
    <w:p>
      <w:pPr>
        <w:spacing w:after="0" w:line="92" w:lineRule="exact"/>
        <w:rPr>
          <w:rFonts w:ascii="Times New Roman" w:cs="Times New Roman" w:eastAsia="Times New Roman" w:hAnsi="Times New Roman"/>
          <w:sz w:val="16"/>
          <w:szCs w:val="16"/>
          <w:color w:val="auto"/>
        </w:rPr>
      </w:pPr>
    </w:p>
    <w:p>
      <w:pPr>
        <w:ind w:left="460" w:hanging="106"/>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and separation activity – represents the tax impact of the held for sale classification for the Nutraceuticals business; and</w:t>
      </w:r>
    </w:p>
    <w:p>
      <w:pPr>
        <w:spacing w:after="0" w:line="92" w:lineRule="exact"/>
        <w:rPr>
          <w:rFonts w:ascii="Times New Roman" w:cs="Times New Roman" w:eastAsia="Times New Roman" w:hAnsi="Times New Roman"/>
          <w:sz w:val="16"/>
          <w:szCs w:val="16"/>
          <w:color w:val="auto"/>
        </w:rPr>
      </w:pPr>
    </w:p>
    <w:p>
      <w:pPr>
        <w:ind w:left="460" w:hanging="106"/>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and tax reform related activity – represents tax specific key items associated with foreign tax related activity for fiscal 2025 and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Diluted EPS from continuing operations (as reported)</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(17.74)</w:t>
            </w:r>
          </w:p>
        </w:tc>
        <w:tc>
          <w:tcPr>
            <w:tcW w:w="4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4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Key items, before tax:</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15.22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Avoca business impairment and sale</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Accelerated depreciation</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0.89</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Environmental reserve adjustments</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0.76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0.90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Restructuring, separation and other costs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0.48</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0.60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plant optimization costs</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Nutraceuticals business impairment and sale</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0.02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Asset impairments</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Nutraceuticals VAT reserve</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Argentina currency devaluation impact</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Legal settlement</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ICMS Brazil tax credit</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Loss (gain) on pension and other postretirement plan remeasurements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Held for sale depreciation and amortization</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Tax credit</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on divestitures, net</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gains on securities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Key items, before tax</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20.70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Tax effect of key items</w:t>
            </w:r>
            <w:r>
              <w:rPr>
                <w:rFonts w:ascii="Times New Roman" w:cs="Times New Roman" w:eastAsia="Times New Roman" w:hAnsi="Times New Roman"/>
                <w:sz w:val="20"/>
                <w:szCs w:val="20"/>
                <w:color w:val="auto"/>
                <w:vertAlign w:val="superscript"/>
              </w:rPr>
              <w:t>(a)</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Key items, after tax</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19.33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Tax specific key items: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Uncertain tax positions</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Valuation allowance</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0.21</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Restructuring and separation activity</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tax reform related activity</w:t>
            </w:r>
          </w:p>
        </w:tc>
        <w:tc>
          <w:tcPr>
            <w:tcW w:w="26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0.48</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06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06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06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Tax specific key items</w:t>
            </w:r>
            <w:r>
              <w:rPr>
                <w:rFonts w:ascii="Times New Roman" w:cs="Times New Roman" w:eastAsia="Times New Roman" w:hAnsi="Times New Roman"/>
                <w:sz w:val="20"/>
                <w:szCs w:val="20"/>
                <w:color w:val="auto"/>
                <w:vertAlign w:val="superscript"/>
              </w:rPr>
              <w:t>(b)</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0.69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key items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20.02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Adjusted Diluted EPS from Continuing Operations (non-GAAP)</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2.28</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3.20</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Amortization expense adjustment (net of tax)</w:t>
            </w:r>
            <w:r>
              <w:rPr>
                <w:rFonts w:ascii="Times New Roman" w:cs="Times New Roman" w:eastAsia="Times New Roman" w:hAnsi="Times New Roman"/>
                <w:sz w:val="18"/>
                <w:szCs w:val="18"/>
                <w:color w:val="auto"/>
                <w:vertAlign w:val="superscript"/>
              </w:rPr>
              <w:t>(c)</w:t>
            </w: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Adjusted Diluted EPS from Continuing Operations (non-GAAP) Excluding Intangibles</w:t>
            </w:r>
          </w:p>
        </w:tc>
        <w:tc>
          <w:tcPr>
            <w:tcW w:w="2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3.38</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4.45</w:t>
            </w: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157"/>
        </w:trPr>
        <w:tc>
          <w:tcPr>
            <w:tcW w:w="630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Amortization Expense</w:t>
            </w:r>
          </w:p>
        </w:tc>
        <w:tc>
          <w:tcPr>
            <w:tcW w:w="2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(a)Represents the diluted EPS impact from the tax effect of the key items that are previously identified above.</w:t>
      </w:r>
    </w:p>
    <w:p>
      <w:pPr>
        <w:spacing w:after="0" w:line="3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3"/>
          <w:szCs w:val="13"/>
          <w:color w:val="auto"/>
        </w:rPr>
        <w:t>(b)Represents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(c)Amortization expense adjustment (net of tax) tax rates were 20% for each of the fiscal years 2025, 2024 and 2023.</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 – REPORTABLE SEGMENT REVIEW</w:t>
      </w:r>
    </w:p>
    <w:p>
      <w:pPr>
        <w:spacing w:after="0" w:line="94"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6"/>
          <w:szCs w:val="16"/>
          <w:color w:val="auto"/>
        </w:rPr>
        <w:t>Ashland's reportable segments include Life Sciences, Personal Care, Specialty Additives, and Intermediates. Unallocated and Other includes corporate governance activities and certain legacy matters.</w:t>
      </w:r>
    </w:p>
    <w:p>
      <w:pPr>
        <w:spacing w:after="0" w:line="59" w:lineRule="exact"/>
        <w:rPr>
          <w:sz w:val="20"/>
          <w:szCs w:val="20"/>
          <w:color w:val="auto"/>
        </w:rPr>
      </w:pPr>
    </w:p>
    <w:p>
      <w:pPr>
        <w:ind w:firstLine="348"/>
        <w:spacing w:after="0" w:line="277" w:lineRule="auto"/>
        <w:rPr>
          <w:sz w:val="20"/>
          <w:szCs w:val="20"/>
          <w:color w:val="auto"/>
        </w:rPr>
      </w:pPr>
      <w:r>
        <w:rPr>
          <w:rFonts w:ascii="Times New Roman" w:cs="Times New Roman" w:eastAsia="Times New Roman" w:hAnsi="Times New Roman"/>
          <w:sz w:val="14"/>
          <w:szCs w:val="14"/>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Consolidated Comprehensive Income (Loss). Ashland refines its expense allocation methodologies to the reportable segments from time to time as more refined information becomes available and the industry or market changes. Significant revisions to Ashland’s methodologies are adjusted for all reportable segments on a retrospective basis. There were no material changes in methodology for the years ended September 30, 2025, 2024 or 2023.</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6" w:name="page57"/>
    <w:bookmarkEnd w:id="56"/>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shows sales, operating income (loss), depreciation expense, amortization expense and EBITDA by reportable segment for the years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3"/>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change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Sales</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Life Sciences</w:t>
            </w:r>
          </w:p>
        </w:tc>
        <w:tc>
          <w:tcPr>
            <w:tcW w:w="1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4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810</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869</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Personal Care</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577</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634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Specialty Additives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Intermediates</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Intersegment sales</w:t>
            </w:r>
            <w:r>
              <w:rPr>
                <w:rFonts w:ascii="Times New Roman" w:cs="Times New Roman" w:eastAsia="Times New Roman" w:hAnsi="Times New Roman"/>
                <w:sz w:val="20"/>
                <w:szCs w:val="20"/>
                <w:color w:val="auto"/>
                <w:vertAlign w:val="superscript"/>
              </w:rPr>
              <w:t>(a)</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1,824</w:t>
            </w:r>
          </w:p>
        </w:tc>
        <w:tc>
          <w:tcPr>
            <w:tcW w:w="4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2,113</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2,191</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Borders>
              <w:top w:val="single" w:sz="8" w:color="CFF0FC"/>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income (loss)</w:t>
            </w:r>
          </w:p>
        </w:tc>
        <w:tc>
          <w:tcPr>
            <w:tcW w:w="1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5"/>
                <w:szCs w:val="15"/>
                <w:color w:val="auto"/>
              </w:rPr>
              <w:t>Life Sciences</w:t>
            </w:r>
            <w:r>
              <w:rPr>
                <w:rFonts w:ascii="Times New Roman" w:cs="Times New Roman" w:eastAsia="Times New Roman" w:hAnsi="Times New Roman"/>
                <w:sz w:val="20"/>
                <w:szCs w:val="20"/>
                <w:color w:val="auto"/>
                <w:vertAlign w:val="superscript"/>
              </w:rPr>
              <w:t>(b)</w:t>
            </w:r>
          </w:p>
        </w:tc>
        <w:tc>
          <w:tcPr>
            <w:tcW w:w="1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4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Personal Care</w:t>
            </w:r>
            <w:r>
              <w:rPr>
                <w:rFonts w:ascii="Times New Roman" w:cs="Times New Roman" w:eastAsia="Times New Roman" w:hAnsi="Times New Roman"/>
                <w:sz w:val="20"/>
                <w:szCs w:val="20"/>
                <w:color w:val="auto"/>
                <w:vertAlign w:val="superscript"/>
              </w:rPr>
              <w:t>(c)</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5"/>
                <w:szCs w:val="15"/>
                <w:color w:val="auto"/>
              </w:rPr>
              <w:t>Specialty Additives</w:t>
            </w:r>
            <w:r>
              <w:rPr>
                <w:rFonts w:ascii="Times New Roman" w:cs="Times New Roman" w:eastAsia="Times New Roman" w:hAnsi="Times New Roman"/>
                <w:sz w:val="20"/>
                <w:szCs w:val="20"/>
                <w:color w:val="auto"/>
                <w:vertAlign w:val="superscript"/>
              </w:rPr>
              <w:t>(d)</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Intermediates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5"/>
                <w:szCs w:val="15"/>
                <w:color w:val="auto"/>
              </w:rPr>
              <w:t>Unallocated and Other</w:t>
            </w:r>
            <w:r>
              <w:rPr>
                <w:rFonts w:ascii="Times New Roman" w:cs="Times New Roman" w:eastAsia="Times New Roman" w:hAnsi="Times New Roman"/>
                <w:sz w:val="20"/>
                <w:szCs w:val="20"/>
                <w:color w:val="auto"/>
                <w:vertAlign w:val="superscript"/>
              </w:rPr>
              <w:t>(e)</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(775)</w:t>
            </w:r>
          </w:p>
        </w:tc>
        <w:tc>
          <w:tcPr>
            <w:tcW w:w="4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(749)</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Depreciation expense</w:t>
            </w:r>
          </w:p>
        </w:tc>
        <w:tc>
          <w:tcPr>
            <w:tcW w:w="1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Life Sciences</w:t>
            </w:r>
            <w:r>
              <w:rPr>
                <w:rFonts w:ascii="Times New Roman" w:cs="Times New Roman" w:eastAsia="Times New Roman" w:hAnsi="Times New Roman"/>
                <w:sz w:val="20"/>
                <w:szCs w:val="20"/>
                <w:color w:val="auto"/>
                <w:vertAlign w:val="superscript"/>
              </w:rPr>
              <w:t>(f)</w:t>
            </w:r>
          </w:p>
        </w:tc>
        <w:tc>
          <w:tcPr>
            <w:tcW w:w="1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4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5"/>
                <w:szCs w:val="15"/>
                <w:color w:val="auto"/>
              </w:rPr>
              <w:t>Personal Care</w:t>
            </w:r>
            <w:r>
              <w:rPr>
                <w:rFonts w:ascii="Times New Roman" w:cs="Times New Roman" w:eastAsia="Times New Roman" w:hAnsi="Times New Roman"/>
                <w:sz w:val="20"/>
                <w:szCs w:val="20"/>
                <w:color w:val="auto"/>
                <w:vertAlign w:val="superscript"/>
              </w:rPr>
              <w:t>(g)</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Specialty Additives</w:t>
            </w:r>
            <w:r>
              <w:rPr>
                <w:rFonts w:ascii="Times New Roman" w:cs="Times New Roman" w:eastAsia="Times New Roman" w:hAnsi="Times New Roman"/>
                <w:sz w:val="20"/>
                <w:szCs w:val="20"/>
                <w:color w:val="auto"/>
                <w:vertAlign w:val="superscript"/>
              </w:rPr>
              <w:t>(h)</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Intermediates</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Unallocated and Other</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4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Amortization expense</w:t>
            </w:r>
          </w:p>
        </w:tc>
        <w:tc>
          <w:tcPr>
            <w:tcW w:w="1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Life Sciences</w:t>
            </w:r>
          </w:p>
        </w:tc>
        <w:tc>
          <w:tcPr>
            <w:tcW w:w="1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4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Personal Care</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Specialty Additives</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Intermediates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Unallocated and Other</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4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EBITDA</w:t>
            </w:r>
            <w:r>
              <w:rPr>
                <w:rFonts w:ascii="Times New Roman" w:cs="Times New Roman" w:eastAsia="Times New Roman" w:hAnsi="Times New Roman"/>
                <w:sz w:val="18"/>
                <w:szCs w:val="18"/>
                <w:b w:val="1"/>
                <w:bCs w:val="1"/>
                <w:color w:val="auto"/>
                <w:vertAlign w:val="superscript"/>
              </w:rPr>
              <w:t>(i)</w:t>
            </w:r>
          </w:p>
        </w:tc>
        <w:tc>
          <w:tcPr>
            <w:tcW w:w="1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Life Sciences</w:t>
            </w:r>
          </w:p>
        </w:tc>
        <w:tc>
          <w:tcPr>
            <w:tcW w:w="1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(187)</w:t>
            </w:r>
          </w:p>
        </w:tc>
        <w:tc>
          <w:tcPr>
            <w:tcW w:w="4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(416)</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Personal Care</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Specialty Additives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Intermediates</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Unallocated and Other</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(538)</w:t>
            </w:r>
          </w:p>
        </w:tc>
        <w:tc>
          <w:tcPr>
            <w:tcW w:w="4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248</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415</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(786)</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(a)Intersegment sales from Intermediates are accounted for at prices that approximate market value. All other intersegment sales are accounted for at cost.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(b)Includes goodwill impairment of $375 million for Life Sciences in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(c)Includes a capital project impairment charge of $11 million for Personal Care in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(d)Includes goodwill impairment of $331 million in 2025 and a $4 million impairment charge related to a facility in 2023 for Specialty Additives.</w:t>
      </w:r>
    </w:p>
    <w:p>
      <w:pPr>
        <w:spacing w:after="0" w:line="3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3"/>
          <w:szCs w:val="13"/>
          <w:color w:val="auto"/>
        </w:rPr>
        <w:t>(e)Includes a $8 million gain on sale and a $183 million impairment charge related to the divestiture of the Avoca business in 2025, and a $8 million loss on sale and a $99 million impairment charge related to the divestiture of the Nutraceuticals business in 2024 within the income (loss) on acquisitions and divestitures,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(f)Depreciation includes accelerated depreciation of $21 million for Life Sciences in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(g)Depreciation includes accelerated depreciation of $1 million and $2 million for Personal Care in 2025 and 2024,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(h)Depreciation includes accelerated depreciation of $19 million and $55 million for Specialty Additives in 2025 and 2024, respectively.</w:t>
      </w:r>
    </w:p>
    <w:p>
      <w:pPr>
        <w:spacing w:after="0" w:line="3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3"/>
          <w:szCs w:val="13"/>
          <w:color w:val="auto"/>
        </w:rPr>
        <w:t>(i)Excludes income (loss) from discontinued operations, net of income taxes and other net periodic benefit loss. See the Statements of Consolidated Comprehensive Income (Loss) for applicable amounts excluded.</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color w:val="auto"/>
        </w:rPr>
        <w:t>Life Sciences</w:t>
      </w:r>
    </w:p>
    <w:p>
      <w:pPr>
        <w:spacing w:after="0" w:line="94" w:lineRule="exact"/>
        <w:rPr>
          <w:sz w:val="20"/>
          <w:szCs w:val="20"/>
          <w:color w:val="auto"/>
        </w:rPr>
      </w:pPr>
    </w:p>
    <w:p>
      <w:pPr>
        <w:ind w:right="140" w:firstLine="348"/>
        <w:spacing w:after="0" w:line="241" w:lineRule="auto"/>
        <w:rPr>
          <w:sz w:val="20"/>
          <w:szCs w:val="20"/>
          <w:color w:val="auto"/>
        </w:rPr>
      </w:pPr>
      <w:r>
        <w:rPr>
          <w:rFonts w:ascii="Times New Roman" w:cs="Times New Roman" w:eastAsia="Times New Roman" w:hAnsi="Times New Roman"/>
          <w:sz w:val="16"/>
          <w:szCs w:val="16"/>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manufacturers. The Nutraceuticals business was sold in August 2024. See Note B of the Notes to Consolidated Financial Statements for more information.</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provides a reconciliation of the change in sales for Life Sciences between fiscal years 2025 and 2024 and between fiscal years 2024 and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16"/>
                <w:szCs w:val="16"/>
                <w:color w:val="auto"/>
              </w:rPr>
            </w:pPr>
          </w:p>
        </w:tc>
        <w:tc>
          <w:tcPr>
            <w:tcW w:w="17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 change</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Sales change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Divestiture</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34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Foreign Currency</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220" w:type="dxa"/>
            <w:vAlign w:val="bottom"/>
          </w:tcPr>
          <w:p>
            <w:pPr>
              <w:spacing w:after="0"/>
              <w:rPr>
                <w:sz w:val="15"/>
                <w:szCs w:val="15"/>
                <w:color w:val="auto"/>
              </w:rPr>
            </w:pP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8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provides a reconciliation of the change in operating income (loss) for Life Sciences between fiscal years 2025 and 2024 and between fiscal years 2024 and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16"/>
                <w:szCs w:val="16"/>
                <w:color w:val="auto"/>
              </w:rPr>
            </w:pPr>
          </w:p>
        </w:tc>
        <w:tc>
          <w:tcPr>
            <w:tcW w:w="17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 change</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income (loss) change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Goodwill impairment</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(375)</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Cost</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34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Divestiture</w:t>
            </w:r>
          </w:p>
        </w:tc>
        <w:tc>
          <w:tcPr>
            <w:tcW w:w="34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Foreign Currency</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6220" w:type="dxa"/>
            <w:vAlign w:val="bottom"/>
          </w:tcPr>
          <w:p>
            <w:pPr>
              <w:spacing w:after="0"/>
              <w:rPr>
                <w:sz w:val="15"/>
                <w:szCs w:val="15"/>
                <w:color w:val="auto"/>
              </w:rPr>
            </w:pP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EBITDA and Adjusted EBITDA reconciliation</w:t>
      </w:r>
    </w:p>
    <w:p>
      <w:pPr>
        <w:spacing w:after="0" w:line="94" w:lineRule="exact"/>
        <w:rPr>
          <w:sz w:val="20"/>
          <w:szCs w:val="20"/>
          <w:color w:val="auto"/>
        </w:rPr>
      </w:pPr>
    </w:p>
    <w:p>
      <w:pPr>
        <w:ind w:firstLine="348"/>
        <w:spacing w:after="0" w:line="239" w:lineRule="auto"/>
        <w:rPr>
          <w:sz w:val="20"/>
          <w:szCs w:val="20"/>
          <w:color w:val="auto"/>
        </w:rPr>
      </w:pPr>
      <w:r>
        <w:rPr>
          <w:rFonts w:ascii="Times New Roman" w:cs="Times New Roman" w:eastAsia="Times New Roman" w:hAnsi="Times New Roman"/>
          <w:sz w:val="16"/>
          <w:szCs w:val="16"/>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 -GAAP financial measures is defined as follows: EBITDA (operating income (loss) plus depreciation and amortization), Adjusted EBITDA (EBITDA adjusted for key items as applicable), and Adjusted EBITDA margin (Adjusted EBITDA divided by sales). Ashland does not allocate items to each reportable segment below operating income (loss), such as interest expense and income taxes. As a result, reportable segment EBITDA and Adjusted EBITDA are reconciled directly to operating income (loss) since it is the most directly comparable Statements of Consolidated Comprehensive Income (Loss) caption.</w:t>
      </w:r>
    </w:p>
    <w:p>
      <w:pPr>
        <w:spacing w:after="0" w:line="77" w:lineRule="exact"/>
        <w:rPr>
          <w:sz w:val="20"/>
          <w:szCs w:val="20"/>
          <w:color w:val="auto"/>
        </w:rPr>
      </w:pPr>
    </w:p>
    <w:p>
      <w:pPr>
        <w:ind w:right="160" w:firstLine="348"/>
        <w:spacing w:after="0" w:line="299" w:lineRule="auto"/>
        <w:rPr>
          <w:sz w:val="20"/>
          <w:szCs w:val="20"/>
          <w:color w:val="auto"/>
        </w:rPr>
      </w:pPr>
      <w:r>
        <w:rPr>
          <w:rFonts w:ascii="Times New Roman" w:cs="Times New Roman" w:eastAsia="Times New Roman" w:hAnsi="Times New Roman"/>
          <w:sz w:val="14"/>
          <w:szCs w:val="14"/>
          <w:color w:val="auto"/>
        </w:rPr>
        <w:t>The following EBITDA presentation for the years ended September 30, 2025, 2024 and 2023, is provided as a means to enhance the understanding of financial measurements that Ashland has internally determined to be relevant measures of comparison for the results of Life Sciences. There were key items for the years ended September 30, 2025, 2024 and 2023. These items are listed below and described within the "Use of Non-GAAP Financial Measures" section above.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3"/>
              </w:rPr>
              <w:t>2025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9"/>
              </w:rPr>
              <w:t>2024</w:t>
            </w:r>
          </w:p>
        </w:tc>
        <w:tc>
          <w:tcPr>
            <w:tcW w:w="0" w:type="dxa"/>
            <w:vAlign w:val="bottom"/>
          </w:tcPr>
          <w:p>
            <w:pPr>
              <w:spacing w:after="0"/>
              <w:rPr>
                <w:sz w:val="1"/>
                <w:szCs w:val="1"/>
                <w:color w:val="auto"/>
              </w:rPr>
            </w:pPr>
          </w:p>
        </w:tc>
      </w:tr>
      <w:tr>
        <w:trPr>
          <w:trHeight w:val="193"/>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income (loss)</w:t>
            </w:r>
          </w:p>
        </w:tc>
        <w:tc>
          <w:tcPr>
            <w:tcW w:w="9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3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3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34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3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Depreciation and amortization</w:t>
            </w:r>
            <w:r>
              <w:rPr>
                <w:rFonts w:ascii="Times New Roman" w:cs="Times New Roman" w:eastAsia="Times New Roman" w:hAnsi="Times New Roman"/>
                <w:sz w:val="20"/>
                <w:szCs w:val="20"/>
                <w:color w:val="auto"/>
                <w:vertAlign w:val="superscript"/>
              </w:rPr>
              <w:t>(a)</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EBITDA</w:t>
            </w: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rPr>
              <w:t>(208)</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232</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241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(440)</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Goodwill impairment</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375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375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Accelerated depreciation</w:t>
            </w: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plant optimization costs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Restructuring and other costs</w:t>
            </w: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Environmental reserve adjustments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Held for sale depreciation and amortization</w:t>
            </w: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370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Adjusted EBITDA</w:t>
            </w:r>
          </w:p>
        </w:tc>
        <w:tc>
          <w:tcPr>
            <w:tcW w:w="96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193</w:t>
            </w:r>
          </w:p>
        </w:tc>
        <w:tc>
          <w:tcPr>
            <w:tcW w:w="3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230</w:t>
            </w:r>
          </w:p>
        </w:tc>
        <w:tc>
          <w:tcPr>
            <w:tcW w:w="3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247</w:t>
            </w:r>
          </w:p>
        </w:tc>
        <w:tc>
          <w:tcPr>
            <w:tcW w:w="340" w:type="dxa"/>
            <w:vAlign w:val="bottom"/>
            <w:gridSpan w:val="2"/>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(37)</w:t>
            </w:r>
          </w:p>
        </w:tc>
        <w:tc>
          <w:tcPr>
            <w:tcW w:w="36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6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Operating income (loss) as a percent of sales</w:t>
            </w: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-40.9%</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20.7%</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19.8%</w:t>
            </w: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center"/>
              <w:ind w:right="2"/>
              <w:spacing w:after="0" w:line="156" w:lineRule="exact"/>
              <w:rPr>
                <w:sz w:val="20"/>
                <w:szCs w:val="20"/>
                <w:color w:val="auto"/>
              </w:rPr>
            </w:pPr>
            <w:r>
              <w:rPr>
                <w:rFonts w:ascii="Times New Roman" w:cs="Times New Roman" w:eastAsia="Times New Roman" w:hAnsi="Times New Roman"/>
                <w:sz w:val="16"/>
                <w:szCs w:val="16"/>
                <w:color w:val="auto"/>
                <w:w w:val="97"/>
              </w:rPr>
              <w:t>Not meaningful</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center"/>
              <w:ind w:right="182"/>
              <w:spacing w:after="0" w:line="156" w:lineRule="exact"/>
              <w:rPr>
                <w:sz w:val="20"/>
                <w:szCs w:val="20"/>
                <w:color w:val="auto"/>
              </w:rPr>
            </w:pPr>
            <w:r>
              <w:rPr>
                <w:rFonts w:ascii="Times New Roman" w:cs="Times New Roman" w:eastAsia="Times New Roman" w:hAnsi="Times New Roman"/>
                <w:sz w:val="16"/>
                <w:szCs w:val="16"/>
                <w:color w:val="auto"/>
                <w:w w:val="94"/>
              </w:rPr>
              <w:t>90 bps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as a percent of sales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5"/>
              </w:rPr>
              <w:t>170 bps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9"/>
              </w:rPr>
              <w:t>0 bps</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3"/>
          <w:szCs w:val="13"/>
          <w:color w:val="auto"/>
        </w:rPr>
        <w:t>(a)Depreciation and amortization for Life Sciences excludes accelerated depreciation of $21 million in 2025 and includes $3 million associated with the Nutraceuticals business held for sale assets in 2024 which is included as a key item within this table as a component of Adjusted EBITDA.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2025 compared to 2024</w:t>
      </w:r>
    </w:p>
    <w:p>
      <w:pPr>
        <w:spacing w:after="0" w:line="94" w:lineRule="exact"/>
        <w:rPr>
          <w:sz w:val="20"/>
          <w:szCs w:val="20"/>
          <w:color w:val="auto"/>
        </w:rPr>
      </w:pPr>
    </w:p>
    <w:p>
      <w:pPr>
        <w:ind w:right="60" w:firstLine="348"/>
        <w:spacing w:after="0" w:line="247" w:lineRule="auto"/>
        <w:rPr>
          <w:sz w:val="20"/>
          <w:szCs w:val="20"/>
          <w:color w:val="auto"/>
        </w:rPr>
      </w:pPr>
      <w:r>
        <w:rPr>
          <w:rFonts w:ascii="Times New Roman" w:cs="Times New Roman" w:eastAsia="Times New Roman" w:hAnsi="Times New Roman"/>
          <w:sz w:val="16"/>
          <w:szCs w:val="16"/>
          <w:color w:val="auto"/>
        </w:rPr>
        <w:t>Life Sciences' sales, operating income (loss) and Adjusted EBITDA decreased in 2025 primarily due to the divestiture of the Nutraceuticals business, lower volume, and unfavorable pricing, partially offset by favorable foreign currency exchange. Operating income (loss) for 2025 also included a goodwill impairment charge of $375 million and higher costs of $26 million for portfolio optimization activities.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compared to 2023</w:t>
      </w:r>
    </w:p>
    <w:p>
      <w:pPr>
        <w:spacing w:after="0" w:line="94" w:lineRule="exact"/>
        <w:rPr>
          <w:sz w:val="20"/>
          <w:szCs w:val="20"/>
          <w:color w:val="auto"/>
        </w:rPr>
      </w:pPr>
    </w:p>
    <w:p>
      <w:pPr>
        <w:ind w:right="120" w:firstLine="348"/>
        <w:spacing w:after="0" w:line="247" w:lineRule="auto"/>
        <w:rPr>
          <w:sz w:val="20"/>
          <w:szCs w:val="20"/>
          <w:color w:val="auto"/>
        </w:rPr>
      </w:pPr>
      <w:r>
        <w:rPr>
          <w:rFonts w:ascii="Times New Roman" w:cs="Times New Roman" w:eastAsia="Times New Roman" w:hAnsi="Times New Roman"/>
          <w:sz w:val="16"/>
          <w:szCs w:val="16"/>
          <w:color w:val="auto"/>
        </w:rPr>
        <w:t>Life Sciences' sales decreased in 2024 due to lower volume and pricing, while operating income and Adjusted EBITDA decreased in 2024 due to lower volume partially offset by favorable product price/mix, deflationary raw materials, and favorable foreign currency exchange. The CMC portfolio optimization initiative and the Nutraceuticals business sale had an approximate $12 million negative sales impact during the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Personal Care</w:t>
      </w:r>
    </w:p>
    <w:p>
      <w:pPr>
        <w:spacing w:after="0" w:line="94" w:lineRule="exact"/>
        <w:rPr>
          <w:sz w:val="20"/>
          <w:szCs w:val="20"/>
          <w:color w:val="auto"/>
        </w:rPr>
      </w:pPr>
    </w:p>
    <w:p>
      <w:pPr>
        <w:ind w:right="100" w:firstLine="348"/>
        <w:spacing w:after="0" w:line="239" w:lineRule="auto"/>
        <w:rPr>
          <w:sz w:val="20"/>
          <w:szCs w:val="20"/>
          <w:color w:val="auto"/>
        </w:rPr>
      </w:pPr>
      <w:r>
        <w:rPr>
          <w:rFonts w:ascii="Times New Roman" w:cs="Times New Roman" w:eastAsia="Times New Roman" w:hAnsi="Times New Roman"/>
          <w:sz w:val="16"/>
          <w:szCs w:val="16"/>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 See Note B of the Notes to Consolidated Financial Statements for more information.</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provides a reconciliation of the change in sales for Personal Care between fiscal years 2025 and 2024 and between fiscal years 2024 and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 change</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Sales change</w:t>
            </w:r>
          </w:p>
        </w:tc>
        <w:tc>
          <w:tcPr>
            <w:tcW w:w="3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180"/>
        </w:trPr>
        <w:tc>
          <w:tcPr>
            <w:tcW w:w="31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Divestiture</w:t>
            </w:r>
          </w:p>
        </w:tc>
        <w:tc>
          <w:tcPr>
            <w:tcW w:w="3400" w:type="dxa"/>
            <w:vAlign w:val="bottom"/>
            <w:gridSpan w:val="2"/>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1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3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31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3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w:t>
            </w:r>
          </w:p>
        </w:tc>
      </w:tr>
      <w:tr>
        <w:trPr>
          <w:trHeight w:val="180"/>
        </w:trPr>
        <w:tc>
          <w:tcPr>
            <w:tcW w:w="31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Foreign Currency</w:t>
            </w:r>
          </w:p>
        </w:tc>
        <w:tc>
          <w:tcPr>
            <w:tcW w:w="3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20"/>
        </w:trPr>
        <w:tc>
          <w:tcPr>
            <w:tcW w:w="3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598"/>
        </w:trPr>
        <w:tc>
          <w:tcPr>
            <w:tcW w:w="3160" w:type="dxa"/>
            <w:vAlign w:val="bottom"/>
          </w:tcPr>
          <w:p>
            <w:pPr>
              <w:spacing w:after="0"/>
              <w:rPr>
                <w:sz w:val="24"/>
                <w:szCs w:val="24"/>
                <w:color w:val="auto"/>
              </w:rPr>
            </w:pPr>
          </w:p>
        </w:tc>
        <w:tc>
          <w:tcPr>
            <w:tcW w:w="3400" w:type="dxa"/>
            <w:vAlign w:val="bottom"/>
            <w:gridSpan w:val="2"/>
          </w:tcPr>
          <w:p>
            <w:pPr>
              <w:jc w:val="right"/>
              <w:ind w:right="1022"/>
              <w:spacing w:after="0"/>
              <w:rPr>
                <w:sz w:val="20"/>
                <w:szCs w:val="20"/>
                <w:color w:val="auto"/>
              </w:rPr>
            </w:pPr>
            <w:r>
              <w:rPr>
                <w:rFonts w:ascii="Times New Roman" w:cs="Times New Roman" w:eastAsia="Times New Roman" w:hAnsi="Times New Roman"/>
                <w:sz w:val="16"/>
                <w:szCs w:val="16"/>
                <w:color w:val="auto"/>
              </w:rPr>
              <w:t>M-19</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74"/>
        </w:trPr>
        <w:tc>
          <w:tcPr>
            <w:tcW w:w="3160" w:type="dxa"/>
            <w:vAlign w:val="bottom"/>
            <w:tcBorders>
              <w:bottom w:val="single" w:sz="8" w:color="EEEEEE"/>
            </w:tcBorders>
          </w:tcPr>
          <w:p>
            <w:pPr>
              <w:spacing w:after="0"/>
              <w:rPr>
                <w:sz w:val="24"/>
                <w:szCs w:val="24"/>
                <w:color w:val="auto"/>
              </w:rPr>
            </w:pPr>
          </w:p>
        </w:tc>
        <w:tc>
          <w:tcPr>
            <w:tcW w:w="30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7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59" w:name="page60"/>
    <w:bookmarkEnd w:id="59"/>
    <w:p>
      <w:pPr>
        <w:spacing w:after="0" w:line="17" w:lineRule="exact"/>
        <w:rPr>
          <w:sz w:val="20"/>
          <w:szCs w:val="20"/>
          <w:color w:val="auto"/>
        </w:rPr>
      </w:pPr>
    </w:p>
    <w:p>
      <w:pPr>
        <w:ind w:right="26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provides a reconciliation of the change in operating income for Personal Care between fiscal years 2025 and 2024 and between fiscal years 2024 and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16"/>
                <w:szCs w:val="16"/>
                <w:color w:val="auto"/>
              </w:rPr>
            </w:pPr>
          </w:p>
        </w:tc>
        <w:tc>
          <w:tcPr>
            <w:tcW w:w="17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 change</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income change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Costs</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Foreign Currency</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34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Divestiture (site closure)</w:t>
            </w:r>
          </w:p>
        </w:tc>
        <w:tc>
          <w:tcPr>
            <w:tcW w:w="34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6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5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EBITDA and Adjusted EBITDA reconciliation</w:t>
      </w:r>
    </w:p>
    <w:p>
      <w:pPr>
        <w:spacing w:after="0" w:line="94" w:lineRule="exact"/>
        <w:rPr>
          <w:sz w:val="20"/>
          <w:szCs w:val="20"/>
          <w:color w:val="auto"/>
        </w:rPr>
      </w:pPr>
    </w:p>
    <w:p>
      <w:pPr>
        <w:ind w:right="60" w:firstLine="348"/>
        <w:spacing w:after="0" w:line="243" w:lineRule="auto"/>
        <w:rPr>
          <w:sz w:val="20"/>
          <w:szCs w:val="20"/>
          <w:color w:val="auto"/>
        </w:rPr>
      </w:pPr>
      <w:r>
        <w:rPr>
          <w:rFonts w:ascii="Times New Roman" w:cs="Times New Roman" w:eastAsia="Times New Roman" w:hAnsi="Times New Roman"/>
          <w:sz w:val="16"/>
          <w:szCs w:val="16"/>
          <w:color w:val="auto"/>
        </w:rPr>
        <w:t>The following EBITDA presentation (as defined and described in the section above) for the years ended September 30, 2025, 2024 and 2023, is provided as a means to enhance the understanding of financial measurements that Ashland has internally determined to be relevant measures of comparison for the results of Personal Care. There were key items for the years ended September 30, 2025, 2024 and 2023. These items are listed below and described within the "Use of Non-GAAP Financial Measures" section above.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Pr>
          <w:p>
            <w:pPr>
              <w:spacing w:after="0"/>
              <w:rPr>
                <w:sz w:val="16"/>
                <w:szCs w:val="16"/>
                <w:color w:val="auto"/>
              </w:rPr>
            </w:pPr>
          </w:p>
        </w:tc>
        <w:tc>
          <w:tcPr>
            <w:tcW w:w="9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6"/>
                <w:szCs w:val="16"/>
                <w:color w:val="auto"/>
              </w:rPr>
            </w:pPr>
          </w:p>
        </w:tc>
      </w:tr>
      <w:tr>
        <w:trPr>
          <w:trHeight w:val="193"/>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3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income</w:t>
            </w:r>
          </w:p>
        </w:tc>
        <w:tc>
          <w:tcPr>
            <w:tcW w:w="10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3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3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920" w:type="dxa"/>
            <w:vAlign w:val="bottom"/>
            <w:gridSpan w:val="2"/>
            <w:shd w:val="clear" w:color="auto" w:fill="CFF0FC"/>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940" w:type="dxa"/>
            <w:vAlign w:val="bottom"/>
            <w:gridSpan w:val="2"/>
            <w:shd w:val="clear" w:color="auto" w:fill="CFF0FC"/>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180"/>
        </w:trPr>
        <w:tc>
          <w:tcPr>
            <w:tcW w:w="20" w:type="dxa"/>
            <w:vAlign w:val="bottom"/>
          </w:tcPr>
          <w:p>
            <w:pPr>
              <w:spacing w:after="0"/>
              <w:rPr>
                <w:sz w:val="15"/>
                <w:szCs w:val="15"/>
                <w:color w:val="auto"/>
              </w:rPr>
            </w:pPr>
          </w:p>
        </w:tc>
        <w:tc>
          <w:tcPr>
            <w:tcW w:w="35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Depreciation and amortization</w:t>
            </w:r>
            <w:r>
              <w:rPr>
                <w:rFonts w:ascii="Times New Roman" w:cs="Times New Roman" w:eastAsia="Times New Roman" w:hAnsi="Times New Roman"/>
                <w:sz w:val="20"/>
                <w:szCs w:val="20"/>
                <w:color w:val="auto"/>
                <w:vertAlign w:val="superscript"/>
              </w:rPr>
              <w:t>(a)</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7"/>
              </w:rPr>
              <w:t>(11)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220"/>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EBITDA</w:t>
            </w:r>
          </w:p>
        </w:tc>
        <w:tc>
          <w:tcPr>
            <w:tcW w:w="8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156</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150</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137</w:t>
            </w: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13</w:t>
            </w:r>
          </w:p>
        </w:tc>
      </w:tr>
      <w:tr>
        <w:trPr>
          <w:trHeight w:val="156"/>
        </w:trPr>
        <w:tc>
          <w:tcPr>
            <w:tcW w:w="20" w:type="dxa"/>
            <w:vAlign w:val="bottom"/>
          </w:tcPr>
          <w:p>
            <w:pPr>
              <w:spacing w:after="0"/>
              <w:rPr>
                <w:sz w:val="13"/>
                <w:szCs w:val="13"/>
                <w:color w:val="auto"/>
              </w:rPr>
            </w:pPr>
          </w:p>
        </w:tc>
        <w:tc>
          <w:tcPr>
            <w:tcW w:w="35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Other plant optimization costs</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20" w:type="dxa"/>
            <w:vAlign w:val="bottom"/>
          </w:tcPr>
          <w:p>
            <w:pPr>
              <w:spacing w:after="0"/>
              <w:rPr>
                <w:sz w:val="15"/>
                <w:szCs w:val="15"/>
                <w:color w:val="auto"/>
              </w:rPr>
            </w:pPr>
          </w:p>
        </w:tc>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Accelerated depreciation</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20" w:type="dxa"/>
            <w:vAlign w:val="bottom"/>
          </w:tcPr>
          <w:p>
            <w:pPr>
              <w:spacing w:after="0"/>
              <w:rPr>
                <w:sz w:val="15"/>
                <w:szCs w:val="15"/>
                <w:color w:val="auto"/>
              </w:rPr>
            </w:pPr>
          </w:p>
        </w:tc>
        <w:tc>
          <w:tcPr>
            <w:tcW w:w="3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Held for sale depreciation and amortization</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Asset impairment</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7"/>
              </w:rPr>
              <w:t>(11)</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358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Adjusted EBITDA</w:t>
            </w:r>
          </w:p>
        </w:tc>
        <w:tc>
          <w:tcPr>
            <w:tcW w:w="10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158</w:t>
            </w:r>
          </w:p>
        </w:tc>
        <w:tc>
          <w:tcPr>
            <w:tcW w:w="3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164</w:t>
            </w:r>
          </w:p>
        </w:tc>
        <w:tc>
          <w:tcPr>
            <w:tcW w:w="3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3"/>
              <w:spacing w:after="0" w:line="160" w:lineRule="exact"/>
              <w:rPr>
                <w:sz w:val="20"/>
                <w:szCs w:val="20"/>
                <w:color w:val="auto"/>
              </w:rPr>
            </w:pPr>
            <w:r>
              <w:rPr>
                <w:rFonts w:ascii="Times New Roman" w:cs="Times New Roman" w:eastAsia="Times New Roman" w:hAnsi="Times New Roman"/>
                <w:sz w:val="16"/>
                <w:szCs w:val="16"/>
                <w:color w:val="auto"/>
              </w:rPr>
              <w:t>137</w:t>
            </w:r>
          </w:p>
        </w:tc>
        <w:tc>
          <w:tcPr>
            <w:tcW w:w="920" w:type="dxa"/>
            <w:vAlign w:val="bottom"/>
            <w:gridSpan w:val="2"/>
          </w:tcPr>
          <w:p>
            <w:pPr>
              <w:jc w:val="right"/>
              <w:ind w:right="582"/>
              <w:spacing w:after="0" w:line="16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w:t>
            </w:r>
          </w:p>
        </w:tc>
        <w:tc>
          <w:tcPr>
            <w:tcW w:w="940" w:type="dxa"/>
            <w:vAlign w:val="bottom"/>
            <w:gridSpan w:val="2"/>
          </w:tcPr>
          <w:p>
            <w:pPr>
              <w:jc w:val="right"/>
              <w:ind w:right="602"/>
              <w:spacing w:after="0" w:line="16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27</w:t>
            </w:r>
          </w:p>
        </w:tc>
      </w:tr>
      <w:tr>
        <w:trPr>
          <w:trHeight w:val="20"/>
        </w:trPr>
        <w:tc>
          <w:tcPr>
            <w:tcW w:w="3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income as a percent of sales</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3"/>
                <w:szCs w:val="13"/>
                <w:color w:val="auto"/>
              </w:rPr>
              <w:t>15.6</w:t>
            </w:r>
            <w:r>
              <w:rPr>
                <w:rFonts w:ascii="Times New Roman" w:cs="Times New Roman" w:eastAsia="Times New Roman" w:hAnsi="Times New Roman"/>
                <w:sz w:val="23"/>
                <w:szCs w:val="23"/>
                <w:color w:val="auto"/>
                <w:vertAlign w:val="subscript"/>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3"/>
                <w:szCs w:val="13"/>
                <w:color w:val="auto"/>
              </w:rPr>
              <w:t>11.5</w:t>
            </w:r>
            <w:r>
              <w:rPr>
                <w:rFonts w:ascii="Times New Roman" w:cs="Times New Roman" w:eastAsia="Times New Roman" w:hAnsi="Times New Roman"/>
                <w:sz w:val="23"/>
                <w:szCs w:val="23"/>
                <w:color w:val="auto"/>
                <w:vertAlign w:val="subscript"/>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4" w:lineRule="exact"/>
              <w:rPr>
                <w:sz w:val="20"/>
                <w:szCs w:val="20"/>
                <w:color w:val="auto"/>
              </w:rPr>
            </w:pPr>
            <w:r>
              <w:rPr>
                <w:rFonts w:ascii="Times New Roman" w:cs="Times New Roman" w:eastAsia="Times New Roman" w:hAnsi="Times New Roman"/>
                <w:sz w:val="13"/>
                <w:szCs w:val="13"/>
                <w:color w:val="auto"/>
              </w:rPr>
              <w:t>8.7</w:t>
            </w:r>
            <w:r>
              <w:rPr>
                <w:rFonts w:ascii="Times New Roman" w:cs="Times New Roman" w:eastAsia="Times New Roman" w:hAnsi="Times New Roman"/>
                <w:sz w:val="23"/>
                <w:szCs w:val="23"/>
                <w:color w:val="auto"/>
                <w:vertAlign w:val="subscript"/>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99"/>
              </w:rPr>
              <w:t>410 bps</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280 bps</w:t>
            </w:r>
          </w:p>
        </w:tc>
        <w:tc>
          <w:tcPr>
            <w:tcW w:w="320" w:type="dxa"/>
            <w:vAlign w:val="bottom"/>
            <w:shd w:val="clear" w:color="auto" w:fill="CFF0FC"/>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as a percent of sales</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8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150 bps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300 bps</w:t>
            </w:r>
          </w:p>
        </w:tc>
        <w:tc>
          <w:tcPr>
            <w:tcW w:w="320" w:type="dxa"/>
            <w:vAlign w:val="bottom"/>
          </w:tcPr>
          <w:p>
            <w:pPr>
              <w:spacing w:after="0"/>
              <w:rPr>
                <w:sz w:val="17"/>
                <w:szCs w:val="17"/>
                <w:color w:val="auto"/>
              </w:rPr>
            </w:pPr>
          </w:p>
        </w:tc>
      </w:tr>
    </w:tbl>
    <w:p>
      <w:pPr>
        <w:spacing w:after="0" w:line="1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3"/>
          <w:szCs w:val="13"/>
          <w:color w:val="auto"/>
        </w:rPr>
        <w:t>(a)Depreciation and amortization for Personal Care includes $2 million associated with the Avoca business assets in 2025 and excludes accelerated depreciation of $1 million in 2025 and $2 million in 2024, which is included as a key item within this table as a component of Adjusted EBITDA.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2025 compared to 2024</w:t>
      </w:r>
    </w:p>
    <w:p>
      <w:pPr>
        <w:spacing w:after="0" w:line="94" w:lineRule="exact"/>
        <w:rPr>
          <w:sz w:val="20"/>
          <w:szCs w:val="20"/>
          <w:color w:val="auto"/>
        </w:rPr>
      </w:pPr>
    </w:p>
    <w:p>
      <w:pPr>
        <w:jc w:val="both"/>
        <w:ind w:right="40" w:firstLine="348"/>
        <w:spacing w:after="0" w:line="247" w:lineRule="auto"/>
        <w:rPr>
          <w:sz w:val="20"/>
          <w:szCs w:val="20"/>
          <w:color w:val="auto"/>
        </w:rPr>
      </w:pPr>
      <w:r>
        <w:rPr>
          <w:rFonts w:ascii="Times New Roman" w:cs="Times New Roman" w:eastAsia="Times New Roman" w:hAnsi="Times New Roman"/>
          <w:sz w:val="16"/>
          <w:szCs w:val="16"/>
          <w:color w:val="auto"/>
        </w:rPr>
        <w:t>Personal Care's sales and Adjusted EBITDA decreased in 2025 primarily due to lower volume, including the divestiture of the Avoca business and other portfolio optimization actions, and unfavorable price/mix, partially offset by lower costs and favorable foreign exchange currency. Operating income increased due to lower costs and favorable foreign exchange currency, partially offset by unfavorable price/mix.</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compared to 2023</w:t>
      </w:r>
    </w:p>
    <w:p>
      <w:pPr>
        <w:spacing w:after="0" w:line="94"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Personal Care's sales increased in 2024 primarily due to higher volume partially offset by unfavorable pricing. Sales growth for Personal Care reflects improved demand in most regions for skin care and hair care. Personal Care’s globalization initiatives for biofunctionals and microbial protection also contributed to sales growth. As expected, oral care sales were adversely impacted by order timing with a key customer. Operating income and Adjusted EBITDA increased primarily due to higher volume, favorable product mix and foreign currency exchange, partially offset by higher cost including $ 11 million for a capital impairment charge and $2 million of accelerated depreciation for product line optimization activities associated with a manufacturing facility. The CMC portfolio optimization initiative had an approximate $7 million negative sales impact during the year.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0" w:name="page61"/>
    <w:bookmarkEnd w:id="60"/>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Specialty Additives</w:t>
      </w:r>
    </w:p>
    <w:p>
      <w:pPr>
        <w:spacing w:after="0" w:line="94" w:lineRule="exact"/>
        <w:rPr>
          <w:sz w:val="20"/>
          <w:szCs w:val="20"/>
          <w:color w:val="auto"/>
        </w:rPr>
      </w:pPr>
    </w:p>
    <w:p>
      <w:pPr>
        <w:ind w:right="20" w:firstLine="348"/>
        <w:spacing w:after="0" w:line="238" w:lineRule="auto"/>
        <w:rPr>
          <w:sz w:val="20"/>
          <w:szCs w:val="20"/>
          <w:color w:val="auto"/>
        </w:rPr>
      </w:pPr>
      <w:r>
        <w:rPr>
          <w:rFonts w:ascii="Times New Roman" w:cs="Times New Roman" w:eastAsia="Times New Roman" w:hAnsi="Times New Roman"/>
          <w:sz w:val="16"/>
          <w:szCs w:val="16"/>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77"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provides a reconciliation of the change in sales for Specialty Additives between fiscal years 2025 and 2024 and between fiscal years 2024 and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16"/>
                <w:szCs w:val="16"/>
                <w:color w:val="auto"/>
              </w:rPr>
            </w:pPr>
          </w:p>
        </w:tc>
        <w:tc>
          <w:tcPr>
            <w:tcW w:w="17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 change</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Sales change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Foreign Currency</w:t>
            </w:r>
          </w:p>
        </w:tc>
        <w:tc>
          <w:tcPr>
            <w:tcW w:w="340" w:type="dxa"/>
            <w:vAlign w:val="bottom"/>
          </w:tcPr>
          <w:p>
            <w:pPr>
              <w:spacing w:after="0"/>
              <w:rPr>
                <w:sz w:val="15"/>
                <w:szCs w:val="15"/>
                <w:color w:val="auto"/>
              </w:rPr>
            </w:pPr>
          </w:p>
        </w:tc>
        <w:tc>
          <w:tcPr>
            <w:tcW w:w="1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Divestiture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6220" w:type="dxa"/>
            <w:vAlign w:val="bottom"/>
          </w:tcPr>
          <w:p>
            <w:pPr>
              <w:spacing w:after="0"/>
              <w:rPr>
                <w:sz w:val="15"/>
                <w:szCs w:val="15"/>
                <w:color w:val="auto"/>
              </w:rPr>
            </w:pP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30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provides a reconciliation of the change in operating income for Specialty Additives between fiscal years 2025 and 2024 and between fiscal years 2024 and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16"/>
                <w:szCs w:val="16"/>
                <w:color w:val="auto"/>
              </w:rPr>
            </w:pPr>
          </w:p>
        </w:tc>
        <w:tc>
          <w:tcPr>
            <w:tcW w:w="17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 change</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income (loss) change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Goodwill impairment</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(331)</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340" w:type="dxa"/>
            <w:vAlign w:val="bottom"/>
          </w:tcPr>
          <w:p>
            <w:pPr>
              <w:spacing w:after="0"/>
              <w:rPr>
                <w:sz w:val="15"/>
                <w:szCs w:val="15"/>
                <w:color w:val="auto"/>
              </w:rPr>
            </w:pP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Foreign Currency</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Costs</w:t>
            </w:r>
          </w:p>
        </w:tc>
        <w:tc>
          <w:tcPr>
            <w:tcW w:w="340" w:type="dxa"/>
            <w:vAlign w:val="bottom"/>
          </w:tcPr>
          <w:p>
            <w:pPr>
              <w:spacing w:after="0"/>
              <w:rPr>
                <w:sz w:val="15"/>
                <w:szCs w:val="15"/>
                <w:color w:val="auto"/>
              </w:rPr>
            </w:pPr>
          </w:p>
        </w:tc>
        <w:tc>
          <w:tcPr>
            <w:tcW w:w="1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Divestiture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220" w:type="dxa"/>
            <w:vAlign w:val="bottom"/>
          </w:tcPr>
          <w:p>
            <w:pPr>
              <w:spacing w:after="0"/>
              <w:rPr>
                <w:sz w:val="15"/>
                <w:szCs w:val="15"/>
                <w:color w:val="auto"/>
              </w:rPr>
            </w:pP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EBITDA and Adjusted EBITDA reconciliation</w:t>
      </w:r>
    </w:p>
    <w:p>
      <w:pPr>
        <w:spacing w:after="0" w:line="94"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The following EBITDA presentation (as defined and described in the section above) for the years ended September 30, 2025, 2024 and 2023 below is provided as a means to enhance the understanding of financial measurements that Ashland has internally determined to be relevant measures of comparison for the results of Specialty Additives. There were key items for the years ended September 30, 2025, 2024 and 2023. These items are listed below and described within the "Use of Non-GAAP Financial Measures" section above.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2025</w:t>
            </w:r>
          </w:p>
        </w:tc>
        <w:tc>
          <w:tcPr>
            <w:tcW w:w="9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2024</w:t>
            </w:r>
          </w:p>
        </w:tc>
        <w:tc>
          <w:tcPr>
            <w:tcW w:w="340" w:type="dxa"/>
            <w:vAlign w:val="bottom"/>
          </w:tcPr>
          <w:p>
            <w:pPr>
              <w:spacing w:after="0"/>
              <w:rPr>
                <w:sz w:val="16"/>
                <w:szCs w:val="16"/>
                <w:color w:val="auto"/>
              </w:rPr>
            </w:pPr>
          </w:p>
        </w:tc>
      </w:tr>
      <w:tr>
        <w:trPr>
          <w:trHeight w:val="193"/>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change</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3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income (loss)</w:t>
            </w:r>
          </w:p>
        </w:tc>
        <w:tc>
          <w:tcPr>
            <w:tcW w:w="9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3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60" w:type="dxa"/>
            <w:vAlign w:val="bottom"/>
            <w:gridSpan w:val="2"/>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920" w:type="dxa"/>
            <w:vAlign w:val="bottom"/>
            <w:gridSpan w:val="2"/>
            <w:shd w:val="clear" w:color="auto" w:fill="CFF0FC"/>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r>
      <w:tr>
        <w:trPr>
          <w:trHeight w:val="180"/>
        </w:trPr>
        <w:tc>
          <w:tcPr>
            <w:tcW w:w="20" w:type="dxa"/>
            <w:vAlign w:val="bottom"/>
          </w:tcPr>
          <w:p>
            <w:pPr>
              <w:spacing w:after="0"/>
              <w:rPr>
                <w:sz w:val="15"/>
                <w:szCs w:val="15"/>
                <w:color w:val="auto"/>
              </w:rPr>
            </w:pPr>
          </w:p>
        </w:tc>
        <w:tc>
          <w:tcPr>
            <w:tcW w:w="36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Depreciation and amortization</w:t>
            </w:r>
            <w:r>
              <w:rPr>
                <w:rFonts w:ascii="Times New Roman" w:cs="Times New Roman" w:eastAsia="Times New Roman" w:hAnsi="Times New Roman"/>
                <w:sz w:val="20"/>
                <w:szCs w:val="20"/>
                <w:color w:val="auto"/>
                <w:vertAlign w:val="superscript"/>
              </w:rPr>
              <w:t>(a)</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220"/>
        </w:trPr>
        <w:tc>
          <w:tcPr>
            <w:tcW w:w="2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EBITDA</w:t>
            </w: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rPr>
              <w:t>(273)</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34</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86</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(307)</w:t>
            </w: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(52)</w:t>
            </w:r>
          </w:p>
        </w:tc>
      </w:tr>
      <w:tr>
        <w:trPr>
          <w:trHeight w:val="156"/>
        </w:trPr>
        <w:tc>
          <w:tcPr>
            <w:tcW w:w="20" w:type="dxa"/>
            <w:vAlign w:val="bottom"/>
          </w:tcPr>
          <w:p>
            <w:pPr>
              <w:spacing w:after="0"/>
              <w:rPr>
                <w:sz w:val="13"/>
                <w:szCs w:val="13"/>
                <w:color w:val="auto"/>
              </w:rPr>
            </w:pPr>
          </w:p>
        </w:tc>
        <w:tc>
          <w:tcPr>
            <w:tcW w:w="368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Goodwill impairment</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331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6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331</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Accelerated depreciation</w:t>
            </w: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w:t>
            </w:r>
          </w:p>
        </w:tc>
      </w:tr>
      <w:tr>
        <w:trPr>
          <w:trHeight w:val="180"/>
        </w:trPr>
        <w:tc>
          <w:tcPr>
            <w:tcW w:w="20" w:type="dxa"/>
            <w:vAlign w:val="bottom"/>
          </w:tcPr>
          <w:p>
            <w:pPr>
              <w:spacing w:after="0"/>
              <w:rPr>
                <w:sz w:val="15"/>
                <w:szCs w:val="15"/>
                <w:color w:val="auto"/>
              </w:rPr>
            </w:pPr>
          </w:p>
        </w:tc>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plant optimization costs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20" w:type="dxa"/>
            <w:vAlign w:val="bottom"/>
          </w:tcPr>
          <w:p>
            <w:pPr>
              <w:spacing w:after="0"/>
              <w:rPr>
                <w:sz w:val="15"/>
                <w:szCs w:val="15"/>
                <w:color w:val="auto"/>
              </w:rPr>
            </w:pPr>
          </w:p>
        </w:tc>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Environmental reserve adjustments</w:t>
            </w: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20" w:type="dxa"/>
            <w:vAlign w:val="bottom"/>
          </w:tcPr>
          <w:p>
            <w:pPr>
              <w:spacing w:after="0"/>
              <w:rPr>
                <w:sz w:val="15"/>
                <w:szCs w:val="15"/>
                <w:color w:val="auto"/>
              </w:rPr>
            </w:pPr>
          </w:p>
        </w:tc>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 impairment</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220"/>
        </w:trPr>
        <w:tc>
          <w:tcPr>
            <w:tcW w:w="20" w:type="dxa"/>
            <w:vAlign w:val="bottom"/>
          </w:tcPr>
          <w:p>
            <w:pPr>
              <w:spacing w:after="0"/>
              <w:rPr>
                <w:sz w:val="19"/>
                <w:szCs w:val="19"/>
                <w:color w:val="auto"/>
              </w:rPr>
            </w:pPr>
          </w:p>
        </w:tc>
        <w:tc>
          <w:tcPr>
            <w:tcW w:w="368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Adjusted EBITDA</w:t>
            </w:r>
          </w:p>
        </w:tc>
        <w:tc>
          <w:tcPr>
            <w:tcW w:w="96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94</w:t>
            </w:r>
          </w:p>
        </w:tc>
        <w:tc>
          <w:tcPr>
            <w:tcW w:w="38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99</w:t>
            </w:r>
          </w:p>
        </w:tc>
        <w:tc>
          <w:tcPr>
            <w:tcW w:w="38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94</w:t>
            </w:r>
          </w:p>
        </w:tc>
        <w:tc>
          <w:tcPr>
            <w:tcW w:w="360" w:type="dxa"/>
            <w:vAlign w:val="bottom"/>
            <w:gridSpan w:val="2"/>
            <w:shd w:val="clear" w:color="auto" w:fill="CFF0FC"/>
          </w:tcPr>
          <w:p>
            <w:pPr>
              <w:ind w:left="1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w:t>
            </w:r>
          </w:p>
        </w:tc>
        <w:tc>
          <w:tcPr>
            <w:tcW w:w="920" w:type="dxa"/>
            <w:vAlign w:val="bottom"/>
            <w:gridSpan w:val="2"/>
            <w:shd w:val="clear" w:color="auto" w:fill="CFF0FC"/>
          </w:tcPr>
          <w:p>
            <w:pPr>
              <w:jc w:val="right"/>
              <w:ind w:right="582"/>
              <w:spacing w:after="0" w:line="16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5</w:t>
            </w:r>
          </w:p>
        </w:tc>
      </w:tr>
      <w:tr>
        <w:trPr>
          <w:trHeight w:val="168"/>
        </w:trPr>
        <w:tc>
          <w:tcPr>
            <w:tcW w:w="20" w:type="dxa"/>
            <w:vAlign w:val="bottom"/>
          </w:tcPr>
          <w:p>
            <w:pPr>
              <w:spacing w:after="0"/>
              <w:rPr>
                <w:sz w:val="14"/>
                <w:szCs w:val="14"/>
                <w:color w:val="auto"/>
              </w:rPr>
            </w:pPr>
          </w:p>
        </w:tc>
        <w:tc>
          <w:tcPr>
            <w:tcW w:w="3680" w:type="dxa"/>
            <w:vAlign w:val="bottom"/>
            <w:tcBorders>
              <w:top w:val="single" w:sz="8" w:color="CFF0FC"/>
            </w:tcBorders>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Operating income (loss) as a percent of sales</w:t>
            </w:r>
          </w:p>
        </w:tc>
        <w:tc>
          <w:tcPr>
            <w:tcW w:w="7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-66.1%</w:t>
            </w:r>
          </w:p>
        </w:tc>
        <w:tc>
          <w:tcPr>
            <w:tcW w:w="18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-5.6%</w:t>
            </w:r>
          </w:p>
        </w:tc>
        <w:tc>
          <w:tcPr>
            <w:tcW w:w="18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1.7%</w:t>
            </w:r>
          </w:p>
        </w:tc>
        <w:tc>
          <w:tcPr>
            <w:tcW w:w="180" w:type="dxa"/>
            <w:vAlign w:val="bottom"/>
            <w:tcBorders>
              <w:top w:val="single" w:sz="8" w:color="CFF0FC"/>
            </w:tcBorders>
          </w:tcPr>
          <w:p>
            <w:pPr>
              <w:spacing w:after="0"/>
              <w:rPr>
                <w:sz w:val="14"/>
                <w:szCs w:val="14"/>
                <w:color w:val="auto"/>
              </w:rPr>
            </w:pPr>
          </w:p>
        </w:tc>
        <w:tc>
          <w:tcPr>
            <w:tcW w:w="10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6"/>
                <w:szCs w:val="16"/>
                <w:color w:val="auto"/>
              </w:rPr>
              <w:t>Not meaningful</w:t>
            </w:r>
          </w:p>
        </w:tc>
        <w:tc>
          <w:tcPr>
            <w:tcW w:w="18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-730 bps</w:t>
            </w:r>
          </w:p>
        </w:tc>
        <w:tc>
          <w:tcPr>
            <w:tcW w:w="340" w:type="dxa"/>
            <w:vAlign w:val="bottom"/>
            <w:tcBorders>
              <w:top w:val="single" w:sz="8" w:color="auto"/>
            </w:tcBorders>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Adjusted EBITDA as a percent of sales</w:t>
            </w: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17.3%</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w w:val="99"/>
              </w:rPr>
              <w:t>110 bps</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160 bps</w:t>
            </w:r>
          </w:p>
        </w:tc>
        <w:tc>
          <w:tcPr>
            <w:tcW w:w="340" w:type="dxa"/>
            <w:vAlign w:val="bottom"/>
            <w:shd w:val="clear" w:color="auto" w:fill="CFF0FC"/>
          </w:tcPr>
          <w:p>
            <w:pPr>
              <w:spacing w:after="0"/>
              <w:rPr>
                <w:sz w:val="15"/>
                <w:szCs w:val="15"/>
                <w:color w:val="auto"/>
              </w:rPr>
            </w:pPr>
          </w:p>
        </w:tc>
      </w:tr>
    </w:tbl>
    <w:p>
      <w:pPr>
        <w:spacing w:after="0" w:line="14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3"/>
          <w:szCs w:val="13"/>
          <w:color w:val="auto"/>
        </w:rPr>
        <w:t>(a)Depreciation and amortization for Specialty Additives excludes accelerated depreciation of $19 million and $55 million in 2025 and 2024, respectively, which is included as a key item within this table as a component of Adjusted EBITDA.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2025 compared to 2024</w:t>
      </w:r>
    </w:p>
    <w:p>
      <w:pPr>
        <w:spacing w:after="0" w:line="94" w:lineRule="exact"/>
        <w:rPr>
          <w:sz w:val="20"/>
          <w:szCs w:val="20"/>
          <w:color w:val="auto"/>
        </w:rPr>
      </w:pPr>
    </w:p>
    <w:p>
      <w:pPr>
        <w:ind w:right="80" w:firstLine="348"/>
        <w:spacing w:after="0" w:line="243" w:lineRule="auto"/>
        <w:rPr>
          <w:sz w:val="20"/>
          <w:szCs w:val="20"/>
          <w:color w:val="auto"/>
        </w:rPr>
      </w:pPr>
      <w:r>
        <w:rPr>
          <w:rFonts w:ascii="Times New Roman" w:cs="Times New Roman" w:eastAsia="Times New Roman" w:hAnsi="Times New Roman"/>
          <w:sz w:val="16"/>
          <w:szCs w:val="16"/>
          <w:color w:val="auto"/>
        </w:rPr>
        <w:t>Specialty Additives sales and EBITDA in 2025 decreased primarily due to lower volume and unfavorable price/mix partially offset by favorable foreign exchange currency. Operating income (loss) and Adjusted EBITDA in 2025 decreased primarily due to lower volume and unfavorable price/mix partially offset by lower costs, including the effects of portfolio optimization activities and accelerated depreciation. Operating income (loss) for 2025 included a goodwill impairment charge of $331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compared to 2023</w:t>
      </w:r>
    </w:p>
    <w:p>
      <w:pPr>
        <w:spacing w:after="0" w:line="94" w:lineRule="exact"/>
        <w:rPr>
          <w:sz w:val="20"/>
          <w:szCs w:val="20"/>
          <w:color w:val="auto"/>
        </w:rPr>
      </w:pPr>
    </w:p>
    <w:p>
      <w:pPr>
        <w:ind w:right="20" w:firstLine="348"/>
        <w:spacing w:after="0" w:line="241" w:lineRule="auto"/>
        <w:rPr>
          <w:sz w:val="20"/>
          <w:szCs w:val="20"/>
          <w:color w:val="auto"/>
        </w:rPr>
      </w:pPr>
      <w:r>
        <w:rPr>
          <w:rFonts w:ascii="Times New Roman" w:cs="Times New Roman" w:eastAsia="Times New Roman" w:hAnsi="Times New Roman"/>
          <w:sz w:val="16"/>
          <w:szCs w:val="16"/>
          <w:color w:val="auto"/>
        </w:rPr>
        <w:t>Specialty Additives' sales in 2024 decreased primarily due to unfavorable pricing, while operating income (loss) and EBITDA decreased primarily due to higher costs, including $55 million of accelerated depreciation and $9 million of other costs for product line optimization activities associated with two Specialty Additives manufacturing facilities, and unfavorable price/mix partially offset by higher volume and favorable foreign currency exchange. The unfavorable pricing was primarily in coatings with the largest impact related to China. The CMC and MC portfolio optimization initiatives had an approximate $11 million negative sales impact during the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Intermediates</w:t>
      </w:r>
    </w:p>
    <w:p>
      <w:pPr>
        <w:spacing w:after="0" w:line="94" w:lineRule="exact"/>
        <w:rPr>
          <w:sz w:val="20"/>
          <w:szCs w:val="20"/>
          <w:color w:val="auto"/>
        </w:rPr>
      </w:pPr>
    </w:p>
    <w:p>
      <w:pPr>
        <w:ind w:right="40" w:firstLine="348"/>
        <w:spacing w:after="0" w:line="243" w:lineRule="auto"/>
        <w:rPr>
          <w:sz w:val="20"/>
          <w:szCs w:val="20"/>
          <w:color w:val="auto"/>
        </w:rPr>
      </w:pPr>
      <w:r>
        <w:rPr>
          <w:rFonts w:ascii="Times New Roman" w:cs="Times New Roman" w:eastAsia="Times New Roman" w:hAnsi="Times New Roman"/>
          <w:sz w:val="16"/>
          <w:szCs w:val="16"/>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provides a reconciliation of the change in sales for Intermediates between fiscal years 2025 and 2024 and between fiscal years 2024 and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 change</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Sales change</w:t>
            </w:r>
          </w:p>
        </w:tc>
        <w:tc>
          <w:tcPr>
            <w:tcW w:w="3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180"/>
        </w:trPr>
        <w:tc>
          <w:tcPr>
            <w:tcW w:w="31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3400" w:type="dxa"/>
            <w:vAlign w:val="bottom"/>
            <w:gridSpan w:val="2"/>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r>
      <w:tr>
        <w:trPr>
          <w:trHeight w:val="180"/>
        </w:trPr>
        <w:tc>
          <w:tcPr>
            <w:tcW w:w="31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3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31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Foreign Currency</w:t>
            </w:r>
          </w:p>
        </w:tc>
        <w:tc>
          <w:tcPr>
            <w:tcW w:w="3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316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5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r>
      <w:tr>
        <w:trPr>
          <w:trHeight w:val="598"/>
        </w:trPr>
        <w:tc>
          <w:tcPr>
            <w:tcW w:w="3160" w:type="dxa"/>
            <w:vAlign w:val="bottom"/>
            <w:tcBorders>
              <w:top w:val="single" w:sz="8" w:color="CFF0FC"/>
            </w:tcBorders>
          </w:tcPr>
          <w:p>
            <w:pPr>
              <w:spacing w:after="0"/>
              <w:rPr>
                <w:sz w:val="24"/>
                <w:szCs w:val="24"/>
                <w:color w:val="auto"/>
              </w:rPr>
            </w:pPr>
          </w:p>
        </w:tc>
        <w:tc>
          <w:tcPr>
            <w:tcW w:w="3060" w:type="dxa"/>
            <w:vAlign w:val="bottom"/>
            <w:tcBorders>
              <w:top w:val="single" w:sz="8" w:color="CFF0FC"/>
            </w:tcBorders>
          </w:tcPr>
          <w:p>
            <w:pPr>
              <w:ind w:left="1960"/>
              <w:spacing w:after="0"/>
              <w:rPr>
                <w:sz w:val="20"/>
                <w:szCs w:val="20"/>
                <w:color w:val="auto"/>
              </w:rPr>
            </w:pPr>
            <w:r>
              <w:rPr>
                <w:rFonts w:ascii="Times New Roman" w:cs="Times New Roman" w:eastAsia="Times New Roman" w:hAnsi="Times New Roman"/>
                <w:sz w:val="16"/>
                <w:szCs w:val="16"/>
                <w:color w:val="auto"/>
              </w:rPr>
              <w:t>M-22</w:t>
            </w:r>
          </w:p>
        </w:tc>
        <w:tc>
          <w:tcPr>
            <w:tcW w:w="34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674"/>
        </w:trPr>
        <w:tc>
          <w:tcPr>
            <w:tcW w:w="3160" w:type="dxa"/>
            <w:vAlign w:val="bottom"/>
            <w:tcBorders>
              <w:bottom w:val="single" w:sz="8" w:color="EEEEEE"/>
            </w:tcBorders>
          </w:tcPr>
          <w:p>
            <w:pPr>
              <w:spacing w:after="0"/>
              <w:rPr>
                <w:sz w:val="24"/>
                <w:szCs w:val="24"/>
                <w:color w:val="auto"/>
              </w:rPr>
            </w:pPr>
          </w:p>
        </w:tc>
        <w:tc>
          <w:tcPr>
            <w:tcW w:w="30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7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62" w:name="page63"/>
    <w:bookmarkEnd w:id="62"/>
    <w:p>
      <w:pPr>
        <w:spacing w:after="0" w:line="17" w:lineRule="exact"/>
        <w:rPr>
          <w:sz w:val="20"/>
          <w:szCs w:val="20"/>
          <w:color w:val="auto"/>
        </w:rPr>
      </w:pPr>
    </w:p>
    <w:p>
      <w:pPr>
        <w:ind w:right="28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provides a reconciliation of the change in operating income for Intermediates between fiscal years 2025 and 2024 and between fiscal years 2024 and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16"/>
                <w:szCs w:val="16"/>
                <w:color w:val="auto"/>
              </w:rPr>
            </w:pPr>
          </w:p>
        </w:tc>
        <w:tc>
          <w:tcPr>
            <w:tcW w:w="17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 change</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 change</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income change</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Price/mix</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5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r>
      <w:tr>
        <w:trPr>
          <w:trHeight w:val="180"/>
        </w:trPr>
        <w:tc>
          <w:tcPr>
            <w:tcW w:w="6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Cost</w:t>
            </w:r>
          </w:p>
        </w:tc>
        <w:tc>
          <w:tcPr>
            <w:tcW w:w="34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62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Volume</w:t>
            </w:r>
          </w:p>
        </w:tc>
        <w:tc>
          <w:tcPr>
            <w:tcW w:w="340" w:type="dxa"/>
            <w:vAlign w:val="bottom"/>
          </w:tcPr>
          <w:p>
            <w:pPr>
              <w:spacing w:after="0"/>
              <w:rPr>
                <w:sz w:val="15"/>
                <w:szCs w:val="15"/>
                <w:color w:val="auto"/>
              </w:rPr>
            </w:pPr>
          </w:p>
        </w:tc>
        <w:tc>
          <w:tcPr>
            <w:tcW w:w="1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200"/>
        </w:trPr>
        <w:tc>
          <w:tcPr>
            <w:tcW w:w="6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5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EBITDA reconciliation</w:t>
      </w:r>
    </w:p>
    <w:p>
      <w:pPr>
        <w:spacing w:after="0" w:line="94" w:lineRule="exact"/>
        <w:rPr>
          <w:sz w:val="20"/>
          <w:szCs w:val="20"/>
          <w:color w:val="auto"/>
        </w:rPr>
      </w:pPr>
    </w:p>
    <w:p>
      <w:pPr>
        <w:ind w:right="400" w:firstLine="348"/>
        <w:spacing w:after="0" w:line="247" w:lineRule="auto"/>
        <w:rPr>
          <w:sz w:val="20"/>
          <w:szCs w:val="20"/>
          <w:color w:val="auto"/>
        </w:rPr>
      </w:pPr>
      <w:r>
        <w:rPr>
          <w:rFonts w:ascii="Times New Roman" w:cs="Times New Roman" w:eastAsia="Times New Roman" w:hAnsi="Times New Roman"/>
          <w:sz w:val="16"/>
          <w:szCs w:val="16"/>
          <w:color w:val="auto"/>
        </w:rPr>
        <w:t>The following EBITDA presentation (as defined and described in the section above) for the years ended September 30, 2025, 2024 and 2023 is provided as a means to enhance the understanding of financial measurements that Ashland has internally determined to be relevant measures of comparison for the results of Intermediates. Intermediates had no key items for the years ended September 30, 2025,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3"/>
              </w:rPr>
              <w:t>2025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164"/>
              <w:spacing w:after="0"/>
              <w:rPr>
                <w:sz w:val="20"/>
                <w:szCs w:val="20"/>
                <w:color w:val="auto"/>
              </w:rPr>
            </w:pPr>
            <w:r>
              <w:rPr>
                <w:rFonts w:ascii="Times New Roman" w:cs="Times New Roman" w:eastAsia="Times New Roman" w:hAnsi="Times New Roman"/>
                <w:sz w:val="16"/>
                <w:szCs w:val="16"/>
                <w:color w:val="auto"/>
                <w:w w:val="99"/>
              </w:rPr>
              <w:t>2024</w:t>
            </w: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4"/>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6"/>
              </w:rPr>
              <w:t>change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164"/>
              <w:spacing w:after="0"/>
              <w:rPr>
                <w:sz w:val="20"/>
                <w:szCs w:val="20"/>
                <w:color w:val="auto"/>
              </w:rPr>
            </w:pPr>
            <w:r>
              <w:rPr>
                <w:rFonts w:ascii="Times New Roman" w:cs="Times New Roman" w:eastAsia="Times New Roman" w:hAnsi="Times New Roman"/>
                <w:sz w:val="16"/>
                <w:szCs w:val="16"/>
                <w:color w:val="auto"/>
                <w:w w:val="96"/>
              </w:rPr>
              <w:t>change</w:t>
            </w: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income</w:t>
            </w:r>
          </w:p>
        </w:tc>
        <w:tc>
          <w:tcPr>
            <w:tcW w:w="11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3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3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3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3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52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EBITDA</w:t>
            </w:r>
          </w:p>
        </w:tc>
        <w:tc>
          <w:tcPr>
            <w:tcW w:w="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4"/>
              <w:spacing w:after="0" w:line="160" w:lineRule="exact"/>
              <w:rPr>
                <w:sz w:val="20"/>
                <w:szCs w:val="20"/>
                <w:color w:val="auto"/>
              </w:rPr>
            </w:pPr>
            <w:r>
              <w:rPr>
                <w:rFonts w:ascii="Times New Roman" w:cs="Times New Roman" w:eastAsia="Times New Roman" w:hAnsi="Times New Roman"/>
                <w:sz w:val="16"/>
                <w:szCs w:val="16"/>
                <w:color w:val="auto"/>
              </w:rPr>
              <w:t>21</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42</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rPr>
              <w:t>63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20"/>
        </w:trPr>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income as a percent of sales</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44"/>
              <w:spacing w:after="0" w:line="120" w:lineRule="exact"/>
              <w:rPr>
                <w:sz w:val="20"/>
                <w:szCs w:val="20"/>
                <w:color w:val="auto"/>
              </w:rPr>
            </w:pPr>
            <w:r>
              <w:rPr>
                <w:rFonts w:ascii="Times New Roman" w:cs="Times New Roman" w:eastAsia="Times New Roman" w:hAnsi="Times New Roman"/>
                <w:sz w:val="13"/>
                <w:szCs w:val="13"/>
                <w:color w:val="auto"/>
              </w:rPr>
              <w:t>5.8</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6"/>
                <w:szCs w:val="16"/>
                <w:color w:val="auto"/>
                <w:w w:val="97"/>
              </w:rPr>
              <w:t>-1430 bps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184"/>
              <w:spacing w:after="0" w:line="120" w:lineRule="exact"/>
              <w:rPr>
                <w:sz w:val="20"/>
                <w:szCs w:val="20"/>
                <w:color w:val="auto"/>
              </w:rPr>
            </w:pPr>
            <w:r>
              <w:rPr>
                <w:rFonts w:ascii="Times New Roman" w:cs="Times New Roman" w:eastAsia="Times New Roman" w:hAnsi="Times New Roman"/>
                <w:sz w:val="13"/>
                <w:szCs w:val="13"/>
                <w:color w:val="auto"/>
              </w:rPr>
              <w:t>-690 bps</w:t>
            </w:r>
          </w:p>
        </w:tc>
        <w:tc>
          <w:tcPr>
            <w:tcW w:w="0" w:type="dxa"/>
            <w:vAlign w:val="bottom"/>
          </w:tcPr>
          <w:p>
            <w:pPr>
              <w:spacing w:after="0"/>
              <w:rPr>
                <w:sz w:val="1"/>
                <w:szCs w:val="1"/>
                <w:color w:val="auto"/>
              </w:rPr>
            </w:pPr>
          </w:p>
        </w:tc>
      </w:tr>
      <w:tr>
        <w:trPr>
          <w:trHeight w:val="180"/>
        </w:trPr>
        <w:tc>
          <w:tcPr>
            <w:tcW w:w="35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EBITDA as a percent of sales</w:t>
            </w: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-1390 bps</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center"/>
              <w:ind w:right="184"/>
              <w:spacing w:after="0" w:line="180" w:lineRule="exact"/>
              <w:rPr>
                <w:sz w:val="20"/>
                <w:szCs w:val="20"/>
                <w:color w:val="auto"/>
              </w:rPr>
            </w:pPr>
            <w:r>
              <w:rPr>
                <w:rFonts w:ascii="Times New Roman" w:cs="Times New Roman" w:eastAsia="Times New Roman" w:hAnsi="Times New Roman"/>
                <w:sz w:val="16"/>
                <w:szCs w:val="16"/>
                <w:color w:val="auto"/>
                <w:w w:val="97"/>
              </w:rPr>
              <w:t>-490 bps</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2025 compared to 2024</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Intermediates' sales, operating income and EBITDA for 2025 decreased primarily due to unfavorable price/mix partially offset by higher volume.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compared to 2023</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Intermediates' sales, operating income and EBITDA for 2024 decreased primarily due to unfavorable pricing and lower volume, partially offset by lower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Unallocated and other</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summarizes the key components of the Unallocated and other's operating income (loss) for each of the years ended September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2024</w:t>
            </w:r>
          </w:p>
        </w:tc>
      </w:tr>
      <w:tr>
        <w:trPr>
          <w:trHeight w:val="19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change</w:t>
            </w: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Restructuring activities</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760" w:type="dxa"/>
            <w:vAlign w:val="bottom"/>
            <w:gridSpan w:val="2"/>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Environmental expenses</w:t>
            </w:r>
          </w:p>
        </w:tc>
        <w:tc>
          <w:tcPr>
            <w:tcW w:w="2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ICMS Brazil tax credit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(loss) on acquisitions and divestitures, net</w:t>
            </w:r>
          </w:p>
        </w:tc>
        <w:tc>
          <w:tcPr>
            <w:tcW w:w="2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89"/>
              </w:rPr>
              <w:t>(46)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w:t>
            </w: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Argentina currency devaluation impact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Tax credit</w:t>
            </w:r>
          </w:p>
        </w:tc>
        <w:tc>
          <w:tcPr>
            <w:tcW w:w="20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expenses (primarily governance and legacy expenses)</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5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expense</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(264)</w:t>
            </w: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760" w:type="dxa"/>
            <w:vAlign w:val="bottom"/>
            <w:gridSpan w:val="2"/>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r>
      <w:tr>
        <w:trPr>
          <w:trHeight w:val="20"/>
        </w:trPr>
        <w:tc>
          <w:tcPr>
            <w:tcW w:w="5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80" w:firstLine="348"/>
        <w:spacing w:after="0" w:line="247" w:lineRule="auto"/>
        <w:rPr>
          <w:sz w:val="20"/>
          <w:szCs w:val="20"/>
          <w:color w:val="auto"/>
        </w:rPr>
      </w:pPr>
      <w:r>
        <w:rPr>
          <w:rFonts w:ascii="Times New Roman" w:cs="Times New Roman" w:eastAsia="Times New Roman" w:hAnsi="Times New Roman"/>
          <w:sz w:val="16"/>
          <w:szCs w:val="16"/>
          <w:color w:val="auto"/>
        </w:rPr>
        <w:t>Unallocated and other included expense of $273 million, $264 million and $ 112 million for 2025, 2024 and 2023, respectively. The charges for restructuring activities of $22 million, $30 million and $9 million during 2025, 2024 and 2023, respectively, were primarily comprised of severance, lease abandonment and other restructuring costs related to company-wide cost reduction programs.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3" w:name="page64"/>
    <w:bookmarkEnd w:id="63"/>
    <w:p>
      <w:pPr>
        <w:spacing w:after="0" w:line="17" w:lineRule="exact"/>
        <w:rPr>
          <w:sz w:val="20"/>
          <w:szCs w:val="20"/>
          <w:color w:val="auto"/>
        </w:rPr>
      </w:pPr>
    </w:p>
    <w:p>
      <w:pPr>
        <w:ind w:right="440" w:firstLine="348"/>
        <w:spacing w:after="0" w:line="259" w:lineRule="auto"/>
        <w:rPr>
          <w:sz w:val="20"/>
          <w:szCs w:val="20"/>
          <w:color w:val="auto"/>
        </w:rPr>
      </w:pPr>
      <w:r>
        <w:rPr>
          <w:rFonts w:ascii="Times New Roman" w:cs="Times New Roman" w:eastAsia="Times New Roman" w:hAnsi="Times New Roman"/>
          <w:sz w:val="16"/>
          <w:szCs w:val="16"/>
          <w:color w:val="auto"/>
        </w:rPr>
        <w:t>Environmental expenses of $32 million, $43 million and $49 million during 2025, 2024 and 2023, respectively, primarily driven by specific remediation site reserve increases during the period.</w:t>
      </w:r>
    </w:p>
    <w:p>
      <w:pPr>
        <w:spacing w:after="0" w:line="59"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The remaining items included: loss on divestitures of $ 161 million (primarily related to the $183 million impairment of the Avoca business, $8 million pre-tax gain on the final sale of the Avoca business, and $14 million gain on sale of a property) and a tax credit of $3 million in 2025, expense of $ 5 million related to the devaluation of the currency in Argentina and loss on divestiture of $115 million (primarily related to the $ 107 million impairment charge and loss on sale associated with the Nutraceuticals business as well as a $7 million charge related to Nutraceutical VAT reserves) in 2024, and income of $6 million on acquisitions and divestitures related to excess corporate property sales and income of $12 million for ICMS tax credits in Brazil in 2023.</w:t>
      </w:r>
    </w:p>
    <w:p>
      <w:pPr>
        <w:spacing w:after="0" w:line="73" w:lineRule="exact"/>
        <w:rPr>
          <w:sz w:val="20"/>
          <w:szCs w:val="20"/>
          <w:color w:val="auto"/>
        </w:rPr>
      </w:pPr>
    </w:p>
    <w:p>
      <w:pPr>
        <w:ind w:right="820" w:firstLine="348"/>
        <w:spacing w:after="0" w:line="259" w:lineRule="auto"/>
        <w:rPr>
          <w:sz w:val="20"/>
          <w:szCs w:val="20"/>
          <w:color w:val="auto"/>
        </w:rPr>
      </w:pPr>
      <w:r>
        <w:rPr>
          <w:rFonts w:ascii="Times New Roman" w:cs="Times New Roman" w:eastAsia="Times New Roman" w:hAnsi="Times New Roman"/>
          <w:sz w:val="16"/>
          <w:szCs w:val="16"/>
          <w:color w:val="auto"/>
        </w:rPr>
        <w:t>Other expenses between periods were driven by increases and decreases in governance and legacy expenses associated with foreign currency, deferred compensation, stock compensation and incentive compensation.</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4" w:name="page65"/>
    <w:bookmarkEnd w:id="64"/>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POSITION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w:t>
      </w:r>
    </w:p>
    <w:p>
      <w:pPr>
        <w:spacing w:after="0" w:line="94" w:lineRule="exact"/>
        <w:rPr>
          <w:sz w:val="20"/>
          <w:szCs w:val="20"/>
          <w:color w:val="auto"/>
        </w:rPr>
      </w:pPr>
    </w:p>
    <w:p>
      <w:pPr>
        <w:ind w:right="200" w:firstLine="348"/>
        <w:spacing w:after="0" w:line="243" w:lineRule="auto"/>
        <w:rPr>
          <w:sz w:val="20"/>
          <w:szCs w:val="20"/>
          <w:color w:val="auto"/>
        </w:rPr>
      </w:pPr>
      <w:r>
        <w:rPr>
          <w:rFonts w:ascii="Times New Roman" w:cs="Times New Roman" w:eastAsia="Times New Roman" w:hAnsi="Times New Roman"/>
          <w:sz w:val="16"/>
          <w:szCs w:val="16"/>
          <w:color w:val="auto"/>
        </w:rPr>
        <w:t>Ashland had $215 million in cash and cash equivalents as of September 30, 2025, of which $194 million was held by foreign subsidiaries and had no significant limitations that would prohibit remitting the funds to satisfy corporate obligations. In certain circumstances, if such amounts were repatriated to the United States, additional withholding taxes might need to be accrued and paid depending on the source of the earnings remitted. Ashland currently has no plans to repatriate any amounts for which additional taxes would need to be accrued.</w:t>
      </w:r>
    </w:p>
    <w:p>
      <w:pPr>
        <w:spacing w:after="0" w:line="71" w:lineRule="exact"/>
        <w:rPr>
          <w:sz w:val="20"/>
          <w:szCs w:val="20"/>
          <w:color w:val="auto"/>
        </w:rPr>
      </w:pPr>
    </w:p>
    <w:p>
      <w:pPr>
        <w:ind w:right="60" w:firstLine="348"/>
        <w:spacing w:after="0" w:line="243" w:lineRule="auto"/>
        <w:rPr>
          <w:sz w:val="20"/>
          <w:szCs w:val="20"/>
          <w:color w:val="auto"/>
        </w:rPr>
      </w:pPr>
      <w:r>
        <w:rPr>
          <w:rFonts w:ascii="Times New Roman" w:cs="Times New Roman" w:eastAsia="Times New Roman" w:hAnsi="Times New Roman"/>
          <w:sz w:val="16"/>
          <w:szCs w:val="16"/>
          <w:color w:val="auto"/>
        </w:rPr>
        <w:t>Ashland has taken actions and may continue to take actions intended to increase its cash and cash equivalents position and preserve financial flexibility. At September 30, 2025, Ashland has total remaining borrowing capacity of $596 million available under the Revolving Credit Facility. Ashland had no available liquidity under the U.S. and Foreign Accounts Receivable Sales Program, as of September 30, 2025. Ashland has no maturities related to revolving credit facilities or bonds until fiscal 2027.</w:t>
      </w:r>
    </w:p>
    <w:p>
      <w:pPr>
        <w:spacing w:after="0" w:line="71" w:lineRule="exact"/>
        <w:rPr>
          <w:sz w:val="20"/>
          <w:szCs w:val="20"/>
          <w:color w:val="auto"/>
        </w:rPr>
      </w:pPr>
    </w:p>
    <w:p>
      <w:pPr>
        <w:ind w:right="60" w:firstLine="348"/>
        <w:spacing w:after="0" w:line="284" w:lineRule="auto"/>
        <w:rPr>
          <w:sz w:val="20"/>
          <w:szCs w:val="20"/>
          <w:color w:val="auto"/>
        </w:rPr>
      </w:pPr>
      <w:r>
        <w:rPr>
          <w:rFonts w:ascii="Times New Roman" w:cs="Times New Roman" w:eastAsia="Times New Roman" w:hAnsi="Times New Roman"/>
          <w:sz w:val="14"/>
          <w:szCs w:val="14"/>
          <w:color w:val="auto"/>
        </w:rPr>
        <w:t>On October 19, 2023, Ashland entered, through an Ireland based, wholly-owned, bankruptcy-remote consolidated special purpose entity (SPE), into a three-year agreement with a group of entities (buyers) to sell certain trade receivables, without recourse beyond the pledged receivables, of certain wholly-owned Ashland subsidiaries (Foreign Accounts Receivable Sales Program) primarily in Europe. Under the agreement, Ashland can transfer whole receivables up to a limit established by the buyer, which is currently set at a maximum of €125 million subject to other limitations as applicable. Ashland accounts for receivables transferred to buyers as part of this agreement as sales. See Note H of the Notes to Consolidated Financial Statements for more information on the Foreign Accounts Receivables Sale Program.</w:t>
      </w:r>
    </w:p>
    <w:p>
      <w:pPr>
        <w:spacing w:after="0" w:line="44" w:lineRule="exact"/>
        <w:rPr>
          <w:sz w:val="20"/>
          <w:szCs w:val="20"/>
          <w:color w:val="auto"/>
        </w:rPr>
      </w:pPr>
    </w:p>
    <w:p>
      <w:pPr>
        <w:ind w:right="40" w:firstLine="348"/>
        <w:spacing w:after="0" w:line="284" w:lineRule="auto"/>
        <w:rPr>
          <w:sz w:val="20"/>
          <w:szCs w:val="20"/>
          <w:color w:val="auto"/>
        </w:rPr>
      </w:pPr>
      <w:r>
        <w:rPr>
          <w:rFonts w:ascii="Times New Roman" w:cs="Times New Roman" w:eastAsia="Times New Roman" w:hAnsi="Times New Roman"/>
          <w:sz w:val="14"/>
          <w:szCs w:val="14"/>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As of September 30, 2025, participation in the program was not significant. There were less than $1 million of confirmed invoices under this program for the year ended September 30, 2025.</w:t>
      </w:r>
    </w:p>
    <w:p>
      <w:pPr>
        <w:spacing w:after="0" w:line="44" w:lineRule="exact"/>
        <w:rPr>
          <w:sz w:val="20"/>
          <w:szCs w:val="20"/>
          <w:color w:val="auto"/>
        </w:rPr>
      </w:pPr>
    </w:p>
    <w:p>
      <w:pPr>
        <w:ind w:right="40" w:firstLine="348"/>
        <w:spacing w:after="0" w:line="243" w:lineRule="auto"/>
        <w:rPr>
          <w:sz w:val="20"/>
          <w:szCs w:val="20"/>
          <w:color w:val="auto"/>
        </w:rPr>
      </w:pPr>
      <w:r>
        <w:rPr>
          <w:rFonts w:ascii="Times New Roman" w:cs="Times New Roman" w:eastAsia="Times New Roman" w:hAnsi="Times New Roman"/>
          <w:sz w:val="16"/>
          <w:szCs w:val="16"/>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p>
    <w:p>
      <w:pPr>
        <w:spacing w:after="0" w:line="71"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6"/>
          <w:szCs w:val="16"/>
          <w:color w:val="auto"/>
        </w:rPr>
        <w:t>Ashland’s cash flows from operating, investing and financing activities, as reflected in the Statements of Consolidated Cash Flows, are summarized as follows, for the years ended September 30: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5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provided (used) by:</w:t>
            </w: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80"/>
        </w:trPr>
        <w:tc>
          <w:tcPr>
            <w:tcW w:w="55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Operating activities from continuing operations</w:t>
            </w:r>
          </w:p>
        </w:tc>
        <w:tc>
          <w:tcPr>
            <w:tcW w:w="126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34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462</w:t>
            </w:r>
          </w:p>
        </w:tc>
        <w:tc>
          <w:tcPr>
            <w:tcW w:w="34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294</w:t>
            </w:r>
          </w:p>
        </w:tc>
      </w:tr>
      <w:tr>
        <w:trPr>
          <w:trHeight w:val="180"/>
        </w:trPr>
        <w:tc>
          <w:tcPr>
            <w:tcW w:w="55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Investing activities from continuing operations</w:t>
            </w: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(109)</w:t>
            </w:r>
          </w:p>
        </w:tc>
      </w:tr>
      <w:tr>
        <w:trPr>
          <w:trHeight w:val="180"/>
        </w:trPr>
        <w:tc>
          <w:tcPr>
            <w:tcW w:w="55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Financing activities from continuing operations</w:t>
            </w: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(371)</w:t>
            </w:r>
          </w:p>
        </w:tc>
      </w:tr>
      <w:tr>
        <w:trPr>
          <w:trHeight w:val="180"/>
        </w:trPr>
        <w:tc>
          <w:tcPr>
            <w:tcW w:w="55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Discontinued operations</w:t>
            </w: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r>
      <w:tr>
        <w:trPr>
          <w:trHeight w:val="180"/>
        </w:trPr>
        <w:tc>
          <w:tcPr>
            <w:tcW w:w="55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Effect of currency exchange rate changes on cash and cash equivalents</w:t>
            </w: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220"/>
        </w:trPr>
        <w:tc>
          <w:tcPr>
            <w:tcW w:w="554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(229)</w:t>
            </w:r>
          </w:p>
        </w:tc>
      </w:tr>
    </w:tbl>
    <w:p>
      <w:pPr>
        <w:spacing w:after="0" w:line="143" w:lineRule="exact"/>
        <w:rPr>
          <w:sz w:val="20"/>
          <w:szCs w:val="20"/>
          <w:color w:val="auto"/>
        </w:rPr>
      </w:pPr>
    </w:p>
    <w:p>
      <w:pPr>
        <w:jc w:val="both"/>
        <w:ind w:right="360" w:firstLine="348"/>
        <w:spacing w:after="0" w:line="247" w:lineRule="auto"/>
        <w:rPr>
          <w:sz w:val="20"/>
          <w:szCs w:val="20"/>
          <w:color w:val="auto"/>
        </w:rPr>
      </w:pPr>
      <w:r>
        <w:rPr>
          <w:rFonts w:ascii="Times New Roman" w:cs="Times New Roman" w:eastAsia="Times New Roman" w:hAnsi="Times New Roman"/>
          <w:sz w:val="16"/>
          <w:szCs w:val="16"/>
          <w:color w:val="auto"/>
        </w:rPr>
        <w:t>Ashland paid income taxes of $33 million during 2025 compared to $ 53 million in 2024 and $63 million in 2023 (of which $ 16 million related to discounted operations). Cash receipts for interest income were $5 million in 2025, $10 million in 2024, and $12 million in 2023, respectively, while cash payments for interest expense amounted to $54 million in 2025, $52 million in 2024 and $53 million in 2023.</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5" w:name="page66"/>
    <w:bookmarkEnd w:id="65"/>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28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auto"/>
              </w:rPr>
              <w:t>The following summarizes the cash flows associated with Ashland’s operating activities for the years ended September 30: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80" w:type="dxa"/>
            <w:vAlign w:val="bottom"/>
          </w:tcPr>
          <w:p>
            <w:pPr>
              <w:spacing w:after="0"/>
              <w:rPr>
                <w:sz w:val="24"/>
                <w:szCs w:val="24"/>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provided by operating activities from continuing operations</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(845)</w:t>
            </w:r>
          </w:p>
        </w:tc>
        <w:tc>
          <w:tcPr>
            <w:tcW w:w="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Loss (income) from discontinued operations, net of income taxes</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7"/>
        </w:trPr>
        <w:tc>
          <w:tcPr>
            <w:tcW w:w="6560" w:type="dxa"/>
            <w:vAlign w:val="bottom"/>
          </w:tcPr>
          <w:p>
            <w:pPr>
              <w:ind w:left="160"/>
              <w:spacing w:after="0" w:line="167" w:lineRule="exact"/>
              <w:rPr>
                <w:sz w:val="20"/>
                <w:szCs w:val="20"/>
                <w:color w:val="auto"/>
              </w:rPr>
            </w:pPr>
            <w:r>
              <w:rPr>
                <w:rFonts w:ascii="Times New Roman" w:cs="Times New Roman" w:eastAsia="Times New Roman" w:hAnsi="Times New Roman"/>
                <w:sz w:val="16"/>
                <w:szCs w:val="16"/>
                <w:color w:val="auto"/>
              </w:rPr>
              <w:t>Adjustments to reconcile income (loss) from continuing operations to cash flows from operating</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activities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180"/>
        </w:trPr>
        <w:tc>
          <w:tcPr>
            <w:tcW w:w="656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Original issue discount and debt issuance cost amortization</w:t>
            </w:r>
          </w:p>
        </w:tc>
        <w:tc>
          <w:tcPr>
            <w:tcW w:w="280" w:type="dxa"/>
            <w:vAlign w:val="bottom"/>
          </w:tcPr>
          <w:p>
            <w:pPr>
              <w:spacing w:after="0"/>
              <w:rPr>
                <w:sz w:val="15"/>
                <w:szCs w:val="15"/>
                <w:color w:val="auto"/>
              </w:rPr>
            </w:pPr>
          </w:p>
        </w:tc>
        <w:tc>
          <w:tcPr>
            <w:tcW w:w="10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656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Gain from sales of property and equipment</w:t>
            </w: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Stock based compensation expense</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0"/>
        </w:trPr>
        <w:tc>
          <w:tcPr>
            <w:tcW w:w="656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Benefit (loss) from excess tax deduction on stock based compensation</w:t>
            </w: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Income from restricted investments</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0"/>
        </w:trPr>
        <w:tc>
          <w:tcPr>
            <w:tcW w:w="656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Loss (income) on acquisitions and divestitures, net</w:t>
            </w:r>
          </w:p>
        </w:tc>
        <w:tc>
          <w:tcPr>
            <w:tcW w:w="280" w:type="dxa"/>
            <w:vAlign w:val="bottom"/>
          </w:tcPr>
          <w:p>
            <w:pPr>
              <w:spacing w:after="0"/>
              <w:rPr>
                <w:sz w:val="15"/>
                <w:szCs w:val="15"/>
                <w:color w:val="auto"/>
              </w:rPr>
            </w:pPr>
          </w:p>
        </w:tc>
        <w:tc>
          <w:tcPr>
            <w:tcW w:w="10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Goodwill impairment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56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Asset impairments</w:t>
            </w:r>
          </w:p>
        </w:tc>
        <w:tc>
          <w:tcPr>
            <w:tcW w:w="280" w:type="dxa"/>
            <w:vAlign w:val="bottom"/>
          </w:tcPr>
          <w:p>
            <w:pPr>
              <w:spacing w:after="0"/>
              <w:rPr>
                <w:sz w:val="15"/>
                <w:szCs w:val="15"/>
                <w:color w:val="auto"/>
              </w:rPr>
            </w:pPr>
          </w:p>
        </w:tc>
        <w:tc>
          <w:tcPr>
            <w:tcW w:w="10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Pension contributions</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(gain) on pension and other postretirement plan remeasurements</w:t>
            </w: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7"/>
        </w:trPr>
        <w:tc>
          <w:tcPr>
            <w:tcW w:w="6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5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5"/>
                <w:szCs w:val="15"/>
                <w:color w:val="auto"/>
              </w:rPr>
              <w:t>Change in operating assets and liabilities</w:t>
            </w:r>
            <w:r>
              <w:rPr>
                <w:rFonts w:ascii="Times New Roman" w:cs="Times New Roman" w:eastAsia="Times New Roman" w:hAnsi="Times New Roman"/>
                <w:sz w:val="20"/>
                <w:szCs w:val="20"/>
                <w:color w:val="auto"/>
                <w:vertAlign w:val="superscript"/>
              </w:rPr>
              <w:t>(a)</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0"/>
        </w:trPr>
        <w:tc>
          <w:tcPr>
            <w:tcW w:w="6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cash flows provided by operating activities from continuing operations</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462</w:t>
            </w:r>
          </w:p>
        </w:tc>
        <w:tc>
          <w:tcPr>
            <w:tcW w:w="3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(a)Excludes changes resulting from operations acquired or sold.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 - Operating Assets and Liabilities</w:t>
      </w:r>
    </w:p>
    <w:p>
      <w:pPr>
        <w:spacing w:after="0" w:line="94" w:lineRule="exact"/>
        <w:rPr>
          <w:sz w:val="20"/>
          <w:szCs w:val="20"/>
          <w:color w:val="auto"/>
        </w:rPr>
      </w:pPr>
    </w:p>
    <w:p>
      <w:pPr>
        <w:ind w:right="240" w:firstLine="348"/>
        <w:spacing w:after="0" w:line="247" w:lineRule="auto"/>
        <w:rPr>
          <w:sz w:val="20"/>
          <w:szCs w:val="20"/>
          <w:color w:val="auto"/>
        </w:rPr>
      </w:pPr>
      <w:r>
        <w:rPr>
          <w:rFonts w:ascii="Times New Roman" w:cs="Times New Roman" w:eastAsia="Times New Roman" w:hAnsi="Times New Roman"/>
          <w:sz w:val="16"/>
          <w:szCs w:val="16"/>
          <w:color w:val="auto"/>
        </w:rPr>
        <w:t>The cash results during each year were primarily driven by net income (loss), excluding discontinued operation results, adjusted for certain non-cash items including depreciation and amortization (including debt issuance cost amortization), income (loss) on acquisitions and divestitures, net as well as changes in working capital, which are fluctuations within accounts receivable, inventory, trade payables and accrued expenses.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details certain changes in key operating assets and liabilities for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Cash flows from assets and liabilities</w:t>
            </w:r>
            <w:r>
              <w:rPr>
                <w:rFonts w:ascii="Times New Roman" w:cs="Times New Roman" w:eastAsia="Times New Roman" w:hAnsi="Times New Roman"/>
                <w:sz w:val="20"/>
                <w:szCs w:val="20"/>
                <w:b w:val="1"/>
                <w:bCs w:val="1"/>
                <w:color w:val="auto"/>
                <w:vertAlign w:val="superscript"/>
              </w:rPr>
              <w:t>(a)</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0"/>
        </w:trPr>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w:t>
            </w:r>
          </w:p>
        </w:tc>
      </w:tr>
      <w:tr>
        <w:trPr>
          <w:trHeight w:val="30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line="301" w:lineRule="exact"/>
              <w:rPr>
                <w:sz w:val="20"/>
                <w:szCs w:val="20"/>
                <w:color w:val="auto"/>
              </w:rPr>
            </w:pPr>
            <w:r>
              <w:rPr>
                <w:rFonts w:ascii="Times New Roman" w:cs="Times New Roman" w:eastAsia="Times New Roman" w:hAnsi="Times New Roman"/>
                <w:sz w:val="16"/>
                <w:szCs w:val="16"/>
                <w:color w:val="auto"/>
              </w:rPr>
              <w:t>(28</w:t>
            </w:r>
            <w:r>
              <w:rPr>
                <w:rFonts w:ascii="Times New Roman" w:cs="Times New Roman" w:eastAsia="Times New Roman" w:hAnsi="Times New Roman"/>
                <w:sz w:val="31"/>
                <w:szCs w:val="31"/>
                <w:color w:val="auto"/>
                <w:vertAlign w:val="subscript"/>
              </w:rPr>
              <w:t>)</w:t>
            </w: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80"/>
        </w:trPr>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Trade and other payables</w:t>
            </w:r>
          </w:p>
        </w:tc>
        <w:tc>
          <w:tcPr>
            <w:tcW w:w="2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assets and liabilities</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Change in operating assets and liabilities</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227</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w:t>
            </w:r>
          </w:p>
        </w:tc>
      </w:tr>
      <w:tr>
        <w:trPr>
          <w:trHeight w:val="20"/>
        </w:trPr>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(a)Excludes changes resulting from operations acquired or sold.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6" w:name="page67"/>
    <w:bookmarkEnd w:id="66"/>
    <w:p>
      <w:pPr>
        <w:spacing w:after="0" w:line="17" w:lineRule="exact"/>
        <w:rPr>
          <w:sz w:val="20"/>
          <w:szCs w:val="20"/>
          <w:color w:val="auto"/>
        </w:rPr>
      </w:pPr>
    </w:p>
    <w:p>
      <w:pPr>
        <w:ind w:right="200" w:firstLine="348"/>
        <w:spacing w:after="0" w:line="259" w:lineRule="auto"/>
        <w:rPr>
          <w:sz w:val="20"/>
          <w:szCs w:val="20"/>
          <w:color w:val="auto"/>
        </w:rPr>
      </w:pPr>
      <w:r>
        <w:rPr>
          <w:rFonts w:ascii="Times New Roman" w:cs="Times New Roman" w:eastAsia="Times New Roman" w:hAnsi="Times New Roman"/>
          <w:sz w:val="16"/>
          <w:szCs w:val="16"/>
          <w:color w:val="auto"/>
        </w:rPr>
        <w:t>Changes in net working capital accounted for outflows of $94 million in 2025, inflows of $231 in 2024, and outflows of $61 million in 2023, and were driven by the following:</w:t>
      </w:r>
    </w:p>
    <w:p>
      <w:pPr>
        <w:spacing w:after="0" w:line="59" w:lineRule="exact"/>
        <w:rPr>
          <w:sz w:val="20"/>
          <w:szCs w:val="20"/>
          <w:color w:val="auto"/>
        </w:rPr>
      </w:pPr>
    </w:p>
    <w:p>
      <w:pPr>
        <w:ind w:left="360" w:right="160" w:hanging="6"/>
        <w:spacing w:after="0" w:line="241" w:lineRule="auto"/>
        <w:tabs>
          <w:tab w:leader="none" w:pos="45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receivable – Changes in accounts receivable resulted in outflows of $3 million, and inflows of $96 million and $58 million in 2025, 2024 and 2023, respectively. The U.S. Accounts Receivable Sales Program contributed to outflows of $12 million, inflows of $1 million, and outflows of $40 million 2025, 2024 and 2023, respectively. The Foreign Accounts Receivable Sales Program contributed to outflows of $6 million and inflows of $104 million in 2025 and 2024, respectively. Sales volumes in each period and activity from the U.S. and Foreign Accounts Receivable Sales Program were the main drivers of changes between periods.</w:t>
      </w:r>
    </w:p>
    <w:p>
      <w:pPr>
        <w:spacing w:after="0" w:line="72" w:lineRule="exact"/>
        <w:rPr>
          <w:rFonts w:ascii="Times New Roman" w:cs="Times New Roman" w:eastAsia="Times New Roman" w:hAnsi="Times New Roman"/>
          <w:sz w:val="16"/>
          <w:szCs w:val="16"/>
          <w:color w:val="auto"/>
        </w:rPr>
      </w:pPr>
    </w:p>
    <w:p>
      <w:pPr>
        <w:ind w:left="360" w:right="160" w:hanging="6"/>
        <w:spacing w:after="0" w:line="259" w:lineRule="auto"/>
        <w:tabs>
          <w:tab w:leader="none" w:pos="45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 Changes in inventory resulted in cash outflows of $28 million in 2025, inflows of $79 million in 2024 and outflows of $7 million in 2023 and were primarily driven by inventory production levels and volumes.</w:t>
      </w:r>
    </w:p>
    <w:p>
      <w:pPr>
        <w:spacing w:after="0" w:line="59" w:lineRule="exact"/>
        <w:rPr>
          <w:rFonts w:ascii="Times New Roman" w:cs="Times New Roman" w:eastAsia="Times New Roman" w:hAnsi="Times New Roman"/>
          <w:sz w:val="16"/>
          <w:szCs w:val="16"/>
          <w:color w:val="auto"/>
        </w:rPr>
      </w:pPr>
    </w:p>
    <w:p>
      <w:pPr>
        <w:ind w:left="360" w:right="200" w:hanging="6"/>
        <w:spacing w:after="0" w:line="247" w:lineRule="auto"/>
        <w:tabs>
          <w:tab w:leader="none" w:pos="45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and other payables – Changes in trade and other payables resulted in cash outflows of $63 million in 2025, cash inflows of $56 million in 2024, and outflows of $112 million in 2023, respectively, and primarily related to restructuring activity, divestitures and the timing of certain other payments, most notably lower incentive plan payments for 2023 paid in 2024.</w:t>
      </w:r>
    </w:p>
    <w:p>
      <w:pPr>
        <w:spacing w:after="0" w:line="68" w:lineRule="exact"/>
        <w:rPr>
          <w:sz w:val="20"/>
          <w:szCs w:val="20"/>
          <w:color w:val="auto"/>
        </w:rPr>
      </w:pPr>
    </w:p>
    <w:p>
      <w:pPr>
        <w:ind w:right="180" w:firstLine="348"/>
        <w:spacing w:after="0" w:line="243" w:lineRule="auto"/>
        <w:rPr>
          <w:sz w:val="20"/>
          <w:szCs w:val="20"/>
          <w:color w:val="auto"/>
        </w:rPr>
      </w:pPr>
      <w:r>
        <w:rPr>
          <w:rFonts w:ascii="Times New Roman" w:cs="Times New Roman" w:eastAsia="Times New Roman" w:hAnsi="Times New Roman"/>
          <w:sz w:val="16"/>
          <w:szCs w:val="16"/>
          <w:color w:val="auto"/>
        </w:rPr>
        <w:t>The remaining cash outflows of $97 million and $4 million, and inflows of $3 million in 2025, 2024 and 2023, respectively, were primarily due to income taxes paid or income tax refunds, interest paid, and adjustments to certain accruals and other long-term assets and liabilities such as payments associated with environmental remediation. 2025 includes the impact of refundable income taxes recorded within the current year that will be received in early fiscal 2026 in the amount of $103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summarizes the cash flows associated with Ashland’s investing activities for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6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7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provided (used) by investing activities from continuing operations</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0"/>
        </w:trPr>
        <w:tc>
          <w:tcPr>
            <w:tcW w:w="75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Additions to property, plant and equipment</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r>
      <w:tr>
        <w:trPr>
          <w:trHeight w:val="180"/>
        </w:trPr>
        <w:tc>
          <w:tcPr>
            <w:tcW w:w="754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Proceeds from disposal of property, plant and equipment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75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Proceeds from sale or restructuring of operations</w:t>
            </w:r>
          </w:p>
        </w:tc>
        <w:tc>
          <w:tcPr>
            <w:tcW w:w="16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92"/>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settlement of company-owned life insurance contracts</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w:t>
            </w:r>
          </w:p>
        </w:tc>
      </w:tr>
      <w:tr>
        <w:trPr>
          <w:trHeight w:val="180"/>
        </w:trPr>
        <w:tc>
          <w:tcPr>
            <w:tcW w:w="75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Company-owned life insurance payments</w:t>
            </w: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754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Funds restricted for specific transactions</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75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Reimbursement from restricted investments</w:t>
            </w:r>
          </w:p>
        </w:tc>
        <w:tc>
          <w:tcPr>
            <w:tcW w:w="16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58</w:t>
            </w:r>
          </w:p>
        </w:tc>
      </w:tr>
      <w:tr>
        <w:trPr>
          <w:trHeight w:val="180"/>
        </w:trPr>
        <w:tc>
          <w:tcPr>
            <w:tcW w:w="754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Proceeds from sale of securities</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80"/>
        </w:trPr>
        <w:tc>
          <w:tcPr>
            <w:tcW w:w="75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Purchase of securities</w:t>
            </w: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80"/>
        </w:trPr>
        <w:tc>
          <w:tcPr>
            <w:tcW w:w="754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Other investing cash flows</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7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cash flows used by investing activities from continuing operations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w:t>
            </w:r>
          </w:p>
        </w:tc>
      </w:tr>
      <w:tr>
        <w:trPr>
          <w:trHeight w:val="20"/>
        </w:trPr>
        <w:tc>
          <w:tcPr>
            <w:tcW w:w="7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00" w:firstLine="348"/>
        <w:spacing w:after="0" w:line="243" w:lineRule="auto"/>
        <w:rPr>
          <w:sz w:val="20"/>
          <w:szCs w:val="20"/>
          <w:color w:val="auto"/>
        </w:rPr>
      </w:pPr>
      <w:r>
        <w:rPr>
          <w:rFonts w:ascii="Times New Roman" w:cs="Times New Roman" w:eastAsia="Times New Roman" w:hAnsi="Times New Roman"/>
          <w:sz w:val="16"/>
          <w:szCs w:val="16"/>
          <w:color w:val="auto"/>
        </w:rPr>
        <w:t>The significant cash investing activities for 2025 primarily related to cash outflows of $98 million for capital expenditures and $8 million restricted for investment trust purposes for environmental remediation. Additionally, there were inflows of $16 million from proceeds from the sale of the Avoca business, $16 million of proceeds from the sale of land property, $12 million of proceeds from settlement of company-owned life insurance contracts and reimbursements of $62 million from the restricted renewable annual investment trusts.</w:t>
      </w:r>
    </w:p>
    <w:p>
      <w:pPr>
        <w:spacing w:after="0" w:line="71" w:lineRule="exact"/>
        <w:rPr>
          <w:sz w:val="20"/>
          <w:szCs w:val="20"/>
          <w:color w:val="auto"/>
        </w:rPr>
      </w:pPr>
    </w:p>
    <w:p>
      <w:pPr>
        <w:jc w:val="both"/>
        <w:ind w:right="40" w:firstLine="348"/>
        <w:spacing w:after="0" w:line="247" w:lineRule="auto"/>
        <w:rPr>
          <w:sz w:val="20"/>
          <w:szCs w:val="20"/>
          <w:color w:val="auto"/>
        </w:rPr>
      </w:pPr>
      <w:r>
        <w:rPr>
          <w:rFonts w:ascii="Times New Roman" w:cs="Times New Roman" w:eastAsia="Times New Roman" w:hAnsi="Times New Roman"/>
          <w:sz w:val="16"/>
          <w:szCs w:val="16"/>
          <w:color w:val="auto"/>
        </w:rPr>
        <w:t>The significant cash investing activities for 2024 primarily related to cash outflows of $137 million for capital expenditures, $10 million for lease asset acquisition and $5 million restricted for investment trust purposes for environmental remediation. Additionally, there were inflows of $26 million from the sale of the Nutraceuticals business and reimbursements of $79 million from the restricted renewable annual investment trusts.</w:t>
      </w:r>
    </w:p>
    <w:p>
      <w:pPr>
        <w:spacing w:after="0" w:line="68" w:lineRule="exact"/>
        <w:rPr>
          <w:sz w:val="20"/>
          <w:szCs w:val="20"/>
          <w:color w:val="auto"/>
        </w:rPr>
      </w:pPr>
    </w:p>
    <w:p>
      <w:pPr>
        <w:jc w:val="both"/>
        <w:ind w:firstLine="348"/>
        <w:spacing w:after="0" w:line="247" w:lineRule="auto"/>
        <w:rPr>
          <w:sz w:val="20"/>
          <w:szCs w:val="20"/>
          <w:color w:val="auto"/>
        </w:rPr>
      </w:pPr>
      <w:r>
        <w:rPr>
          <w:rFonts w:ascii="Times New Roman" w:cs="Times New Roman" w:eastAsia="Times New Roman" w:hAnsi="Times New Roman"/>
          <w:sz w:val="16"/>
          <w:szCs w:val="16"/>
          <w:color w:val="auto"/>
        </w:rPr>
        <w:t>The significant cash investing activities for 2023 primarily related to cash outflows of $170 million for capital expenditures and $9 million restricted for investment trust purposes for environmental remediation. Additionally, there were inflows of $11 million from the disposal of excess corporate property, which were used to provide additional funding to the environmental trust, and reimbursements of $58 million from the restricted renewable annual investment trusts.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7" w:name="page68"/>
    <w:bookmarkEnd w:id="67"/>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6"/>
        </w:trPr>
        <w:tc>
          <w:tcPr>
            <w:tcW w:w="8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The following summarizes the cash flows associated with Ashland’s financing activities for the years ended September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0"/>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24"/>
                <w:szCs w:val="24"/>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7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provided (used) by financing activities from continuing operations</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71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Proceeds from (repayment of) short-term debt</w:t>
            </w:r>
          </w:p>
        </w:tc>
        <w:tc>
          <w:tcPr>
            <w:tcW w:w="200" w:type="dxa"/>
            <w:vAlign w:val="bottom"/>
          </w:tcPr>
          <w:p>
            <w:pPr>
              <w:spacing w:after="0"/>
              <w:rPr>
                <w:sz w:val="15"/>
                <w:szCs w:val="15"/>
                <w:color w:val="auto"/>
              </w:rPr>
            </w:pP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80"/>
        </w:trPr>
        <w:tc>
          <w:tcPr>
            <w:tcW w:w="71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Repurchase of common stock</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w:t>
            </w:r>
          </w:p>
        </w:tc>
      </w:tr>
      <w:tr>
        <w:trPr>
          <w:trHeight w:val="180"/>
        </w:trPr>
        <w:tc>
          <w:tcPr>
            <w:tcW w:w="71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Cash dividends paid</w:t>
            </w:r>
          </w:p>
        </w:tc>
        <w:tc>
          <w:tcPr>
            <w:tcW w:w="2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r>
      <w:tr>
        <w:trPr>
          <w:trHeight w:val="180"/>
        </w:trPr>
        <w:tc>
          <w:tcPr>
            <w:tcW w:w="71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Stock based compensation employee withholding taxes paid in cash</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7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cash flows used by financing activities from continuing operations</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(479)</w:t>
            </w:r>
          </w:p>
        </w:tc>
        <w:tc>
          <w:tcPr>
            <w:tcW w:w="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(371)</w:t>
            </w:r>
          </w:p>
        </w:tc>
      </w:tr>
      <w:tr>
        <w:trPr>
          <w:trHeight w:val="20"/>
        </w:trPr>
        <w:tc>
          <w:tcPr>
            <w:tcW w:w="7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60" w:firstLine="348"/>
        <w:spacing w:after="0" w:line="259" w:lineRule="auto"/>
        <w:rPr>
          <w:sz w:val="20"/>
          <w:szCs w:val="20"/>
          <w:color w:val="auto"/>
        </w:rPr>
      </w:pPr>
      <w:r>
        <w:rPr>
          <w:rFonts w:ascii="Times New Roman" w:cs="Times New Roman" w:eastAsia="Times New Roman" w:hAnsi="Times New Roman"/>
          <w:sz w:val="16"/>
          <w:szCs w:val="16"/>
          <w:color w:val="auto"/>
        </w:rPr>
        <w:t>Significant cash financing activities for 2025 included outflows of $100 million for common stock repurchases and cash dividends paid of $1.64 per share, for a total of $76 million. See Note N of the Notes to Consolidated Financial Statements for additional information.</w:t>
      </w:r>
    </w:p>
    <w:p>
      <w:pPr>
        <w:spacing w:after="0" w:line="59"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6"/>
          <w:szCs w:val="16"/>
          <w:color w:val="auto"/>
        </w:rPr>
        <w:t>Significant cash financing activities for 2024 included outflows of $380 million for common stock repurchases, short -term debt repayment of $16 million, and cash dividends paid of $1.58 per share, for a total of $78 million. See Note N of the Notes to Consolidated Financial Statements for additional information.</w:t>
      </w:r>
    </w:p>
    <w:p>
      <w:pPr>
        <w:spacing w:after="0" w:line="59" w:lineRule="exact"/>
        <w:rPr>
          <w:sz w:val="20"/>
          <w:szCs w:val="20"/>
          <w:color w:val="auto"/>
        </w:rPr>
      </w:pPr>
    </w:p>
    <w:p>
      <w:pPr>
        <w:ind w:right="260" w:firstLine="348"/>
        <w:spacing w:after="0" w:line="259" w:lineRule="auto"/>
        <w:rPr>
          <w:sz w:val="20"/>
          <w:szCs w:val="20"/>
          <w:color w:val="auto"/>
        </w:rPr>
      </w:pPr>
      <w:r>
        <w:rPr>
          <w:rFonts w:ascii="Times New Roman" w:cs="Times New Roman" w:eastAsia="Times New Roman" w:hAnsi="Times New Roman"/>
          <w:sz w:val="16"/>
          <w:szCs w:val="16"/>
          <w:color w:val="auto"/>
        </w:rPr>
        <w:t>Significant cash financing activities for 2023 included outflows of $300 million for common stock repurchases and cash dividends paid of $1.44 per share, for a total of $76 million. See Note N of the Notes to Consolidated Financial Statements for additional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provided (used) by discontinued operations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summarizes the cash flows associated with Ashland’s discontinued operations for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provided (used) by discontinued operations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Operating cash flows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42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40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provided (used) by discontinued operations</w:t>
            </w:r>
          </w:p>
        </w:tc>
        <w:tc>
          <w:tcPr>
            <w:tcW w:w="260" w:type="dxa"/>
            <w:vAlign w:val="bottom"/>
            <w:vMerge w:val="restart"/>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vMerge w:val="restart"/>
            <w:shd w:val="clear" w:color="auto" w:fill="CFF0FC"/>
          </w:tcPr>
          <w:p>
            <w:pPr>
              <w:spacing w:after="0"/>
              <w:rPr>
                <w:sz w:val="17"/>
                <w:szCs w:val="17"/>
                <w:color w:val="auto"/>
              </w:rPr>
            </w:pPr>
          </w:p>
        </w:tc>
        <w:tc>
          <w:tcPr>
            <w:tcW w:w="28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vMerge w:val="restart"/>
            <w:shd w:val="clear" w:color="auto" w:fill="CFF0FC"/>
          </w:tcPr>
          <w:p>
            <w:pPr>
              <w:spacing w:after="0"/>
              <w:rPr>
                <w:sz w:val="17"/>
                <w:szCs w:val="17"/>
                <w:color w:val="auto"/>
              </w:rPr>
            </w:pPr>
          </w:p>
        </w:tc>
        <w:tc>
          <w:tcPr>
            <w:tcW w:w="28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01"/>
        </w:trPr>
        <w:tc>
          <w:tcPr>
            <w:tcW w:w="630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vMerge w:val="continue"/>
            <w:shd w:val="clear" w:color="auto" w:fill="CFF0FC"/>
          </w:tcPr>
          <w:p>
            <w:pPr>
              <w:spacing w:after="0"/>
              <w:rPr>
                <w:sz w:val="8"/>
                <w:szCs w:val="8"/>
                <w:color w:val="auto"/>
              </w:rPr>
            </w:pPr>
          </w:p>
        </w:tc>
        <w:tc>
          <w:tcPr>
            <w:tcW w:w="1060" w:type="dxa"/>
            <w:vAlign w:val="bottom"/>
            <w:tcBorders>
              <w:bottom w:val="single" w:sz="8" w:color="auto"/>
            </w:tcBorders>
            <w:vMerge w:val="continue"/>
            <w:shd w:val="clear" w:color="auto" w:fill="CFF0FC"/>
          </w:tcPr>
          <w:p>
            <w:pPr>
              <w:spacing w:after="0"/>
              <w:rPr>
                <w:sz w:val="8"/>
                <w:szCs w:val="8"/>
                <w:color w:val="auto"/>
              </w:rPr>
            </w:pPr>
          </w:p>
        </w:tc>
        <w:tc>
          <w:tcPr>
            <w:tcW w:w="140" w:type="dxa"/>
            <w:vAlign w:val="bottom"/>
            <w:tcBorders>
              <w:bottom w:val="single" w:sz="8" w:color="CFF0FC"/>
            </w:tcBorders>
            <w:vMerge w:val="continue"/>
            <w:shd w:val="clear" w:color="auto" w:fill="CFF0FC"/>
          </w:tcPr>
          <w:p>
            <w:pPr>
              <w:spacing w:after="0"/>
              <w:rPr>
                <w:sz w:val="8"/>
                <w:szCs w:val="8"/>
                <w:color w:val="auto"/>
              </w:rPr>
            </w:pPr>
          </w:p>
        </w:tc>
        <w:tc>
          <w:tcPr>
            <w:tcW w:w="280" w:type="dxa"/>
            <w:vAlign w:val="bottom"/>
            <w:tcBorders>
              <w:bottom w:val="single" w:sz="8" w:color="auto"/>
            </w:tcBorders>
            <w:vMerge w:val="continue"/>
            <w:shd w:val="clear" w:color="auto" w:fill="CFF0FC"/>
          </w:tcPr>
          <w:p>
            <w:pPr>
              <w:spacing w:after="0"/>
              <w:rPr>
                <w:sz w:val="8"/>
                <w:szCs w:val="8"/>
                <w:color w:val="auto"/>
              </w:rPr>
            </w:pPr>
          </w:p>
        </w:tc>
        <w:tc>
          <w:tcPr>
            <w:tcW w:w="1060" w:type="dxa"/>
            <w:vAlign w:val="bottom"/>
            <w:tcBorders>
              <w:bottom w:val="single" w:sz="8" w:color="auto"/>
            </w:tcBorders>
            <w:vMerge w:val="continue"/>
            <w:shd w:val="clear" w:color="auto" w:fill="CFF0FC"/>
          </w:tcPr>
          <w:p>
            <w:pPr>
              <w:spacing w:after="0"/>
              <w:rPr>
                <w:sz w:val="8"/>
                <w:szCs w:val="8"/>
                <w:color w:val="auto"/>
              </w:rPr>
            </w:pPr>
          </w:p>
        </w:tc>
        <w:tc>
          <w:tcPr>
            <w:tcW w:w="120" w:type="dxa"/>
            <w:vAlign w:val="bottom"/>
            <w:tcBorders>
              <w:bottom w:val="single" w:sz="8" w:color="CFF0FC"/>
            </w:tcBorders>
            <w:vMerge w:val="continue"/>
            <w:shd w:val="clear" w:color="auto" w:fill="CFF0FC"/>
          </w:tcPr>
          <w:p>
            <w:pPr>
              <w:spacing w:after="0"/>
              <w:rPr>
                <w:sz w:val="8"/>
                <w:szCs w:val="8"/>
                <w:color w:val="auto"/>
              </w:rPr>
            </w:pPr>
          </w:p>
        </w:tc>
        <w:tc>
          <w:tcPr>
            <w:tcW w:w="280" w:type="dxa"/>
            <w:vAlign w:val="bottom"/>
            <w:tcBorders>
              <w:bottom w:val="single" w:sz="8" w:color="auto"/>
            </w:tcBorders>
            <w:vMerge w:val="continue"/>
            <w:shd w:val="clear" w:color="auto" w:fill="CFF0FC"/>
          </w:tcPr>
          <w:p>
            <w:pPr>
              <w:spacing w:after="0"/>
              <w:rPr>
                <w:sz w:val="8"/>
                <w:szCs w:val="8"/>
                <w:color w:val="auto"/>
              </w:rPr>
            </w:pPr>
          </w:p>
        </w:tc>
        <w:tc>
          <w:tcPr>
            <w:tcW w:w="1060" w:type="dxa"/>
            <w:vAlign w:val="bottom"/>
            <w:tcBorders>
              <w:bottom w:val="single" w:sz="8" w:color="auto"/>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Cash outflows for discontinued operations in 2025, 2024 and 2023 primarily related to retained liabilities for asbestos and environmental claims directly related to divested businesses that have qualified as discontinued operations. Asbestos net payments were $36 million, $39 million and $42 million in 2025, 2024 and 2023, respectively. Environmental net payments were $4 million, $6 million and $7 million, respectively. The remaining net cash outflows in each period primarily relate to tax and other post closing adjustments.</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8" w:name="page69"/>
    <w:bookmarkEnd w:id="68"/>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Free Cash Flow and other liquidity resources</w:t>
      </w:r>
    </w:p>
    <w:p>
      <w:pPr>
        <w:spacing w:after="0" w:line="94" w:lineRule="exact"/>
        <w:rPr>
          <w:sz w:val="20"/>
          <w:szCs w:val="20"/>
          <w:color w:val="auto"/>
        </w:rPr>
      </w:pPr>
    </w:p>
    <w:p>
      <w:pPr>
        <w:ind w:right="540" w:firstLine="348"/>
        <w:spacing w:after="0" w:line="259" w:lineRule="auto"/>
        <w:rPr>
          <w:sz w:val="20"/>
          <w:szCs w:val="20"/>
          <w:color w:val="auto"/>
        </w:rPr>
      </w:pPr>
      <w:r>
        <w:rPr>
          <w:rFonts w:ascii="Times New Roman" w:cs="Times New Roman" w:eastAsia="Times New Roman" w:hAnsi="Times New Roman"/>
          <w:sz w:val="16"/>
          <w:szCs w:val="16"/>
          <w:color w:val="auto"/>
        </w:rPr>
        <w:t>The following represents Ashland’s calculation of Free Cash Flow and Ongoing Free Cash Flow for the periods presented. Free Cash Flow does not reflect adjustments for certain non-discretionary cash flows such as mandatory debt repayments.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Years Ended September 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cash flows provided by operating activities from continuing operations</w:t>
            </w:r>
          </w:p>
        </w:tc>
        <w:tc>
          <w:tcPr>
            <w:tcW w:w="11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462</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Additions to property, plant and equipment</w:t>
            </w: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Free Cash Flow</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Cash (inflows) outflows from U.S. Accounts Receivable Sales Program</w:t>
            </w:r>
            <w:r>
              <w:rPr>
                <w:rFonts w:ascii="Times New Roman" w:cs="Times New Roman" w:eastAsia="Times New Roman" w:hAnsi="Times New Roman"/>
                <w:sz w:val="20"/>
                <w:szCs w:val="20"/>
                <w:color w:val="auto"/>
                <w:vertAlign w:val="superscript"/>
              </w:rPr>
              <w:t>(a)</w:t>
            </w: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Cash (inflows) outflows from Foreign Accounts Receivable Sales Program</w:t>
            </w:r>
            <w:r>
              <w:rPr>
                <w:rFonts w:ascii="Times New Roman" w:cs="Times New Roman" w:eastAsia="Times New Roman" w:hAnsi="Times New Roman"/>
                <w:sz w:val="20"/>
                <w:szCs w:val="20"/>
                <w:color w:val="auto"/>
                <w:vertAlign w:val="superscript"/>
              </w:rPr>
              <w:t>(b)</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Restructuring-related payments</w:t>
            </w:r>
            <w:r>
              <w:rPr>
                <w:rFonts w:ascii="Times New Roman" w:cs="Times New Roman" w:eastAsia="Times New Roman" w:hAnsi="Times New Roman"/>
                <w:sz w:val="20"/>
                <w:szCs w:val="20"/>
                <w:color w:val="auto"/>
                <w:vertAlign w:val="superscript"/>
              </w:rPr>
              <w:t>(c)</w:t>
            </w: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Environmental and related litigation payments</w:t>
            </w:r>
            <w:r>
              <w:rPr>
                <w:rFonts w:ascii="Times New Roman" w:cs="Times New Roman" w:eastAsia="Times New Roman" w:hAnsi="Times New Roman"/>
                <w:sz w:val="20"/>
                <w:szCs w:val="20"/>
                <w:color w:val="auto"/>
                <w:vertAlign w:val="superscript"/>
              </w:rPr>
              <w:t>(d)</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Ongoing Free Cash Flow</w:t>
            </w:r>
          </w:p>
        </w:tc>
        <w:tc>
          <w:tcPr>
            <w:tcW w:w="11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8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(845)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0"/>
                <w:szCs w:val="20"/>
                <w:color w:val="auto"/>
                <w:vertAlign w:val="superscript"/>
              </w:rPr>
              <w:t>(e)</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6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Operating Cash Flow Conversion</w:t>
            </w:r>
            <w:r>
              <w:rPr>
                <w:rFonts w:ascii="Times New Roman" w:cs="Times New Roman" w:eastAsia="Times New Roman" w:hAnsi="Times New Roman"/>
                <w:sz w:val="20"/>
                <w:szCs w:val="20"/>
                <w:color w:val="auto"/>
                <w:vertAlign w:val="superscript"/>
              </w:rPr>
              <w:t>(f)</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Not meaningful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Ongoing Free Cash Flow Conversion</w:t>
            </w:r>
            <w:r>
              <w:rPr>
                <w:rFonts w:ascii="Times New Roman" w:cs="Times New Roman" w:eastAsia="Times New Roman" w:hAnsi="Times New Roman"/>
                <w:sz w:val="20"/>
                <w:szCs w:val="20"/>
                <w:color w:val="auto"/>
                <w:vertAlign w:val="superscript"/>
              </w:rPr>
              <w:t>(g)</w:t>
            </w: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(a)Represents activity associated with the U.S. Accounts Receivable Sales Program impacting each period presented.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(b)Represents activity associated with the Foreign Accounts Receivable Sales Program impacting each period presented.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(c)Restructuring payments incurred during each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(d)Represents cash outflows associated with environmental and related litigation payments which will be reimbursed by the environmental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(e)See Adjusted EBITDA reconciliation.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(f)Operating Cash Flow Conversion is defined as Cash flows provided by operating activities from continuing operations divided by net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(g)Ongoing Free Cash Flow Conversion is defined as Ongoing Free Cash Flow divided by Adjusted EBITDA.</w:t>
      </w:r>
    </w:p>
    <w:p>
      <w:pPr>
        <w:spacing w:after="0" w:line="101" w:lineRule="exact"/>
        <w:rPr>
          <w:sz w:val="20"/>
          <w:szCs w:val="20"/>
          <w:color w:val="auto"/>
        </w:rPr>
      </w:pPr>
    </w:p>
    <w:p>
      <w:pPr>
        <w:ind w:right="60" w:firstLine="348"/>
        <w:spacing w:after="0" w:line="239" w:lineRule="auto"/>
        <w:rPr>
          <w:sz w:val="20"/>
          <w:szCs w:val="20"/>
          <w:color w:val="auto"/>
        </w:rPr>
      </w:pPr>
      <w:r>
        <w:rPr>
          <w:rFonts w:ascii="Times New Roman" w:cs="Times New Roman" w:eastAsia="Times New Roman" w:hAnsi="Times New Roman"/>
          <w:sz w:val="16"/>
          <w:szCs w:val="16"/>
          <w:color w:val="auto"/>
        </w:rPr>
        <w:t>Working capital (current assets minus current liabilities, excluding long-term debt due within one year) amounted to $782 million and $705 million as of September 30, 2025 and 2024, respectively. The $77 million increase in working capital was driven by a higher trade working capital (accounts receivable and inventories minus trade and other payables and accrued expenses and other liabilities), including sales of foreign accounts receivables under the Foreign Accounts Receivable Sales Program, and other assets, partially offset by a reduction in cash and cash equivalent. The $143 million decrease in Ongoing Free Cash Flows between periods was primarily a result of increased trade working capital compared to the prior year. Liquid assets (cash, cash equivalents and accounts receivable) amounted to 108% and 111% of current liabilities as of September 30, 2025 and 2024, respectively.</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summary reflects Ashland’s cash, cash equivalents, investment securities and unused borrowing capacity as of:</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September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300" w:type="dxa"/>
            <w:vAlign w:val="bottom"/>
          </w:tcPr>
          <w:p>
            <w:pPr>
              <w:spacing w:after="0"/>
              <w:rPr>
                <w:sz w:val="16"/>
                <w:szCs w:val="16"/>
                <w:color w:val="auto"/>
              </w:rPr>
            </w:pPr>
          </w:p>
        </w:tc>
        <w:tc>
          <w:tcPr>
            <w:tcW w:w="1160" w:type="dxa"/>
            <w:vAlign w:val="bottom"/>
          </w:tcPr>
          <w:p>
            <w:pPr>
              <w:jc w:val="right"/>
              <w:ind w:right="503"/>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cash equivalents and investment securities</w:t>
            </w:r>
          </w:p>
        </w:tc>
        <w:tc>
          <w:tcPr>
            <w:tcW w:w="2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4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Restricted investments</w:t>
            </w:r>
            <w:r>
              <w:rPr>
                <w:rFonts w:ascii="Times New Roman" w:cs="Times New Roman" w:eastAsia="Times New Roman" w:hAnsi="Times New Roman"/>
                <w:sz w:val="20"/>
                <w:szCs w:val="20"/>
                <w:color w:val="auto"/>
                <w:vertAlign w:val="superscript"/>
              </w:rPr>
              <w:t>(a)</w:t>
            </w:r>
          </w:p>
        </w:tc>
        <w:tc>
          <w:tcPr>
            <w:tcW w:w="2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368</w:t>
            </w:r>
          </w:p>
        </w:tc>
        <w:tc>
          <w:tcPr>
            <w:tcW w:w="4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Unused borrowing capacity</w:t>
            </w:r>
          </w:p>
        </w:tc>
        <w:tc>
          <w:tcPr>
            <w:tcW w:w="2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2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596</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596</w:t>
            </w:r>
          </w:p>
        </w:tc>
        <w:tc>
          <w:tcPr>
            <w:tcW w:w="4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2018 accounts receivable securitization (foreign)</w:t>
            </w:r>
          </w:p>
        </w:tc>
        <w:tc>
          <w:tcPr>
            <w:tcW w:w="2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4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 Accounts Receivable Sales Program</w:t>
            </w:r>
          </w:p>
        </w:tc>
        <w:tc>
          <w:tcPr>
            <w:tcW w:w="2300" w:type="dxa"/>
            <w:vAlign w:val="bottom"/>
          </w:tcPr>
          <w:p>
            <w:pPr>
              <w:spacing w:after="0"/>
              <w:rPr>
                <w:sz w:val="15"/>
                <w:szCs w:val="15"/>
                <w:color w:val="auto"/>
              </w:rPr>
            </w:pPr>
          </w:p>
        </w:tc>
        <w:tc>
          <w:tcPr>
            <w:tcW w:w="11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Foreign Accounts Receivable Sales Program</w:t>
            </w:r>
          </w:p>
        </w:tc>
        <w:tc>
          <w:tcPr>
            <w:tcW w:w="2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6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(a)Includes $231 million, $248 million and $243 million related to the Asbestos trust and $116 million, $120 million and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 million related to the</w:t>
            </w:r>
          </w:p>
        </w:tc>
        <w:tc>
          <w:tcPr>
            <w:tcW w:w="2680" w:type="dxa"/>
            <w:vAlign w:val="bottom"/>
            <w:gridSpan w:val="3"/>
          </w:tcPr>
          <w:p>
            <w:pPr>
              <w:jc w:val="right"/>
              <w:ind w:right="102"/>
              <w:spacing w:after="0"/>
              <w:rPr>
                <w:sz w:val="20"/>
                <w:szCs w:val="20"/>
                <w:color w:val="auto"/>
              </w:rPr>
            </w:pPr>
            <w:r>
              <w:rPr>
                <w:rFonts w:ascii="Times New Roman" w:cs="Times New Roman" w:eastAsia="Times New Roman" w:hAnsi="Times New Roman"/>
                <w:sz w:val="13"/>
                <w:szCs w:val="13"/>
                <w:color w:val="auto"/>
              </w:rPr>
              <w:t>Environmental trust as of September 30, 2025,</w:t>
            </w: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2024 and 2023 respectively.</w:t>
            </w:r>
          </w:p>
        </w:tc>
        <w:tc>
          <w:tcPr>
            <w:tcW w:w="2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00" w:type="dxa"/>
            <w:vAlign w:val="bottom"/>
          </w:tcPr>
          <w:p>
            <w:pPr>
              <w:jc w:val="right"/>
              <w:ind w:right="942"/>
              <w:spacing w:after="0"/>
              <w:rPr>
                <w:sz w:val="20"/>
                <w:szCs w:val="20"/>
                <w:color w:val="auto"/>
              </w:rPr>
            </w:pPr>
            <w:r>
              <w:rPr>
                <w:rFonts w:ascii="Times New Roman" w:cs="Times New Roman" w:eastAsia="Times New Roman" w:hAnsi="Times New Roman"/>
                <w:sz w:val="16"/>
                <w:szCs w:val="16"/>
                <w:color w:val="auto"/>
              </w:rPr>
              <w:t>M-29</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4160" w:type="dxa"/>
            <w:vAlign w:val="bottom"/>
            <w:tcBorders>
              <w:bottom w:val="single" w:sz="8" w:color="EEEEEE"/>
            </w:tcBorders>
          </w:tcPr>
          <w:p>
            <w:pPr>
              <w:spacing w:after="0"/>
              <w:rPr>
                <w:sz w:val="24"/>
                <w:szCs w:val="24"/>
                <w:color w:val="auto"/>
              </w:rPr>
            </w:pPr>
          </w:p>
        </w:tc>
        <w:tc>
          <w:tcPr>
            <w:tcW w:w="230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9" w:name="page70"/>
    <w:bookmarkEnd w:id="69"/>
    <w:p>
      <w:pPr>
        <w:spacing w:after="0" w:line="17" w:lineRule="exact"/>
        <w:rPr>
          <w:sz w:val="20"/>
          <w:szCs w:val="20"/>
          <w:color w:val="auto"/>
        </w:rPr>
      </w:pPr>
    </w:p>
    <w:p>
      <w:pPr>
        <w:ind w:right="40" w:firstLine="348"/>
        <w:spacing w:after="0" w:line="284" w:lineRule="auto"/>
        <w:rPr>
          <w:sz w:val="20"/>
          <w:szCs w:val="20"/>
          <w:color w:val="auto"/>
        </w:rPr>
      </w:pPr>
      <w:r>
        <w:rPr>
          <w:rFonts w:ascii="Times New Roman" w:cs="Times New Roman" w:eastAsia="Times New Roman" w:hAnsi="Times New Roman"/>
          <w:sz w:val="14"/>
          <w:szCs w:val="14"/>
          <w:color w:val="auto"/>
        </w:rPr>
        <w:t>The borrowing capacity remaining under the 2022 Credit Agreement was $596 million, which reflects the full $600 million Revolving Credit Facility less a reduction of $4 million for letters of credit outstanding at September 30, 2025. In total, Ashland’s available liquidity position, which includes cash and cash equivalents, the revolving credit facility, and accounts receivable securitization facilities, was $811 million at September 30, 2025, $896 million at September 30, 2024, and $1,115 million at September 30, 2023. Ashland had zero available liquidity under the U.S. and Foreign Accounts Receivable Sales Program as of September 30, 2025. Ashland also maintained $347 million of restricted investments at September 30, 2025 to pay for future asbestos claims and environmental remediation and related litigation.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Capital resources</w:t>
            </w: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6"/>
        </w:trPr>
        <w:tc>
          <w:tcPr>
            <w:tcW w:w="5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Debt</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5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following summary reflects Ashland’s debt as of:</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7"/>
        </w:trPr>
        <w:tc>
          <w:tcPr>
            <w:tcW w:w="5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color w:val="auto"/>
              </w:rPr>
              <w:t>September 30</w:t>
            </w:r>
          </w:p>
        </w:tc>
        <w:tc>
          <w:tcPr>
            <w:tcW w:w="1100" w:type="dxa"/>
            <w:vAlign w:val="bottom"/>
          </w:tcPr>
          <w:p>
            <w:pPr>
              <w:spacing w:after="0"/>
              <w:rPr>
                <w:sz w:val="24"/>
                <w:szCs w:val="24"/>
                <w:color w:val="auto"/>
              </w:rPr>
            </w:pPr>
          </w:p>
        </w:tc>
      </w:tr>
      <w:tr>
        <w:trPr>
          <w:trHeight w:val="19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Short-term debt</w:t>
            </w:r>
          </w:p>
        </w:tc>
        <w:tc>
          <w:tcPr>
            <w:tcW w:w="210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5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Long-term debt (less debt issuance cost discounts)</w:t>
            </w:r>
            <w:r>
              <w:rPr>
                <w:rFonts w:ascii="Times New Roman" w:cs="Times New Roman" w:eastAsia="Times New Roman" w:hAnsi="Times New Roman"/>
                <w:sz w:val="20"/>
                <w:szCs w:val="20"/>
                <w:color w:val="auto"/>
                <w:vertAlign w:val="superscript"/>
              </w:rPr>
              <w:t>(a)</w:t>
            </w:r>
          </w:p>
        </w:tc>
        <w:tc>
          <w:tcPr>
            <w:tcW w:w="1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1,384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1,349</w:t>
            </w:r>
          </w:p>
        </w:tc>
      </w:tr>
      <w:tr>
        <w:trPr>
          <w:trHeight w:val="220"/>
        </w:trPr>
        <w:tc>
          <w:tcPr>
            <w:tcW w:w="5520" w:type="dxa"/>
            <w:vAlign w:val="bottom"/>
            <w:tcBorders>
              <w:bottom w:val="single" w:sz="8" w:color="CFF0FC"/>
            </w:tcBorders>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debt</w:t>
            </w:r>
          </w:p>
        </w:tc>
        <w:tc>
          <w:tcPr>
            <w:tcW w:w="17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1,384</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1,349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(a)Includes $10 million and $12 million of debt issuance cost discounts as of September 30, 2025 and 2024, respectively.</w:t>
      </w:r>
    </w:p>
    <w:p>
      <w:pPr>
        <w:spacing w:after="0" w:line="101"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Ashland continues to maintain the 2022 Credit Agreement which provides for a $ 600 million five-year revolving credit facility. Proceeds of borrowings under the 2022 Revolving Credit Facility provide ongoing working capital and are used for other general corporate purposes.</w:t>
      </w:r>
    </w:p>
    <w:p>
      <w:pPr>
        <w:spacing w:after="0" w:line="59" w:lineRule="exact"/>
        <w:rPr>
          <w:sz w:val="20"/>
          <w:szCs w:val="20"/>
          <w:color w:val="auto"/>
        </w:rPr>
      </w:pPr>
    </w:p>
    <w:p>
      <w:pPr>
        <w:ind w:right="460" w:firstLine="348"/>
        <w:spacing w:after="0" w:line="299" w:lineRule="auto"/>
        <w:rPr>
          <w:sz w:val="20"/>
          <w:szCs w:val="20"/>
          <w:color w:val="auto"/>
        </w:rPr>
      </w:pPr>
      <w:r>
        <w:rPr>
          <w:rFonts w:ascii="Times New Roman" w:cs="Times New Roman" w:eastAsia="Times New Roman" w:hAnsi="Times New Roman"/>
          <w:sz w:val="14"/>
          <w:szCs w:val="14"/>
          <w:color w:val="auto"/>
        </w:rPr>
        <w:t>Debt as a percent of capital employed was 42% at September 30, 2025 and 32% at September 30, 2024. At September 30, 2025, Ashland’s total debt had an outstanding principal balance of $1,419 million, discounts of $25 million and debt issuance costs of $10 million. Ashland has no long-term debt (excluding debt issuance costs) maturing within the next year, $4 million due in fiscal 2027, $586 million due in fiscal 2028, $97 million in 2029, and zero in 2030.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Agreements and Refinancing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Credit Agreement</w:t>
      </w:r>
    </w:p>
    <w:p>
      <w:pPr>
        <w:spacing w:after="0" w:line="94" w:lineRule="exact"/>
        <w:rPr>
          <w:sz w:val="20"/>
          <w:szCs w:val="20"/>
          <w:color w:val="auto"/>
        </w:rPr>
      </w:pPr>
    </w:p>
    <w:p>
      <w:pPr>
        <w:ind w:right="160" w:firstLine="348"/>
        <w:spacing w:after="0" w:line="247" w:lineRule="auto"/>
        <w:rPr>
          <w:sz w:val="20"/>
          <w:szCs w:val="20"/>
          <w:color w:val="auto"/>
        </w:rPr>
      </w:pPr>
      <w:r>
        <w:rPr>
          <w:rFonts w:ascii="Times New Roman" w:cs="Times New Roman" w:eastAsia="Times New Roman" w:hAnsi="Times New Roman"/>
          <w:sz w:val="16"/>
          <w:szCs w:val="16"/>
          <w:color w:val="auto"/>
        </w:rPr>
        <w:t>During July 2022, Ashland, through two of its subsidiaries, enacted an amendment to the 2020 credit agreement. The amended credit agreement (the 2022 Credit Agreement) provides for a $600 million five-year revolving credit facility (the 2022 Revolving Credit Facility). The 2022 Credit Agreement and the obligations of Ashland Services B.V. under the 2022 Revolving Credit Facility are guaranteed by Ashland.</w:t>
      </w:r>
    </w:p>
    <w:p>
      <w:pPr>
        <w:spacing w:after="0" w:line="68" w:lineRule="exact"/>
        <w:rPr>
          <w:sz w:val="20"/>
          <w:szCs w:val="20"/>
          <w:color w:val="auto"/>
        </w:rPr>
      </w:pPr>
    </w:p>
    <w:p>
      <w:pPr>
        <w:ind w:firstLine="348"/>
        <w:spacing w:after="0" w:line="237" w:lineRule="auto"/>
        <w:rPr>
          <w:sz w:val="20"/>
          <w:szCs w:val="20"/>
          <w:color w:val="auto"/>
        </w:rPr>
      </w:pPr>
      <w:r>
        <w:rPr>
          <w:rFonts w:ascii="Times New Roman" w:cs="Times New Roman" w:eastAsia="Times New Roman" w:hAnsi="Times New Roman"/>
          <w:sz w:val="16"/>
          <w:szCs w:val="16"/>
          <w:color w:val="auto"/>
        </w:rPr>
        <w:t>At Ashland’s option, loans issued under the 2022 Credit Agreement will bear interest at (a) in the case of loans denominated in U.S. dollars, either Term SOFR or an alternate base rate and (b) in the case of loans denominated in Euros, EURIBOR, in each case plus the applicable interest rate margin. Loans will initially bear interest at Term SOFR or EURIBOR plus 1.250% per annum, in the case of Term SOFR borrowings or EURIBOR borrowings, respectively, or at the alternate base rate plus 0.250% per annum,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per annum), based upon the Consolidated Net Leverage Ratio (as defined in the 2022 Credit Agreement) at such time. Term SOFR borrowings are subject to a credit spread adjustment of 0.10% per annum. In addition, the Company will initially be required to pay fees of 0.125% per annum on the daily unused amount of the 2022 Revolving Credit Facility through and including the date of delivery of a quarterly compliance certificate, and thereafter the fee rate will fluctuate between 0.125% and 0.275% per annum, based upon the Consolidated Net Leverage Ratio. Borrowings under the 2022 Credit Agreement may be prepaid at any time without premiums.</w:t>
      </w:r>
    </w:p>
    <w:p>
      <w:pPr>
        <w:spacing w:after="0" w:line="80" w:lineRule="exact"/>
        <w:rPr>
          <w:sz w:val="20"/>
          <w:szCs w:val="20"/>
          <w:color w:val="auto"/>
        </w:rPr>
      </w:pPr>
    </w:p>
    <w:p>
      <w:pPr>
        <w:ind w:right="260" w:firstLine="348"/>
        <w:spacing w:after="0" w:line="259" w:lineRule="auto"/>
        <w:rPr>
          <w:sz w:val="20"/>
          <w:szCs w:val="20"/>
          <w:color w:val="auto"/>
        </w:rPr>
      </w:pPr>
      <w:r>
        <w:rPr>
          <w:rFonts w:ascii="Times New Roman" w:cs="Times New Roman" w:eastAsia="Times New Roman" w:hAnsi="Times New Roman"/>
          <w:sz w:val="16"/>
          <w:szCs w:val="16"/>
          <w:color w:val="auto"/>
        </w:rPr>
        <w:t>The 2022 Credit Agreement contains financial covenants for leverage and interest coverage ratios akin to those in effect under the 2020 Credit Agreement. The 2022 Credit Agreement contains usual and customary representations, warranties 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0" w:name="page71"/>
    <w:bookmarkEnd w:id="70"/>
    <w:p>
      <w:pPr>
        <w:spacing w:after="0" w:line="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Debt repayments and repurchases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repatriation</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During 2025 and 2024, Ashland repatriated approximately $403 million and $305 million, respectively, in cash.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facilities and off-balance sheet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accounts receivable sales program</w:t>
      </w:r>
    </w:p>
    <w:p>
      <w:pPr>
        <w:spacing w:after="0" w:line="94"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On March 17, 2021, a wholly-owned, bankruptcy-remote special purpose entity and consolidated Ashland subsidiary (SPE) entered into an agreement with a group of entities (buyers) to sell certain trade receivables, without recourse beyond the pledged receivables, of two other U.S. based Ashland subsidiaries. On April 14, 2023, Ashland entered into Second and Third Amendments associated with this current program, whereby the scheduled termination date was extended to April 14, 2025 and the buyer's limits were reduced to allow for transfer of whole receivables up to a limit set at $115 million between February and October of each year and up to $100 million all other times (a level 1 fair value measurement) . On September 13, 2024, Ashland entered into a Fourth Amendment associated with this current program, whereby the scheduled termination date was extended to September 11, 2026 and the buyer's limits were reduced to allow for transfer of whole receivables up to a limit set at $80 million between September 13, 2024 to (and including) December 31, 2024 and up to $70 million from January 1, 2025 through the termination date of the agreement. Ashland’s continuing involvement is limited to servicing the accounts receivable, including billing, collections and remittance of payments to the buyers as well as a limited guarantee on over-collateralization.</w:t>
      </w:r>
    </w:p>
    <w:p>
      <w:pPr>
        <w:spacing w:after="0" w:line="74" w:lineRule="exact"/>
        <w:rPr>
          <w:sz w:val="20"/>
          <w:szCs w:val="20"/>
          <w:color w:val="auto"/>
        </w:rPr>
      </w:pPr>
    </w:p>
    <w:p>
      <w:pPr>
        <w:ind w:right="60" w:firstLine="348"/>
        <w:spacing w:after="0" w:line="238" w:lineRule="auto"/>
        <w:rPr>
          <w:sz w:val="20"/>
          <w:szCs w:val="20"/>
          <w:color w:val="auto"/>
        </w:rPr>
      </w:pPr>
      <w:r>
        <w:rPr>
          <w:rFonts w:ascii="Times New Roman" w:cs="Times New Roman" w:eastAsia="Times New Roman" w:hAnsi="Times New Roman"/>
          <w:sz w:val="16"/>
          <w:szCs w:val="16"/>
          <w:color w:val="auto"/>
        </w:rPr>
        <w:t>Ashland determined that any accounts receivable transferred under this agreement are put presumptively beyond the reach of Ashland and its creditors, even in bankruptcy or other receivership. Ashland received a true sale at law and non-consolidation opinions to support the legal isolation of these accounts receivable. Ashland accounts for the accounts receivable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77"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Ashland recognized a loss of $3 million within the Statements of Consolidated Comprehensive Income (Loss) for 2025, 2024 and 2023, respectively, within the net interest and other expense (income) caption associated with sales under the program. Ashland has recorded $59 million of sales against the buyer’s limit, which was $59 million at September 30, 2025, compared to $71 million of sales against the buyer's limit, which was $71 million at September 30, 2024. Ashland transferred $75 million and $85 million in accounts receivable to the SPE as of September 30, 2025 and 2024, respectively. Ashland recorded liabilities related to its service obligations and limited guarantee as of September 30, 2025 and 2024 of less than $1 million.</w:t>
      </w:r>
    </w:p>
    <w:p>
      <w:pPr>
        <w:spacing w:after="0" w:line="73" w:lineRule="exact"/>
        <w:rPr>
          <w:sz w:val="20"/>
          <w:szCs w:val="20"/>
          <w:color w:val="auto"/>
        </w:rPr>
      </w:pPr>
    </w:p>
    <w:p>
      <w:pPr>
        <w:ind w:right="100" w:firstLine="348"/>
        <w:spacing w:after="0" w:line="241" w:lineRule="auto"/>
        <w:rPr>
          <w:sz w:val="20"/>
          <w:szCs w:val="20"/>
          <w:color w:val="auto"/>
        </w:rPr>
      </w:pPr>
      <w:r>
        <w:rPr>
          <w:rFonts w:ascii="Times New Roman" w:cs="Times New Roman" w:eastAsia="Times New Roman" w:hAnsi="Times New Roman"/>
          <w:sz w:val="16"/>
          <w:szCs w:val="16"/>
          <w:color w:val="auto"/>
        </w:rPr>
        <w:t>For the years ended September 30, 2025, 2024, and 2023, the gross cash proceeds received for accounts receivable transferred and derecognized were $388 million, $323 million, and $217 million, respectively, of which $400 million, $322 million, $241 million, were collected by Ashland in our capacity as a servicer of the accounts receivable and remitted to the buyer. The difference between accounts receivable transferred and derecognized versus collected of $12 million, $1 million and $24 million for the years ended September 30, 2025, 2024, and 2023, respectively, represents the impact of a net reduction in account receivable sales volume during 2025, a net increase in 2024, and a net decrease during 2023.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1" w:name="page72"/>
    <w:bookmarkEnd w:id="71"/>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Accounts Receivable Sales Program</w:t>
      </w:r>
    </w:p>
    <w:p>
      <w:pPr>
        <w:spacing w:after="0" w:line="94"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On October 19, 2023, Ashland entered, through an Ireland based, wholly-owned, bankruptcy-remote consolidated special purpose entity (the "SPE"), into a three-year agreement with a group of entities (buyers) to sell certain trade receivables, without recourse beyond the pledged receivables, of certain wholly -owned Ashland subsidiaries (Foreign Accounts Receivable Sales Program) primarily in Europe. Under the agreement, Ashland can transfer whole receivables up to a limit established by the buyer, which is currently set at €125 million (a level 1 fair value measurement). Ashland’s continuing involvement is limited to servicing the accounts receivable, including billing, collections and remittance of payments to the buyers as well as a limited guarantee on over-collateralization.</w:t>
      </w:r>
    </w:p>
    <w:p>
      <w:pPr>
        <w:spacing w:after="0" w:line="73"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Ashland determined that any accounts receivable transferred under this agreement are put presumptively beyond the reach of Ashland and its creditors, even in bankruptcy or other receivership. Ashland received true sale at law and non-consolidation opinions from independent qualified legal advisors in the jurisdiction of each originating subsidiary to support the legal isolation of these accounts receivable. Consequently, Ashland accounts for accounts receivable transferred to buyers as part of this agreement as sales.</w:t>
      </w:r>
    </w:p>
    <w:p>
      <w:pPr>
        <w:spacing w:after="0" w:line="71" w:lineRule="exact"/>
        <w:rPr>
          <w:sz w:val="20"/>
          <w:szCs w:val="20"/>
          <w:color w:val="auto"/>
        </w:rPr>
      </w:pPr>
    </w:p>
    <w:p>
      <w:pPr>
        <w:ind w:right="20" w:firstLine="348"/>
        <w:spacing w:after="0" w:line="241" w:lineRule="auto"/>
        <w:rPr>
          <w:sz w:val="20"/>
          <w:szCs w:val="20"/>
          <w:color w:val="auto"/>
        </w:rPr>
      </w:pPr>
      <w:r>
        <w:rPr>
          <w:rFonts w:ascii="Times New Roman" w:cs="Times New Roman" w:eastAsia="Times New Roman" w:hAnsi="Times New Roman"/>
          <w:sz w:val="16"/>
          <w:szCs w:val="16"/>
          <w:color w:val="auto"/>
        </w:rPr>
        <w:t>Ashland recognized a loss of $5 million and $3 million within the Statements of Consolidated Comprehensive Income (Loss) for 2025 and 2024, respectively, within the net interest and other expense (income) caption associated with sales under the program. Ashland has recorded $103 million of sales against the buyer’s limit, which was $103 million at September 30, 2025, compared to $104 million of sales against the buyer's limit, which was $104 million at September 30, 2024. Ashland transferred $142 million and $155 million in accounts receivable to the SPE as of September 30, 2025 and 2024, respectively. Ashland recorded liabilities related to its service obligations and limited guarantee as of September 30, 2025 and 2024 of less than $1 million.</w:t>
      </w:r>
    </w:p>
    <w:p>
      <w:pPr>
        <w:spacing w:after="0" w:line="73" w:lineRule="exact"/>
        <w:rPr>
          <w:sz w:val="20"/>
          <w:szCs w:val="20"/>
          <w:color w:val="auto"/>
        </w:rPr>
      </w:pPr>
    </w:p>
    <w:p>
      <w:pPr>
        <w:ind w:right="80" w:firstLine="348"/>
        <w:spacing w:after="0" w:line="243" w:lineRule="auto"/>
        <w:rPr>
          <w:sz w:val="20"/>
          <w:szCs w:val="20"/>
          <w:color w:val="auto"/>
        </w:rPr>
      </w:pPr>
      <w:r>
        <w:rPr>
          <w:rFonts w:ascii="Times New Roman" w:cs="Times New Roman" w:eastAsia="Times New Roman" w:hAnsi="Times New Roman"/>
          <w:sz w:val="16"/>
          <w:szCs w:val="16"/>
          <w:color w:val="auto"/>
        </w:rPr>
        <w:t>For the years ended September 30, 2025 and 2024, the gross cash proceeds received for accounts receivable transferred and derecognized were $528 million and $104 million, respectively, of which $534 million and zero were collected by Ashland in our capacity as a servicer of the accounts receivable and remitted to the buyer. The difference between accounts receivable transferred and derecognized versus collected of $6 million and $104 million for the years ended September 30, 2025 and 2024, respectively, represents the impact of a net reduction and a net increase in accounts receivable sales volume during each year,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Supply Chain Finance Program</w:t>
      </w:r>
    </w:p>
    <w:p>
      <w:pPr>
        <w:spacing w:after="0" w:line="94" w:lineRule="exact"/>
        <w:rPr>
          <w:sz w:val="20"/>
          <w:szCs w:val="20"/>
          <w:color w:val="auto"/>
        </w:rPr>
      </w:pPr>
    </w:p>
    <w:p>
      <w:pPr>
        <w:ind w:right="20" w:firstLine="348"/>
        <w:spacing w:after="0" w:line="284" w:lineRule="auto"/>
        <w:rPr>
          <w:sz w:val="20"/>
          <w:szCs w:val="20"/>
          <w:color w:val="auto"/>
        </w:rPr>
      </w:pPr>
      <w:r>
        <w:rPr>
          <w:rFonts w:ascii="Times New Roman" w:cs="Times New Roman" w:eastAsia="Times New Roman" w:hAnsi="Times New Roman"/>
          <w:sz w:val="14"/>
          <w:szCs w:val="14"/>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As of September 30, 2025, participation in the program was not significant. There were less than $1 million of confirmed invoices under this program for the year ended September 30, 2025.</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debt</w:t>
      </w:r>
    </w:p>
    <w:p>
      <w:pPr>
        <w:spacing w:after="0" w:line="94" w:lineRule="exact"/>
        <w:rPr>
          <w:sz w:val="20"/>
          <w:szCs w:val="20"/>
          <w:color w:val="auto"/>
        </w:rPr>
      </w:pPr>
    </w:p>
    <w:p>
      <w:pPr>
        <w:ind w:right="240" w:firstLine="348"/>
        <w:spacing w:after="0" w:line="259" w:lineRule="auto"/>
        <w:rPr>
          <w:sz w:val="20"/>
          <w:szCs w:val="20"/>
          <w:color w:val="auto"/>
        </w:rPr>
      </w:pPr>
      <w:r>
        <w:rPr>
          <w:rFonts w:ascii="Times New Roman" w:cs="Times New Roman" w:eastAsia="Times New Roman" w:hAnsi="Times New Roman"/>
          <w:sz w:val="16"/>
          <w:szCs w:val="16"/>
          <w:color w:val="auto"/>
        </w:rPr>
        <w:t>At September 30, 2025 and 2024, Ashland held other debt totaling $76 million and $71 million, respectively, comprised primarily of the 6.50% notes due 2029 and other notes.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M-32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2" w:name="page73"/>
    <w:bookmarkEnd w:id="72"/>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borrowing capacity and liquidity</w:t>
      </w:r>
    </w:p>
    <w:p>
      <w:pPr>
        <w:spacing w:after="0" w:line="94" w:lineRule="exact"/>
        <w:rPr>
          <w:sz w:val="20"/>
          <w:szCs w:val="20"/>
          <w:color w:val="auto"/>
        </w:rPr>
      </w:pPr>
    </w:p>
    <w:p>
      <w:pPr>
        <w:ind w:right="280" w:firstLine="348"/>
        <w:spacing w:after="0" w:line="259" w:lineRule="auto"/>
        <w:rPr>
          <w:sz w:val="20"/>
          <w:szCs w:val="20"/>
          <w:color w:val="auto"/>
        </w:rPr>
      </w:pPr>
      <w:r>
        <w:rPr>
          <w:rFonts w:ascii="Times New Roman" w:cs="Times New Roman" w:eastAsia="Times New Roman" w:hAnsi="Times New Roman"/>
          <w:sz w:val="16"/>
          <w:szCs w:val="16"/>
          <w:color w:val="auto"/>
        </w:rPr>
        <w:t>The borrowing capacity remaining under the $600 million 2022 Revolving Credit Facility was $596 million due to a reduction of $4 million for letters of credit outstanding at September 30, 2025. Ashland's total borrowing capacity at September 30, 2025 was $596 million.</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Additionally, Ashland has no available liquidity under its current U.S. and Foreign Accounts Receivable Sales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Covenants related to current Ashland debt agreements</w:t>
      </w:r>
    </w:p>
    <w:p>
      <w:pPr>
        <w:spacing w:after="0" w:line="94" w:lineRule="exact"/>
        <w:rPr>
          <w:sz w:val="20"/>
          <w:szCs w:val="20"/>
          <w:color w:val="auto"/>
        </w:rPr>
      </w:pPr>
    </w:p>
    <w:p>
      <w:pPr>
        <w:ind w:right="240" w:firstLine="348"/>
        <w:spacing w:after="0" w:line="247" w:lineRule="auto"/>
        <w:rPr>
          <w:sz w:val="20"/>
          <w:szCs w:val="20"/>
          <w:color w:val="auto"/>
        </w:rPr>
      </w:pPr>
      <w:r>
        <w:rPr>
          <w:rFonts w:ascii="Times New Roman" w:cs="Times New Roman" w:eastAsia="Times New Roman" w:hAnsi="Times New Roman"/>
          <w:sz w:val="16"/>
          <w:szCs w:val="16"/>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2025, Ashland was in compliance with all debt agreement covenant restrictions.</w:t>
      </w:r>
    </w:p>
    <w:p>
      <w:pPr>
        <w:spacing w:after="0" w:line="68"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The maximum consolidated net leverage ratio permitted under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(loss) plus consolidated interest charges, taxes, depreciation and amortization expense, fees and expenses related to capital market transactions and proposed or actual acquisitions and divestitures, restructuring and integration charges, certain environmental charges, non- cash stock and equity compensation expense, and any other nonrecurring expenses or losses that do not represent a cash item in such period or any future period; less any non-cash gains or other items increasing net income (loss). The computation of Covenant Adjusted EBITDA differs from the calculation of EBITDA and Adjusted EBITDA, which have been reconciled in the "Use of Non-GAAP Financial Measures" section. In general, consolidated indebtedness includes debt plus all purchase money indebtedness, banker’s acceptances and bank guaranties, deferred purchase price of property or services, attributable indebtedness and guarantees. At September 30, 2025, Ashland’s calculation of the consolidated net leverage ratio was 2.8.</w:t>
      </w:r>
    </w:p>
    <w:p>
      <w:pPr>
        <w:spacing w:after="0" w:line="74" w:lineRule="exact"/>
        <w:rPr>
          <w:sz w:val="20"/>
          <w:szCs w:val="20"/>
          <w:color w:val="auto"/>
        </w:rPr>
      </w:pPr>
    </w:p>
    <w:p>
      <w:pPr>
        <w:ind w:right="20" w:firstLine="348"/>
        <w:spacing w:after="0" w:line="247" w:lineRule="auto"/>
        <w:rPr>
          <w:sz w:val="20"/>
          <w:szCs w:val="20"/>
          <w:color w:val="auto"/>
        </w:rPr>
      </w:pPr>
      <w:r>
        <w:rPr>
          <w:rFonts w:ascii="Times New Roman" w:cs="Times New Roman" w:eastAsia="Times New Roman" w:hAnsi="Times New Roman"/>
          <w:sz w:val="16"/>
          <w:szCs w:val="16"/>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September 30, 2025, Ashland’s calculation of the consolidated interest coverage ratio was 6.5.</w:t>
      </w:r>
    </w:p>
    <w:p>
      <w:pPr>
        <w:spacing w:after="0" w:line="68" w:lineRule="exact"/>
        <w:rPr>
          <w:sz w:val="20"/>
          <w:szCs w:val="20"/>
          <w:color w:val="auto"/>
        </w:rPr>
      </w:pPr>
    </w:p>
    <w:p>
      <w:pPr>
        <w:ind w:right="100" w:firstLine="348"/>
        <w:spacing w:after="0" w:line="331" w:lineRule="auto"/>
        <w:rPr>
          <w:sz w:val="20"/>
          <w:szCs w:val="20"/>
          <w:color w:val="auto"/>
        </w:rPr>
      </w:pPr>
      <w:r>
        <w:rPr>
          <w:rFonts w:ascii="Times New Roman" w:cs="Times New Roman" w:eastAsia="Times New Roman" w:hAnsi="Times New Roman"/>
          <w:sz w:val="14"/>
          <w:szCs w:val="14"/>
          <w:color w:val="auto"/>
        </w:rPr>
        <w:t>Any change in Covenant Adjusted EBITDA of $100 million would have an approximate 0.5x effect on the consolidated net leverage ratio and a 1.6x effect on the consolidated interest coverage ratio. Any change in consolidated indebtedness of $100 million would affect the consolidated net leverage ratio by approximately 0.2x.</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Ashland credit ratings</w:t>
      </w:r>
    </w:p>
    <w:p>
      <w:pPr>
        <w:spacing w:after="0" w:line="94" w:lineRule="exact"/>
        <w:rPr>
          <w:sz w:val="20"/>
          <w:szCs w:val="20"/>
          <w:color w:val="auto"/>
        </w:rPr>
      </w:pPr>
    </w:p>
    <w:p>
      <w:pPr>
        <w:ind w:right="360" w:firstLine="348"/>
        <w:spacing w:after="0" w:line="247" w:lineRule="auto"/>
        <w:rPr>
          <w:sz w:val="20"/>
          <w:szCs w:val="20"/>
          <w:color w:val="auto"/>
        </w:rPr>
      </w:pPr>
      <w:r>
        <w:rPr>
          <w:rFonts w:ascii="Times New Roman" w:cs="Times New Roman" w:eastAsia="Times New Roman" w:hAnsi="Times New Roman"/>
          <w:sz w:val="16"/>
          <w:szCs w:val="16"/>
          <w:color w:val="auto"/>
        </w:rPr>
        <w:t>Ashland’s corporate credit ratings remained unchanged at BB+ by Standard &amp; Poor’s and Ba1 by Moody’s Investor Services. As of September 30, 2025, both Moody’s Investor Services and Standard &amp; Poor’s outlook remained at stable. Subsequent changes to these ratings or outlook may have an effect on Ashland’s borrowing rate or ability to access capital markets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Ashland cash projection</w:t>
      </w:r>
    </w:p>
    <w:p>
      <w:pPr>
        <w:spacing w:after="0" w:line="94" w:lineRule="exact"/>
        <w:rPr>
          <w:sz w:val="20"/>
          <w:szCs w:val="20"/>
          <w:color w:val="auto"/>
        </w:rPr>
      </w:pPr>
    </w:p>
    <w:p>
      <w:pPr>
        <w:ind w:right="80" w:firstLine="348"/>
        <w:spacing w:after="0" w:line="241" w:lineRule="auto"/>
        <w:rPr>
          <w:sz w:val="20"/>
          <w:szCs w:val="20"/>
          <w:color w:val="auto"/>
        </w:rPr>
      </w:pPr>
      <w:r>
        <w:rPr>
          <w:rFonts w:ascii="Times New Roman" w:cs="Times New Roman" w:eastAsia="Times New Roman" w:hAnsi="Times New Roman"/>
          <w:sz w:val="16"/>
          <w:szCs w:val="16"/>
          <w:color w:val="auto"/>
        </w:rPr>
        <w:t>Ashland believes that cash flow from operations, availability under existing credit facilities and arrangements, current cash, cash equivalents, investment balances and the ability to obtain other financing, if necessary, will provide adequate cash funds for the Company’s foreseeable working capital needs, capital expenditures at existing facilities, pending acquisitions,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3" w:name="page74"/>
    <w:bookmarkEnd w:id="73"/>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Ashland expects the following material cash funding requirements from known contractual obligations at September 30, 2025: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Less than</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More than</w:t>
            </w:r>
          </w:p>
        </w:tc>
        <w:tc>
          <w:tcPr>
            <w:tcW w:w="0" w:type="dxa"/>
            <w:vAlign w:val="bottom"/>
          </w:tcPr>
          <w:p>
            <w:pPr>
              <w:spacing w:after="0"/>
              <w:rPr>
                <w:sz w:val="1"/>
                <w:szCs w:val="1"/>
                <w:color w:val="auto"/>
              </w:rPr>
            </w:pPr>
          </w:p>
        </w:tc>
      </w:tr>
      <w:tr>
        <w:trPr>
          <w:trHeight w:val="19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500" w:type="dxa"/>
            <w:vAlign w:val="bottom"/>
          </w:tcPr>
          <w:p>
            <w:pPr>
              <w:spacing w:after="0"/>
              <w:rPr>
                <w:sz w:val="16"/>
                <w:szCs w:val="16"/>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 year</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 year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Raw material and service contract purchase obligations</w:t>
            </w:r>
            <w:r>
              <w:rPr>
                <w:rFonts w:ascii="Times New Roman" w:cs="Times New Roman" w:eastAsia="Times New Roman" w:hAnsi="Times New Roman"/>
                <w:sz w:val="20"/>
                <w:szCs w:val="20"/>
                <w:color w:val="auto"/>
                <w:vertAlign w:val="superscript"/>
              </w:rPr>
              <w:t>(a)</w:t>
            </w:r>
          </w:p>
        </w:tc>
        <w:tc>
          <w:tcPr>
            <w:tcW w:w="50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5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4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Employee benefit obligations</w:t>
            </w:r>
            <w:r>
              <w:rPr>
                <w:rFonts w:ascii="Times New Roman" w:cs="Times New Roman" w:eastAsia="Times New Roman" w:hAnsi="Times New Roman"/>
                <w:sz w:val="20"/>
                <w:szCs w:val="20"/>
                <w:color w:val="auto"/>
                <w:vertAlign w:val="superscript"/>
              </w:rPr>
              <w:t>(b)</w:t>
            </w:r>
          </w:p>
        </w:tc>
        <w:tc>
          <w:tcPr>
            <w:tcW w:w="500" w:type="dxa"/>
            <w:vAlign w:val="bottom"/>
          </w:tcPr>
          <w:p>
            <w:pPr>
              <w:spacing w:after="0"/>
              <w:rPr>
                <w:sz w:val="15"/>
                <w:szCs w:val="15"/>
                <w:color w:val="auto"/>
              </w:rPr>
            </w:pPr>
          </w:p>
        </w:tc>
        <w:tc>
          <w:tcPr>
            <w:tcW w:w="8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Operating lease obligations</w:t>
            </w:r>
            <w:r>
              <w:rPr>
                <w:rFonts w:ascii="Times New Roman" w:cs="Times New Roman" w:eastAsia="Times New Roman" w:hAnsi="Times New Roman"/>
                <w:sz w:val="20"/>
                <w:szCs w:val="20"/>
                <w:color w:val="auto"/>
                <w:vertAlign w:val="superscript"/>
              </w:rPr>
              <w:t>(c)</w:t>
            </w:r>
          </w:p>
        </w:tc>
        <w:tc>
          <w:tcPr>
            <w:tcW w:w="5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Interest payments</w:t>
            </w:r>
            <w:r>
              <w:rPr>
                <w:rFonts w:ascii="Times New Roman" w:cs="Times New Roman" w:eastAsia="Times New Roman" w:hAnsi="Times New Roman"/>
                <w:sz w:val="21"/>
                <w:szCs w:val="21"/>
                <w:color w:val="auto"/>
                <w:vertAlign w:val="superscript"/>
              </w:rPr>
              <w:t>(d)</w:t>
            </w:r>
          </w:p>
        </w:tc>
        <w:tc>
          <w:tcPr>
            <w:tcW w:w="500" w:type="dxa"/>
            <w:vAlign w:val="bottom"/>
          </w:tcPr>
          <w:p>
            <w:pPr>
              <w:spacing w:after="0"/>
              <w:rPr>
                <w:sz w:val="18"/>
                <w:szCs w:val="18"/>
                <w:color w:val="auto"/>
              </w:rPr>
            </w:pPr>
          </w:p>
        </w:tc>
        <w:tc>
          <w:tcPr>
            <w:tcW w:w="8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Unrecognized tax benefits</w:t>
            </w:r>
            <w:r>
              <w:rPr>
                <w:rFonts w:ascii="Times New Roman" w:cs="Times New Roman" w:eastAsia="Times New Roman" w:hAnsi="Times New Roman"/>
                <w:sz w:val="20"/>
                <w:szCs w:val="20"/>
                <w:color w:val="auto"/>
                <w:vertAlign w:val="superscript"/>
              </w:rPr>
              <w:t>(e)</w:t>
            </w:r>
          </w:p>
        </w:tc>
        <w:tc>
          <w:tcPr>
            <w:tcW w:w="5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One-time transition tax</w:t>
            </w:r>
            <w:r>
              <w:rPr>
                <w:rFonts w:ascii="Times New Roman" w:cs="Times New Roman" w:eastAsia="Times New Roman" w:hAnsi="Times New Roman"/>
                <w:sz w:val="20"/>
                <w:szCs w:val="20"/>
                <w:color w:val="auto"/>
                <w:vertAlign w:val="superscript"/>
              </w:rPr>
              <w:t>(f)</w:t>
            </w:r>
          </w:p>
        </w:tc>
        <w:tc>
          <w:tcPr>
            <w:tcW w:w="500" w:type="dxa"/>
            <w:vAlign w:val="bottom"/>
          </w:tcPr>
          <w:p>
            <w:pPr>
              <w:spacing w:after="0"/>
              <w:rPr>
                <w:sz w:val="15"/>
                <w:szCs w:val="15"/>
                <w:color w:val="auto"/>
              </w:rPr>
            </w:pPr>
          </w:p>
        </w:tc>
        <w:tc>
          <w:tcPr>
            <w:tcW w:w="8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contractual obligations</w:t>
            </w:r>
          </w:p>
        </w:tc>
        <w:tc>
          <w:tcPr>
            <w:tcW w:w="50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847</w:t>
            </w:r>
          </w:p>
        </w:tc>
        <w:tc>
          <w:tcPr>
            <w:tcW w:w="5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46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280" w:type="dxa"/>
            <w:vAlign w:val="bottom"/>
            <w:tcBorders>
              <w:top w:val="single" w:sz="8" w:color="CFF0FC"/>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commitments</w:t>
            </w:r>
          </w:p>
        </w:tc>
        <w:tc>
          <w:tcPr>
            <w:tcW w:w="5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Letters of credit</w:t>
            </w:r>
            <w:r>
              <w:rPr>
                <w:rFonts w:ascii="Times New Roman" w:cs="Times New Roman" w:eastAsia="Times New Roman" w:hAnsi="Times New Roman"/>
                <w:sz w:val="21"/>
                <w:szCs w:val="21"/>
                <w:color w:val="auto"/>
                <w:vertAlign w:val="superscript"/>
              </w:rPr>
              <w:t>(g)</w:t>
            </w:r>
          </w:p>
        </w:tc>
        <w:tc>
          <w:tcPr>
            <w:tcW w:w="5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(a)Includes raw material and service contracts where minimal committed quantities and prices are fixed.</w:t>
      </w:r>
    </w:p>
    <w:p>
      <w:pPr>
        <w:spacing w:after="0" w:line="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3"/>
          <w:szCs w:val="13"/>
          <w:color w:val="auto"/>
        </w:rPr>
        <w:t>(b)Includes estimated funding of Ashland’s qualified U.S. and non-U.S. pension plans for 2025 as well as projected benefit payments through 2031 under Ashland’s unfunded pension and other postretirement benefit plans. Excludes the benefit payments from the pension plan trust funds. See Note L of the Notes to Consolidated Financial Statements for additional information. (c)Includes leases for office buildings, transportation equipment, warehouses and storage facilities and other equipment. For further information, see Note J of the Notes to Consolidated Financial Statements.</w:t>
      </w:r>
    </w:p>
    <w:p>
      <w:pPr>
        <w:spacing w:after="0" w:line="148"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3"/>
          <w:szCs w:val="13"/>
          <w:color w:val="auto"/>
        </w:rPr>
        <w:t>(d)Includes interest expense on both variable and fixed rate debt assuming no prepayments. Variable interest rates have been assumed to remain constant through the end of the term at rates that existed as of September 30, 2025.</w:t>
      </w:r>
    </w:p>
    <w:p>
      <w:pPr>
        <w:spacing w:after="0" w:line="1"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3"/>
          <w:szCs w:val="13"/>
          <w:color w:val="auto"/>
        </w:rPr>
        <w:t>(e)Due to uncertainties in the timing of the effective settlement of tax positions with respect to taxing authorities, Ashland is unable to determine the timing of payments related to noncurrent unrecognized tax benefits, including interest and penalties. Therefore, these amounts were included in the “More than 1 year” column.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(f)As a result of the Tax Act enacted during fiscal year 2017, Ashland has currently recorded a $13 million liability for the one-time transition tax.</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(g)Ashland issues various types of letters of credit as part of its normal course of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Equity</w:t>
      </w:r>
    </w:p>
    <w:p>
      <w:pPr>
        <w:spacing w:after="0" w:line="94" w:lineRule="exact"/>
        <w:rPr>
          <w:sz w:val="20"/>
          <w:szCs w:val="20"/>
          <w:color w:val="auto"/>
        </w:rPr>
      </w:pPr>
    </w:p>
    <w:p>
      <w:pPr>
        <w:ind w:right="160" w:firstLine="348"/>
        <w:spacing w:after="0" w:line="243" w:lineRule="auto"/>
        <w:rPr>
          <w:sz w:val="20"/>
          <w:szCs w:val="20"/>
          <w:color w:val="auto"/>
        </w:rPr>
      </w:pPr>
      <w:r>
        <w:rPr>
          <w:rFonts w:ascii="Times New Roman" w:cs="Times New Roman" w:eastAsia="Times New Roman" w:hAnsi="Times New Roman"/>
          <w:sz w:val="16"/>
          <w:szCs w:val="16"/>
          <w:color w:val="auto"/>
        </w:rPr>
        <w:t>Total equity was $1,904 million and $2,868 million at September 30, 2025 and September 30, 2024, respectively. During 2025, there were decreases of $845 million for net income (loss), $101 million for repurchases of common stock (which includes $ 1 million in excise tax on stock repurchases), and $77 million for dividends paid during 2025. The decreases were partially offset by increases of $45 million for deferred translation gains, $12 million for common shares issued under stock incentive plans, and $2 million increase for unrealized gains on commodity hedges.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Stock repurchase program</w:t>
      </w:r>
    </w:p>
    <w:p>
      <w:pPr>
        <w:spacing w:after="0" w:line="94" w:lineRule="exact"/>
        <w:rPr>
          <w:sz w:val="20"/>
          <w:szCs w:val="20"/>
          <w:color w:val="auto"/>
        </w:rPr>
      </w:pPr>
    </w:p>
    <w:p>
      <w:pPr>
        <w:jc w:val="both"/>
        <w:ind w:right="120" w:firstLine="348"/>
        <w:spacing w:after="0" w:line="247" w:lineRule="auto"/>
        <w:rPr>
          <w:sz w:val="20"/>
          <w:szCs w:val="20"/>
          <w:color w:val="auto"/>
        </w:rPr>
      </w:pPr>
      <w:r>
        <w:rPr>
          <w:rFonts w:ascii="Times New Roman" w:cs="Times New Roman" w:eastAsia="Times New Roman" w:hAnsi="Times New Roman"/>
          <w:sz w:val="16"/>
          <w:szCs w:val="16"/>
          <w:color w:val="auto"/>
        </w:rPr>
        <w:t>On June 28, 2023, Ashland's board of directors ("the Board") authorized a new evergreen $ 1 billion common share repurchase program ("2023 Stock Repurchase Program"). The new authorization terminated and replaced the 2022 Stock Repurchase Program, which had $200 million outstanding at the date of termination. As of September 30, 2025, $520 million remained available for repurchase under the 2023 Stock Repurchase Program</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4" w:name="page75"/>
    <w:bookmarkEnd w:id="74"/>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provides the stock repurchase activity for years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(In millions, except per share amounts)</w:t>
            </w:r>
          </w:p>
        </w:tc>
        <w:tc>
          <w:tcPr>
            <w:tcW w:w="880" w:type="dxa"/>
            <w:vAlign w:val="bottom"/>
          </w:tcPr>
          <w:p>
            <w:pPr>
              <w:spacing w:after="0"/>
              <w:rPr>
                <w:sz w:val="16"/>
                <w:szCs w:val="16"/>
                <w:color w:val="auto"/>
              </w:rPr>
            </w:pPr>
          </w:p>
        </w:tc>
        <w:tc>
          <w:tcPr>
            <w:tcW w:w="1980" w:type="dxa"/>
            <w:vAlign w:val="bottom"/>
          </w:tcPr>
          <w:p>
            <w:pPr>
              <w:jc w:val="center"/>
              <w:ind w:right="282"/>
              <w:spacing w:after="0"/>
              <w:rPr>
                <w:sz w:val="20"/>
                <w:szCs w:val="20"/>
                <w:color w:val="auto"/>
              </w:rPr>
            </w:pPr>
            <w:r>
              <w:rPr>
                <w:rFonts w:ascii="Times New Roman" w:cs="Times New Roman" w:eastAsia="Times New Roman" w:hAnsi="Times New Roman"/>
                <w:sz w:val="16"/>
                <w:szCs w:val="16"/>
                <w:color w:val="auto"/>
                <w:w w:val="93"/>
              </w:rPr>
              <w:t>2025</w:t>
            </w:r>
          </w:p>
        </w:tc>
        <w:tc>
          <w:tcPr>
            <w:tcW w:w="360" w:type="dxa"/>
            <w:vAlign w:val="bottom"/>
          </w:tcPr>
          <w:p>
            <w:pPr>
              <w:spacing w:after="0"/>
              <w:rPr>
                <w:sz w:val="16"/>
                <w:szCs w:val="16"/>
                <w:color w:val="auto"/>
              </w:rPr>
            </w:pPr>
          </w:p>
        </w:tc>
        <w:tc>
          <w:tcPr>
            <w:tcW w:w="1980" w:type="dxa"/>
            <w:vAlign w:val="bottom"/>
          </w:tcPr>
          <w:p>
            <w:pPr>
              <w:jc w:val="center"/>
              <w:ind w:right="282"/>
              <w:spacing w:after="0"/>
              <w:rPr>
                <w:sz w:val="20"/>
                <w:szCs w:val="20"/>
                <w:color w:val="auto"/>
              </w:rPr>
            </w:pPr>
            <w:r>
              <w:rPr>
                <w:rFonts w:ascii="Times New Roman" w:cs="Times New Roman" w:eastAsia="Times New Roman" w:hAnsi="Times New Roman"/>
                <w:sz w:val="16"/>
                <w:szCs w:val="16"/>
                <w:color w:val="auto"/>
                <w:w w:val="93"/>
              </w:rPr>
              <w:t>2024</w:t>
            </w:r>
          </w:p>
        </w:tc>
        <w:tc>
          <w:tcPr>
            <w:tcW w:w="340" w:type="dxa"/>
            <w:vAlign w:val="bottom"/>
          </w:tcPr>
          <w:p>
            <w:pPr>
              <w:spacing w:after="0"/>
              <w:rPr>
                <w:sz w:val="16"/>
                <w:szCs w:val="16"/>
                <w:color w:val="auto"/>
              </w:rPr>
            </w:pPr>
          </w:p>
        </w:tc>
        <w:tc>
          <w:tcPr>
            <w:tcW w:w="184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3"/>
              </w:rPr>
              <w:t>2023</w:t>
            </w:r>
          </w:p>
        </w:tc>
      </w:tr>
      <w:tr>
        <w:trPr>
          <w:trHeight w:val="180"/>
        </w:trPr>
        <w:tc>
          <w:tcPr>
            <w:tcW w:w="3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Number of shares repurchased</w:t>
            </w:r>
          </w:p>
        </w:tc>
        <w:tc>
          <w:tcPr>
            <w:tcW w:w="880" w:type="dxa"/>
            <w:vAlign w:val="bottom"/>
            <w:shd w:val="clear" w:color="auto" w:fill="CFF0FC"/>
          </w:tcPr>
          <w:p>
            <w:pPr>
              <w:spacing w:after="0"/>
              <w:rPr>
                <w:sz w:val="15"/>
                <w:szCs w:val="15"/>
                <w:color w:val="auto"/>
              </w:rPr>
            </w:pPr>
          </w:p>
        </w:tc>
        <w:tc>
          <w:tcPr>
            <w:tcW w:w="19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360" w:type="dxa"/>
            <w:vAlign w:val="bottom"/>
            <w:shd w:val="clear" w:color="auto" w:fill="CFF0FC"/>
          </w:tcPr>
          <w:p>
            <w:pPr>
              <w:spacing w:after="0"/>
              <w:rPr>
                <w:sz w:val="15"/>
                <w:szCs w:val="15"/>
                <w:color w:val="auto"/>
              </w:rPr>
            </w:pPr>
          </w:p>
        </w:tc>
        <w:tc>
          <w:tcPr>
            <w:tcW w:w="19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340" w:type="dxa"/>
            <w:vAlign w:val="bottom"/>
            <w:shd w:val="clear" w:color="auto" w:fill="CFF0FC"/>
          </w:tcPr>
          <w:p>
            <w:pPr>
              <w:spacing w:after="0"/>
              <w:rPr>
                <w:sz w:val="15"/>
                <w:szCs w:val="15"/>
                <w:color w:val="auto"/>
              </w:rPr>
            </w:pP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3.10</w:t>
            </w:r>
          </w:p>
        </w:tc>
      </w:tr>
      <w:tr>
        <w:trPr>
          <w:trHeight w:val="180"/>
        </w:trPr>
        <w:tc>
          <w:tcPr>
            <w:tcW w:w="31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Weighted-average price per share</w:t>
            </w:r>
            <w:r>
              <w:rPr>
                <w:rFonts w:ascii="Times New Roman" w:cs="Times New Roman" w:eastAsia="Times New Roman" w:hAnsi="Times New Roman"/>
                <w:sz w:val="20"/>
                <w:szCs w:val="20"/>
                <w:color w:val="auto"/>
                <w:vertAlign w:val="superscript"/>
              </w:rPr>
              <w:t>(a)</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64.90</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88.70</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97.33</w:t>
            </w:r>
          </w:p>
        </w:tc>
      </w:tr>
      <w:tr>
        <w:trPr>
          <w:trHeight w:val="180"/>
        </w:trPr>
        <w:tc>
          <w:tcPr>
            <w:tcW w:w="3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Aggregate purchase price</w:t>
            </w:r>
            <w:r>
              <w:rPr>
                <w:rFonts w:ascii="Times New Roman" w:cs="Times New Roman" w:eastAsia="Times New Roman" w:hAnsi="Times New Roman"/>
                <w:sz w:val="20"/>
                <w:szCs w:val="20"/>
                <w:color w:val="auto"/>
                <w:vertAlign w:val="superscript"/>
              </w:rPr>
              <w:t>(a)</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380</w:t>
            </w:r>
          </w:p>
        </w:tc>
        <w:tc>
          <w:tcPr>
            <w:tcW w:w="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300</w:t>
            </w:r>
          </w:p>
        </w:tc>
      </w:tr>
      <w:tr>
        <w:trPr>
          <w:trHeight w:val="167"/>
        </w:trPr>
        <w:tc>
          <w:tcPr>
            <w:tcW w:w="31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Program</w:t>
            </w:r>
          </w:p>
        </w:tc>
        <w:tc>
          <w:tcPr>
            <w:tcW w:w="880" w:type="dxa"/>
            <w:vAlign w:val="bottom"/>
          </w:tcPr>
          <w:p>
            <w:pPr>
              <w:spacing w:after="0"/>
              <w:rPr>
                <w:sz w:val="14"/>
                <w:szCs w:val="14"/>
                <w:color w:val="auto"/>
              </w:rPr>
            </w:pPr>
          </w:p>
        </w:tc>
        <w:tc>
          <w:tcPr>
            <w:tcW w:w="1980" w:type="dxa"/>
            <w:vAlign w:val="bottom"/>
          </w:tcPr>
          <w:p>
            <w:pPr>
              <w:jc w:val="center"/>
              <w:ind w:right="282"/>
              <w:spacing w:after="0" w:line="167" w:lineRule="exact"/>
              <w:rPr>
                <w:sz w:val="20"/>
                <w:szCs w:val="20"/>
                <w:color w:val="auto"/>
              </w:rPr>
            </w:pPr>
            <w:r>
              <w:rPr>
                <w:rFonts w:ascii="Times New Roman" w:cs="Times New Roman" w:eastAsia="Times New Roman" w:hAnsi="Times New Roman"/>
                <w:sz w:val="16"/>
                <w:szCs w:val="16"/>
                <w:color w:val="auto"/>
                <w:w w:val="96"/>
              </w:rPr>
              <w:t>2023 Stock Repurchase</w:t>
            </w:r>
          </w:p>
        </w:tc>
        <w:tc>
          <w:tcPr>
            <w:tcW w:w="360" w:type="dxa"/>
            <w:vAlign w:val="bottom"/>
          </w:tcPr>
          <w:p>
            <w:pPr>
              <w:spacing w:after="0"/>
              <w:rPr>
                <w:sz w:val="14"/>
                <w:szCs w:val="14"/>
                <w:color w:val="auto"/>
              </w:rPr>
            </w:pPr>
          </w:p>
        </w:tc>
        <w:tc>
          <w:tcPr>
            <w:tcW w:w="1980" w:type="dxa"/>
            <w:vAlign w:val="bottom"/>
          </w:tcPr>
          <w:p>
            <w:pPr>
              <w:jc w:val="center"/>
              <w:ind w:right="282"/>
              <w:spacing w:after="0" w:line="167" w:lineRule="exact"/>
              <w:rPr>
                <w:sz w:val="20"/>
                <w:szCs w:val="20"/>
                <w:color w:val="auto"/>
              </w:rPr>
            </w:pPr>
            <w:r>
              <w:rPr>
                <w:rFonts w:ascii="Times New Roman" w:cs="Times New Roman" w:eastAsia="Times New Roman" w:hAnsi="Times New Roman"/>
                <w:sz w:val="16"/>
                <w:szCs w:val="16"/>
                <w:color w:val="auto"/>
                <w:w w:val="96"/>
              </w:rPr>
              <w:t>2023 Stock Repurchase</w:t>
            </w:r>
          </w:p>
        </w:tc>
        <w:tc>
          <w:tcPr>
            <w:tcW w:w="340" w:type="dxa"/>
            <w:vAlign w:val="bottom"/>
          </w:tcPr>
          <w:p>
            <w:pPr>
              <w:spacing w:after="0"/>
              <w:rPr>
                <w:sz w:val="14"/>
                <w:szCs w:val="14"/>
                <w:color w:val="auto"/>
              </w:rPr>
            </w:pPr>
          </w:p>
        </w:tc>
        <w:tc>
          <w:tcPr>
            <w:tcW w:w="1840" w:type="dxa"/>
            <w:vAlign w:val="bottom"/>
          </w:tcPr>
          <w:p>
            <w:pPr>
              <w:jc w:val="center"/>
              <w:ind w:right="142"/>
              <w:spacing w:after="0" w:line="167" w:lineRule="exact"/>
              <w:rPr>
                <w:sz w:val="20"/>
                <w:szCs w:val="20"/>
                <w:color w:val="auto"/>
              </w:rPr>
            </w:pPr>
            <w:r>
              <w:rPr>
                <w:rFonts w:ascii="Times New Roman" w:cs="Times New Roman" w:eastAsia="Times New Roman" w:hAnsi="Times New Roman"/>
                <w:sz w:val="16"/>
                <w:szCs w:val="16"/>
                <w:color w:val="auto"/>
                <w:w w:val="96"/>
              </w:rPr>
              <w:t>2022 Stock Repurchase</w:t>
            </w:r>
          </w:p>
        </w:tc>
      </w:tr>
      <w:tr>
        <w:trPr>
          <w:trHeight w:val="203"/>
        </w:trPr>
        <w:tc>
          <w:tcPr>
            <w:tcW w:w="3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80" w:type="dxa"/>
            <w:vAlign w:val="bottom"/>
          </w:tcPr>
          <w:p>
            <w:pPr>
              <w:jc w:val="center"/>
              <w:ind w:right="282"/>
              <w:spacing w:after="0"/>
              <w:rPr>
                <w:sz w:val="20"/>
                <w:szCs w:val="20"/>
                <w:color w:val="auto"/>
              </w:rPr>
            </w:pPr>
            <w:r>
              <w:rPr>
                <w:rFonts w:ascii="Times New Roman" w:cs="Times New Roman" w:eastAsia="Times New Roman" w:hAnsi="Times New Roman"/>
                <w:sz w:val="16"/>
                <w:szCs w:val="16"/>
                <w:color w:val="auto"/>
                <w:w w:val="97"/>
              </w:rPr>
              <w:t>Program</w:t>
            </w:r>
          </w:p>
        </w:tc>
        <w:tc>
          <w:tcPr>
            <w:tcW w:w="360" w:type="dxa"/>
            <w:vAlign w:val="bottom"/>
          </w:tcPr>
          <w:p>
            <w:pPr>
              <w:spacing w:after="0"/>
              <w:rPr>
                <w:sz w:val="17"/>
                <w:szCs w:val="17"/>
                <w:color w:val="auto"/>
              </w:rPr>
            </w:pPr>
          </w:p>
        </w:tc>
        <w:tc>
          <w:tcPr>
            <w:tcW w:w="1980" w:type="dxa"/>
            <w:vAlign w:val="bottom"/>
          </w:tcPr>
          <w:p>
            <w:pPr>
              <w:jc w:val="center"/>
              <w:ind w:right="282"/>
              <w:spacing w:after="0"/>
              <w:rPr>
                <w:sz w:val="20"/>
                <w:szCs w:val="20"/>
                <w:color w:val="auto"/>
              </w:rPr>
            </w:pPr>
            <w:r>
              <w:rPr>
                <w:rFonts w:ascii="Times New Roman" w:cs="Times New Roman" w:eastAsia="Times New Roman" w:hAnsi="Times New Roman"/>
                <w:sz w:val="16"/>
                <w:szCs w:val="16"/>
                <w:color w:val="auto"/>
                <w:w w:val="97"/>
              </w:rPr>
              <w:t>Program</w:t>
            </w:r>
          </w:p>
        </w:tc>
        <w:tc>
          <w:tcPr>
            <w:tcW w:w="340" w:type="dxa"/>
            <w:vAlign w:val="bottom"/>
          </w:tcPr>
          <w:p>
            <w:pPr>
              <w:spacing w:after="0"/>
              <w:rPr>
                <w:sz w:val="17"/>
                <w:szCs w:val="17"/>
                <w:color w:val="auto"/>
              </w:rPr>
            </w:pPr>
          </w:p>
        </w:tc>
        <w:tc>
          <w:tcPr>
            <w:tcW w:w="184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Program</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(a)Includes transactions costs.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Stockholder dividends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Ashland paid dividends per common share of $1.64, $1.58 and $1.44 during 2025, 2024 and 2023, respectively.</w:t>
      </w:r>
    </w:p>
    <w:p>
      <w:pPr>
        <w:spacing w:after="0" w:line="92" w:lineRule="exact"/>
        <w:rPr>
          <w:sz w:val="20"/>
          <w:szCs w:val="20"/>
          <w:color w:val="auto"/>
        </w:rPr>
      </w:pPr>
    </w:p>
    <w:p>
      <w:pPr>
        <w:ind w:right="340" w:firstLine="348"/>
        <w:spacing w:after="0" w:line="259" w:lineRule="auto"/>
        <w:rPr>
          <w:sz w:val="20"/>
          <w:szCs w:val="20"/>
          <w:color w:val="auto"/>
        </w:rPr>
      </w:pPr>
      <w:r>
        <w:rPr>
          <w:rFonts w:ascii="Times New Roman" w:cs="Times New Roman" w:eastAsia="Times New Roman" w:hAnsi="Times New Roman"/>
          <w:sz w:val="16"/>
          <w:szCs w:val="16"/>
          <w:color w:val="auto"/>
        </w:rPr>
        <w:t>In May 2025, the Board announced a quarterly cash dividend of 41.5 cents per share to eligible stockholders at record, which represented an increase from the previous quarterly cash dividend of 40.5 cents per share. The dividend was paid in the third and fourth quarter of fiscal 2025.</w:t>
      </w:r>
    </w:p>
    <w:p>
      <w:pPr>
        <w:spacing w:after="0" w:line="59" w:lineRule="exact"/>
        <w:rPr>
          <w:sz w:val="20"/>
          <w:szCs w:val="20"/>
          <w:color w:val="auto"/>
        </w:rPr>
      </w:pPr>
    </w:p>
    <w:p>
      <w:pPr>
        <w:ind w:right="340" w:firstLine="348"/>
        <w:spacing w:after="0" w:line="259" w:lineRule="auto"/>
        <w:rPr>
          <w:sz w:val="20"/>
          <w:szCs w:val="20"/>
          <w:color w:val="auto"/>
        </w:rPr>
      </w:pPr>
      <w:r>
        <w:rPr>
          <w:rFonts w:ascii="Times New Roman" w:cs="Times New Roman" w:eastAsia="Times New Roman" w:hAnsi="Times New Roman"/>
          <w:sz w:val="16"/>
          <w:szCs w:val="16"/>
          <w:color w:val="auto"/>
        </w:rPr>
        <w:t>In May 2024, the Board announced a quarterly cash dividend of 40.5 cents per share to eligible stockholders at record, which represented an increase from the previous quarterly cash dividend of 38.5 cents per share. The dividend was paid in the third and fourth quarter of fiscal 2024.</w:t>
      </w:r>
    </w:p>
    <w:p>
      <w:pPr>
        <w:spacing w:after="0" w:line="59" w:lineRule="exact"/>
        <w:rPr>
          <w:sz w:val="20"/>
          <w:szCs w:val="20"/>
          <w:color w:val="auto"/>
        </w:rPr>
      </w:pPr>
    </w:p>
    <w:p>
      <w:pPr>
        <w:ind w:right="340" w:firstLine="348"/>
        <w:spacing w:after="0" w:line="259" w:lineRule="auto"/>
        <w:rPr>
          <w:sz w:val="20"/>
          <w:szCs w:val="20"/>
          <w:color w:val="auto"/>
        </w:rPr>
      </w:pPr>
      <w:r>
        <w:rPr>
          <w:rFonts w:ascii="Times New Roman" w:cs="Times New Roman" w:eastAsia="Times New Roman" w:hAnsi="Times New Roman"/>
          <w:sz w:val="16"/>
          <w:szCs w:val="16"/>
          <w:color w:val="auto"/>
        </w:rPr>
        <w:t>In May 2023, the Board announced a quarterly cash dividend of 38.5 cents per share to eligible stockholders at record, which represented an increase from the previous quarterly cash dividend of 33.5 cents per share. The dividend was paid in the third and fourth quarter of fiscal 2023.</w:t>
      </w:r>
    </w:p>
    <w:p>
      <w:pPr>
        <w:spacing w:after="0" w:line="59"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In May 2022, the Board announced a quarterly cash dividend of 33.5 cents per share to eligible stockholders at record, which represented an increase from the previous quarterly cash dividend of 30.0 cents per share. This dividend was paid in the third and fourth quarters of fiscal 2022 and the first and second quarters of fiscal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expenditures</w:t>
      </w:r>
    </w:p>
    <w:p>
      <w:pPr>
        <w:spacing w:after="0" w:line="94" w:lineRule="exact"/>
        <w:rPr>
          <w:sz w:val="20"/>
          <w:szCs w:val="20"/>
          <w:color w:val="auto"/>
        </w:rPr>
      </w:pPr>
    </w:p>
    <w:p>
      <w:pPr>
        <w:ind w:right="180" w:firstLine="348"/>
        <w:spacing w:after="0" w:line="331" w:lineRule="auto"/>
        <w:rPr>
          <w:sz w:val="20"/>
          <w:szCs w:val="20"/>
          <w:color w:val="auto"/>
        </w:rPr>
      </w:pPr>
      <w:r>
        <w:rPr>
          <w:rFonts w:ascii="Times New Roman" w:cs="Times New Roman" w:eastAsia="Times New Roman" w:hAnsi="Times New Roman"/>
          <w:sz w:val="14"/>
          <w:szCs w:val="14"/>
          <w:color w:val="auto"/>
        </w:rPr>
        <w:t>Capital expenditures were $98 million for 2025 and averaged $135 million during the last three years. Ashland expects capital expenditures over the next three years to average approximately $100 million per year. A summary of capital expenditures by reportable segment during the years ended September 30,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Life Sciences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4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4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Personal Care</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Specialty Additives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99</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Intermediates</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Unallocated and Other</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6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 capital expenditures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170</w:t>
            </w:r>
          </w:p>
        </w:tc>
      </w:tr>
      <w:tr>
        <w:trPr>
          <w:trHeight w:val="20"/>
        </w:trPr>
        <w:tc>
          <w:tcPr>
            <w:tcW w:w="6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summary of the capital employed in Ashland’s current operations, which is calculated by adding equity to capital investment, as of September 30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300" w:type="dxa"/>
            <w:vAlign w:val="bottom"/>
          </w:tcPr>
          <w:p>
            <w:pPr>
              <w:spacing w:after="0"/>
              <w:rPr>
                <w:sz w:val="16"/>
                <w:szCs w:val="16"/>
                <w:color w:val="auto"/>
              </w:rPr>
            </w:pPr>
          </w:p>
        </w:tc>
        <w:tc>
          <w:tcPr>
            <w:tcW w:w="128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Capital employed</w:t>
            </w:r>
            <w:r>
              <w:rPr>
                <w:rFonts w:ascii="Times New Roman" w:cs="Times New Roman" w:eastAsia="Times New Roman" w:hAnsi="Times New Roman"/>
                <w:sz w:val="20"/>
                <w:szCs w:val="20"/>
                <w:b w:val="1"/>
                <w:bCs w:val="1"/>
                <w:color w:val="auto"/>
                <w:vertAlign w:val="superscript"/>
              </w:rPr>
              <w:t>(a)</w:t>
            </w:r>
          </w:p>
        </w:tc>
        <w:tc>
          <w:tcPr>
            <w:tcW w:w="3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Life Sciences</w:t>
            </w:r>
          </w:p>
        </w:tc>
        <w:tc>
          <w:tcPr>
            <w:tcW w:w="330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1,377</w:t>
            </w:r>
          </w:p>
        </w:tc>
        <w:tc>
          <w:tcPr>
            <w:tcW w:w="4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1,696</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Personal Care</w:t>
            </w:r>
          </w:p>
        </w:tc>
        <w:tc>
          <w:tcPr>
            <w:tcW w:w="3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703</w:t>
            </w: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Specialty Additives</w:t>
            </w:r>
          </w:p>
        </w:tc>
        <w:tc>
          <w:tcPr>
            <w:tcW w:w="3300" w:type="dxa"/>
            <w:vAlign w:val="bottom"/>
          </w:tcPr>
          <w:p>
            <w:pPr>
              <w:spacing w:after="0"/>
              <w:rPr>
                <w:sz w:val="17"/>
                <w:szCs w:val="17"/>
                <w:color w:val="auto"/>
              </w:rPr>
            </w:pPr>
          </w:p>
        </w:tc>
        <w:tc>
          <w:tcPr>
            <w:tcW w:w="128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904</w:t>
            </w:r>
          </w:p>
        </w:tc>
        <w:tc>
          <w:tcPr>
            <w:tcW w:w="44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1,351</w:t>
            </w: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Intermediates</w:t>
            </w:r>
          </w:p>
        </w:tc>
        <w:tc>
          <w:tcPr>
            <w:tcW w:w="3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3"/>
          <w:szCs w:val="13"/>
          <w:color w:val="auto"/>
        </w:rPr>
        <w:t>(a)Excludes the assets and liabilities classified within unallocated and other which primarily includes debt and other long-term liabilities such as asbestos and pension. The net liability in unallocated and other was $1,175 million and $1,162 million as of September 30, 2025 and 2024, respectively.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5" w:name="page76"/>
    <w:bookmarkEnd w:id="75"/>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4" w:lineRule="exact"/>
        <w:rPr>
          <w:sz w:val="20"/>
          <w:szCs w:val="20"/>
          <w:color w:val="auto"/>
        </w:rPr>
      </w:pPr>
    </w:p>
    <w:p>
      <w:pPr>
        <w:ind w:right="120" w:firstLine="348"/>
        <w:spacing w:after="0" w:line="243" w:lineRule="auto"/>
        <w:rPr>
          <w:sz w:val="20"/>
          <w:szCs w:val="20"/>
          <w:color w:val="auto"/>
        </w:rPr>
      </w:pPr>
      <w:r>
        <w:rPr>
          <w:rFonts w:ascii="Times New Roman" w:cs="Times New Roman" w:eastAsia="Times New Roman" w:hAnsi="Times New Roman"/>
          <w:sz w:val="16"/>
          <w:szCs w:val="16"/>
          <w:color w:val="auto"/>
        </w:rPr>
        <w:t>As part of its normal course of business, Ashland is a party to various financial guarantees and other commitments. These arrangements involve elements of performance and credit risk that are not included in the Consolidated Balance Sheets. The possibility that Ashland would have to make actual cash expenditures in connection with these obligations is largely dependent on the performance of the guaranteed party, or the occurrence of future events that Ashland is unable to predict. The fair value of these guarantees is not significant.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94" w:lineRule="exact"/>
        <w:rPr>
          <w:sz w:val="20"/>
          <w:szCs w:val="20"/>
          <w:color w:val="auto"/>
        </w:rPr>
      </w:pPr>
    </w:p>
    <w:p>
      <w:pPr>
        <w:ind w:right="540" w:firstLine="348"/>
        <w:spacing w:after="0" w:line="259" w:lineRule="auto"/>
        <w:rPr>
          <w:sz w:val="20"/>
          <w:szCs w:val="20"/>
          <w:color w:val="auto"/>
        </w:rPr>
      </w:pPr>
      <w:r>
        <w:rPr>
          <w:rFonts w:ascii="Times New Roman" w:cs="Times New Roman" w:eastAsia="Times New Roman" w:hAnsi="Times New Roman"/>
          <w:sz w:val="16"/>
          <w:szCs w:val="16"/>
          <w:color w:val="auto"/>
        </w:rPr>
        <w:t>For a discussion and analysis of recently issued accounting pronouncements and its impact on Ashland, see Note A of the Notes to Consolidated Financial Statements.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right="100" w:firstLine="348"/>
        <w:spacing w:after="0" w:line="239" w:lineRule="auto"/>
        <w:rPr>
          <w:sz w:val="20"/>
          <w:szCs w:val="20"/>
          <w:color w:val="auto"/>
        </w:rPr>
      </w:pPr>
      <w:r>
        <w:rPr>
          <w:rFonts w:ascii="Times New Roman" w:cs="Times New Roman" w:eastAsia="Times New Roman" w:hAnsi="Times New Roman"/>
          <w:sz w:val="16"/>
          <w:szCs w:val="16"/>
          <w:color w:val="auto"/>
        </w:rPr>
        <w:t>The preparation of Ashland’s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indefinite-lived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remediation</w:t>
      </w:r>
    </w:p>
    <w:p>
      <w:pPr>
        <w:spacing w:after="0" w:line="94"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Ashland is subject to various federal, state and local environmental laws and regulations that require environmental assessment or remediation efforts (collectively environmental remediation) at multiple locations. At September 30, 2025, such locations included 53 sites where Ashland has been identified as a potentially responsible party under Superfund or similar state laws, 107 current and former operating facilities and about 1,225 service station properties, of which 14 are being actively remediated.</w:t>
      </w:r>
    </w:p>
    <w:p>
      <w:pPr>
        <w:spacing w:after="0" w:line="71" w:lineRule="exact"/>
        <w:rPr>
          <w:sz w:val="20"/>
          <w:szCs w:val="20"/>
          <w:color w:val="auto"/>
        </w:rPr>
      </w:pPr>
    </w:p>
    <w:p>
      <w:pPr>
        <w:ind w:right="20" w:firstLine="348"/>
        <w:spacing w:after="0" w:line="247" w:lineRule="auto"/>
        <w:rPr>
          <w:sz w:val="20"/>
          <w:szCs w:val="20"/>
          <w:color w:val="auto"/>
        </w:rPr>
      </w:pPr>
      <w:r>
        <w:rPr>
          <w:rFonts w:ascii="Times New Roman" w:cs="Times New Roman" w:eastAsia="Times New Roman" w:hAnsi="Times New Roman"/>
          <w:sz w:val="16"/>
          <w:szCs w:val="16"/>
          <w:color w:val="auto"/>
        </w:rPr>
        <w:t>Ashland’s reserves for environmental remediation and related environmental litigation amounted to $226 million at September 30, 2025 compared to $221 million at September 30, 2024, of which $ 179 million at September 30, 2025 and $164 million at September 30, 2024, were classified in other noncurrent liabilities on the Consolidated Balance Sheets. The remaining reserves were classified in accrued expenses and other liabilities on the Consolidated Balance Sheets.</w:t>
      </w:r>
    </w:p>
    <w:p>
      <w:pPr>
        <w:spacing w:after="0" w:line="68"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 continues. Ashland has estimated the value of its probable insurance recoveries associated with its environmental remediation reserves based on management’s interpretations and estimates surrounding the available or applicable insurance coverage. At September 30, 2025 and 2024, Ashland’s recorded receivable for these probable insurance recoveries was $14 million and $13 million, respectively, of which $12 million and $11 million was classified in other noncurrent assets on the Consolidated Balance Sheets.</w:t>
      </w:r>
    </w:p>
    <w:p>
      <w:pPr>
        <w:spacing w:after="0" w:line="74" w:lineRule="exact"/>
        <w:rPr>
          <w:sz w:val="20"/>
          <w:szCs w:val="20"/>
          <w:color w:val="auto"/>
        </w:rPr>
      </w:pPr>
    </w:p>
    <w:p>
      <w:pPr>
        <w:ind w:firstLine="348"/>
        <w:spacing w:after="0" w:line="247" w:lineRule="auto"/>
        <w:rPr>
          <w:sz w:val="20"/>
          <w:szCs w:val="20"/>
          <w:color w:val="auto"/>
        </w:rPr>
      </w:pPr>
      <w:r>
        <w:rPr>
          <w:rFonts w:ascii="Times New Roman" w:cs="Times New Roman" w:eastAsia="Times New Roman" w:hAnsi="Times New Roman"/>
          <w:sz w:val="16"/>
          <w:szCs w:val="16"/>
          <w:color w:val="auto"/>
        </w:rPr>
        <w:t>During 2025, 2024 and 2023, Ashland recognized $50 million, $54 million and $56 million of expense, respectively, for certain environmental liabilities related to normal ongoing remediation cost estimate updates for sites, which is consistent with Ashland’s historical environmental accounting policy. See Note M of the Notes to Consolidated Financial Statements for additional information.</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M-36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76" w:name="page77"/>
    <w:bookmarkEnd w:id="76"/>
    <w:p>
      <w:pPr>
        <w:spacing w:after="0" w:line="17" w:lineRule="exact"/>
        <w:rPr>
          <w:sz w:val="20"/>
          <w:szCs w:val="20"/>
          <w:color w:val="auto"/>
        </w:rPr>
      </w:pPr>
    </w:p>
    <w:p>
      <w:pPr>
        <w:ind w:right="60" w:firstLine="348"/>
        <w:spacing w:after="0" w:line="289" w:lineRule="auto"/>
        <w:rPr>
          <w:sz w:val="20"/>
          <w:szCs w:val="20"/>
          <w:color w:val="auto"/>
        </w:rPr>
      </w:pPr>
      <w:r>
        <w:rPr>
          <w:rFonts w:ascii="Times New Roman" w:cs="Times New Roman" w:eastAsia="Times New Roman" w:hAnsi="Times New Roman"/>
          <w:sz w:val="14"/>
          <w:szCs w:val="14"/>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$495 million. The largest reserve for any site is 21% of the total environmental remediation reserves as of September 30,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Asbestos litigation</w:t>
      </w:r>
    </w:p>
    <w:p>
      <w:pPr>
        <w:spacing w:after="0" w:line="94"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Ashland and Hercules have liabilities from claims alleging personal injury caused by exposure to asbestos. To assist in developing and annually updating independent reserve estimates for future asbestos claims and related costs, Ashland has retained third party actuarial experts Gnarus Advisors, LLC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 litigation reserves liabilities and receivables are recorded on an after-tax basis within the discontinued operations caption in the Statements of Consolidated Comprehensive Income (Loss). See Note M of the Notes to Consolidated Financial Statements for additional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Ashland asbestos-related litigation</w:t>
      </w:r>
    </w:p>
    <w:p>
      <w:pPr>
        <w:spacing w:after="0" w:line="94" w:lineRule="exact"/>
        <w:rPr>
          <w:sz w:val="20"/>
          <w:szCs w:val="20"/>
          <w:color w:val="auto"/>
        </w:rPr>
      </w:pPr>
    </w:p>
    <w:p>
      <w:pPr>
        <w:ind w:right="80" w:firstLine="348"/>
        <w:spacing w:after="0" w:line="331" w:lineRule="auto"/>
        <w:rPr>
          <w:sz w:val="20"/>
          <w:szCs w:val="20"/>
          <w:color w:val="auto"/>
        </w:rPr>
      </w:pPr>
      <w:r>
        <w:rPr>
          <w:rFonts w:ascii="Times New Roman" w:cs="Times New Roman" w:eastAsia="Times New Roman" w:hAnsi="Times New Roman"/>
          <w:sz w:val="14"/>
          <w:szCs w:val="14"/>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Ashland asbestos-related liability</w:t>
      </w:r>
    </w:p>
    <w:p>
      <w:pPr>
        <w:spacing w:after="0" w:line="94" w:lineRule="exact"/>
        <w:rPr>
          <w:sz w:val="20"/>
          <w:szCs w:val="20"/>
          <w:color w:val="auto"/>
        </w:rPr>
      </w:pPr>
    </w:p>
    <w:p>
      <w:pPr>
        <w:ind w:right="260" w:firstLine="348"/>
        <w:spacing w:after="0" w:line="247" w:lineRule="auto"/>
        <w:rPr>
          <w:sz w:val="20"/>
          <w:szCs w:val="20"/>
          <w:color w:val="auto"/>
        </w:rPr>
      </w:pPr>
      <w:r>
        <w:rPr>
          <w:rFonts w:ascii="Times New Roman" w:cs="Times New Roman" w:eastAsia="Times New Roman" w:hAnsi="Times New Roman"/>
          <w:sz w:val="16"/>
          <w:szCs w:val="16"/>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the most recent update completed during 2025, it was determined that the liability for Ashland asbestos-related claims should be increased by $16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reserves for asbestos claims were $258 million at September 30, 2025 compared to $274 million at September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Ashland asbestos-related receivables</w:t>
      </w:r>
    </w:p>
    <w:p>
      <w:pPr>
        <w:spacing w:after="0" w:line="94" w:lineRule="exact"/>
        <w:rPr>
          <w:sz w:val="20"/>
          <w:szCs w:val="20"/>
          <w:color w:val="auto"/>
        </w:rPr>
      </w:pPr>
    </w:p>
    <w:p>
      <w:pPr>
        <w:ind w:right="320" w:firstLine="348"/>
        <w:spacing w:after="0" w:line="259" w:lineRule="auto"/>
        <w:rPr>
          <w:sz w:val="20"/>
          <w:szCs w:val="20"/>
          <w:color w:val="auto"/>
        </w:rPr>
      </w:pPr>
      <w:r>
        <w:rPr>
          <w:rFonts w:ascii="Times New Roman" w:cs="Times New Roman" w:eastAsia="Times New Roman" w:hAnsi="Times New Roman"/>
          <w:sz w:val="16"/>
          <w:szCs w:val="16"/>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59" w:lineRule="exact"/>
        <w:rPr>
          <w:sz w:val="20"/>
          <w:szCs w:val="20"/>
          <w:color w:val="auto"/>
        </w:rPr>
      </w:pPr>
    </w:p>
    <w:p>
      <w:pPr>
        <w:ind w:right="80" w:firstLine="348"/>
        <w:spacing w:after="0" w:line="299" w:lineRule="auto"/>
        <w:rPr>
          <w:sz w:val="20"/>
          <w:szCs w:val="20"/>
          <w:color w:val="auto"/>
        </w:rPr>
      </w:pPr>
      <w:r>
        <w:rPr>
          <w:rFonts w:ascii="Times New Roman" w:cs="Times New Roman" w:eastAsia="Times New Roman" w:hAnsi="Times New Roman"/>
          <w:sz w:val="14"/>
          <w:szCs w:val="14"/>
          <w:color w:val="auto"/>
        </w:rPr>
        <w:t>For the Ashland asbestos-related obligations,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34" w:lineRule="exact"/>
        <w:rPr>
          <w:sz w:val="20"/>
          <w:szCs w:val="20"/>
          <w:color w:val="auto"/>
        </w:rPr>
      </w:pPr>
    </w:p>
    <w:p>
      <w:pPr>
        <w:jc w:val="both"/>
        <w:ind w:right="60" w:firstLine="348"/>
        <w:spacing w:after="0" w:line="243" w:lineRule="auto"/>
        <w:rPr>
          <w:sz w:val="20"/>
          <w:szCs w:val="20"/>
          <w:color w:val="auto"/>
        </w:rPr>
      </w:pPr>
      <w:r>
        <w:rPr>
          <w:rFonts w:ascii="Times New Roman" w:cs="Times New Roman" w:eastAsia="Times New Roman" w:hAnsi="Times New Roman"/>
          <w:sz w:val="16"/>
          <w:szCs w:val="16"/>
          <w:color w:val="auto"/>
        </w:rPr>
        <w:t>At September 30, 2025, Ashland’s receivable for recoveries of litigation defense and claim settlement costs from insurers amounted to $ 95 million (excluding the Hercules receivable for asbestos claims). Receivables from insurers amounted to $ 97 million at September 30, 2024. During 2025, the annual update of the model used for purposes of valuing the asbestos litigation reserves and its impact on valuation of future recoveries from insurers, was completed. This model update resulted in a $5 million increase in the receivable for probable insurance recoveries.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7" w:name="page78"/>
    <w:bookmarkEnd w:id="77"/>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Hercules asbestos-related litigation</w:t>
      </w:r>
    </w:p>
    <w:p>
      <w:pPr>
        <w:spacing w:after="0" w:line="94" w:lineRule="exact"/>
        <w:rPr>
          <w:sz w:val="20"/>
          <w:szCs w:val="20"/>
          <w:color w:val="auto"/>
        </w:rPr>
      </w:pPr>
    </w:p>
    <w:p>
      <w:pPr>
        <w:ind w:right="260" w:firstLine="348"/>
        <w:spacing w:after="0" w:line="247" w:lineRule="auto"/>
        <w:rPr>
          <w:sz w:val="20"/>
          <w:szCs w:val="20"/>
          <w:color w:val="auto"/>
        </w:rPr>
      </w:pPr>
      <w:r>
        <w:rPr>
          <w:rFonts w:ascii="Times New Roman" w:cs="Times New Roman" w:eastAsia="Times New Roman" w:hAnsi="Times New Roman"/>
          <w:sz w:val="16"/>
          <w:szCs w:val="16"/>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Hercules asbestos-related liability</w:t>
      </w:r>
    </w:p>
    <w:p>
      <w:pPr>
        <w:spacing w:after="0" w:line="94" w:lineRule="exact"/>
        <w:rPr>
          <w:sz w:val="20"/>
          <w:szCs w:val="20"/>
          <w:color w:val="auto"/>
        </w:rPr>
      </w:pPr>
    </w:p>
    <w:p>
      <w:pPr>
        <w:ind w:right="320" w:firstLine="348"/>
        <w:spacing w:after="0" w:line="241" w:lineRule="auto"/>
        <w:rPr>
          <w:sz w:val="20"/>
          <w:szCs w:val="20"/>
          <w:color w:val="auto"/>
        </w:rPr>
      </w:pPr>
      <w:r>
        <w:rPr>
          <w:rFonts w:ascii="Times New Roman" w:cs="Times New Roman" w:eastAsia="Times New Roman" w:hAnsi="Times New Roman"/>
          <w:sz w:val="16"/>
          <w:szCs w:val="16"/>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 discounted approximate 40-year model developed with the assistance of Gnarus. As a result of the most recent annual update of this estimate completed during 2025, it was determined that the liability for Hercules asbestos-related claims should be increased by $10 million. Total reserves for asbestos claims were $177 million at September 30, 2025 compared to $185 million at September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Hercules asbestos-related receivables</w:t>
      </w:r>
    </w:p>
    <w:p>
      <w:pPr>
        <w:spacing w:after="0" w:line="94" w:lineRule="exact"/>
        <w:rPr>
          <w:sz w:val="20"/>
          <w:szCs w:val="20"/>
          <w:color w:val="auto"/>
        </w:rPr>
      </w:pPr>
    </w:p>
    <w:p>
      <w:pPr>
        <w:ind w:right="40" w:firstLine="348"/>
        <w:spacing w:after="0" w:line="289" w:lineRule="auto"/>
        <w:rPr>
          <w:sz w:val="20"/>
          <w:szCs w:val="20"/>
          <w:color w:val="auto"/>
        </w:rPr>
      </w:pPr>
      <w:r>
        <w:rPr>
          <w:rFonts w:ascii="Times New Roman" w:cs="Times New Roman" w:eastAsia="Times New Roman" w:hAnsi="Times New Roman"/>
          <w:sz w:val="14"/>
          <w:szCs w:val="14"/>
          <w:color w:val="auto"/>
        </w:rPr>
        <w:t>For the Hercules asbestos-related obligations, certain reimbursement obligations pursuant to coverage -in-place agreements with insurance carriers exist. As a result, any increases in the asbestos litigation reserves have been partially offset by probable insurance recoveries.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41" w:lineRule="exact"/>
        <w:rPr>
          <w:sz w:val="20"/>
          <w:szCs w:val="20"/>
          <w:color w:val="auto"/>
        </w:rPr>
      </w:pPr>
    </w:p>
    <w:p>
      <w:pPr>
        <w:ind w:right="260" w:firstLine="348"/>
        <w:spacing w:after="0" w:line="247" w:lineRule="auto"/>
        <w:rPr>
          <w:sz w:val="20"/>
          <w:szCs w:val="20"/>
          <w:color w:val="auto"/>
        </w:rPr>
      </w:pPr>
      <w:r>
        <w:rPr>
          <w:rFonts w:ascii="Times New Roman" w:cs="Times New Roman" w:eastAsia="Times New Roman" w:hAnsi="Times New Roman"/>
          <w:sz w:val="16"/>
          <w:szCs w:val="16"/>
          <w:color w:val="auto"/>
        </w:rPr>
        <w:t>As of September 30, 2025 and 2024, the receivables from insurers amounted to $48 million and $50 million, respectively. During 2025, the annual update of the model used for purposes of valuing the asbestos litigation reserves and its impact on valuation of future recoveries from insurers was completed. This model update resulted in a $4 million increase in the receivable for probable insurance recoveries.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Asbestos litigation cost projection</w:t>
      </w:r>
    </w:p>
    <w:p>
      <w:pPr>
        <w:spacing w:after="0" w:line="94" w:lineRule="exact"/>
        <w:rPr>
          <w:sz w:val="20"/>
          <w:szCs w:val="20"/>
          <w:color w:val="auto"/>
        </w:rPr>
      </w:pPr>
    </w:p>
    <w:p>
      <w:pPr>
        <w:ind w:firstLine="348"/>
        <w:spacing w:after="0" w:line="236" w:lineRule="auto"/>
        <w:rPr>
          <w:sz w:val="20"/>
          <w:szCs w:val="20"/>
          <w:color w:val="auto"/>
        </w:rPr>
      </w:pPr>
      <w:r>
        <w:rPr>
          <w:rFonts w:ascii="Times New Roman" w:cs="Times New Roman" w:eastAsia="Times New Roman" w:hAnsi="Times New Roman"/>
          <w:sz w:val="16"/>
          <w:szCs w:val="16"/>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litigation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 -term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$382 million for the Ashland asbestos-related litigation (current reserve of $258 million) and approximately $262 million for the Hercules asbestos-related litigation (current reserve of $177 million), depending on the combination of assumptions selected in the various models. While the timeframe used in Ashland's models for projecting asbestos liabilities generally decreases over time based on the expected lifetime of the liabilities, these models have been consistently applied within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M-38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78" w:name="page79"/>
    <w:bookmarkEnd w:id="78"/>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for goodwill and other indefinite-lived intangible assets</w:t>
      </w:r>
    </w:p>
    <w:p>
      <w:pPr>
        <w:spacing w:after="0" w:line="94" w:lineRule="exact"/>
        <w:rPr>
          <w:sz w:val="20"/>
          <w:szCs w:val="20"/>
          <w:color w:val="auto"/>
        </w:rPr>
      </w:pPr>
    </w:p>
    <w:p>
      <w:pPr>
        <w:ind w:right="320" w:firstLine="348"/>
        <w:spacing w:after="0" w:line="259" w:lineRule="auto"/>
        <w:rPr>
          <w:sz w:val="20"/>
          <w:szCs w:val="20"/>
          <w:color w:val="auto"/>
        </w:rPr>
      </w:pPr>
      <w:r>
        <w:rPr>
          <w:rFonts w:ascii="Times New Roman" w:cs="Times New Roman" w:eastAsia="Times New Roman" w:hAnsi="Times New Roman"/>
          <w:sz w:val="16"/>
          <w:szCs w:val="16"/>
          <w:color w:val="auto"/>
        </w:rPr>
        <w:t>Ashland accounts for goodwill and other indefinite-lived intangible assets acquired in a business combination in conformity with current accounting guidance which does not allow for goodwill and indefinite-lived intangible assets to be amortized.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94" w:lineRule="exact"/>
        <w:rPr>
          <w:sz w:val="20"/>
          <w:szCs w:val="20"/>
          <w:color w:val="auto"/>
        </w:rPr>
      </w:pPr>
    </w:p>
    <w:p>
      <w:pPr>
        <w:ind w:right="120" w:firstLine="348"/>
        <w:spacing w:after="0" w:line="239" w:lineRule="auto"/>
        <w:rPr>
          <w:sz w:val="20"/>
          <w:szCs w:val="20"/>
          <w:color w:val="auto"/>
        </w:rPr>
      </w:pPr>
      <w:r>
        <w:rPr>
          <w:rFonts w:ascii="Times New Roman" w:cs="Times New Roman" w:eastAsia="Times New Roman" w:hAnsi="Times New Roman"/>
          <w:sz w:val="16"/>
          <w:szCs w:val="16"/>
          <w:color w:val="auto"/>
        </w:rPr>
        <w:t>Ashland reviews goodwill for impairment annually as of July 1 or when events and circumstances indicate an impairment may have occurred. Ashland tests goodwill for impairment by comparing the estimated fair value of its reporting units to the related carrying value. If the fair value of the reporting unit is lower than its carrying amount, goodwill is written down for the amount by which the carrying amount exceeds fair value. However, the loss recognized cannot exceed the carrying amount of goodwill. Reporting units are defined as either operating segments or one level below the operating segments for which discrete financial information is available and reviewed by management. Ashland determined that its reporting units are Life Sciences, Personal Care, Specialty Additives and Intermediates, which is consistent with prior years.</w:t>
      </w:r>
    </w:p>
    <w:p>
      <w:pPr>
        <w:spacing w:after="0" w:line="77" w:lineRule="exact"/>
        <w:rPr>
          <w:sz w:val="20"/>
          <w:szCs w:val="20"/>
          <w:color w:val="auto"/>
        </w:rPr>
      </w:pPr>
    </w:p>
    <w:p>
      <w:pPr>
        <w:ind w:right="40" w:firstLine="348"/>
        <w:spacing w:after="0" w:line="280" w:lineRule="auto"/>
        <w:rPr>
          <w:sz w:val="20"/>
          <w:szCs w:val="20"/>
          <w:color w:val="auto"/>
        </w:rPr>
      </w:pPr>
      <w:r>
        <w:rPr>
          <w:rFonts w:ascii="Times New Roman" w:cs="Times New Roman" w:eastAsia="Times New Roman" w:hAnsi="Times New Roman"/>
          <w:sz w:val="14"/>
          <w:szCs w:val="14"/>
          <w:color w:val="auto"/>
        </w:rPr>
        <w:t>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Discounted cash flow models are reliant on various assumptions, including projected business results, long-term growth factors and weighted-average cost of capital. Management judgment is involved in estimating these variables, and they include uncertainties since they are forecasting future events. Ashland performs sensitivity analyses by using a range of inputs to confirm the reasonableness of the long-term growth rate and weighted average cost of capital estimates. Additionally, Ashland compares the indicated equity value to Ashland’s market capitalization and evaluates the resulting implied control premium/discount to determine if the estimated enterprise value is reasonable.</w:t>
      </w:r>
    </w:p>
    <w:p>
      <w:pPr>
        <w:spacing w:after="0" w:line="49" w:lineRule="exact"/>
        <w:rPr>
          <w:sz w:val="20"/>
          <w:szCs w:val="20"/>
          <w:color w:val="auto"/>
        </w:rPr>
      </w:pPr>
    </w:p>
    <w:p>
      <w:pPr>
        <w:ind w:right="100" w:firstLine="348"/>
        <w:spacing w:after="0" w:line="243" w:lineRule="auto"/>
        <w:rPr>
          <w:sz w:val="20"/>
          <w:szCs w:val="20"/>
          <w:color w:val="auto"/>
        </w:rPr>
      </w:pPr>
      <w:r>
        <w:rPr>
          <w:rFonts w:ascii="Times New Roman" w:cs="Times New Roman" w:eastAsia="Times New Roman" w:hAnsi="Times New Roman"/>
          <w:sz w:val="16"/>
          <w:szCs w:val="16"/>
          <w:color w:val="auto"/>
        </w:rPr>
        <w:t>During the third quarter of fiscal 2025, Ashland experienced a continued decline in the market price of its common stock. Ashland also experienced slowing growth due to weakening macroeconomic environment that is dampening consumer sentiment and demand globally which resulted in lower growth and lower margins for the Life Sciences and Specialty Additives reporting units than what was previously forecasted. These factors led Ashland to determine that triggering events occurred, and a quantitative goodwill impairment assessment was performed during the third quarter of fiscal 2025.</w:t>
      </w:r>
    </w:p>
    <w:p>
      <w:pPr>
        <w:spacing w:after="0" w:line="71" w:lineRule="exact"/>
        <w:rPr>
          <w:sz w:val="20"/>
          <w:szCs w:val="20"/>
          <w:color w:val="auto"/>
        </w:rPr>
      </w:pPr>
    </w:p>
    <w:p>
      <w:pPr>
        <w:ind w:right="60" w:firstLine="348"/>
        <w:spacing w:after="0" w:line="241" w:lineRule="auto"/>
        <w:rPr>
          <w:sz w:val="20"/>
          <w:szCs w:val="20"/>
          <w:color w:val="auto"/>
        </w:rPr>
      </w:pPr>
      <w:r>
        <w:rPr>
          <w:rFonts w:ascii="Times New Roman" w:cs="Times New Roman" w:eastAsia="Times New Roman" w:hAnsi="Times New Roman"/>
          <w:sz w:val="16"/>
          <w:szCs w:val="16"/>
          <w:color w:val="auto"/>
        </w:rPr>
        <w:t>Following the completion of this quantitative analysis, Ashland concluded that the fair value of Personal Care reporting unit exceeded its carrying value by more than 100%. The Intermediates reporting unit has no associated goodwill. The carrying value of the Life Sciences and the Specialty Additives reporting units exceeded their fair value, resulting in non-cash goodwill impairment charges of $375 million and $331 million, respectively, for a total goodwill impairment charge of $706 million, which was recorded within the goodwill impairment caption of the Statement of Consolidated Comprehensive Income (Loss) for the year ended September 30, 2025.</w:t>
      </w:r>
    </w:p>
    <w:p>
      <w:pPr>
        <w:spacing w:after="0" w:line="73"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On July 1, 2025, the date of our annual goodwill impairment assessment, Ashland evaluated each reporting unit using a qualitative approach focusing on any additional changes in market conditions, performances versus forecast and strategic initiatives. Particular attention was given to forward looking macroeconomic trends and forecasts, recent financial results, earnings multiples for guideline public companies in each reporting unit's industry peer group and sensitivity analysis for each reporting units discounted cash flow model. There was no additional impairment identified as part of the July 1, 2025 annual goodwill impairment assessment. No subsequent indicators of impairment had been identified during the fourth quarter of fiscal 2025. For further information, see Note G of the Notes to Consolidated Financial Statements.</w:t>
      </w:r>
    </w:p>
    <w:p>
      <w:pPr>
        <w:spacing w:after="0" w:line="77"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The below table provides a sensitivity analysis for Life Sciences and Specialty Additives reporting units remaining goodwill, utilizing reasonably possible changes in the assumptions for the shorter term and residual growth rates and the discount rate, to demonstrate the potential impacts to the estimated fair values. The below table provides, in isolation, the estimated fair value impacts related to a 25-basis point increase to discount rate or a 25-basis point decrease to residual growth rates, both of which would result in incremental impairment charges to the Life Sciences and Specialty Additives reporting units.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M-39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676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Approximate Percent Change in Estimated Fair Value</w:t>
            </w:r>
          </w:p>
        </w:tc>
      </w:tr>
      <w:tr>
        <w:trPr>
          <w:trHeight w:val="180"/>
        </w:trPr>
        <w:tc>
          <w:tcPr>
            <w:tcW w:w="3800" w:type="dxa"/>
            <w:vAlign w:val="bottom"/>
          </w:tcPr>
          <w:p>
            <w:pPr>
              <w:spacing w:after="0"/>
              <w:rPr>
                <w:sz w:val="15"/>
                <w:szCs w:val="15"/>
                <w:color w:val="auto"/>
              </w:rPr>
            </w:pPr>
          </w:p>
        </w:tc>
        <w:tc>
          <w:tcPr>
            <w:tcW w:w="4260" w:type="dxa"/>
            <w:vAlign w:val="bottom"/>
          </w:tcPr>
          <w:p>
            <w:pPr>
              <w:jc w:val="center"/>
              <w:ind w:left="1682"/>
              <w:spacing w:after="0" w:line="180" w:lineRule="exact"/>
              <w:rPr>
                <w:sz w:val="20"/>
                <w:szCs w:val="20"/>
                <w:color w:val="auto"/>
              </w:rPr>
            </w:pPr>
            <w:r>
              <w:rPr>
                <w:rFonts w:ascii="Times New Roman" w:cs="Times New Roman" w:eastAsia="Times New Roman" w:hAnsi="Times New Roman"/>
                <w:sz w:val="16"/>
                <w:szCs w:val="16"/>
                <w:color w:val="auto"/>
                <w:w w:val="97"/>
              </w:rPr>
              <w:t>+25 bps</w:t>
            </w:r>
          </w:p>
        </w:tc>
        <w:tc>
          <w:tcPr>
            <w:tcW w:w="250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6"/>
              </w:rPr>
              <w:t>-25 bps</w:t>
            </w:r>
          </w:p>
        </w:tc>
      </w:tr>
      <w:tr>
        <w:trPr>
          <w:trHeight w:val="193"/>
        </w:trPr>
        <w:tc>
          <w:tcPr>
            <w:tcW w:w="3800" w:type="dxa"/>
            <w:vAlign w:val="bottom"/>
          </w:tcPr>
          <w:p>
            <w:pPr>
              <w:spacing w:after="0"/>
              <w:rPr>
                <w:sz w:val="16"/>
                <w:szCs w:val="16"/>
                <w:color w:val="auto"/>
              </w:rPr>
            </w:pPr>
          </w:p>
        </w:tc>
        <w:tc>
          <w:tcPr>
            <w:tcW w:w="4260" w:type="dxa"/>
            <w:vAlign w:val="bottom"/>
          </w:tcPr>
          <w:p>
            <w:pPr>
              <w:jc w:val="center"/>
              <w:ind w:left="1682"/>
              <w:spacing w:after="0"/>
              <w:rPr>
                <w:sz w:val="20"/>
                <w:szCs w:val="20"/>
                <w:color w:val="auto"/>
              </w:rPr>
            </w:pPr>
            <w:r>
              <w:rPr>
                <w:rFonts w:ascii="Times New Roman" w:cs="Times New Roman" w:eastAsia="Times New Roman" w:hAnsi="Times New Roman"/>
                <w:sz w:val="16"/>
                <w:szCs w:val="16"/>
                <w:color w:val="auto"/>
                <w:w w:val="98"/>
              </w:rPr>
              <w:t>Discount Rate</w:t>
            </w:r>
          </w:p>
        </w:tc>
        <w:tc>
          <w:tcPr>
            <w:tcW w:w="250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7"/>
              </w:rPr>
              <w:t>Growth Rate</w:t>
            </w:r>
          </w:p>
        </w:tc>
      </w:tr>
      <w:tr>
        <w:trPr>
          <w:trHeight w:val="180"/>
        </w:trPr>
        <w:tc>
          <w:tcPr>
            <w:tcW w:w="3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Life Sciences</w:t>
            </w:r>
          </w:p>
        </w:tc>
        <w:tc>
          <w:tcPr>
            <w:tcW w:w="4260" w:type="dxa"/>
            <w:vAlign w:val="bottom"/>
            <w:shd w:val="clear" w:color="auto" w:fill="CFF0FC"/>
          </w:tcPr>
          <w:p>
            <w:pPr>
              <w:jc w:val="center"/>
              <w:ind w:left="1682"/>
              <w:spacing w:after="0" w:line="180" w:lineRule="exact"/>
              <w:rPr>
                <w:sz w:val="20"/>
                <w:szCs w:val="20"/>
                <w:color w:val="auto"/>
              </w:rPr>
            </w:pPr>
            <w:r>
              <w:rPr>
                <w:rFonts w:ascii="Times New Roman" w:cs="Times New Roman" w:eastAsia="Times New Roman" w:hAnsi="Times New Roman"/>
                <w:sz w:val="16"/>
                <w:szCs w:val="16"/>
                <w:color w:val="auto"/>
                <w:w w:val="98"/>
              </w:rPr>
              <w:t>-2.5%</w:t>
            </w:r>
          </w:p>
        </w:tc>
        <w:tc>
          <w:tcPr>
            <w:tcW w:w="2500" w:type="dxa"/>
            <w:vAlign w:val="bottom"/>
            <w:shd w:val="clear" w:color="auto" w:fill="CFF0FC"/>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8"/>
              </w:rPr>
              <w:t>-1.3%</w:t>
            </w: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Specialty Additives</w:t>
            </w:r>
          </w:p>
        </w:tc>
        <w:tc>
          <w:tcPr>
            <w:tcW w:w="4260" w:type="dxa"/>
            <w:vAlign w:val="bottom"/>
          </w:tcPr>
          <w:p>
            <w:pPr>
              <w:jc w:val="center"/>
              <w:ind w:left="1682"/>
              <w:spacing w:after="0"/>
              <w:rPr>
                <w:sz w:val="20"/>
                <w:szCs w:val="20"/>
                <w:color w:val="auto"/>
              </w:rPr>
            </w:pPr>
            <w:r>
              <w:rPr>
                <w:rFonts w:ascii="Times New Roman" w:cs="Times New Roman" w:eastAsia="Times New Roman" w:hAnsi="Times New Roman"/>
                <w:sz w:val="16"/>
                <w:szCs w:val="16"/>
                <w:color w:val="auto"/>
                <w:w w:val="98"/>
              </w:rPr>
              <w:t>-2.6%</w:t>
            </w:r>
          </w:p>
        </w:tc>
        <w:tc>
          <w:tcPr>
            <w:tcW w:w="250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8"/>
              </w:rPr>
              <w:t>-1.5%</w:t>
            </w:r>
          </w:p>
        </w:tc>
      </w:tr>
    </w:tbl>
    <w:p>
      <w:pPr>
        <w:spacing w:after="0" w:line="120" w:lineRule="exact"/>
        <w:rPr>
          <w:sz w:val="20"/>
          <w:szCs w:val="20"/>
          <w:color w:val="auto"/>
        </w:rPr>
      </w:pPr>
    </w:p>
    <w:p>
      <w:pPr>
        <w:ind w:right="240" w:firstLine="348"/>
        <w:spacing w:after="0" w:line="243" w:lineRule="auto"/>
        <w:rPr>
          <w:sz w:val="20"/>
          <w:szCs w:val="20"/>
          <w:color w:val="auto"/>
        </w:rPr>
      </w:pPr>
      <w:r>
        <w:rPr>
          <w:rFonts w:ascii="Times New Roman" w:cs="Times New Roman" w:eastAsia="Times New Roman" w:hAnsi="Times New Roman"/>
          <w:sz w:val="16"/>
          <w:szCs w:val="16"/>
          <w:color w:val="auto"/>
        </w:rPr>
        <w:t>Assumptions inherent in the valuation methodologies include estimates of future projected business results (principally sales and EBITDA), long-term growth rates, and the weighted-average cost of capital. Significant assumptions utilized in the impairment analysis included the weighted-average cost of capital, ranging between 12.50% and 13.75%, and terminal growth rates, ranging between 2.0% and 4.0% depending on the reporting unit. For further information, see Note G of the Notes to Consolidated Financial 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indefinite-lived intangible assets</w:t>
      </w:r>
    </w:p>
    <w:p>
      <w:pPr>
        <w:spacing w:after="0" w:line="94" w:lineRule="exact"/>
        <w:rPr>
          <w:sz w:val="20"/>
          <w:szCs w:val="20"/>
          <w:color w:val="auto"/>
        </w:rPr>
      </w:pPr>
    </w:p>
    <w:p>
      <w:pPr>
        <w:ind w:right="60" w:firstLine="348"/>
        <w:spacing w:after="0" w:line="247" w:lineRule="auto"/>
        <w:rPr>
          <w:sz w:val="20"/>
          <w:szCs w:val="20"/>
          <w:color w:val="auto"/>
        </w:rPr>
      </w:pPr>
      <w:r>
        <w:rPr>
          <w:rFonts w:ascii="Times New Roman" w:cs="Times New Roman" w:eastAsia="Times New Roman" w:hAnsi="Times New Roman"/>
          <w:sz w:val="16"/>
          <w:szCs w:val="16"/>
          <w:color w:val="auto"/>
        </w:rPr>
        <w:t>Other indefinite-lived intangible assets include certain trademarks and trade names. Ashland reviews these intangible assets for possible impairment annually as of July 1 or whenever events or changes in circumstances indicate that carrying amounts may not be recoverable. If the carrying value of an individual indefinite-lived intangible asset exceeds its fair value, the asset is written down to its fair value and the amount of the write down is the impairment charge.</w:t>
      </w:r>
    </w:p>
    <w:p>
      <w:pPr>
        <w:spacing w:after="0" w:line="68" w:lineRule="exact"/>
        <w:rPr>
          <w:sz w:val="20"/>
          <w:szCs w:val="20"/>
          <w:color w:val="auto"/>
        </w:rPr>
      </w:pPr>
    </w:p>
    <w:p>
      <w:pPr>
        <w:ind w:right="20" w:firstLine="348"/>
        <w:spacing w:after="0" w:line="277" w:lineRule="auto"/>
        <w:rPr>
          <w:sz w:val="20"/>
          <w:szCs w:val="20"/>
          <w:color w:val="auto"/>
        </w:rPr>
      </w:pPr>
      <w:r>
        <w:rPr>
          <w:rFonts w:ascii="Times New Roman" w:cs="Times New Roman" w:eastAsia="Times New Roman" w:hAnsi="Times New Roman"/>
          <w:sz w:val="14"/>
          <w:szCs w:val="14"/>
          <w:color w:val="auto"/>
        </w:rPr>
        <w:t>Ashland tests these assets using a “relief-from-royalty” valuation method to determine the fair value. Assumptions inherent in the valuation methodologies include, but are not limited to, future projected business results, growth rates, the weighted-average cost of capital for a market participant, and royalty rates. In conjunction with the triggering events described above for goodwill, Ashland tested its indefinite-lived intangible assets for impairment during the third quarter of fiscal 2025. Ashland’s quantitative approach models did not indicate any impairment, as each indefinite-lived intangible asset’s fair value exceeded its carrying values. Ashland has two indefinite-lived intangible assets related to trademarks and trade names. Significant assumptions utilized in the impairment analysis included the weight-average cost of capital, ranging between 13.5% and 14.0%, royalty rates of 2.0%, and terminal growth rates, ranging between 3.2% and 3.3%. One of the two indefinite-lived intangible assets fair value exceeded its carrying value by more than 75%, while the second had a fair value slightly above the carrying value. A 25- basis point increase to the discount rate or a 25-basis point decrease to the residual growth rate would have resulted in an impairment for the second indefinite-lived intangible asset.</w:t>
      </w:r>
    </w:p>
    <w:p>
      <w:pPr>
        <w:spacing w:after="0" w:line="50" w:lineRule="exact"/>
        <w:rPr>
          <w:sz w:val="20"/>
          <w:szCs w:val="20"/>
          <w:color w:val="auto"/>
        </w:rPr>
      </w:pPr>
    </w:p>
    <w:p>
      <w:pPr>
        <w:ind w:right="20" w:firstLine="348"/>
        <w:spacing w:after="0" w:line="299" w:lineRule="auto"/>
        <w:rPr>
          <w:sz w:val="20"/>
          <w:szCs w:val="20"/>
          <w:color w:val="auto"/>
        </w:rPr>
      </w:pPr>
      <w:r>
        <w:rPr>
          <w:rFonts w:ascii="Times New Roman" w:cs="Times New Roman" w:eastAsia="Times New Roman" w:hAnsi="Times New Roman"/>
          <w:sz w:val="14"/>
          <w:szCs w:val="14"/>
          <w:color w:val="auto"/>
        </w:rPr>
        <w:t>On July 1, 2025, the date of our annual impairment assessment, Ashland evaluated its indefinite -lived intangible assets for impairment using a qualitative approach focusing on the key assumptions used as part of the third quarter quantitative approach. There was no impairment identified as part of the July 1, 2025 annual other indefinite-lived intangible asset impairment assessment. No subsequent indicators of impairment had been identified during the fourth quarter of fiscal 2025.</w:t>
      </w:r>
    </w:p>
    <w:p>
      <w:pPr>
        <w:spacing w:after="0" w:line="34" w:lineRule="exact"/>
        <w:rPr>
          <w:sz w:val="20"/>
          <w:szCs w:val="20"/>
          <w:color w:val="auto"/>
        </w:rPr>
      </w:pPr>
    </w:p>
    <w:p>
      <w:pPr>
        <w:ind w:right="80" w:firstLine="348"/>
        <w:spacing w:after="0" w:line="243" w:lineRule="auto"/>
        <w:rPr>
          <w:sz w:val="20"/>
          <w:szCs w:val="20"/>
          <w:color w:val="auto"/>
        </w:rPr>
      </w:pPr>
      <w:r>
        <w:rPr>
          <w:rFonts w:ascii="Times New Roman" w:cs="Times New Roman" w:eastAsia="Times New Roman" w:hAnsi="Times New Roman"/>
          <w:sz w:val="16"/>
          <w:szCs w:val="16"/>
          <w:color w:val="auto"/>
        </w:rPr>
        <w:t>Ashland’s assessment of an impairment on any of these assets classified currently as having indefinite lives, including goodwill, could change in future periods if significant events happen and/or circumstances change that affect the previously mentioned assumptions. Assumptions inherent in the valuation methodologies include, but are not limited to, such estimates as future projected business results, growth rates, the weighted average cost of capital for a market participant, and royalty rates. For further information, see Note G of the Notes to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1" w:right="680" w:bottom="1440" w:gutter="0" w:footer="0" w:header="0"/>
        </w:sectPr>
      </w:pPr>
    </w:p>
    <w:bookmarkStart w:id="80" w:name="page81"/>
    <w:bookmarkEnd w:id="80"/>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4" w:lineRule="exact"/>
        <w:rPr>
          <w:sz w:val="20"/>
          <w:szCs w:val="20"/>
          <w:color w:val="auto"/>
        </w:rPr>
      </w:pPr>
    </w:p>
    <w:p>
      <w:pPr>
        <w:ind w:firstLine="348"/>
        <w:spacing w:after="0" w:line="237" w:lineRule="auto"/>
        <w:rPr>
          <w:sz w:val="20"/>
          <w:szCs w:val="20"/>
          <w:color w:val="auto"/>
        </w:rPr>
      </w:pPr>
      <w:r>
        <w:rPr>
          <w:rFonts w:ascii="Times New Roman" w:cs="Times New Roman" w:eastAsia="Times New Roman" w:hAnsi="Times New Roman"/>
          <w:sz w:val="16"/>
          <w:szCs w:val="16"/>
          <w:color w:val="auto"/>
        </w:rPr>
        <w:t>Ashland is subject to income taxes in the United States and numerous foreign jurisdictions.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Under U.S. GAAP,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Deferred taxes are not provided on the unremitted earnings of subsidiaries outside of the United States when it is expected that these earnings are indefinitely reinvested.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w:t>
      </w:r>
    </w:p>
    <w:p>
      <w:pPr>
        <w:spacing w:after="0" w:line="78" w:lineRule="exact"/>
        <w:rPr>
          <w:sz w:val="20"/>
          <w:szCs w:val="20"/>
          <w:color w:val="auto"/>
        </w:rPr>
      </w:pPr>
    </w:p>
    <w:p>
      <w:pPr>
        <w:ind w:right="80" w:firstLine="348"/>
        <w:spacing w:after="0" w:line="239" w:lineRule="auto"/>
        <w:rPr>
          <w:sz w:val="20"/>
          <w:szCs w:val="20"/>
          <w:color w:val="auto"/>
        </w:rPr>
      </w:pPr>
      <w:r>
        <w:rPr>
          <w:rFonts w:ascii="Times New Roman" w:cs="Times New Roman" w:eastAsia="Times New Roman" w:hAnsi="Times New Roman"/>
          <w:sz w:val="16"/>
          <w:szCs w:val="16"/>
          <w:color w:val="auto"/>
        </w:rPr>
        <w:t>The recoverability of deferred tax assets and the recognition and measurement of uncertain tax positions are subject to various assumptions and judgment by Ashland. If actual results differ from the estimates made by Ashland in establishing or maintaining valuation allowances against deferred tax assets, the resulting change in the valuation allowance would generally impact earnings or other comprehensive income depending on the nature of the respective deferred tax asset. Additionally, the positions taken with regard to tax contingencies may be subject to audit and review by tax authorities, which may result in future taxes, interest and penalties. Positive and negative evidence is considered in determining the need for a valuation allowance against deferred tax assets, which includes such evidence as historical earnings, projected future earnings, tax planning strategies and expected timing of reversal of existing temporary differences.</w:t>
      </w:r>
    </w:p>
    <w:p>
      <w:pPr>
        <w:spacing w:after="0" w:line="77" w:lineRule="exact"/>
        <w:rPr>
          <w:sz w:val="20"/>
          <w:szCs w:val="20"/>
          <w:color w:val="auto"/>
        </w:rPr>
      </w:pPr>
    </w:p>
    <w:p>
      <w:pPr>
        <w:ind w:right="120" w:firstLine="348"/>
        <w:spacing w:after="0" w:line="241" w:lineRule="auto"/>
        <w:rPr>
          <w:sz w:val="20"/>
          <w:szCs w:val="20"/>
          <w:color w:val="auto"/>
        </w:rPr>
      </w:pPr>
      <w:r>
        <w:rPr>
          <w:rFonts w:ascii="Times New Roman" w:cs="Times New Roman" w:eastAsia="Times New Roman" w:hAnsi="Times New Roman"/>
          <w:sz w:val="16"/>
          <w:szCs w:val="16"/>
          <w:color w:val="auto"/>
        </w:rPr>
        <w:t>In determining the recoverability of deferred tax assets, Ashland gives consideration to all available positive and negative evidence including reversals of deferred tax liabilities (other than those with an indefinite reversal period), projected future taxable income, tax planning strategies and recent financial operations. Ashland attaches the most weight to historical earnings due to their verifiable nature. In evaluating the objective evidence that historical results provide, Ashland considers three years of cumulative income or loss. In addition, Ashland has reflected increases and decreases in our valuation allowance based on the overall weight of positive versus negative evidence on a jurisdiction by jurisdiction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EFFECTS OF INFLATION AND CHANGING PRICES</w:t>
      </w:r>
    </w:p>
    <w:p>
      <w:pPr>
        <w:spacing w:after="0" w:line="94" w:lineRule="exact"/>
        <w:rPr>
          <w:sz w:val="20"/>
          <w:szCs w:val="20"/>
          <w:color w:val="auto"/>
        </w:rPr>
      </w:pPr>
    </w:p>
    <w:p>
      <w:pPr>
        <w:ind w:right="80" w:firstLine="348"/>
        <w:spacing w:after="0" w:line="284" w:lineRule="auto"/>
        <w:rPr>
          <w:sz w:val="20"/>
          <w:szCs w:val="20"/>
          <w:color w:val="auto"/>
        </w:rPr>
      </w:pPr>
      <w:r>
        <w:rPr>
          <w:rFonts w:ascii="Times New Roman" w:cs="Times New Roman" w:eastAsia="Times New Roman" w:hAnsi="Times New Roman"/>
          <w:sz w:val="14"/>
          <w:szCs w:val="14"/>
          <w:color w:val="auto"/>
        </w:rPr>
        <w:t>Ashland’s consolidated financial statements are prepared on the historical cost method of accounting in accordance with U.S. GAAP and, as a result, do not reflect changes in the purchasing power of the U.S. dollar. Monetary assets (such as cash, cash equivalents and accounts receivable) lose purchasing power as a result of inflation, while monetary liabilities (such as accounts payable and indebtedness) result in a gain, because they can be settled with dollars of diminished purchasing power. As of September 30, 2025, Ashland’s monetary assets exceed its monetary liabilities, leaving it currently more exposed to the effects of future inflation. While inflation rose significantly during 2022, it has to gradually decreased from fiscal 2023 to fiscal 2025. See Item 1A - Risk Factors for additional information.</w:t>
      </w:r>
    </w:p>
    <w:p>
      <w:pPr>
        <w:spacing w:after="0" w:line="44" w:lineRule="exact"/>
        <w:rPr>
          <w:sz w:val="20"/>
          <w:szCs w:val="20"/>
          <w:color w:val="auto"/>
        </w:rPr>
      </w:pPr>
    </w:p>
    <w:p>
      <w:pPr>
        <w:ind w:right="60" w:firstLine="348"/>
        <w:spacing w:after="0" w:line="243" w:lineRule="auto"/>
        <w:rPr>
          <w:sz w:val="20"/>
          <w:szCs w:val="20"/>
          <w:color w:val="auto"/>
        </w:rPr>
      </w:pPr>
      <w:r>
        <w:rPr>
          <w:rFonts w:ascii="Times New Roman" w:cs="Times New Roman" w:eastAsia="Times New Roman" w:hAnsi="Times New Roman"/>
          <w:sz w:val="16"/>
          <w:szCs w:val="16"/>
          <w:color w:val="auto"/>
        </w:rPr>
        <w:t>Certain of the industries in which Ashland operates are capital-intensive, and replacement costs for its plant and equipment generally would substantially exceed their historical costs. Accordingly, depreciation and amortization expense would be greater if it were based on current replacement costs. However, because replacement facilities would reflect technological improvements and changes in business strategies, such facilities would be expected to be more productive than existing facilities, mitigating at least part of the increased expense.</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M-41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1" w:name="page82"/>
    <w:bookmarkEnd w:id="81"/>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OUTLOOK</w:t>
      </w:r>
    </w:p>
    <w:p>
      <w:pPr>
        <w:spacing w:after="0" w:line="94" w:lineRule="exact"/>
        <w:rPr>
          <w:sz w:val="20"/>
          <w:szCs w:val="20"/>
          <w:color w:val="auto"/>
        </w:rPr>
      </w:pPr>
    </w:p>
    <w:p>
      <w:pPr>
        <w:ind w:right="460" w:firstLine="348"/>
        <w:spacing w:after="0" w:line="259" w:lineRule="auto"/>
        <w:rPr>
          <w:sz w:val="20"/>
          <w:szCs w:val="20"/>
          <w:color w:val="auto"/>
        </w:rPr>
      </w:pPr>
      <w:r>
        <w:rPr>
          <w:rFonts w:ascii="Times New Roman" w:cs="Times New Roman" w:eastAsia="Times New Roman" w:hAnsi="Times New Roman"/>
          <w:sz w:val="16"/>
          <w:szCs w:val="16"/>
          <w:color w:val="auto"/>
        </w:rPr>
        <w:t>Ashland is issuing the following guidance for fiscal 2026, Ashland intends to deliver against these commitments with a focus on execution, consistency, and credibility.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Full-year fiscal 2026 guidance</w:t>
      </w:r>
    </w:p>
    <w:p>
      <w:pPr>
        <w:spacing w:after="0" w:line="92" w:lineRule="exact"/>
        <w:rPr>
          <w:sz w:val="20"/>
          <w:szCs w:val="20"/>
          <w:color w:val="auto"/>
        </w:rPr>
      </w:pPr>
    </w:p>
    <w:p>
      <w:pPr>
        <w:ind w:left="460" w:hanging="106"/>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w:t>
      </w:r>
      <w:r>
        <w:rPr>
          <w:rFonts w:ascii="Times New Roman" w:cs="Times New Roman" w:eastAsia="Times New Roman" w:hAnsi="Times New Roman"/>
          <w:sz w:val="16"/>
          <w:szCs w:val="16"/>
          <w:color w:val="auto"/>
        </w:rPr>
        <w:t>ales: $1,835 million to $1,905 million, reflecting organic growth of approximately one to five percent over the prior year.</w:t>
      </w:r>
    </w:p>
    <w:p>
      <w:pPr>
        <w:spacing w:after="0" w:line="94" w:lineRule="exact"/>
        <w:rPr>
          <w:rFonts w:ascii="Times New Roman" w:cs="Times New Roman" w:eastAsia="Times New Roman" w:hAnsi="Times New Roman"/>
          <w:sz w:val="16"/>
          <w:szCs w:val="16"/>
          <w:color w:val="auto"/>
        </w:rPr>
      </w:pPr>
    </w:p>
    <w:p>
      <w:pPr>
        <w:ind w:left="460" w:hanging="106"/>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$400 million to $430 million.</w:t>
      </w:r>
    </w:p>
    <w:p>
      <w:pPr>
        <w:spacing w:after="0" w:line="92" w:lineRule="exact"/>
        <w:rPr>
          <w:rFonts w:ascii="Times New Roman" w:cs="Times New Roman" w:eastAsia="Times New Roman" w:hAnsi="Times New Roman"/>
          <w:sz w:val="16"/>
          <w:szCs w:val="16"/>
          <w:color w:val="auto"/>
        </w:rPr>
      </w:pPr>
    </w:p>
    <w:p>
      <w:pPr>
        <w:ind w:left="360" w:right="300" w:hanging="6"/>
        <w:spacing w:after="0" w:line="259" w:lineRule="auto"/>
        <w:tabs>
          <w:tab w:leader="none" w:pos="4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Diluted Earnings Per Share Excluding Intangibles Amortization Expense growth: double-digit-plus; reflecting operating improvement and Portfolio Optimization.</w:t>
      </w:r>
    </w:p>
    <w:p>
      <w:pPr>
        <w:spacing w:after="0" w:line="59" w:lineRule="exact"/>
        <w:rPr>
          <w:rFonts w:ascii="Times New Roman" w:cs="Times New Roman" w:eastAsia="Times New Roman" w:hAnsi="Times New Roman"/>
          <w:sz w:val="16"/>
          <w:szCs w:val="16"/>
          <w:color w:val="auto"/>
        </w:rPr>
      </w:pPr>
    </w:p>
    <w:p>
      <w:pPr>
        <w:ind w:left="460" w:hanging="106"/>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Ongoing Free Cash Flow Conversion: approximately 50 percent of Adjusted EBITDA; capital expenditures of approximately $100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94"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This Annual Report on Form 10 -K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w:t>
      </w:r>
    </w:p>
    <w:p>
      <w:pPr>
        <w:spacing w:after="0" w:line="77" w:lineRule="exact"/>
        <w:rPr>
          <w:sz w:val="20"/>
          <w:szCs w:val="20"/>
          <w:color w:val="auto"/>
        </w:rPr>
      </w:pPr>
    </w:p>
    <w:p>
      <w:pPr>
        <w:ind w:right="60" w:firstLine="348"/>
        <w:spacing w:after="0" w:line="272" w:lineRule="auto"/>
        <w:rPr>
          <w:sz w:val="20"/>
          <w:szCs w:val="20"/>
          <w:color w:val="auto"/>
        </w:rPr>
      </w:pPr>
      <w:r>
        <w:rPr>
          <w:rFonts w:ascii="Times New Roman" w:cs="Times New Roman" w:eastAsia="Times New Roman" w:hAnsi="Times New Roman"/>
          <w:sz w:val="14"/>
          <w:szCs w:val="14"/>
          <w:color w:val="auto"/>
        </w:rPr>
        <w:t>The risks and uncertainties we face which may cause our actual results to differ materially from the results expressed, projected, or implied in these forward-looking statements include, but are not limited to: Ashland’s aggressive growth goals and the extent to which such goals may be impacted by a failure to optimize our tangible and intangible assets, a failure to identify and integrate acquisition targets, any unexpected costs and liabilities associated with such acquisitions, and goodwill impairment; business disruptions stemming from natural, operational, and other catastrophic events, including disruptions to supply and logistics functions, manufacturing delays, and information technology system and network failures; climate change and related resource impacts; changes in consumer preferences and a reduction in demand for Ashland’s products; risks inherent in operating a global business, including tariffs and other trade policies, geopolitical instability and armed conflict, and challenges associated with hiring and managing a diverse workforce across countries with differing laws, regulations, and cultural practices; economic downturns and disruptions in the financial markets; Ashland’s substantial indebtedness, including the possibility that such indebtedness and related restrictive covenants may adversely affect our future cash flows, limit our ability to repay debt and obtain future financing, place Ashland at a competitive disadvantage, and make us more vulnerable to interest rate increases; our ability to develop and market new products and remain competitive in the markets in which we operate; our ability to pass increases in the costs of energy and raw materials to customers and to fulfill our contractual requirements with customers and vendors; downward pressures on prices and margins; the ability to attract and retain key employees and to provide for effective succession planning; cybersecurity risks, including disruptions to or failures in Ashland’s information technology systems and networks, malicious cyberattacks, and the inadvertent or accidental disclosure or loss of proprietary or sensitive information; Ashland’s ability to effectively protect and enforce its intellectual property rights; exposure to products liability claims; risks related to compliance with environmental, health, and safety regulations, including the potential for costly litigation, remediation, and settlement actions; exposure to pending and threatened asbestos-related litigation; changes in the legal and regulatory landscapes in which we operate; and changes in taxation or adverse tax rulings. These risks and uncertainties also include, but are not limited to, the risk factors set forth in Item 1A. “Risk Factors” to this Annual Report on Form 10-K, elsewhere in this Annual Report on Form 10-K, and in our other periodic reports filed with the SEC. Ashland believes its expectations and</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2" w:name="page83"/>
    <w:bookmarkEnd w:id="82"/>
    <w:p>
      <w:pPr>
        <w:spacing w:after="0" w:line="17" w:lineRule="exact"/>
        <w:rPr>
          <w:sz w:val="20"/>
          <w:szCs w:val="20"/>
          <w:color w:val="auto"/>
        </w:rPr>
      </w:pPr>
    </w:p>
    <w:p>
      <w:pPr>
        <w:jc w:val="both"/>
        <w:ind w:right="500"/>
        <w:spacing w:after="0" w:line="247" w:lineRule="auto"/>
        <w:rPr>
          <w:sz w:val="20"/>
          <w:szCs w:val="20"/>
          <w:color w:val="auto"/>
        </w:rPr>
      </w:pPr>
      <w:r>
        <w:rPr>
          <w:rFonts w:ascii="Times New Roman" w:cs="Times New Roman" w:eastAsia="Times New Roman" w:hAnsi="Times New Roman"/>
          <w:sz w:val="16"/>
          <w:szCs w:val="16"/>
          <w:color w:val="auto"/>
        </w:rPr>
        <w:t>assumptions are reasonable, but there can be no assurance that the expectations reflected herein will be achieved. Unless legally required, Ashland undertakes no obligation to update publicly any forward-looking statements made in this Annual Report on Form 10-K whether as a result of new information, future events or otherwise. Information on Ashland’s website is not incorporated into or a part of this Annual Report on Form 10-K.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94" w:lineRule="exact"/>
        <w:rPr>
          <w:sz w:val="20"/>
          <w:szCs w:val="20"/>
          <w:color w:val="auto"/>
        </w:rPr>
      </w:pPr>
    </w:p>
    <w:p>
      <w:pPr>
        <w:ind w:right="60" w:firstLine="348"/>
        <w:spacing w:after="0" w:line="239" w:lineRule="auto"/>
        <w:rPr>
          <w:sz w:val="20"/>
          <w:szCs w:val="20"/>
          <w:color w:val="auto"/>
        </w:rPr>
      </w:pPr>
      <w:r>
        <w:rPr>
          <w:rFonts w:ascii="Times New Roman" w:cs="Times New Roman" w:eastAsia="Times New Roman" w:hAnsi="Times New Roman"/>
          <w:sz w:val="16"/>
          <w:szCs w:val="16"/>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77"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As of September 30, 2025 and 2024, Ashland had not identified any significant credit risk on open derivative contracts. The potential loss from a hypothetical 10% adverse change in foreign currency rates on Ashland’s open foreign currency derivative instruments would be largely offset by gains resulting from the impact of changes in exchange rates on transactions denominated in non-functional currencies. Ashland did not have any significant open hedging contracts with respect to commodities or any related raw material requirements as of and for the year ended September 30, 2025.</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M-43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58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Page</w:t>
            </w:r>
          </w:p>
        </w:tc>
      </w:tr>
      <w:tr>
        <w:trPr>
          <w:trHeight w:val="206"/>
        </w:trPr>
        <w:tc>
          <w:tcPr>
            <w:tcW w:w="7980" w:type="dxa"/>
            <w:vAlign w:val="bottom"/>
            <w:gridSpan w:val="9"/>
          </w:tcPr>
          <w:p>
            <w:pPr>
              <w:spacing w:after="0"/>
              <w:rPr>
                <w:rFonts w:ascii="Times New Roman" w:cs="Times New Roman" w:eastAsia="Times New Roman" w:hAnsi="Times New Roman"/>
                <w:sz w:val="16"/>
                <w:szCs w:val="16"/>
                <w:color w:val="auto"/>
              </w:rPr>
            </w:pPr>
            <w:hyperlink w:anchor="page85">
              <w:r>
                <w:rPr>
                  <w:rFonts w:ascii="Times New Roman" w:cs="Times New Roman" w:eastAsia="Times New Roman" w:hAnsi="Times New Roman"/>
                  <w:sz w:val="16"/>
                  <w:szCs w:val="16"/>
                  <w:color w:val="auto"/>
                </w:rPr>
                <w:t>Management's report on internal control over financial reporting</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r>
      <w:tr>
        <w:trPr>
          <w:trHeight w:val="20"/>
        </w:trPr>
        <w:tc>
          <w:tcPr>
            <w:tcW w:w="9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20"/>
        </w:trPr>
        <w:tc>
          <w:tcPr>
            <w:tcW w:w="7980" w:type="dxa"/>
            <w:vAlign w:val="bottom"/>
            <w:gridSpan w:val="9"/>
          </w:tcPr>
          <w:p>
            <w:pPr>
              <w:spacing w:after="0"/>
              <w:rPr>
                <w:rFonts w:ascii="Times New Roman" w:cs="Times New Roman" w:eastAsia="Times New Roman" w:hAnsi="Times New Roman"/>
                <w:sz w:val="16"/>
                <w:szCs w:val="16"/>
                <w:color w:val="auto"/>
              </w:rPr>
            </w:pPr>
            <w:hyperlink w:anchor="page86">
              <w:r>
                <w:rPr>
                  <w:rFonts w:ascii="Times New Roman" w:cs="Times New Roman" w:eastAsia="Times New Roman" w:hAnsi="Times New Roman"/>
                  <w:sz w:val="16"/>
                  <w:szCs w:val="16"/>
                  <w:color w:val="auto"/>
                </w:rPr>
                <w:t xml:space="preserve">Reports of independent registered public accounting firm (Ernst &amp; Young LLP; PCAOB ID: </w:t>
              </w:r>
            </w:hyperlink>
            <w:r>
              <w:rPr>
                <w:rFonts w:ascii="Times New Roman" w:cs="Times New Roman" w:eastAsia="Times New Roman" w:hAnsi="Times New Roman"/>
                <w:sz w:val="16"/>
                <w:szCs w:val="16"/>
                <w:color w:val="auto"/>
              </w:rPr>
              <w:t>42)</w:t>
            </w: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F-3</w:t>
            </w:r>
          </w:p>
        </w:tc>
      </w:tr>
      <w:tr>
        <w:trPr>
          <w:trHeight w:val="494"/>
        </w:trPr>
        <w:tc>
          <w:tcPr>
            <w:tcW w:w="58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c>
          <w:tcPr>
            <w:tcW w:w="21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6"/>
        </w:trPr>
        <w:tc>
          <w:tcPr>
            <w:tcW w:w="98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rPr>
                <w:rFonts w:ascii="Times New Roman" w:cs="Times New Roman" w:eastAsia="Times New Roman" w:hAnsi="Times New Roman"/>
                <w:sz w:val="16"/>
                <w:szCs w:val="16"/>
                <w:color w:val="auto"/>
                <w:w w:val="96"/>
              </w:rPr>
            </w:pPr>
            <w:hyperlink w:anchor="page91">
              <w:r>
                <w:rPr>
                  <w:rFonts w:ascii="Times New Roman" w:cs="Times New Roman" w:eastAsia="Times New Roman" w:hAnsi="Times New Roman"/>
                  <w:sz w:val="16"/>
                  <w:szCs w:val="16"/>
                  <w:color w:val="auto"/>
                  <w:w w:val="96"/>
                </w:rPr>
                <w:t>Statements of Consolidated Comprehensive Income (Loss)</w:t>
              </w:r>
            </w:hyperlink>
          </w:p>
        </w:tc>
        <w:tc>
          <w:tcPr>
            <w:tcW w:w="3320" w:type="dxa"/>
            <w:vAlign w:val="bottom"/>
            <w:gridSpan w:val="2"/>
          </w:tcPr>
          <w:p>
            <w:pPr>
              <w:spacing w:after="0"/>
              <w:rPr>
                <w:sz w:val="17"/>
                <w:szCs w:val="17"/>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F-8</w:t>
            </w:r>
          </w:p>
        </w:tc>
      </w:tr>
      <w:tr>
        <w:trPr>
          <w:trHeight w:val="220"/>
        </w:trPr>
        <w:tc>
          <w:tcPr>
            <w:tcW w:w="980" w:type="dxa"/>
            <w:vAlign w:val="bottom"/>
          </w:tcPr>
          <w:p>
            <w:pPr>
              <w:spacing w:after="0"/>
              <w:rPr>
                <w:sz w:val="19"/>
                <w:szCs w:val="19"/>
                <w:color w:val="auto"/>
              </w:rPr>
            </w:pPr>
          </w:p>
        </w:tc>
        <w:tc>
          <w:tcPr>
            <w:tcW w:w="1820" w:type="dxa"/>
            <w:vAlign w:val="bottom"/>
            <w:tcBorders>
              <w:bottom w:val="single" w:sz="8" w:color="0000EE"/>
            </w:tcBorders>
          </w:tcPr>
          <w:p>
            <w:pPr>
              <w:spacing w:after="0"/>
              <w:rPr>
                <w:rFonts w:ascii="Times New Roman" w:cs="Times New Roman" w:eastAsia="Times New Roman" w:hAnsi="Times New Roman"/>
                <w:sz w:val="16"/>
                <w:szCs w:val="16"/>
                <w:color w:val="auto"/>
                <w:w w:val="96"/>
              </w:rPr>
            </w:pPr>
            <w:hyperlink w:anchor="page92">
              <w:r>
                <w:rPr>
                  <w:rFonts w:ascii="Times New Roman" w:cs="Times New Roman" w:eastAsia="Times New Roman" w:hAnsi="Times New Roman"/>
                  <w:sz w:val="16"/>
                  <w:szCs w:val="16"/>
                  <w:color w:val="auto"/>
                  <w:w w:val="96"/>
                </w:rPr>
                <w:t>Consolidated Balance Sheets</w:t>
              </w:r>
            </w:hyperlink>
          </w:p>
        </w:tc>
        <w:tc>
          <w:tcPr>
            <w:tcW w:w="5180" w:type="dxa"/>
            <w:vAlign w:val="bottom"/>
            <w:gridSpan w:val="7"/>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F-9</w:t>
            </w:r>
          </w:p>
        </w:tc>
      </w:tr>
      <w:tr>
        <w:trPr>
          <w:trHeight w:val="220"/>
        </w:trPr>
        <w:tc>
          <w:tcPr>
            <w:tcW w:w="980" w:type="dxa"/>
            <w:vAlign w:val="bottom"/>
          </w:tcPr>
          <w:p>
            <w:pPr>
              <w:spacing w:after="0"/>
              <w:rPr>
                <w:sz w:val="19"/>
                <w:szCs w:val="19"/>
                <w:color w:val="auto"/>
              </w:rPr>
            </w:pPr>
          </w:p>
        </w:tc>
        <w:tc>
          <w:tcPr>
            <w:tcW w:w="2180" w:type="dxa"/>
            <w:vAlign w:val="bottom"/>
            <w:tcBorders>
              <w:bottom w:val="single" w:sz="8" w:color="0000EE"/>
            </w:tcBorders>
            <w:gridSpan w:val="2"/>
          </w:tcPr>
          <w:p>
            <w:pPr>
              <w:spacing w:after="0"/>
              <w:rPr>
                <w:rFonts w:ascii="Times New Roman" w:cs="Times New Roman" w:eastAsia="Times New Roman" w:hAnsi="Times New Roman"/>
                <w:sz w:val="16"/>
                <w:szCs w:val="16"/>
                <w:color w:val="auto"/>
                <w:w w:val="96"/>
              </w:rPr>
            </w:pPr>
            <w:hyperlink w:anchor="page93">
              <w:r>
                <w:rPr>
                  <w:rFonts w:ascii="Times New Roman" w:cs="Times New Roman" w:eastAsia="Times New Roman" w:hAnsi="Times New Roman"/>
                  <w:sz w:val="16"/>
                  <w:szCs w:val="16"/>
                  <w:color w:val="auto"/>
                  <w:w w:val="96"/>
                </w:rPr>
                <w:t>Statements of Consolidated Equity</w:t>
              </w:r>
            </w:hyperlink>
          </w:p>
        </w:tc>
        <w:tc>
          <w:tcPr>
            <w:tcW w:w="4820" w:type="dxa"/>
            <w:vAlign w:val="bottom"/>
            <w:gridSpan w:val="6"/>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F-10</w:t>
            </w:r>
          </w:p>
        </w:tc>
      </w:tr>
      <w:tr>
        <w:trPr>
          <w:trHeight w:val="220"/>
        </w:trPr>
        <w:tc>
          <w:tcPr>
            <w:tcW w:w="980" w:type="dxa"/>
            <w:vAlign w:val="bottom"/>
          </w:tcPr>
          <w:p>
            <w:pPr>
              <w:spacing w:after="0"/>
              <w:rPr>
                <w:sz w:val="19"/>
                <w:szCs w:val="19"/>
                <w:color w:val="auto"/>
              </w:rPr>
            </w:pPr>
          </w:p>
        </w:tc>
        <w:tc>
          <w:tcPr>
            <w:tcW w:w="7000" w:type="dxa"/>
            <w:vAlign w:val="bottom"/>
            <w:gridSpan w:val="8"/>
          </w:tcPr>
          <w:p>
            <w:pPr>
              <w:spacing w:after="0"/>
              <w:rPr>
                <w:rFonts w:ascii="Times New Roman" w:cs="Times New Roman" w:eastAsia="Times New Roman" w:hAnsi="Times New Roman"/>
                <w:sz w:val="16"/>
                <w:szCs w:val="16"/>
                <w:color w:val="auto"/>
              </w:rPr>
            </w:pPr>
            <w:hyperlink w:anchor="page94">
              <w:r>
                <w:rPr>
                  <w:rFonts w:ascii="Times New Roman" w:cs="Times New Roman" w:eastAsia="Times New Roman" w:hAnsi="Times New Roman"/>
                  <w:sz w:val="16"/>
                  <w:szCs w:val="16"/>
                  <w:color w:val="auto"/>
                </w:rPr>
                <w:t>Statements of Consolidated Cash Flows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F-11</w:t>
            </w:r>
          </w:p>
        </w:tc>
      </w:tr>
      <w:tr>
        <w:trPr>
          <w:trHeight w:val="20"/>
        </w:trPr>
        <w:tc>
          <w:tcPr>
            <w:tcW w:w="98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20"/>
        </w:trPr>
        <w:tc>
          <w:tcPr>
            <w:tcW w:w="980" w:type="dxa"/>
            <w:vAlign w:val="bottom"/>
          </w:tcPr>
          <w:p>
            <w:pPr>
              <w:spacing w:after="0"/>
              <w:rPr>
                <w:sz w:val="19"/>
                <w:szCs w:val="19"/>
                <w:color w:val="auto"/>
              </w:rPr>
            </w:pPr>
          </w:p>
        </w:tc>
        <w:tc>
          <w:tcPr>
            <w:tcW w:w="7000" w:type="dxa"/>
            <w:vAlign w:val="bottom"/>
            <w:gridSpan w:val="8"/>
          </w:tcPr>
          <w:p>
            <w:pPr>
              <w:spacing w:after="0"/>
              <w:rPr>
                <w:rFonts w:ascii="Times New Roman" w:cs="Times New Roman" w:eastAsia="Times New Roman" w:hAnsi="Times New Roman"/>
                <w:sz w:val="16"/>
                <w:szCs w:val="16"/>
                <w:color w:val="auto"/>
              </w:rPr>
            </w:pPr>
            <w:hyperlink w:anchor="page95">
              <w:r>
                <w:rPr>
                  <w:rFonts w:ascii="Times New Roman" w:cs="Times New Roman" w:eastAsia="Times New Roman" w:hAnsi="Times New Roman"/>
                  <w:sz w:val="16"/>
                  <w:szCs w:val="16"/>
                  <w:color w:val="auto"/>
                </w:rPr>
                <w:t>Notes to Consolidated Financial Statements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F-12</w:t>
            </w:r>
          </w:p>
        </w:tc>
      </w:tr>
      <w:tr>
        <w:trPr>
          <w:trHeight w:val="20"/>
        </w:trPr>
        <w:tc>
          <w:tcPr>
            <w:tcW w:w="9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94" w:lineRule="exact"/>
        <w:rPr>
          <w:sz w:val="20"/>
          <w:szCs w:val="20"/>
          <w:color w:val="auto"/>
        </w:rPr>
      </w:pPr>
    </w:p>
    <w:p>
      <w:pPr>
        <w:ind w:right="200" w:firstLine="348"/>
        <w:spacing w:after="0" w:line="289" w:lineRule="auto"/>
        <w:rPr>
          <w:sz w:val="20"/>
          <w:szCs w:val="20"/>
          <w:color w:val="auto"/>
        </w:rPr>
      </w:pPr>
      <w:r>
        <w:rPr>
          <w:rFonts w:ascii="Times New Roman" w:cs="Times New Roman" w:eastAsia="Times New Roman" w:hAnsi="Times New Roman"/>
          <w:sz w:val="14"/>
          <w:szCs w:val="14"/>
          <w:color w:val="auto"/>
        </w:rPr>
        <w:t>Management is responsible for the preparation and integrity of the Consolidated Financial Statements and other financial information included in this Annual Report on Form 10-K. Such financial statements are prepared in accordance with accounting principles generally accepted in the United States. Accounting principles are selected, and information is reported which, using management’s best judgment and estimates, present fairly Ashland’s consolidated financial position, results of operations and cash flows. The other financial information in this Annual Report on Form 10-K is consistent with the Consolidated Financial Statements.</w:t>
      </w:r>
    </w:p>
    <w:p>
      <w:pPr>
        <w:spacing w:after="0" w:line="41" w:lineRule="exact"/>
        <w:rPr>
          <w:sz w:val="20"/>
          <w:szCs w:val="20"/>
          <w:color w:val="auto"/>
        </w:rPr>
      </w:pPr>
    </w:p>
    <w:p>
      <w:pPr>
        <w:ind w:right="60" w:firstLine="348"/>
        <w:spacing w:after="0" w:line="238" w:lineRule="auto"/>
        <w:rPr>
          <w:sz w:val="20"/>
          <w:szCs w:val="20"/>
          <w:color w:val="auto"/>
        </w:rPr>
      </w:pPr>
      <w:r>
        <w:rPr>
          <w:rFonts w:ascii="Times New Roman" w:cs="Times New Roman" w:eastAsia="Times New Roman" w:hAnsi="Times New Roman"/>
          <w:sz w:val="16"/>
          <w:szCs w:val="16"/>
          <w:color w:val="auto"/>
        </w:rPr>
        <w:t>Ashland’s management is responsible for establishing and maintaining adequate internal control over financial reporting, as such term is defined in Exchange Act Rules 13a-15(f) and 15d-15(f). Ashland’s internal control over financial reporting is designed to provide reasonable assurance regarding the reliability of financial reporting and the preparation of Ashland’s Consolidated Financial Statements. Ashland’s internal control over financial reporting is supported by a code of business conduct which summarizes our guiding values such as obeying the law, adhering to high ethical standards and acting as responsible members of the communities where we operate. Compliance with that Code forms the foundation of our internal control systems, which are designed to provide reasonable assurance that Ashland’s assets are safeguarded, and its records reflect, in all material respects, transactions in accordance with management’s authorization. The concept of reasonable assurance is based on the recognition that the cost of a system of internal control should not exceed the related benefits. Management believes that adequate internal controls are maintained by the selection and training of qualified personnel, by an appropriate division of responsibility in all organizational arrangements, by the establishment and communication of accounting and business policies, and by internal audits.</w:t>
      </w:r>
    </w:p>
    <w:p>
      <w:pPr>
        <w:spacing w:after="0" w:line="74" w:lineRule="exact"/>
        <w:rPr>
          <w:sz w:val="20"/>
          <w:szCs w:val="20"/>
          <w:color w:val="auto"/>
        </w:rPr>
      </w:pPr>
    </w:p>
    <w:p>
      <w:pPr>
        <w:ind w:right="40" w:firstLine="348"/>
        <w:spacing w:after="0" w:line="243"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1" w:lineRule="exact"/>
        <w:rPr>
          <w:sz w:val="20"/>
          <w:szCs w:val="20"/>
          <w:color w:val="auto"/>
        </w:rPr>
      </w:pPr>
    </w:p>
    <w:p>
      <w:pPr>
        <w:ind w:firstLine="348"/>
        <w:spacing w:after="0" w:line="239" w:lineRule="auto"/>
        <w:rPr>
          <w:sz w:val="20"/>
          <w:szCs w:val="20"/>
          <w:color w:val="auto"/>
        </w:rPr>
      </w:pPr>
      <w:r>
        <w:rPr>
          <w:rFonts w:ascii="Times New Roman" w:cs="Times New Roman" w:eastAsia="Times New Roman" w:hAnsi="Times New Roman"/>
          <w:sz w:val="16"/>
          <w:szCs w:val="16"/>
          <w:color w:val="auto"/>
        </w:rPr>
        <w:t>The Board, subject to stockholder ratification, selects and engages the independent auditors based on the recommendation of the Audit Committee. The Audit Committee, composed of directors who are not members of management, reviews the adequacy of Ashland’s policies, procedures, controls and risk management strategies, the scope of auditing and other services performed by the independent auditors, and the scope of the internal audit function. The Audit Committee holds meetings with Ashland’s internal auditor and independent auditors, with and without management present, to discuss the findings of their audits, the overall quality of Ashland’s financial reporting and their evaluation of Ashland’s internal controls. The report of Ashland’s Audit Committee can be found in Ashland’s Proxy for its 2026 Annual Meeting.</w:t>
      </w:r>
    </w:p>
    <w:p>
      <w:pPr>
        <w:spacing w:after="0" w:line="77" w:lineRule="exact"/>
        <w:rPr>
          <w:sz w:val="20"/>
          <w:szCs w:val="20"/>
          <w:color w:val="auto"/>
        </w:rPr>
      </w:pPr>
    </w:p>
    <w:p>
      <w:pPr>
        <w:ind w:right="280" w:firstLine="348"/>
        <w:spacing w:after="0" w:line="281" w:lineRule="auto"/>
        <w:rPr>
          <w:sz w:val="20"/>
          <w:szCs w:val="20"/>
          <w:color w:val="auto"/>
        </w:rPr>
      </w:pPr>
      <w:r>
        <w:rPr>
          <w:rFonts w:ascii="Times New Roman" w:cs="Times New Roman" w:eastAsia="Times New Roman" w:hAnsi="Times New Roman"/>
          <w:sz w:val="14"/>
          <w:szCs w:val="14"/>
          <w:color w:val="auto"/>
        </w:rPr>
        <w:t xml:space="preserve">Management assessed the effectiveness of Ashland’s internal control over financial reporting as of September 30, 2025. Management conducted its assessment utilizing the framework described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issued by the Committee of Sponsoring Organizations of the Treadway Commission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(2013 framework). Based on this assessment, management believes that Ashland maintained effective internal control over financial reporting as of September 30, 2025.</w:t>
      </w:r>
    </w:p>
    <w:p>
      <w:pPr>
        <w:spacing w:after="0" w:line="97" w:lineRule="exact"/>
        <w:rPr>
          <w:sz w:val="20"/>
          <w:szCs w:val="20"/>
          <w:color w:val="auto"/>
        </w:rPr>
      </w:pPr>
    </w:p>
    <w:p>
      <w:pPr>
        <w:ind w:right="100" w:firstLine="348"/>
        <w:spacing w:after="0" w:line="247" w:lineRule="auto"/>
        <w:rPr>
          <w:sz w:val="20"/>
          <w:szCs w:val="20"/>
          <w:color w:val="auto"/>
        </w:rPr>
      </w:pPr>
      <w:r>
        <w:rPr>
          <w:rFonts w:ascii="Times New Roman" w:cs="Times New Roman" w:eastAsia="Times New Roman" w:hAnsi="Times New Roman"/>
          <w:sz w:val="16"/>
          <w:szCs w:val="16"/>
          <w:color w:val="auto"/>
        </w:rPr>
        <w:t>Ernst &amp; Young LLP, an independent registered public accounting firm, has audited and reported on the Consolidated Financial Statements of Ashland Inc. and Consolidated Subsidiaries as of and for the year ended September 30, 2025, and the effectiveness of Ashland’s internal control over financial reporting as of September 30, 2025. The reports of the independent registered public accounting firm are contained in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Guillermo Novo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Guillermo Novo</w:t>
      </w:r>
    </w:p>
    <w:p>
      <w:pPr>
        <w:spacing w:after="0"/>
        <w:rPr>
          <w:sz w:val="20"/>
          <w:szCs w:val="20"/>
          <w:color w:val="auto"/>
        </w:rPr>
      </w:pPr>
      <w:r>
        <w:rPr>
          <w:rFonts w:ascii="Times New Roman" w:cs="Times New Roman" w:eastAsia="Times New Roman" w:hAnsi="Times New Roman"/>
          <w:sz w:val="16"/>
          <w:szCs w:val="16"/>
          <w:color w:val="auto"/>
        </w:rPr>
        <w:t>Chair of the Board and Chief Executive Officer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William C. Whitaker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William C. Whitaker</w:t>
      </w:r>
    </w:p>
    <w:p>
      <w:pPr>
        <w:spacing w:after="0" w:line="234" w:lineRule="auto"/>
        <w:rPr>
          <w:sz w:val="20"/>
          <w:szCs w:val="20"/>
          <w:color w:val="auto"/>
        </w:rPr>
      </w:pPr>
      <w:r>
        <w:rPr>
          <w:rFonts w:ascii="Times New Roman" w:cs="Times New Roman" w:eastAsia="Times New Roman" w:hAnsi="Times New Roman"/>
          <w:sz w:val="16"/>
          <w:szCs w:val="16"/>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20, 2025</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85" w:name="page86"/>
    <w:bookmarkEnd w:id="85"/>
    <w:p>
      <w:pPr>
        <w:ind w:left="26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Ashland Inc.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9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have audited Ashland Inc. and Consolidated Subsidiaries’ internal control over financial reporting as of September 30, 2025, based on criteria established in Internal Control—Integrated Framework issued by the Committee of Sponsoring Organizations of the Treadway Commission (2013 framework) (the COSO criteria) . In our opinion, Ashland Inc. and Consolidated Subsidiaries (the Company) maintained, in all material respects, effective internal control over financial reporting as of September 30, 2025, based on the COSO criteria.</w:t>
      </w:r>
    </w:p>
    <w:p>
      <w:pPr>
        <w:spacing w:after="0" w:line="7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September 30, 2025 and 2024, the related statements of consolidated comprehensive income (loss), consolidated equity and consolidated cash flows for each of the three years in the period ended September 30, 2025, and the related notes and our report dated November 20, 2025, expressed an unqualified opinion thereon.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9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Grandview Heights, Ohio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20, 2025</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1" w:right="700" w:bottom="1440" w:gutter="0" w:footer="0" w:header="0"/>
        </w:sectPr>
      </w:pPr>
    </w:p>
    <w:bookmarkStart w:id="86" w:name="page87"/>
    <w:bookmarkEnd w:id="86"/>
    <w:p>
      <w:pPr>
        <w:ind w:right="3780" w:firstLine="1440"/>
        <w:spacing w:after="0" w:line="360"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 xml:space="preserve">To the Stockholders and the Board of Directors of Ashland Inc. </w:t>
      </w:r>
      <w:r>
        <w:rPr>
          <w:rFonts w:ascii="Times New Roman" w:cs="Times New Roman" w:eastAsia="Times New Roman" w:hAnsi="Times New Roman"/>
          <w:sz w:val="16"/>
          <w:szCs w:val="16"/>
          <w:b w:val="1"/>
          <w:bCs w:val="1"/>
          <w:color w:val="auto"/>
        </w:rPr>
        <w:t>Opinion on the Financial Statements</w:t>
      </w:r>
    </w:p>
    <w:p>
      <w:pPr>
        <w:spacing w:after="0" w:line="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Ashland Inc. and Consolidated Subsidiaries (the Company) as of September 30, 2025 and 2024, the related statements of consolidated comprehensive income (loss), consolidated equity and consolidated cash flows, for each of the three years in the period ended September 30, 2025, and the related notes (collectively referred to as the "consolidated financial statements"). In our opinion, the consolidated financial statements present fairly, in all material respects, the financial position of the Company at September 30, 2025 and 2024, and the results of its operations and its cash flows for each of the three years in the period ended September 30, 2025, in conformity with U.S. generally accepted accounting principles.</w:t>
      </w:r>
    </w:p>
    <w:p>
      <w:pPr>
        <w:spacing w:after="0" w:line="7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September 30, 2025, based on criteria established in Internal Control-Integrated Framework issued by the Committee of Sponsoring Organizations of the Treadway Commission (2013 framework), and our report dated November 20, 2025, expressed an unqualified opinion thereon.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Company's Disclosure of an Additional Measure of Segment Profit or Loss</w:t>
      </w:r>
    </w:p>
    <w:p>
      <w:pPr>
        <w:spacing w:after="0" w:line="9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In Note Q to the consolidated financial statements, the Company has elected to disclose earnings before income taxes, depreciation and amortization (EBITDA) as an additional segment profit or loss measure as permitted pursuant to ASC 280, Segment Reporting, and that the U.S. Securities and Exchange Commission (SEC) defines as a non-GAAP measure. Accordingly, we express no opinion on whether the additional segment profit or loss measure complies with SEC Regulation S-K, Item 10(e) and Regulation G, Item 101.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9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7" w:name="page88"/>
    <w:bookmarkEnd w:id="87"/>
    <w:p>
      <w:pPr>
        <w:ind w:left="1340"/>
        <w:spacing w:after="0"/>
        <w:rPr>
          <w:sz w:val="20"/>
          <w:szCs w:val="20"/>
          <w:color w:val="auto"/>
        </w:rPr>
      </w:pPr>
      <w:r>
        <w:rPr>
          <w:rFonts w:ascii="Times New Roman" w:cs="Times New Roman" w:eastAsia="Times New Roman" w:hAnsi="Times New Roman"/>
          <w:sz w:val="16"/>
          <w:szCs w:val="16"/>
          <w:b w:val="1"/>
          <w:bCs w:val="1"/>
          <w:i w:val="1"/>
          <w:iCs w:val="1"/>
          <w:color w:val="auto"/>
        </w:rPr>
        <w:t>Valuation of Environmental Remediation Reserves</w:t>
      </w:r>
    </w:p>
    <w:p>
      <w:pPr>
        <w:spacing w:after="0" w:line="11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6"/>
          <w:szCs w:val="16"/>
          <w:i w:val="1"/>
          <w:iCs w:val="1"/>
          <w:color w:val="auto"/>
        </w:rPr>
        <w:t>Description of the</w:t>
      </w:r>
      <w:r>
        <w:rPr>
          <w:sz w:val="20"/>
          <w:szCs w:val="20"/>
          <w:color w:val="auto"/>
        </w:rPr>
        <w:tab/>
      </w:r>
      <w:r>
        <w:rPr>
          <w:rFonts w:ascii="Times New Roman" w:cs="Times New Roman" w:eastAsia="Times New Roman" w:hAnsi="Times New Roman"/>
          <w:sz w:val="14"/>
          <w:szCs w:val="14"/>
          <w:color w:val="auto"/>
        </w:rPr>
        <w:t>At September 30, 2025, the environmental remediation reserves amounted to $226 million. As discussed within Note M of the</w:t>
      </w:r>
    </w:p>
    <w:p>
      <w:pPr>
        <w:spacing w:after="0" w:line="16" w:lineRule="exact"/>
        <w:rPr>
          <w:sz w:val="20"/>
          <w:szCs w:val="20"/>
          <w:color w:val="auto"/>
        </w:rPr>
      </w:pPr>
    </w:p>
    <w:p>
      <w:pPr>
        <w:ind w:left="1400" w:right="200" w:hanging="1399"/>
        <w:spacing w:after="0" w:line="277" w:lineRule="auto"/>
        <w:tabs>
          <w:tab w:leader="none" w:pos="1380" w:val="left"/>
        </w:tabs>
        <w:rPr>
          <w:sz w:val="20"/>
          <w:szCs w:val="20"/>
          <w:color w:val="auto"/>
        </w:rPr>
      </w:pPr>
      <w:r>
        <w:rPr>
          <w:rFonts w:ascii="Times New Roman" w:cs="Times New Roman" w:eastAsia="Times New Roman" w:hAnsi="Times New Roman"/>
          <w:sz w:val="14"/>
          <w:szCs w:val="14"/>
          <w:i w:val="1"/>
          <w:iCs w:val="1"/>
          <w:color w:val="auto"/>
        </w:rPr>
        <w:t>Matter</w:t>
      </w:r>
      <w:r>
        <w:rPr>
          <w:sz w:val="20"/>
          <w:szCs w:val="20"/>
          <w:color w:val="auto"/>
        </w:rPr>
        <w:tab/>
      </w:r>
      <w:r>
        <w:rPr>
          <w:rFonts w:ascii="Times New Roman" w:cs="Times New Roman" w:eastAsia="Times New Roman" w:hAnsi="Times New Roman"/>
          <w:sz w:val="14"/>
          <w:szCs w:val="14"/>
          <w:color w:val="auto"/>
        </w:rPr>
        <w:t>consolidated financial statements, the environmental remediation reserves reflect the Company’s estimates of the most likely costs that will be incurred over an extended period to remediate identified conditions for which the costs are reasonably estimable and probable of being incurred, without regard to any third-party recoveries. The Company uses engineering studies, historical experience and other factors to identify and evaluate remediation alternatives and their related costs in determining the estimated reserves for environmental remediation. The Company regularly adjusts its reserves as environmental remediation continues.</w:t>
      </w:r>
    </w:p>
    <w:p>
      <w:pPr>
        <w:spacing w:after="0" w:line="49" w:lineRule="exact"/>
        <w:rPr>
          <w:sz w:val="20"/>
          <w:szCs w:val="20"/>
          <w:color w:val="auto"/>
        </w:rPr>
      </w:pPr>
    </w:p>
    <w:p>
      <w:pPr>
        <w:jc w:val="both"/>
        <w:ind w:left="1400" w:right="300"/>
        <w:spacing w:after="0" w:line="247" w:lineRule="auto"/>
        <w:rPr>
          <w:sz w:val="20"/>
          <w:szCs w:val="20"/>
          <w:color w:val="auto"/>
        </w:rPr>
      </w:pPr>
      <w:r>
        <w:rPr>
          <w:rFonts w:ascii="Times New Roman" w:cs="Times New Roman" w:eastAsia="Times New Roman" w:hAnsi="Times New Roman"/>
          <w:sz w:val="16"/>
          <w:szCs w:val="16"/>
          <w:color w:val="auto"/>
        </w:rPr>
        <w:t>Auditing the environmental remediation reserves was complex due to inherent uncertainties that affect the Company’s ability to estimate probable costs. Such uncertainties include the nature and extent of contamination at each site, and the nature and extent of required cleanup efforts.</w:t>
      </w:r>
    </w:p>
    <w:p>
      <w:pPr>
        <w:spacing w:after="0" w:line="66"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How We Addressed </w:t>
      </w:r>
      <w:r>
        <w:rPr>
          <w:rFonts w:ascii="Times New Roman" w:cs="Times New Roman" w:eastAsia="Times New Roman" w:hAnsi="Times New Roman"/>
          <w:sz w:val="14"/>
          <w:szCs w:val="14"/>
          <w:color w:val="auto"/>
        </w:rPr>
        <w:t>We obtained an understanding, evaluated the design and tested the operating effectiveness of relevant internal controls over the</w:t>
      </w:r>
      <w:r>
        <w:rPr>
          <w:rFonts w:ascii="Times New Roman" w:cs="Times New Roman" w:eastAsia="Times New Roman" w:hAnsi="Times New Roman"/>
          <w:sz w:val="14"/>
          <w:szCs w:val="14"/>
          <w:i w:val="1"/>
          <w:iCs w:val="1"/>
          <w:color w:val="auto"/>
        </w:rPr>
        <w:t xml:space="preserve"> the Matter in Our </w:t>
      </w:r>
      <w:r>
        <w:rPr>
          <w:rFonts w:ascii="Times New Roman" w:cs="Times New Roman" w:eastAsia="Times New Roman" w:hAnsi="Times New Roman"/>
          <w:sz w:val="14"/>
          <w:szCs w:val="14"/>
          <w:color w:val="auto"/>
        </w:rPr>
        <w:t>Company’s environmental remediation reserves process. For example, we tested internal controls over the Company’s annual</w:t>
      </w:r>
    </w:p>
    <w:p>
      <w:pPr>
        <w:jc w:val="both"/>
        <w:ind w:left="1400" w:right="700" w:hanging="1399"/>
        <w:spacing w:after="0" w:line="237" w:lineRule="auto"/>
        <w:tabs>
          <w:tab w:leader="none" w:pos="1380" w:val="left"/>
        </w:tabs>
        <w:rPr>
          <w:sz w:val="20"/>
          <w:szCs w:val="20"/>
          <w:color w:val="auto"/>
        </w:rPr>
      </w:pPr>
      <w:r>
        <w:rPr>
          <w:rFonts w:ascii="Times New Roman" w:cs="Times New Roman" w:eastAsia="Times New Roman" w:hAnsi="Times New Roman"/>
          <w:sz w:val="16"/>
          <w:szCs w:val="16"/>
          <w:i w:val="1"/>
          <w:iCs w:val="1"/>
          <w:color w:val="auto"/>
        </w:rPr>
        <w:t>Audit</w:t>
      </w:r>
      <w:r>
        <w:rPr>
          <w:sz w:val="20"/>
          <w:szCs w:val="20"/>
          <w:color w:val="auto"/>
        </w:rPr>
        <w:tab/>
      </w:r>
      <w:r>
        <w:rPr>
          <w:rFonts w:ascii="Times New Roman" w:cs="Times New Roman" w:eastAsia="Times New Roman" w:hAnsi="Times New Roman"/>
          <w:sz w:val="16"/>
          <w:szCs w:val="16"/>
          <w:color w:val="auto"/>
        </w:rPr>
        <w:t>reserve setting training process, management’s monitoring of sites, and management’s development of the environmental remediation reserves estimates. We also tested management’s internal controls over the completeness and accuracy of the underlying data used in the environmental remediation reserves estimates.</w:t>
      </w:r>
    </w:p>
    <w:p>
      <w:pPr>
        <w:spacing w:after="0" w:line="73" w:lineRule="exact"/>
        <w:rPr>
          <w:sz w:val="20"/>
          <w:szCs w:val="20"/>
          <w:color w:val="auto"/>
        </w:rPr>
      </w:pPr>
    </w:p>
    <w:p>
      <w:pPr>
        <w:ind w:left="1400" w:right="200"/>
        <w:spacing w:after="0" w:line="238" w:lineRule="auto"/>
        <w:rPr>
          <w:sz w:val="20"/>
          <w:szCs w:val="20"/>
          <w:color w:val="auto"/>
        </w:rPr>
      </w:pPr>
      <w:r>
        <w:rPr>
          <w:rFonts w:ascii="Times New Roman" w:cs="Times New Roman" w:eastAsia="Times New Roman" w:hAnsi="Times New Roman"/>
          <w:sz w:val="16"/>
          <w:szCs w:val="16"/>
          <w:color w:val="auto"/>
        </w:rPr>
        <w:t>To test the environmental remediation reserves, we performed audit procedures that included, among others: assessing the appropriateness of the Company’s policies and procedures and testing management’s development of the environmental remediation reserves estimates. We obtained an understanding of the nature and extent of contamination at each site, the nature and extent of required cleanup efforts, and the corresponding environmental remediation reserves through discussions with the Company’s remediation project managers. We also involved our environmental remediation subject matter specialists to evaluate the reasonableness of management’s estimates, including consideration of information available on regulatory databases in the public domain that was assessed for possible contrary evidence. With the support of our environmental remediation subject matter specialists, we evaluated whether the environmental remediation reserves estimates were appropriate based on engineering studies and historical experience.</w:t>
      </w:r>
    </w:p>
    <w:p>
      <w:pPr>
        <w:spacing w:after="0" w:line="35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419735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309" w:right="1440" w:bottom="1440" w:gutter="0" w:footer="0" w:header="0"/>
        </w:sectPr>
      </w:pPr>
    </w:p>
    <w:bookmarkStart w:id="88" w:name="page89"/>
    <w:bookmarkEnd w:id="88"/>
    <w:p>
      <w:pPr>
        <w:ind w:left="1340"/>
        <w:spacing w:after="0"/>
        <w:rPr>
          <w:sz w:val="20"/>
          <w:szCs w:val="20"/>
          <w:color w:val="auto"/>
        </w:rPr>
      </w:pPr>
      <w:r>
        <w:rPr>
          <w:rFonts w:ascii="Times New Roman" w:cs="Times New Roman" w:eastAsia="Times New Roman" w:hAnsi="Times New Roman"/>
          <w:sz w:val="16"/>
          <w:szCs w:val="16"/>
          <w:b w:val="1"/>
          <w:bCs w:val="1"/>
          <w:i w:val="1"/>
          <w:iCs w:val="1"/>
          <w:color w:val="auto"/>
        </w:rPr>
        <w:t>Valuation of Asbestos Litigation Reserves</w:t>
      </w:r>
    </w:p>
    <w:p>
      <w:pPr>
        <w:spacing w:after="0" w:line="11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6"/>
          <w:szCs w:val="16"/>
          <w:i w:val="1"/>
          <w:iCs w:val="1"/>
          <w:color w:val="auto"/>
        </w:rPr>
        <w:t>Description of the</w:t>
      </w:r>
      <w:r>
        <w:rPr>
          <w:sz w:val="20"/>
          <w:szCs w:val="20"/>
          <w:color w:val="auto"/>
        </w:rPr>
        <w:tab/>
      </w:r>
      <w:r>
        <w:rPr>
          <w:rFonts w:ascii="Times New Roman" w:cs="Times New Roman" w:eastAsia="Times New Roman" w:hAnsi="Times New Roman"/>
          <w:sz w:val="14"/>
          <w:szCs w:val="14"/>
          <w:color w:val="auto"/>
        </w:rPr>
        <w:t>At September 30, 2025, the asbestos litigation reserves amounted to $435 million. As discussed within Note M of the</w:t>
      </w:r>
    </w:p>
    <w:p>
      <w:pPr>
        <w:spacing w:after="0" w:line="16" w:lineRule="exact"/>
        <w:rPr>
          <w:sz w:val="20"/>
          <w:szCs w:val="20"/>
          <w:color w:val="auto"/>
        </w:rPr>
      </w:pPr>
    </w:p>
    <w:p>
      <w:pPr>
        <w:ind w:left="1400" w:right="220" w:hanging="1399"/>
        <w:spacing w:after="0" w:line="235" w:lineRule="auto"/>
        <w:tabs>
          <w:tab w:leader="none" w:pos="1380" w:val="left"/>
        </w:tabs>
        <w:rPr>
          <w:sz w:val="20"/>
          <w:szCs w:val="20"/>
          <w:color w:val="auto"/>
        </w:rPr>
      </w:pPr>
      <w:r>
        <w:rPr>
          <w:rFonts w:ascii="Times New Roman" w:cs="Times New Roman" w:eastAsia="Times New Roman" w:hAnsi="Times New Roman"/>
          <w:sz w:val="16"/>
          <w:szCs w:val="16"/>
          <w:i w:val="1"/>
          <w:iCs w:val="1"/>
          <w:color w:val="auto"/>
        </w:rPr>
        <w:t>Matter</w:t>
      </w:r>
      <w:r>
        <w:rPr>
          <w:sz w:val="20"/>
          <w:szCs w:val="20"/>
          <w:color w:val="auto"/>
        </w:rPr>
        <w:tab/>
      </w:r>
      <w:r>
        <w:rPr>
          <w:rFonts w:ascii="Times New Roman" w:cs="Times New Roman" w:eastAsia="Times New Roman" w:hAnsi="Times New Roman"/>
          <w:sz w:val="16"/>
          <w:szCs w:val="16"/>
          <w:color w:val="auto"/>
        </w:rPr>
        <w:t>consolidated financial statements, the Company has liabilities from claims alleging personal injury caused by exposure to asbestos. The Company retained third-party actuarial experts to assist in developing and annually updating independent reserve estimates for future asbestos claims and related costs given various assumptions. The methodology used by the actuarial experts to project future asbestos costs is based largely on recent experience, including claim-filing and settlement rates, disease mix, open claims and litigation defense costs. Further, the claim experience identified is compared to the results of previously conducted third-party epidemiological studies estimating the number of people likely to develop asbestos- related diseases. Using that information, the Company estimates a range of the number of future claims that may be filed, as well as the related costs that may be incurred in resolving those claims. Ashland records the amount it believes to be the best estimate of future payments for litigation defense and claim settlement costs using the results of a non-inflated, non-discounted approximate 40-year model developed with the assistance of the Company’s third-party actuarial experts.</w:t>
      </w:r>
    </w:p>
    <w:p>
      <w:pPr>
        <w:spacing w:after="0" w:line="77" w:lineRule="exact"/>
        <w:rPr>
          <w:sz w:val="20"/>
          <w:szCs w:val="20"/>
          <w:color w:val="auto"/>
        </w:rPr>
      </w:pPr>
    </w:p>
    <w:p>
      <w:pPr>
        <w:ind w:left="1400" w:right="180"/>
        <w:spacing w:after="0" w:line="241" w:lineRule="auto"/>
        <w:rPr>
          <w:sz w:val="20"/>
          <w:szCs w:val="20"/>
          <w:color w:val="auto"/>
        </w:rPr>
      </w:pPr>
      <w:r>
        <w:rPr>
          <w:rFonts w:ascii="Times New Roman" w:cs="Times New Roman" w:eastAsia="Times New Roman" w:hAnsi="Times New Roman"/>
          <w:sz w:val="16"/>
          <w:szCs w:val="16"/>
          <w:color w:val="auto"/>
        </w:rPr>
        <w:t>Auditing the Company’s asbestos litigation reserves was complex due to uncertainty associated with the estimate of projected future asbestos costs. The methodology employed by management to develop the estimate of projected future asbestos costs is subject to assumptions such as the number of claims that may be received in the future, the type and severity of disease alleged by claimant, the related costs incurred in resolving those claims, and the dismissal rates. These assumptions have a significant effect on the asbestos litigation reserves.</w:t>
      </w:r>
    </w:p>
    <w:p>
      <w:pPr>
        <w:spacing w:after="0" w:line="71"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How We Addressed </w:t>
      </w:r>
      <w:r>
        <w:rPr>
          <w:rFonts w:ascii="Times New Roman" w:cs="Times New Roman" w:eastAsia="Times New Roman" w:hAnsi="Times New Roman"/>
          <w:sz w:val="14"/>
          <w:szCs w:val="14"/>
          <w:color w:val="auto"/>
        </w:rPr>
        <w:t>We obtained an understanding, evaluated the design and tested the operating effectiveness of internal controls over the asbestos</w:t>
      </w:r>
      <w:r>
        <w:rPr>
          <w:rFonts w:ascii="Times New Roman" w:cs="Times New Roman" w:eastAsia="Times New Roman" w:hAnsi="Times New Roman"/>
          <w:sz w:val="14"/>
          <w:szCs w:val="14"/>
          <w:i w:val="1"/>
          <w:iCs w:val="1"/>
          <w:color w:val="auto"/>
        </w:rPr>
        <w:t xml:space="preserve"> the Matter in Our </w:t>
      </w:r>
      <w:r>
        <w:rPr>
          <w:rFonts w:ascii="Times New Roman" w:cs="Times New Roman" w:eastAsia="Times New Roman" w:hAnsi="Times New Roman"/>
          <w:sz w:val="14"/>
          <w:szCs w:val="14"/>
          <w:color w:val="auto"/>
        </w:rPr>
        <w:t>litigation reserves process. These include internal controls over management's assessment of the assumptions utilized within the</w:t>
      </w:r>
    </w:p>
    <w:p>
      <w:pPr>
        <w:ind w:left="1400" w:right="400" w:hanging="1399"/>
        <w:spacing w:after="0" w:line="238" w:lineRule="auto"/>
        <w:tabs>
          <w:tab w:leader="none" w:pos="1380" w:val="left"/>
        </w:tabs>
        <w:rPr>
          <w:sz w:val="20"/>
          <w:szCs w:val="20"/>
          <w:color w:val="auto"/>
        </w:rPr>
      </w:pPr>
      <w:r>
        <w:rPr>
          <w:rFonts w:ascii="Times New Roman" w:cs="Times New Roman" w:eastAsia="Times New Roman" w:hAnsi="Times New Roman"/>
          <w:sz w:val="16"/>
          <w:szCs w:val="16"/>
          <w:i w:val="1"/>
          <w:iCs w:val="1"/>
          <w:color w:val="auto"/>
        </w:rPr>
        <w:t>Audit</w:t>
      </w:r>
      <w:r>
        <w:rPr>
          <w:sz w:val="20"/>
          <w:szCs w:val="20"/>
          <w:color w:val="auto"/>
        </w:rPr>
        <w:tab/>
      </w:r>
      <w:r>
        <w:rPr>
          <w:rFonts w:ascii="Times New Roman" w:cs="Times New Roman" w:eastAsia="Times New Roman" w:hAnsi="Times New Roman"/>
          <w:sz w:val="16"/>
          <w:szCs w:val="16"/>
          <w:color w:val="auto"/>
        </w:rPr>
        <w:t>estimate, management’s oversight of asbestos trends including claims movement and costs incurred, and the completeness and accuracy of the underlying claims data utilized to project future costs.</w:t>
      </w:r>
    </w:p>
    <w:p>
      <w:pPr>
        <w:spacing w:after="0" w:line="73" w:lineRule="exact"/>
        <w:rPr>
          <w:sz w:val="20"/>
          <w:szCs w:val="20"/>
          <w:color w:val="auto"/>
        </w:rPr>
      </w:pPr>
    </w:p>
    <w:p>
      <w:pPr>
        <w:ind w:left="1400" w:right="300"/>
        <w:spacing w:after="0" w:line="239" w:lineRule="auto"/>
        <w:rPr>
          <w:sz w:val="20"/>
          <w:szCs w:val="20"/>
          <w:color w:val="auto"/>
        </w:rPr>
      </w:pPr>
      <w:r>
        <w:rPr>
          <w:rFonts w:ascii="Times New Roman" w:cs="Times New Roman" w:eastAsia="Times New Roman" w:hAnsi="Times New Roman"/>
          <w:sz w:val="16"/>
          <w:szCs w:val="16"/>
          <w:color w:val="auto"/>
        </w:rPr>
        <w:t>To evaluate the reasonableness of the asbestos litigation reserves, our audit procedures included testing the completeness and accuracy of the underlying claims data provided to management's actuarial experts utilized to project future costs. Additionally, we evaluated the claims and spend activity from legal letters obtained from internal and external legal counsel. Furthermore, we involved our actuarial subject matter specialists to assist in the evaluation of the methodologies and assumptions applied by management's actuarial experts as described above to determine the appropriateness of the asbestos litigation reserves, and to independently prepare an estimated range of the liability. We then assessed the reasonableness of the Company's recorded asbestos litigation reserves against our independently calculated range.</w:t>
      </w:r>
    </w:p>
    <w:p>
      <w:pPr>
        <w:spacing w:after="0" w:line="35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419735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00"/>
          </w:cols>
          <w:pgMar w:left="760" w:top="1405" w:right="1440" w:bottom="1440" w:gutter="0" w:footer="0" w:header="0"/>
        </w:sectPr>
      </w:pPr>
    </w:p>
    <w:bookmarkStart w:id="89" w:name="page90"/>
    <w:bookmarkEnd w:id="89"/>
    <w:p>
      <w:pPr>
        <w:ind w:left="1440"/>
        <w:spacing w:after="0"/>
        <w:rPr>
          <w:sz w:val="20"/>
          <w:szCs w:val="20"/>
          <w:color w:val="auto"/>
        </w:rPr>
      </w:pPr>
      <w:r>
        <w:rPr>
          <w:rFonts w:ascii="Times New Roman" w:cs="Times New Roman" w:eastAsia="Times New Roman" w:hAnsi="Times New Roman"/>
          <w:sz w:val="16"/>
          <w:szCs w:val="16"/>
          <w:b w:val="1"/>
          <w:bCs w:val="1"/>
          <w:i w:val="1"/>
          <w:iCs w:val="1"/>
          <w:color w:val="auto"/>
        </w:rPr>
        <w:t>Evaluation of Goodwill Impairment for the Life Sciences and Specialty Additives Reporting Units</w:t>
      </w:r>
    </w:p>
    <w:p>
      <w:pPr>
        <w:spacing w:after="0" w:line="118" w:lineRule="exact"/>
        <w:rPr>
          <w:sz w:val="20"/>
          <w:szCs w:val="20"/>
          <w:color w:val="auto"/>
        </w:rPr>
      </w:pPr>
    </w:p>
    <w:p>
      <w:pPr>
        <w:ind w:left="100"/>
        <w:spacing w:after="0"/>
        <w:tabs>
          <w:tab w:leader="none" w:pos="1480" w:val="left"/>
        </w:tabs>
        <w:rPr>
          <w:sz w:val="20"/>
          <w:szCs w:val="20"/>
          <w:color w:val="auto"/>
        </w:rPr>
      </w:pPr>
      <w:r>
        <w:rPr>
          <w:rFonts w:ascii="Times New Roman" w:cs="Times New Roman" w:eastAsia="Times New Roman" w:hAnsi="Times New Roman"/>
          <w:sz w:val="16"/>
          <w:szCs w:val="16"/>
          <w:i w:val="1"/>
          <w:iCs w:val="1"/>
          <w:color w:val="auto"/>
        </w:rPr>
        <w:t>Description of the</w:t>
      </w:r>
      <w:r>
        <w:rPr>
          <w:sz w:val="20"/>
          <w:szCs w:val="20"/>
          <w:color w:val="auto"/>
        </w:rPr>
        <w:tab/>
      </w:r>
      <w:r>
        <w:rPr>
          <w:rFonts w:ascii="Times New Roman" w:cs="Times New Roman" w:eastAsia="Times New Roman" w:hAnsi="Times New Roman"/>
          <w:sz w:val="14"/>
          <w:szCs w:val="14"/>
          <w:color w:val="auto"/>
        </w:rPr>
        <w:t>At September 30, 2025, the Company’s goodwill was $705 million, of which $466 million relates to the Life Sciences reporting</w:t>
      </w:r>
    </w:p>
    <w:p>
      <w:pPr>
        <w:spacing w:after="0" w:line="16" w:lineRule="exact"/>
        <w:rPr>
          <w:sz w:val="20"/>
          <w:szCs w:val="20"/>
          <w:color w:val="auto"/>
        </w:rPr>
      </w:pPr>
    </w:p>
    <w:p>
      <w:pPr>
        <w:ind w:left="1500" w:right="180" w:hanging="1399"/>
        <w:spacing w:after="0" w:line="235" w:lineRule="auto"/>
        <w:tabs>
          <w:tab w:leader="none" w:pos="1480" w:val="left"/>
        </w:tabs>
        <w:rPr>
          <w:sz w:val="20"/>
          <w:szCs w:val="20"/>
          <w:color w:val="auto"/>
        </w:rPr>
      </w:pPr>
      <w:r>
        <w:rPr>
          <w:rFonts w:ascii="Times New Roman" w:cs="Times New Roman" w:eastAsia="Times New Roman" w:hAnsi="Times New Roman"/>
          <w:sz w:val="16"/>
          <w:szCs w:val="16"/>
          <w:i w:val="1"/>
          <w:iCs w:val="1"/>
          <w:color w:val="auto"/>
        </w:rPr>
        <w:t>Matter</w:t>
      </w:r>
      <w:r>
        <w:rPr>
          <w:sz w:val="20"/>
          <w:szCs w:val="20"/>
          <w:color w:val="auto"/>
        </w:rPr>
        <w:tab/>
      </w:r>
      <w:r>
        <w:rPr>
          <w:rFonts w:ascii="Times New Roman" w:cs="Times New Roman" w:eastAsia="Times New Roman" w:hAnsi="Times New Roman"/>
          <w:sz w:val="16"/>
          <w:szCs w:val="16"/>
          <w:color w:val="auto"/>
        </w:rPr>
        <w:t>unit, and $112 million relates to the Specialty Additives reporting unit. As discussed in Note G to the consolidated financial statements, goodwill is tested for impairment annually on July 1st, or whenever events and circumstances indicate an impairment may have occurred. During the third quarter of fiscal 2025, Ashland determined that triggering events occurred, and a quantitative goodwill impairment assessment was performed during the three months ended June 30, 2025. As a result of the interim impairment assessment, the Company recorded a $375 million and $331 million goodwill impairment charge related to the Life Sciences reporting unit and Specialty Additives reporting unit, respectively. The Company’s annual impairment assessment in the fourth quarter of fiscal 2025 did not result in an impairment of goodwill for any of the Company’s reporting units. There were no impairment indicators identified in the fourth quarter of fiscal 2025 which had not been considered as part of the July 1, 2025 annual impairment assessment.</w:t>
      </w:r>
    </w:p>
    <w:p>
      <w:pPr>
        <w:spacing w:after="0" w:line="77" w:lineRule="exact"/>
        <w:rPr>
          <w:sz w:val="20"/>
          <w:szCs w:val="20"/>
          <w:color w:val="auto"/>
        </w:rPr>
      </w:pPr>
    </w:p>
    <w:p>
      <w:pPr>
        <w:ind w:left="1500" w:right="360"/>
        <w:spacing w:after="0" w:line="239" w:lineRule="auto"/>
        <w:rPr>
          <w:sz w:val="20"/>
          <w:szCs w:val="20"/>
          <w:color w:val="auto"/>
        </w:rPr>
      </w:pPr>
      <w:r>
        <w:rPr>
          <w:rFonts w:ascii="Times New Roman" w:cs="Times New Roman" w:eastAsia="Times New Roman" w:hAnsi="Times New Roman"/>
          <w:sz w:val="16"/>
          <w:szCs w:val="16"/>
          <w:color w:val="auto"/>
        </w:rPr>
        <w:t>Auditing management’s interim goodwill impairment test in the third quarter of fiscal 2025 related to the Life Sciences and Specialty Additives reporting units was challenging due to the complexity of forecasting the long-term cash flows of these reporting units and the significant estimation uncertainty of certain assumptions included within such forecasts. The significant estimation uncertainty was primarily due to the sensitivity of the reporting units’ fair value to changes in the significant assumptions used in the income approach, including forecasted sales, EBITDA margins, and discount rates. These significant assumptions require a high degree of estimation and judgment based on an evaluation of historical performance, current and forecasted industry trends, and macroeconomic conditions.</w:t>
      </w:r>
    </w:p>
    <w:p>
      <w:pPr>
        <w:spacing w:after="0" w:line="72" w:lineRule="exact"/>
        <w:rPr>
          <w:sz w:val="20"/>
          <w:szCs w:val="20"/>
          <w:color w:val="auto"/>
        </w:rPr>
      </w:pPr>
    </w:p>
    <w:p>
      <w:pPr>
        <w:ind w:left="100"/>
        <w:spacing w:after="0"/>
        <w:tabs>
          <w:tab w:leader="none" w:pos="1480" w:val="left"/>
        </w:tabs>
        <w:rPr>
          <w:sz w:val="20"/>
          <w:szCs w:val="20"/>
          <w:color w:val="auto"/>
        </w:rPr>
      </w:pPr>
      <w:r>
        <w:rPr>
          <w:rFonts w:ascii="Times New Roman" w:cs="Times New Roman" w:eastAsia="Times New Roman" w:hAnsi="Times New Roman"/>
          <w:sz w:val="16"/>
          <w:szCs w:val="16"/>
          <w:i w:val="1"/>
          <w:iCs w:val="1"/>
          <w:color w:val="auto"/>
        </w:rPr>
        <w:t>How We Addressed</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internal controls over the</w:t>
      </w:r>
    </w:p>
    <w:p>
      <w:pPr>
        <w:spacing w:after="0" w:line="12" w:lineRule="exact"/>
        <w:rPr>
          <w:sz w:val="20"/>
          <w:szCs w:val="20"/>
          <w:color w:val="auto"/>
        </w:rPr>
      </w:pPr>
    </w:p>
    <w:p>
      <w:pPr>
        <w:ind w:left="100"/>
        <w:spacing w:after="0"/>
        <w:tabs>
          <w:tab w:leader="none" w:pos="1480" w:val="left"/>
        </w:tabs>
        <w:rPr>
          <w:sz w:val="20"/>
          <w:szCs w:val="20"/>
          <w:color w:val="auto"/>
        </w:rPr>
      </w:pPr>
      <w:r>
        <w:rPr>
          <w:rFonts w:ascii="Times New Roman" w:cs="Times New Roman" w:eastAsia="Times New Roman" w:hAnsi="Times New Roman"/>
          <w:sz w:val="16"/>
          <w:szCs w:val="16"/>
          <w:i w:val="1"/>
          <w:iCs w:val="1"/>
          <w:color w:val="auto"/>
        </w:rPr>
        <w:t>the Matter in Our</w:t>
      </w:r>
      <w:r>
        <w:rPr>
          <w:sz w:val="20"/>
          <w:szCs w:val="20"/>
          <w:color w:val="auto"/>
        </w:rPr>
        <w:tab/>
      </w:r>
      <w:r>
        <w:rPr>
          <w:rFonts w:ascii="Times New Roman" w:cs="Times New Roman" w:eastAsia="Times New Roman" w:hAnsi="Times New Roman"/>
          <w:sz w:val="14"/>
          <w:szCs w:val="14"/>
          <w:color w:val="auto"/>
        </w:rPr>
        <w:t>Company’s goodwill impairment process, including internal controls over management’s review of the significant assumptions</w:t>
      </w:r>
    </w:p>
    <w:p>
      <w:pPr>
        <w:ind w:left="1500" w:right="700" w:hanging="1399"/>
        <w:spacing w:after="0" w:line="238" w:lineRule="auto"/>
        <w:tabs>
          <w:tab w:leader="none" w:pos="1480" w:val="left"/>
        </w:tabs>
        <w:rPr>
          <w:sz w:val="20"/>
          <w:szCs w:val="20"/>
          <w:color w:val="auto"/>
        </w:rPr>
      </w:pPr>
      <w:r>
        <w:rPr>
          <w:rFonts w:ascii="Times New Roman" w:cs="Times New Roman" w:eastAsia="Times New Roman" w:hAnsi="Times New Roman"/>
          <w:sz w:val="16"/>
          <w:szCs w:val="16"/>
          <w:i w:val="1"/>
          <w:iCs w:val="1"/>
          <w:color w:val="auto"/>
        </w:rPr>
        <w:t>Audit</w:t>
      </w:r>
      <w:r>
        <w:rPr>
          <w:sz w:val="20"/>
          <w:szCs w:val="20"/>
          <w:color w:val="auto"/>
        </w:rPr>
        <w:tab/>
      </w:r>
      <w:r>
        <w:rPr>
          <w:rFonts w:ascii="Times New Roman" w:cs="Times New Roman" w:eastAsia="Times New Roman" w:hAnsi="Times New Roman"/>
          <w:sz w:val="16"/>
          <w:szCs w:val="16"/>
          <w:color w:val="auto"/>
        </w:rPr>
        <w:t>described above as well as internal controls over management’s review of its financial forecasts and carrying values of its reporting units.</w:t>
      </w:r>
    </w:p>
    <w:p>
      <w:pPr>
        <w:spacing w:after="0" w:line="73" w:lineRule="exact"/>
        <w:rPr>
          <w:sz w:val="20"/>
          <w:szCs w:val="20"/>
          <w:color w:val="auto"/>
        </w:rPr>
      </w:pPr>
    </w:p>
    <w:p>
      <w:pPr>
        <w:ind w:left="1500" w:right="260"/>
        <w:spacing w:after="0" w:line="238" w:lineRule="auto"/>
        <w:rPr>
          <w:sz w:val="20"/>
          <w:szCs w:val="20"/>
          <w:color w:val="auto"/>
        </w:rPr>
      </w:pPr>
      <w:r>
        <w:rPr>
          <w:rFonts w:ascii="Times New Roman" w:cs="Times New Roman" w:eastAsia="Times New Roman" w:hAnsi="Times New Roman"/>
          <w:sz w:val="16"/>
          <w:szCs w:val="16"/>
          <w:color w:val="auto"/>
        </w:rPr>
        <w:t>To test the estimated fair value of the Life Sciences and Specialty Additives reporting units, we performed audit procedures that included, among others, using an internal valuation specialist to assist in our evaluation of the methodologies and certain significant assumptions used by the Company, specifically the discount rates. We assessed the reasonableness of the Company’s assumptions around forecasted sales, EBITDA margins, and discount rates by comparing those assumptions to recent historical performance, financial forecasts, and current and forecasted economic and industry trends. We also assessed the reasonableness of estimates included in the Company’s financial forecasts by evaluating such assumptions compared to economic, industry, and peer expectations. We evaluated management’s historical accuracy of forecasting sales and EBITDA margins by comparing past financial forecasts to subsequent actual activity. We performed various sensitivity analyses around these significant assumptions to understand the impact on the reporting units’ fair value calculations.</w:t>
      </w:r>
    </w:p>
    <w:p>
      <w:pPr>
        <w:spacing w:after="0" w:line="2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Grandview Heights, Ohio</w:t>
      </w:r>
    </w:p>
    <w:p>
      <w:pPr>
        <w:spacing w:after="0"/>
        <w:rPr>
          <w:sz w:val="20"/>
          <w:szCs w:val="20"/>
          <w:color w:val="auto"/>
        </w:rPr>
      </w:pPr>
      <w:r>
        <w:rPr>
          <w:rFonts w:ascii="Times New Roman" w:cs="Times New Roman" w:eastAsia="Times New Roman" w:hAnsi="Times New Roman"/>
          <w:sz w:val="16"/>
          <w:szCs w:val="16"/>
          <w:color w:val="auto"/>
        </w:rPr>
        <w:t>November 20, 2025</w:t>
      </w:r>
    </w:p>
    <w:p>
      <w:pPr>
        <w:spacing w:after="0" w:line="1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05"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color w:val="auto"/>
        </w:rPr>
        <w:t>Ashland Inc. and Consolidated Subsidiaries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Statements of Consolidated Comprehensive Income (Loss)</w:t>
      </w:r>
    </w:p>
    <w:p>
      <w:pPr>
        <w:spacing w:after="0"/>
        <w:rPr>
          <w:sz w:val="20"/>
          <w:szCs w:val="20"/>
          <w:color w:val="auto"/>
        </w:rPr>
      </w:pPr>
      <w:r>
        <w:rPr>
          <w:rFonts w:ascii="Times New Roman" w:cs="Times New Roman" w:eastAsia="Times New Roman" w:hAnsi="Times New Roman"/>
          <w:sz w:val="16"/>
          <w:szCs w:val="16"/>
          <w:color w:val="auto"/>
        </w:rPr>
        <w:t>Years Ended September 30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 except per share data)</w:t>
            </w: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Sales - Note P</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1,824</w:t>
            </w: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2,113</w:t>
            </w: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 of sales - Note Q</w:t>
            </w: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 expense - Note Q</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 expense</w:t>
            </w: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Intangibles amortization expense - Note G</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income</w:t>
            </w:r>
          </w:p>
        </w:tc>
        <w:tc>
          <w:tcPr>
            <w:tcW w:w="2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Goodwill impairment - Note G</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(loss) on acquisitions and divestitures, net - Note B</w:t>
            </w:r>
          </w:p>
        </w:tc>
        <w:tc>
          <w:tcPr>
            <w:tcW w:w="2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interest and other expense (income) - Note H</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net periodic benefit loss - Note L</w:t>
            </w:r>
          </w:p>
        </w:tc>
        <w:tc>
          <w:tcPr>
            <w:tcW w:w="2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(809)</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 (benefit) - Note K</w:t>
            </w: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(loss) from continuing operations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discontinued operations, net of income taxes - Note C</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line="264" w:lineRule="exact"/>
              <w:rPr>
                <w:sz w:val="20"/>
                <w:szCs w:val="20"/>
                <w:color w:val="auto"/>
              </w:rPr>
            </w:pPr>
            <w:r>
              <w:rPr>
                <w:rFonts w:ascii="Times New Roman" w:cs="Times New Roman" w:eastAsia="Times New Roman" w:hAnsi="Times New Roman"/>
                <w:sz w:val="15"/>
                <w:szCs w:val="15"/>
                <w:color w:val="auto"/>
              </w:rPr>
              <w:t>(30</w:t>
            </w:r>
            <w:r>
              <w:rPr>
                <w:rFonts w:ascii="Times New Roman" w:cs="Times New Roman" w:eastAsia="Times New Roman" w:hAnsi="Times New Roman"/>
                <w:sz w:val="30"/>
                <w:szCs w:val="30"/>
                <w:color w:val="auto"/>
                <w:vertAlign w:val="subscript"/>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(845)</w:t>
            </w: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50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PER SHARE DATA - NOTE A</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 earnings (loss) per share</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(loss) from continuing operations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(17.74)</w:t>
            </w: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3.99</w:t>
            </w: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line="301" w:lineRule="exact"/>
              <w:rPr>
                <w:sz w:val="20"/>
                <w:szCs w:val="20"/>
                <w:color w:val="auto"/>
              </w:rPr>
            </w:pPr>
            <w:r>
              <w:rPr>
                <w:rFonts w:ascii="Times New Roman" w:cs="Times New Roman" w:eastAsia="Times New Roman" w:hAnsi="Times New Roman"/>
                <w:sz w:val="16"/>
                <w:szCs w:val="16"/>
                <w:color w:val="auto"/>
              </w:rPr>
              <w:t>(0.59</w:t>
            </w:r>
            <w:r>
              <w:rPr>
                <w:rFonts w:ascii="Times New Roman" w:cs="Times New Roman" w:eastAsia="Times New Roman" w:hAnsi="Times New Roman"/>
                <w:sz w:val="31"/>
                <w:szCs w:val="31"/>
                <w:color w:val="auto"/>
                <w:vertAlign w:val="subscript"/>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(18.23)</w:t>
            </w: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3.40</w:t>
            </w: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50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Diluted earnings (loss) per share</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(loss) from continuing operations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(17.74)</w:t>
            </w:r>
          </w:p>
        </w:tc>
        <w:tc>
          <w:tcPr>
            <w:tcW w:w="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(loss) from discontinued operations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(0.59)</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(18.23)</w:t>
            </w:r>
          </w:p>
        </w:tc>
        <w:tc>
          <w:tcPr>
            <w:tcW w:w="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3.36</w:t>
            </w: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(845)</w:t>
            </w: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translation gain</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gain (loss) on commodity hedges</w:t>
            </w:r>
          </w:p>
        </w:tc>
        <w:tc>
          <w:tcPr>
            <w:tcW w:w="2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(798)</w:t>
            </w:r>
          </w:p>
        </w:tc>
        <w:tc>
          <w:tcPr>
            <w:tcW w:w="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color w:val="auto"/>
        </w:rPr>
        <w:t>Ashland Inc. and Consolidated Subsidiaries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rPr>
          <w:sz w:val="20"/>
          <w:szCs w:val="20"/>
          <w:color w:val="auto"/>
        </w:rPr>
      </w:pPr>
      <w:r>
        <w:rPr>
          <w:rFonts w:ascii="Times New Roman" w:cs="Times New Roman" w:eastAsia="Times New Roman" w:hAnsi="Times New Roman"/>
          <w:sz w:val="16"/>
          <w:szCs w:val="16"/>
          <w:color w:val="auto"/>
        </w:rPr>
        <w:t>At September 30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Current assets</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7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480" w:type="dxa"/>
            <w:vAlign w:val="bottom"/>
            <w:gridSpan w:val="2"/>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receivable, net</w:t>
            </w:r>
            <w:r>
              <w:rPr>
                <w:rFonts w:ascii="Times New Roman" w:cs="Times New Roman" w:eastAsia="Times New Roman" w:hAnsi="Times New Roman"/>
                <w:sz w:val="19"/>
                <w:szCs w:val="19"/>
                <w:color w:val="auto"/>
                <w:vertAlign w:val="superscript"/>
              </w:rPr>
              <w:t>(a)</w:t>
            </w:r>
            <w:r>
              <w:rPr>
                <w:rFonts w:ascii="Times New Roman" w:cs="Times New Roman" w:eastAsia="Times New Roman" w:hAnsi="Times New Roman"/>
                <w:sz w:val="16"/>
                <w:szCs w:val="16"/>
                <w:color w:val="auto"/>
              </w:rPr>
              <w:t xml:space="preserve"> - Notes A and H</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242</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Inventories - Note A</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568</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1,205</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Noncurrent assets</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Property, plant and equipment - Note F</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3,355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Accumulated depreciation</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2,154</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1,201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Goodwill - Note G</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705</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Intangibles - Note G</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563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assets, net - Note J</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Restricted investments - Note E</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297</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Asbestos insurance receivable, net</w:t>
            </w:r>
            <w:r>
              <w:rPr>
                <w:rFonts w:ascii="Times New Roman" w:cs="Times New Roman" w:eastAsia="Times New Roman" w:hAnsi="Times New Roman"/>
                <w:sz w:val="19"/>
                <w:szCs w:val="19"/>
                <w:color w:val="auto"/>
                <w:vertAlign w:val="superscript"/>
              </w:rPr>
              <w:t>(b)</w:t>
            </w:r>
            <w:r>
              <w:rPr>
                <w:rFonts w:ascii="Times New Roman" w:cs="Times New Roman" w:eastAsia="Times New Roman" w:hAnsi="Times New Roman"/>
                <w:sz w:val="16"/>
                <w:szCs w:val="16"/>
                <w:color w:val="auto"/>
              </w:rPr>
              <w:t xml:space="preserve"> - Notes A and M</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income taxes - Note K</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assets - Note I</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253</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 noncurrent assets</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3,406</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7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4,611</w:t>
            </w:r>
          </w:p>
        </w:tc>
        <w:tc>
          <w:tcPr>
            <w:tcW w:w="480" w:type="dxa"/>
            <w:vAlign w:val="bottom"/>
            <w:gridSpan w:val="2"/>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5,645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60" w:type="dxa"/>
            <w:vAlign w:val="bottom"/>
            <w:tcBorders>
              <w:top w:val="single" w:sz="8" w:color="CFF0FC"/>
            </w:tcBorders>
          </w:tcPr>
          <w:p>
            <w:pPr>
              <w:spacing w:after="0"/>
              <w:rPr>
                <w:sz w:val="13"/>
                <w:szCs w:val="13"/>
                <w:color w:val="auto"/>
              </w:rPr>
            </w:pPr>
          </w:p>
        </w:tc>
        <w:tc>
          <w:tcPr>
            <w:tcW w:w="142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Current liabilities</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Trade and other payables</w:t>
            </w:r>
          </w:p>
        </w:tc>
        <w:tc>
          <w:tcPr>
            <w:tcW w:w="17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189</w:t>
            </w:r>
          </w:p>
        </w:tc>
        <w:tc>
          <w:tcPr>
            <w:tcW w:w="480" w:type="dxa"/>
            <w:vAlign w:val="bottom"/>
            <w:gridSpan w:val="2"/>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 operating lease obligations - Note J</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423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 - Note H</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1,384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Asbestos litigation reserves - Note M</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389</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income taxes - Note K</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Employee benefit obligations - Note L</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obligations - Note J</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liabilities - Note I</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299</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 noncurrent liabilities</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2,284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 - Notes J and M</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16"/>
                <w:szCs w:val="16"/>
                <w:color w:val="auto"/>
              </w:rPr>
              <w:t>- Notes N and O</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Common stock, par value $.01 per share, 200 million shares authorized</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Issued 46 million and 47 million shares in 2025 and 2024</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 capital</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Retained earnings</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2,298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w:t>
            </w: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 equity</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1,904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6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4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4,611</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5,645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(a)Accounts receivable, net includes an allowance for credit losses of $2 million at both September 30, 2025 and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(b)Asbestos insurance receivable, net includes an allowance for credit losses of $2 million at both September 30, 2025 and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auto"/>
        </w:rPr>
        <w:t>Ashland Inc. and Consolidated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Statements of Consolidated Equity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28"/>
              <w:spacing w:after="0" w:line="157" w:lineRule="exact"/>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268"/>
              <w:spacing w:after="0" w:line="157"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28"/>
              <w:spacing w:after="0" w:line="157" w:lineRule="exact"/>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1060" w:type="dxa"/>
            <w:vAlign w:val="bottom"/>
            <w:gridSpan w:val="2"/>
          </w:tcPr>
          <w:p>
            <w:pPr>
              <w:jc w:val="center"/>
              <w:ind w:right="48"/>
              <w:spacing w:after="0" w:line="157" w:lineRule="exact"/>
              <w:rPr>
                <w:sz w:val="20"/>
                <w:szCs w:val="20"/>
                <w:color w:val="auto"/>
              </w:rPr>
            </w:pPr>
            <w:r>
              <w:rPr>
                <w:rFonts w:ascii="Times New Roman" w:cs="Times New Roman" w:eastAsia="Times New Roman" w:hAnsi="Times New Roman"/>
                <w:sz w:val="14"/>
                <w:szCs w:val="14"/>
                <w:color w:val="auto"/>
              </w:rPr>
              <w:t>comprehensive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right="128"/>
              <w:spacing w:after="0" w:line="192" w:lineRule="exact"/>
              <w:rPr>
                <w:sz w:val="20"/>
                <w:szCs w:val="20"/>
                <w:color w:val="auto"/>
              </w:rPr>
            </w:pPr>
            <w:r>
              <w:rPr>
                <w:rFonts w:ascii="Times New Roman" w:cs="Times New Roman" w:eastAsia="Times New Roman" w:hAnsi="Times New Roman"/>
                <w:sz w:val="14"/>
                <w:szCs w:val="14"/>
                <w:color w:val="auto"/>
                <w:w w:val="94"/>
              </w:rPr>
              <w:t>loss</w:t>
            </w:r>
            <w:r>
              <w:rPr>
                <w:rFonts w:ascii="Times New Roman" w:cs="Times New Roman" w:eastAsia="Times New Roman" w:hAnsi="Times New Roman"/>
                <w:sz w:val="19"/>
                <w:szCs w:val="19"/>
                <w:color w:val="auto"/>
                <w:w w:val="94"/>
                <w:vertAlign w:val="superscript"/>
              </w:rPr>
              <w:t>(a)</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8"/>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3,653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3,220</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shd w:val="clear" w:color="auto" w:fill="CCF0FC"/>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F0FC"/>
          </w:tcPr>
          <w:p>
            <w:pPr>
              <w:spacing w:after="0"/>
              <w:rPr>
                <w:sz w:val="14"/>
                <w:szCs w:val="14"/>
                <w:color w:val="auto"/>
              </w:rPr>
            </w:pPr>
          </w:p>
        </w:tc>
        <w:tc>
          <w:tcPr>
            <w:tcW w:w="740" w:type="dxa"/>
            <w:vAlign w:val="bottom"/>
            <w:shd w:val="clear" w:color="auto" w:fill="CC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20" w:type="dxa"/>
            <w:vAlign w:val="bottom"/>
            <w:shd w:val="clear" w:color="auto" w:fill="CC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860" w:type="dxa"/>
            <w:vAlign w:val="bottom"/>
            <w:shd w:val="clear" w:color="auto" w:fill="CCF0FC"/>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980" w:type="dxa"/>
            <w:vAlign w:val="bottom"/>
            <w:shd w:val="clear" w:color="auto" w:fill="CC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780" w:type="dxa"/>
            <w:vAlign w:val="bottom"/>
            <w:shd w:val="clear" w:color="auto" w:fill="CCF0FC"/>
          </w:tcPr>
          <w:p>
            <w:pPr>
              <w:jc w:val="right"/>
              <w:ind w:right="8"/>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8"/>
        </w:trPr>
        <w:tc>
          <w:tcPr>
            <w:tcW w:w="5300" w:type="dxa"/>
            <w:vAlign w:val="bottom"/>
            <w:shd w:val="clear" w:color="auto" w:fill="CCF0FC"/>
          </w:tcPr>
          <w:p>
            <w:pPr>
              <w:spacing w:after="0"/>
              <w:rPr>
                <w:sz w:val="20"/>
                <w:szCs w:val="20"/>
                <w:color w:val="auto"/>
              </w:rPr>
            </w:pPr>
            <w:r>
              <w:rPr>
                <w:rFonts w:ascii="Times New Roman" w:cs="Times New Roman" w:eastAsia="Times New Roman" w:hAnsi="Times New Roman"/>
                <w:sz w:val="14"/>
                <w:szCs w:val="14"/>
                <w:color w:val="auto"/>
              </w:rPr>
              <w:t>Dividends, $1.44 per common share</w:t>
            </w:r>
          </w:p>
        </w:tc>
        <w:tc>
          <w:tcPr>
            <w:tcW w:w="80" w:type="dxa"/>
            <w:vAlign w:val="bottom"/>
            <w:shd w:val="clear" w:color="auto" w:fill="CCF0FC"/>
          </w:tcPr>
          <w:p>
            <w:pPr>
              <w:spacing w:after="0"/>
              <w:rPr>
                <w:sz w:val="14"/>
                <w:szCs w:val="14"/>
                <w:color w:val="auto"/>
              </w:rPr>
            </w:pPr>
          </w:p>
        </w:tc>
        <w:tc>
          <w:tcPr>
            <w:tcW w:w="740" w:type="dxa"/>
            <w:vAlign w:val="bottom"/>
            <w:shd w:val="clear" w:color="auto" w:fill="CC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20" w:type="dxa"/>
            <w:vAlign w:val="bottom"/>
            <w:shd w:val="clear" w:color="auto" w:fill="CC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8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980" w:type="dxa"/>
            <w:vAlign w:val="bottom"/>
            <w:shd w:val="clear" w:color="auto" w:fill="CC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2"/>
        </w:trPr>
        <w:tc>
          <w:tcPr>
            <w:tcW w:w="53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Compensation expense and common shares issued under stock incentive and other plans</w:t>
            </w:r>
            <w:r>
              <w:rPr>
                <w:rFonts w:ascii="Times New Roman" w:cs="Times New Roman" w:eastAsia="Times New Roman" w:hAnsi="Times New Roman"/>
                <w:sz w:val="15"/>
                <w:szCs w:val="15"/>
                <w:color w:val="auto"/>
                <w:vertAlign w:val="superscript"/>
              </w:rPr>
              <w:t>(b)</w:t>
            </w:r>
          </w:p>
        </w:tc>
        <w:tc>
          <w:tcPr>
            <w:tcW w:w="80" w:type="dxa"/>
            <w:vAlign w:val="bottom"/>
          </w:tcPr>
          <w:p>
            <w:pPr>
              <w:spacing w:after="0"/>
              <w:rPr>
                <w:sz w:val="11"/>
                <w:szCs w:val="11"/>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20"/>
        </w:trPr>
        <w:tc>
          <w:tcPr>
            <w:tcW w:w="5300" w:type="dxa"/>
            <w:vAlign w:val="bottom"/>
          </w:tcPr>
          <w:p>
            <w:pPr>
              <w:spacing w:after="0"/>
              <w:rPr>
                <w:sz w:val="20"/>
                <w:szCs w:val="20"/>
                <w:color w:val="auto"/>
              </w:rPr>
            </w:pPr>
            <w:r>
              <w:rPr>
                <w:rFonts w:ascii="Times New Roman" w:cs="Times New Roman" w:eastAsia="Times New Roman" w:hAnsi="Times New Roman"/>
                <w:sz w:val="10"/>
                <w:szCs w:val="10"/>
                <w:color w:val="auto"/>
              </w:rPr>
              <w:t>(c)</w:t>
            </w: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5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9"/>
                <w:szCs w:val="19"/>
                <w:color w:val="auto"/>
                <w:vertAlign w:val="superscript"/>
              </w:rPr>
              <w:t>(d)(e)</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3,097</w:t>
            </w:r>
          </w:p>
        </w:tc>
        <w:tc>
          <w:tcPr>
            <w:tcW w:w="0" w:type="dxa"/>
            <w:vAlign w:val="bottom"/>
          </w:tcPr>
          <w:p>
            <w:pPr>
              <w:spacing w:after="0"/>
              <w:rPr>
                <w:sz w:val="1"/>
                <w:szCs w:val="1"/>
                <w:color w:val="auto"/>
              </w:rPr>
            </w:pPr>
          </w:p>
        </w:tc>
      </w:tr>
      <w:tr>
        <w:trPr>
          <w:trHeight w:val="168"/>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68"/>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Dividends, $1.58 per common share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32"/>
        </w:trPr>
        <w:tc>
          <w:tcPr>
            <w:tcW w:w="53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Compensation expense and common shares issued under stock incentive and other plans</w:t>
            </w:r>
            <w:r>
              <w:rPr>
                <w:rFonts w:ascii="Times New Roman" w:cs="Times New Roman" w:eastAsia="Times New Roman" w:hAnsi="Times New Roman"/>
                <w:sz w:val="15"/>
                <w:szCs w:val="15"/>
                <w:color w:val="auto"/>
                <w:vertAlign w:val="superscript"/>
              </w:rPr>
              <w:t>(b)</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(c)</w:t>
            </w: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3"/>
        </w:trPr>
        <w:tc>
          <w:tcPr>
            <w:tcW w:w="5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0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9"/>
                <w:szCs w:val="19"/>
                <w:color w:val="auto"/>
                <w:vertAlign w:val="superscript"/>
              </w:rPr>
              <w:t>(d)(e)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68"/>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3,315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2,868</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8"/>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$1.64 per common share</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32"/>
        </w:trPr>
        <w:tc>
          <w:tcPr>
            <w:tcW w:w="53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Compensation expense and common shares issued under stock incentive and other plans</w:t>
            </w:r>
            <w:r>
              <w:rPr>
                <w:rFonts w:ascii="Times New Roman" w:cs="Times New Roman" w:eastAsia="Times New Roman" w:hAnsi="Times New Roman"/>
                <w:sz w:val="15"/>
                <w:szCs w:val="15"/>
                <w:color w:val="auto"/>
                <w:vertAlign w:val="superscript"/>
              </w:rPr>
              <w:t>(b)</w:t>
            </w:r>
          </w:p>
        </w:tc>
        <w:tc>
          <w:tcPr>
            <w:tcW w:w="80" w:type="dxa"/>
            <w:vAlign w:val="bottom"/>
          </w:tcPr>
          <w:p>
            <w:pPr>
              <w:spacing w:after="0"/>
              <w:rPr>
                <w:sz w:val="11"/>
                <w:szCs w:val="11"/>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20"/>
        </w:trPr>
        <w:tc>
          <w:tcPr>
            <w:tcW w:w="5300" w:type="dxa"/>
            <w:vAlign w:val="bottom"/>
          </w:tcPr>
          <w:p>
            <w:pPr>
              <w:spacing w:after="0"/>
              <w:rPr>
                <w:sz w:val="20"/>
                <w:szCs w:val="20"/>
                <w:color w:val="auto"/>
              </w:rPr>
            </w:pPr>
            <w:r>
              <w:rPr>
                <w:rFonts w:ascii="Times New Roman" w:cs="Times New Roman" w:eastAsia="Times New Roman" w:hAnsi="Times New Roman"/>
                <w:sz w:val="10"/>
                <w:szCs w:val="10"/>
                <w:color w:val="auto"/>
              </w:rPr>
              <w:t>(c)</w:t>
            </w: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5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9"/>
                <w:szCs w:val="19"/>
                <w:color w:val="auto"/>
                <w:vertAlign w:val="superscript"/>
              </w:rPr>
              <w:t>(d)(e)</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3"/>
          <w:szCs w:val="13"/>
          <w:color w:val="auto"/>
        </w:rPr>
        <w:t>(a)At September 30, 2025 and 2024, the net of tax accumulated other comprehensive loss of $401 million and $448 million, respectively, was comprised of net unrealized translation losses of $400 million and $445 million, respectively, unrecognized prior service costs as a result of certain employee benefit plan amendments of $1 million and $1 million, respectively, and net unrealized losses on commodity hedges of zero and $2 million, respectively.</w:t>
      </w:r>
    </w:p>
    <w:p>
      <w:pPr>
        <w:spacing w:after="0" w:line="1" w:lineRule="exact"/>
        <w:rPr>
          <w:sz w:val="20"/>
          <w:szCs w:val="20"/>
          <w:color w:val="auto"/>
        </w:rPr>
      </w:pPr>
    </w:p>
    <w:p>
      <w:pPr>
        <w:ind w:right="1400"/>
        <w:spacing w:after="0" w:line="289" w:lineRule="auto"/>
        <w:rPr>
          <w:sz w:val="20"/>
          <w:szCs w:val="20"/>
          <w:color w:val="auto"/>
        </w:rPr>
      </w:pPr>
      <w:r>
        <w:rPr>
          <w:rFonts w:ascii="Times New Roman" w:cs="Times New Roman" w:eastAsia="Times New Roman" w:hAnsi="Times New Roman"/>
          <w:sz w:val="13"/>
          <w:szCs w:val="13"/>
          <w:color w:val="auto"/>
        </w:rPr>
        <w:t>(b)Includes a benefit of $3 million, $5 million and $11 million for stock based compensation employee withholding taxes paid in cash for 2025, 2024 and 2023, respectively, (c)Common shares issued were 143,631, 137,799 and 193,767 for 2025, 2024 and 2023, respectively. (d)Common shares repurchased were 1,541,320, 4,285,194 and 3,082,928 for 2025, 2024 and 2023, respectively.</w:t>
      </w:r>
    </w:p>
    <w:p>
      <w:pPr>
        <w:spacing w:after="0"/>
        <w:rPr>
          <w:sz w:val="20"/>
          <w:szCs w:val="20"/>
          <w:color w:val="auto"/>
        </w:rPr>
      </w:pPr>
      <w:r>
        <w:rPr>
          <w:rFonts w:ascii="Times New Roman" w:cs="Times New Roman" w:eastAsia="Times New Roman" w:hAnsi="Times New Roman"/>
          <w:sz w:val="13"/>
          <w:szCs w:val="13"/>
          <w:color w:val="auto"/>
        </w:rPr>
        <w:t>(e)Includes $1 million, $3 million and $3 million of accrued excise taxes on stock repurchases for 2025, 2024 and 2023,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color w:val="auto"/>
        </w:rPr>
        <w:t>Ashland Inc. and Consolidated Subsidiaries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Statements of Consolidated Cash Flows</w:t>
      </w:r>
    </w:p>
    <w:p>
      <w:pPr>
        <w:spacing w:after="0"/>
        <w:rPr>
          <w:sz w:val="20"/>
          <w:szCs w:val="20"/>
          <w:color w:val="auto"/>
        </w:rPr>
      </w:pPr>
      <w:r>
        <w:rPr>
          <w:rFonts w:ascii="Times New Roman" w:cs="Times New Roman" w:eastAsia="Times New Roman" w:hAnsi="Times New Roman"/>
          <w:sz w:val="16"/>
          <w:szCs w:val="16"/>
          <w:color w:val="auto"/>
        </w:rPr>
        <w:t>Years Ended September 30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millions)</w:t>
            </w:r>
          </w:p>
        </w:tc>
        <w:tc>
          <w:tcPr>
            <w:tcW w:w="180" w:type="dxa"/>
            <w:vAlign w:val="bottom"/>
          </w:tcPr>
          <w:p>
            <w:pPr>
              <w:spacing w:after="0"/>
              <w:rPr>
                <w:sz w:val="13"/>
                <w:szCs w:val="13"/>
                <w:color w:val="auto"/>
              </w:rPr>
            </w:pPr>
          </w:p>
        </w:tc>
        <w:tc>
          <w:tcPr>
            <w:tcW w:w="7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FLOWS PROVIDED (USED) BY OPERATING ACTIVITIES FROM CONTINUING OPERATIONS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Loss (income) from discontinued operations, net of income taxes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Adjustments to reconcile income (loss) from continuing operations to cash flows from operating activities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237</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274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Original issue discount and debt issuance cost amortization</w:t>
            </w:r>
          </w:p>
        </w:tc>
        <w:tc>
          <w:tcPr>
            <w:tcW w:w="18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Deferred income taxes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 from sales of property and equipment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2"/>
                <w:szCs w:val="12"/>
                <w:color w:val="auto"/>
              </w:rPr>
              <w:t>Stock based compensation expense - Note O</w:t>
            </w:r>
          </w:p>
        </w:tc>
        <w:tc>
          <w:tcPr>
            <w:tcW w:w="180" w:type="dxa"/>
            <w:vAlign w:val="bottom"/>
            <w:shd w:val="clear" w:color="auto" w:fill="CCF0FC"/>
          </w:tcPr>
          <w:p>
            <w:pPr>
              <w:spacing w:after="0"/>
              <w:rPr>
                <w:sz w:val="12"/>
                <w:szCs w:val="12"/>
                <w:color w:val="auto"/>
              </w:rPr>
            </w:pPr>
          </w:p>
        </w:tc>
        <w:tc>
          <w:tcPr>
            <w:tcW w:w="720" w:type="dxa"/>
            <w:vAlign w:val="bottom"/>
            <w:shd w:val="clear" w:color="auto" w:fill="CCF0FC"/>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shd w:val="clear" w:color="auto" w:fill="CCF0FC"/>
          </w:tcPr>
          <w:p>
            <w:pPr>
              <w:spacing w:after="0"/>
              <w:rPr>
                <w:sz w:val="12"/>
                <w:szCs w:val="12"/>
                <w:color w:val="auto"/>
              </w:rPr>
            </w:pPr>
          </w:p>
        </w:tc>
        <w:tc>
          <w:tcPr>
            <w:tcW w:w="180" w:type="dxa"/>
            <w:vAlign w:val="bottom"/>
            <w:shd w:val="clear" w:color="auto" w:fill="CCF0FC"/>
          </w:tcPr>
          <w:p>
            <w:pPr>
              <w:spacing w:after="0"/>
              <w:rPr>
                <w:sz w:val="12"/>
                <w:szCs w:val="12"/>
                <w:color w:val="auto"/>
              </w:rPr>
            </w:pPr>
          </w:p>
        </w:tc>
        <w:tc>
          <w:tcPr>
            <w:tcW w:w="700" w:type="dxa"/>
            <w:vAlign w:val="bottom"/>
            <w:shd w:val="clear" w:color="auto" w:fill="CCF0FC"/>
          </w:tcPr>
          <w:p>
            <w:pPr>
              <w:jc w:val="right"/>
              <w:ind w:right="40"/>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F0FC"/>
          </w:tcPr>
          <w:p>
            <w:pPr>
              <w:spacing w:after="0"/>
              <w:rPr>
                <w:sz w:val="12"/>
                <w:szCs w:val="12"/>
                <w:color w:val="auto"/>
              </w:rPr>
            </w:pPr>
          </w:p>
        </w:tc>
        <w:tc>
          <w:tcPr>
            <w:tcW w:w="160" w:type="dxa"/>
            <w:vAlign w:val="bottom"/>
            <w:shd w:val="clear" w:color="auto" w:fill="CCF0FC"/>
          </w:tcPr>
          <w:p>
            <w:pPr>
              <w:spacing w:after="0"/>
              <w:rPr>
                <w:sz w:val="12"/>
                <w:szCs w:val="12"/>
                <w:color w:val="auto"/>
              </w:rPr>
            </w:pPr>
          </w:p>
        </w:tc>
        <w:tc>
          <w:tcPr>
            <w:tcW w:w="700" w:type="dxa"/>
            <w:vAlign w:val="bottom"/>
            <w:shd w:val="clear" w:color="auto" w:fill="CCF0FC"/>
          </w:tcPr>
          <w:p>
            <w:pPr>
              <w:jc w:val="right"/>
              <w:ind w:right="20"/>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Benefit (loss) from excess tax deduction on stock based compensation</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2"/>
                <w:szCs w:val="12"/>
                <w:color w:val="auto"/>
              </w:rPr>
              <w:t>Income from restricted investments</w:t>
            </w:r>
          </w:p>
        </w:tc>
        <w:tc>
          <w:tcPr>
            <w:tcW w:w="180" w:type="dxa"/>
            <w:vAlign w:val="bottom"/>
            <w:shd w:val="clear" w:color="auto" w:fill="CCF0FC"/>
          </w:tcPr>
          <w:p>
            <w:pPr>
              <w:spacing w:after="0"/>
              <w:rPr>
                <w:sz w:val="12"/>
                <w:szCs w:val="12"/>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shd w:val="clear" w:color="auto" w:fill="CCF0FC"/>
          </w:tcPr>
          <w:p>
            <w:pPr>
              <w:spacing w:after="0"/>
              <w:rPr>
                <w:sz w:val="12"/>
                <w:szCs w:val="12"/>
                <w:color w:val="auto"/>
              </w:rPr>
            </w:pPr>
          </w:p>
        </w:tc>
        <w:tc>
          <w:tcPr>
            <w:tcW w:w="180" w:type="dxa"/>
            <w:vAlign w:val="bottom"/>
            <w:shd w:val="clear" w:color="auto" w:fill="CCF0FC"/>
          </w:tcPr>
          <w:p>
            <w:pPr>
              <w:spacing w:after="0"/>
              <w:rPr>
                <w:sz w:val="12"/>
                <w:szCs w:val="12"/>
                <w:color w:val="auto"/>
              </w:rPr>
            </w:pPr>
          </w:p>
        </w:tc>
        <w:tc>
          <w:tcPr>
            <w:tcW w:w="7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20" w:type="dxa"/>
            <w:vAlign w:val="bottom"/>
            <w:shd w:val="clear" w:color="auto" w:fill="CCF0FC"/>
          </w:tcPr>
          <w:p>
            <w:pPr>
              <w:spacing w:after="0"/>
              <w:rPr>
                <w:sz w:val="12"/>
                <w:szCs w:val="12"/>
                <w:color w:val="auto"/>
              </w:rPr>
            </w:pPr>
          </w:p>
        </w:tc>
        <w:tc>
          <w:tcPr>
            <w:tcW w:w="160" w:type="dxa"/>
            <w:vAlign w:val="bottom"/>
            <w:shd w:val="clear" w:color="auto" w:fill="CCF0FC"/>
          </w:tcPr>
          <w:p>
            <w:pPr>
              <w:spacing w:after="0"/>
              <w:rPr>
                <w:sz w:val="12"/>
                <w:szCs w:val="12"/>
                <w:color w:val="auto"/>
              </w:rPr>
            </w:pPr>
          </w:p>
        </w:tc>
        <w:tc>
          <w:tcPr>
            <w:tcW w:w="7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(income) on acquisitions and divestitures, net - Notes B</w:t>
            </w:r>
          </w:p>
        </w:tc>
        <w:tc>
          <w:tcPr>
            <w:tcW w:w="18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Goodwill impairment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706</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impairments</w:t>
            </w:r>
          </w:p>
        </w:tc>
        <w:tc>
          <w:tcPr>
            <w:tcW w:w="18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Pension contributions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(gain) on pension and other postretirement plan remeasurements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2"/>
                <w:szCs w:val="12"/>
                <w:color w:val="auto"/>
              </w:rPr>
              <w:t>Change in operating assets and liabilities</w:t>
            </w:r>
            <w:r>
              <w:rPr>
                <w:rFonts w:ascii="Times New Roman" w:cs="Times New Roman" w:eastAsia="Times New Roman" w:hAnsi="Times New Roman"/>
                <w:sz w:val="16"/>
                <w:szCs w:val="16"/>
                <w:color w:val="auto"/>
                <w:vertAlign w:val="superscript"/>
              </w:rPr>
              <w:t>(a)</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227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Total cash flows provided by operating activities from continuing operations</w:t>
            </w:r>
          </w:p>
        </w:tc>
        <w:tc>
          <w:tcPr>
            <w:tcW w:w="18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FLOWS PROVIDED (USED) BY INVESTING ACTIVITIES FROM CONTINUING OPERATIONS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disposal of property, plant and equipment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16</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 or restructuring of operations</w:t>
            </w:r>
          </w:p>
        </w:tc>
        <w:tc>
          <w:tcPr>
            <w:tcW w:w="18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settlement of company-owned life insurance contracts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Company-owned life insurance payments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Funds restricted for specific transactions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Reimbursement from restricted investments</w:t>
            </w:r>
          </w:p>
        </w:tc>
        <w:tc>
          <w:tcPr>
            <w:tcW w:w="18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sale of securities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56</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Purchase of securities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investing cash flows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Total cash flows used by investing activities from continuing operations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FLOWS PROVIDED (USED) BY FINANCING ACTIVITIES FROM CONTINUING OPERATIONS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(repayment of) short-term debt</w:t>
            </w:r>
          </w:p>
        </w:tc>
        <w:tc>
          <w:tcPr>
            <w:tcW w:w="180" w:type="dxa"/>
            <w:vAlign w:val="bottom"/>
          </w:tcPr>
          <w:p>
            <w:pPr>
              <w:spacing w:after="0"/>
              <w:rPr>
                <w:sz w:val="12"/>
                <w:szCs w:val="12"/>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Cash dividends paid</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based compensation employee withholding taxes paid in cash</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Total cash flows used by financing activities from continuing operations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USED BY CONTINUING OPERATIONS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Cash used by discontinued operations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Operating cash flows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Total cash used by discontinued operations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Effect of currency exchange rate changes on cash and cash equivalents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DECREASE IN CASH AND CASH EQUIVALENTS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 BEGINNING OF YEAR</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300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417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 END OF YEAR</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764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CHANGES IN ASSETS AND LIABILITIES</w:t>
            </w:r>
            <w:r>
              <w:rPr>
                <w:rFonts w:ascii="Times New Roman" w:cs="Times New Roman" w:eastAsia="Times New Roman" w:hAnsi="Times New Roman"/>
                <w:sz w:val="13"/>
                <w:szCs w:val="13"/>
                <w:b w:val="1"/>
                <w:bCs w:val="1"/>
                <w:color w:val="auto"/>
                <w:vertAlign w:val="superscript"/>
              </w:rPr>
              <w:t>(a)</w:t>
            </w: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Inventories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Trade and other payables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CHANGE IN OPERATING ASSETS AND LIABILITIES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764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SUPPLEMENTAL DISCLOSURES</w:t>
            </w: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Income taxes paid (including discontinued operations)</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Excludes changes resulting from operations sold.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color w:val="auto"/>
        </w:rPr>
        <w:t>NOTE A – SIGNIFICANT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 and basis of presentation</w:t>
      </w:r>
    </w:p>
    <w:p>
      <w:pPr>
        <w:spacing w:after="0" w:line="94" w:lineRule="exact"/>
        <w:rPr>
          <w:sz w:val="20"/>
          <w:szCs w:val="20"/>
          <w:color w:val="auto"/>
        </w:rPr>
      </w:pPr>
    </w:p>
    <w:p>
      <w:pPr>
        <w:ind w:right="180" w:firstLine="348"/>
        <w:spacing w:after="0" w:line="284"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accounting principles generally accepted in the United States of America ("U.S. GAAP") and U.S. Securities and Exchange Commission ("SEC") regulations. The Consolidated Financial Statements include the accounts of Ashland Inc. ("Ashland") and its majority owned subsidiaries and, when applicable, entities for which Ashland has a controlling financial interest or is the primary beneficiary. Investments in joint ventures and 20% to 50% owned affiliates where Ashland has the ability to exert significant influence are accounted for under the equity method. Ashland had no significant equity method investments for any of the periods presented. All intercompany transactions and balances have been eliminated.</w:t>
      </w:r>
    </w:p>
    <w:p>
      <w:pPr>
        <w:spacing w:after="0" w:line="44" w:lineRule="exact"/>
        <w:rPr>
          <w:sz w:val="20"/>
          <w:szCs w:val="20"/>
          <w:color w:val="auto"/>
        </w:rPr>
      </w:pPr>
    </w:p>
    <w:p>
      <w:pPr>
        <w:ind w:right="140" w:firstLine="348"/>
        <w:spacing w:after="0" w:line="259" w:lineRule="auto"/>
        <w:rPr>
          <w:sz w:val="20"/>
          <w:szCs w:val="20"/>
          <w:color w:val="auto"/>
        </w:rPr>
      </w:pPr>
      <w:r>
        <w:rPr>
          <w:rFonts w:ascii="Times New Roman" w:cs="Times New Roman" w:eastAsia="Times New Roman" w:hAnsi="Times New Roman"/>
          <w:sz w:val="16"/>
          <w:szCs w:val="16"/>
          <w:color w:val="auto"/>
        </w:rPr>
        <w:t>Ashland is comprised of the following reportable segments: Life Sciences, Personal Care, Specialty Additives and Intermediates. Unallocated and Other includes corporate governance activities and certain legacy matters. See Note Q for more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 risks and uncertainties</w:t>
      </w:r>
    </w:p>
    <w:p>
      <w:pPr>
        <w:spacing w:after="0" w:line="94" w:lineRule="exact"/>
        <w:rPr>
          <w:sz w:val="20"/>
          <w:szCs w:val="20"/>
          <w:color w:val="auto"/>
        </w:rPr>
      </w:pPr>
    </w:p>
    <w:p>
      <w:pPr>
        <w:ind w:right="100" w:firstLine="348"/>
        <w:spacing w:after="0" w:line="241" w:lineRule="auto"/>
        <w:rPr>
          <w:sz w:val="20"/>
          <w:szCs w:val="20"/>
          <w:color w:val="auto"/>
        </w:rPr>
      </w:pPr>
      <w:r>
        <w:rPr>
          <w:rFonts w:ascii="Times New Roman" w:cs="Times New Roman" w:eastAsia="Times New Roman" w:hAnsi="Times New Roman"/>
          <w:sz w:val="16"/>
          <w:szCs w:val="16"/>
          <w:color w:val="auto"/>
        </w:rPr>
        <w:t>The preparation of Ashland’s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the accounting for goodwill and other indefinite-lived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3" w:lineRule="exact"/>
        <w:rPr>
          <w:sz w:val="20"/>
          <w:szCs w:val="20"/>
          <w:color w:val="auto"/>
        </w:rPr>
      </w:pPr>
    </w:p>
    <w:p>
      <w:pPr>
        <w:ind w:right="160" w:firstLine="348"/>
        <w:spacing w:after="0" w:line="243" w:lineRule="auto"/>
        <w:rPr>
          <w:sz w:val="20"/>
          <w:szCs w:val="20"/>
          <w:color w:val="auto"/>
        </w:rPr>
      </w:pPr>
      <w:r>
        <w:rPr>
          <w:rFonts w:ascii="Times New Roman" w:cs="Times New Roman" w:eastAsia="Times New Roman" w:hAnsi="Times New Roman"/>
          <w:sz w:val="16"/>
          <w:szCs w:val="16"/>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income taxes or other matters.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Cash and cash equivalents include cash on hand and highly liquid investments maturing within three months after purchase.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 on accounts receivable</w:t>
      </w:r>
    </w:p>
    <w:p>
      <w:pPr>
        <w:spacing w:after="0" w:line="94" w:lineRule="exact"/>
        <w:rPr>
          <w:sz w:val="20"/>
          <w:szCs w:val="20"/>
          <w:color w:val="auto"/>
        </w:rPr>
      </w:pPr>
    </w:p>
    <w:p>
      <w:pPr>
        <w:ind w:right="100" w:firstLine="348"/>
        <w:spacing w:after="0" w:line="289" w:lineRule="auto"/>
        <w:rPr>
          <w:sz w:val="20"/>
          <w:szCs w:val="20"/>
          <w:color w:val="auto"/>
        </w:rPr>
      </w:pPr>
      <w:r>
        <w:rPr>
          <w:rFonts w:ascii="Times New Roman" w:cs="Times New Roman" w:eastAsia="Times New Roman" w:hAnsi="Times New Roman"/>
          <w:sz w:val="14"/>
          <w:szCs w:val="14"/>
          <w:color w:val="auto"/>
        </w:rPr>
        <w:t>Ashland records an allowance for credit losses using the expected credit loss model.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 No significant credit losses were incurred in 2025, 2024 and 2023.</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progression of activity in the allowance for credit losses is presented in the following table for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 - beginning of year</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64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Adjustments to allowances for credit losses</w:t>
            </w:r>
            <w:r>
              <w:rPr>
                <w:rFonts w:ascii="Times New Roman" w:cs="Times New Roman" w:eastAsia="Times New Roman" w:hAnsi="Times New Roman"/>
                <w:sz w:val="20"/>
                <w:szCs w:val="20"/>
                <w:color w:val="auto"/>
                <w:vertAlign w:val="superscript"/>
              </w:rPr>
              <w:t>(a)</w:t>
            </w: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Reserves utilized</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6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 - end of year</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20"/>
        </w:trPr>
        <w:tc>
          <w:tcPr>
            <w:tcW w:w="6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(a)Adjustments to allowances for credit loses were less than $1 million for fiscal 2024.</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color w:val="auto"/>
        </w:rPr>
        <w:t>Inventories</w:t>
      </w:r>
    </w:p>
    <w:p>
      <w:pPr>
        <w:spacing w:after="0" w:line="94" w:lineRule="exact"/>
        <w:rPr>
          <w:sz w:val="20"/>
          <w:szCs w:val="20"/>
          <w:color w:val="auto"/>
        </w:rPr>
      </w:pPr>
    </w:p>
    <w:p>
      <w:pPr>
        <w:ind w:right="440" w:firstLine="348"/>
        <w:spacing w:after="0" w:line="259" w:lineRule="auto"/>
        <w:rPr>
          <w:sz w:val="20"/>
          <w:szCs w:val="20"/>
          <w:color w:val="auto"/>
        </w:rPr>
      </w:pPr>
      <w:r>
        <w:rPr>
          <w:rFonts w:ascii="Times New Roman" w:cs="Times New Roman" w:eastAsia="Times New Roman" w:hAnsi="Times New Roman"/>
          <w:sz w:val="16"/>
          <w:szCs w:val="16"/>
          <w:color w:val="auto"/>
        </w:rPr>
        <w:t>Inventories are carried at the lower of cost or net realizable value. Inventories are stated at cost using the weighted-average cost method. This method values inventories using average costs for raw materials and most recent production costs for labor and overhead.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following summarizes Ashland’s inventories as of September 30:</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90"/>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6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Finished products</w:t>
            </w:r>
          </w:p>
        </w:tc>
        <w:tc>
          <w:tcPr>
            <w:tcW w:w="16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421</w:t>
            </w:r>
          </w:p>
        </w:tc>
        <w:tc>
          <w:tcPr>
            <w:tcW w:w="4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372</w:t>
            </w:r>
          </w:p>
        </w:tc>
      </w:tr>
      <w:tr>
        <w:trPr>
          <w:trHeight w:val="180"/>
        </w:trPr>
        <w:tc>
          <w:tcPr>
            <w:tcW w:w="6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Raw materials, supplies and work in process</w:t>
            </w: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173</w:t>
            </w:r>
          </w:p>
        </w:tc>
      </w:tr>
      <w:tr>
        <w:trPr>
          <w:trHeight w:val="200"/>
        </w:trPr>
        <w:tc>
          <w:tcPr>
            <w:tcW w:w="60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568</w:t>
            </w:r>
          </w:p>
        </w:tc>
        <w:tc>
          <w:tcPr>
            <w:tcW w:w="4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545</w:t>
            </w: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143" w:lineRule="exact"/>
        <w:rPr>
          <w:sz w:val="20"/>
          <w:szCs w:val="20"/>
          <w:color w:val="auto"/>
        </w:rPr>
      </w:pPr>
    </w:p>
    <w:p>
      <w:pPr>
        <w:ind w:right="260" w:firstLine="348"/>
        <w:spacing w:after="0" w:line="259" w:lineRule="auto"/>
        <w:rPr>
          <w:sz w:val="20"/>
          <w:szCs w:val="20"/>
          <w:color w:val="auto"/>
        </w:rPr>
      </w:pPr>
      <w:r>
        <w:rPr>
          <w:rFonts w:ascii="Times New Roman" w:cs="Times New Roman" w:eastAsia="Times New Roman" w:hAnsi="Times New Roman"/>
          <w:sz w:val="16"/>
          <w:szCs w:val="16"/>
          <w:color w:val="auto"/>
        </w:rPr>
        <w:t>A progression of activity in the inventory reserves for obsolete and slow moving inventories, which reduce the amounts of finished products and raw materials, supplies and work in process reported, is presented in the following table, for the years ended September 30: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Inventory reserves - beginning of year</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6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Adjustments to inventory reserves</w:t>
            </w: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6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Reserves utilized</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6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Inventory reserves - end of year</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20"/>
        </w:trPr>
        <w:tc>
          <w:tcPr>
            <w:tcW w:w="6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p>
      <w:pPr>
        <w:spacing w:after="0" w:line="94" w:lineRule="exact"/>
        <w:rPr>
          <w:sz w:val="20"/>
          <w:szCs w:val="20"/>
          <w:color w:val="auto"/>
        </w:rPr>
      </w:pPr>
    </w:p>
    <w:p>
      <w:pPr>
        <w:ind w:right="20" w:firstLine="348"/>
        <w:spacing w:after="0" w:line="239" w:lineRule="auto"/>
        <w:rPr>
          <w:sz w:val="20"/>
          <w:szCs w:val="20"/>
          <w:color w:val="auto"/>
        </w:rPr>
      </w:pPr>
      <w:r>
        <w:rPr>
          <w:rFonts w:ascii="Times New Roman" w:cs="Times New Roman" w:eastAsia="Times New Roman" w:hAnsi="Times New Roman"/>
          <w:sz w:val="16"/>
          <w:szCs w:val="16"/>
          <w:color w:val="auto"/>
        </w:rPr>
        <w:t>The cost of property, plant and equipment is depreciated by the straight-line method over the estimated useful lives of the assets. Buildings are depreciated principally over 12 to 35 years and machinery and equipment principally over 2 to 25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 See Note F for additional information related to property, plant and equipment.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Leasing arrangements</w:t>
      </w:r>
    </w:p>
    <w:p>
      <w:pPr>
        <w:spacing w:after="0" w:line="94" w:lineRule="exact"/>
        <w:rPr>
          <w:sz w:val="20"/>
          <w:szCs w:val="20"/>
          <w:color w:val="auto"/>
        </w:rPr>
      </w:pPr>
    </w:p>
    <w:p>
      <w:pPr>
        <w:ind w:right="80" w:firstLine="348"/>
        <w:spacing w:after="0" w:line="259" w:lineRule="auto"/>
        <w:rPr>
          <w:sz w:val="20"/>
          <w:szCs w:val="20"/>
          <w:color w:val="auto"/>
        </w:rPr>
      </w:pPr>
      <w:r>
        <w:rPr>
          <w:rFonts w:ascii="Times New Roman" w:cs="Times New Roman" w:eastAsia="Times New Roman" w:hAnsi="Times New Roman"/>
          <w:sz w:val="16"/>
          <w:szCs w:val="16"/>
          <w:color w:val="auto"/>
        </w:rPr>
        <w:t>Ashland determines if an arrangement contains a lease at inception based on whether or not it has the right to control the asset during the contract period and other facts and circumstances.</w:t>
      </w:r>
    </w:p>
    <w:p>
      <w:pPr>
        <w:spacing w:after="0" w:line="59"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Operating lease right-of-use assets represent Ashland’s right to use an underlying asset for the lease term and lease liabilities represent Ashland’s obligation to make lease payments arising from the lease, both of which are recognized based on the present value of the future minimum lease payments over the lease term at the commencement date. Leases with a lease term of 12 months or less at inception are not recorded within the Consolidated Balance Sheets and are expensed on a straight-line basis over the lease term within the Statements of Consolidated Comprehensive Income (Loss) . The lease term is determined by assuming the exercise of renewal options that are reasonably certain. As most leases do not provide an implicit interest rate, Ashland used its incremental borrowing rate based on the information available at commencement date in determining the present value of future lease payments. When contracts contain lease and non-lease components, Ashland generally accounts for both components as a single lease component. For additional information on leasing arrangements, see Note J.</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and other indefinite-lived intangible assets</w:t>
      </w:r>
    </w:p>
    <w:p>
      <w:pPr>
        <w:spacing w:after="0" w:line="94" w:lineRule="exact"/>
        <w:rPr>
          <w:sz w:val="20"/>
          <w:szCs w:val="20"/>
          <w:color w:val="auto"/>
        </w:rPr>
      </w:pPr>
    </w:p>
    <w:p>
      <w:pPr>
        <w:ind w:right="40" w:firstLine="348"/>
        <w:spacing w:after="0" w:line="241" w:lineRule="auto"/>
        <w:rPr>
          <w:sz w:val="20"/>
          <w:szCs w:val="20"/>
          <w:color w:val="auto"/>
        </w:rPr>
      </w:pPr>
      <w:r>
        <w:rPr>
          <w:rFonts w:ascii="Times New Roman" w:cs="Times New Roman" w:eastAsia="Times New Roman" w:hAnsi="Times New Roman"/>
          <w:sz w:val="16"/>
          <w:szCs w:val="16"/>
          <w:color w:val="auto"/>
        </w:rPr>
        <w:t>Ashland tests goodwill and other indefinite-lived intangible assets for impairment annually as of July 1 and when events and circumstances indicate an impairment may have occurred. Ashland reviews goodwill for impairment based on its identified reporting units. Ashland determined that its reporting units are Life Sciences, Personal Care, Specialty Additives and Intermediates. Ashland tests goodwill for impairment by comparing the carrying value to the estimated fair value of its reporting units. If the fair value of the reporting unit is lower than its carrying amount, goodwill is written down for the amount by which the carrying amount exceeds the fair value. However, the loss recognized cannot exceed the carrying amount of goodwill.</w:t>
      </w:r>
    </w:p>
    <w:p>
      <w:pPr>
        <w:spacing w:after="0" w:line="73" w:lineRule="exact"/>
        <w:rPr>
          <w:sz w:val="20"/>
          <w:szCs w:val="20"/>
          <w:color w:val="auto"/>
        </w:rPr>
      </w:pPr>
    </w:p>
    <w:p>
      <w:pPr>
        <w:ind w:right="280" w:firstLine="348"/>
        <w:spacing w:after="0" w:line="247" w:lineRule="auto"/>
        <w:rPr>
          <w:sz w:val="20"/>
          <w:szCs w:val="20"/>
          <w:color w:val="auto"/>
        </w:rPr>
      </w:pPr>
      <w:r>
        <w:rPr>
          <w:rFonts w:ascii="Times New Roman" w:cs="Times New Roman" w:eastAsia="Times New Roman" w:hAnsi="Times New Roman"/>
          <w:sz w:val="16"/>
          <w:szCs w:val="16"/>
          <w:color w:val="auto"/>
        </w:rPr>
        <w:t>Using the quantitative approach, 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Discounted cash flow models are reliant on various assumptions, including projected business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96" w:name="page97"/>
    <w:bookmarkEnd w:id="96"/>
    <w:p>
      <w:pPr>
        <w:ind w:right="60"/>
        <w:spacing w:after="0" w:line="243" w:lineRule="auto"/>
        <w:rPr>
          <w:sz w:val="20"/>
          <w:szCs w:val="20"/>
          <w:color w:val="auto"/>
        </w:rPr>
      </w:pPr>
      <w:r>
        <w:rPr>
          <w:rFonts w:ascii="Times New Roman" w:cs="Times New Roman" w:eastAsia="Times New Roman" w:hAnsi="Times New Roman"/>
          <w:sz w:val="16"/>
          <w:szCs w:val="16"/>
          <w:color w:val="auto"/>
        </w:rPr>
        <w:t>results, long-term growth factors and weighted-average cost of capital. Management judgment is involved in estimating these variables, and they include uncertainties since they are forecasting future events. Ashland performs sensitivity analyses by using a range of inputs to confirm the reasonableness of the long-term growth rate and weighted average cost of capital. Additionally, Ashland compares the indicated equity value to Ashland’s market capitalization and evaluates the resulting implied control premium/discount to determine if the estimated enterprise value is reasonable.</w:t>
      </w:r>
    </w:p>
    <w:p>
      <w:pPr>
        <w:spacing w:after="0" w:line="71" w:lineRule="exact"/>
        <w:rPr>
          <w:sz w:val="20"/>
          <w:szCs w:val="20"/>
          <w:color w:val="auto"/>
        </w:rPr>
      </w:pPr>
    </w:p>
    <w:p>
      <w:pPr>
        <w:ind w:right="100" w:firstLine="348"/>
        <w:spacing w:after="0" w:line="239" w:lineRule="auto"/>
        <w:rPr>
          <w:sz w:val="20"/>
          <w:szCs w:val="20"/>
          <w:color w:val="auto"/>
        </w:rPr>
      </w:pPr>
      <w:r>
        <w:rPr>
          <w:rFonts w:ascii="Times New Roman" w:cs="Times New Roman" w:eastAsia="Times New Roman" w:hAnsi="Times New Roman"/>
          <w:sz w:val="16"/>
          <w:szCs w:val="16"/>
          <w:color w:val="auto"/>
        </w:rPr>
        <w:t>Ashland tests at least annually its indefinite-lived intangible assets, principally trademarks and trade names. If the carrying value of an individual indefinite-lived intangible asset exceeds its fair value, such individual indefinite -lived intangible asset is written down by an amount equal to such excess. Ashland performs a quantitative impairment test for the trademarks and trade names during which, trademarks and trade names are valued using a “relief-from-royalty” valuation method compared to the carrying value. Assumptions inherent in the valuation methodologies include, but are not limited to, such estimates as future projected business results, growth rates, the weighted-average cost of capital for a market participant, and royalty rates. For further information on goodwill and other indefinite-lived intangible assets, see Note 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p>
      <w:pPr>
        <w:spacing w:after="0" w:line="94" w:lineRule="exact"/>
        <w:rPr>
          <w:sz w:val="20"/>
          <w:szCs w:val="20"/>
          <w:color w:val="auto"/>
        </w:rPr>
      </w:pPr>
    </w:p>
    <w:p>
      <w:pPr>
        <w:ind w:right="80" w:firstLine="348"/>
        <w:spacing w:after="0" w:line="239" w:lineRule="auto"/>
        <w:rPr>
          <w:sz w:val="20"/>
          <w:szCs w:val="20"/>
          <w:color w:val="auto"/>
        </w:rPr>
      </w:pPr>
      <w:r>
        <w:rPr>
          <w:rFonts w:ascii="Times New Roman" w:cs="Times New Roman" w:eastAsia="Times New Roman" w:hAnsi="Times New Roman"/>
          <w:sz w:val="16"/>
          <w:szCs w:val="16"/>
          <w:color w:val="auto"/>
        </w:rPr>
        <w:t>Finite-lived intangible assets principally consist of certain trademarks and trade names, intellectual property, and customer lists. These intangible assets are amortized on a straight-line basis over their estimated useful lives. The cost of trademarks and trade names is amortized principally over 3 to 20 years, intellectual property over 3 to 20 years and customer and supplier relationships over 10 to 24 years. Ashland reviews finite- lived intangible assets for impairment whenever events or changes in circumstances indicate the carrying amount of an asset may not be recoverable. Ashland monitors these changes and events on at least a quarterly basis. The intangibles amortization expense caption within the Statements of Consolidated Comprehensive Income (Loss) includes amortization expense related to trademarks and trade names, intellectual property and customer and supplier relationships. Intangible assets classified as finite are amortized on a straight-line basis over their estimated useful lives. For further information on finite-lived intangible assets, see Note 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p>
      <w:pPr>
        <w:spacing w:after="0" w:line="94" w:lineRule="exact"/>
        <w:rPr>
          <w:sz w:val="20"/>
          <w:szCs w:val="20"/>
          <w:color w:val="auto"/>
        </w:rPr>
      </w:pPr>
    </w:p>
    <w:p>
      <w:pPr>
        <w:ind w:firstLine="348"/>
        <w:spacing w:after="0" w:line="239" w:lineRule="auto"/>
        <w:rPr>
          <w:sz w:val="20"/>
          <w:szCs w:val="20"/>
          <w:color w:val="auto"/>
        </w:rPr>
      </w:pPr>
      <w:r>
        <w:rPr>
          <w:rFonts w:ascii="Times New Roman" w:cs="Times New Roman" w:eastAsia="Times New Roman" w:hAnsi="Times New Roman"/>
          <w:sz w:val="16"/>
          <w:szCs w:val="16"/>
          <w:color w:val="auto"/>
        </w:rPr>
        <w:t>Ashland regularly uses derivative instruments to manage its exposure to fluctuations in foreign currencies and certain commodities. All derivative instruments are recognized as either assets or liabilities on the Consolidated Balance Sheets and are measured at fair value. Changes in the fair value of all derivatives are recognized immediately in the Statements of Consolidated Comprehensive Income (Loss) unless the derivative qualifies as a hedge of future cash flows or a hedge of a net investment in a foreign operation. Gains and losses related to an instrument that qualifies for hedge accounting are either recognized in the Statements of Consolidated Comprehensive Income (Loss) immediately to offset the gain or loss on the hedged item, or deferred and recorded in the stockholders’ equity section of the Consolidated Balance Sheets as a component of accumulated other comprehensive loss and subsequently recognized in the Statements of Consolidated Comprehensive Income (Loss) when the hedged item affects net income (loss). For additional information on derivative instruments, see Note 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investments</w:t>
      </w:r>
    </w:p>
    <w:p>
      <w:pPr>
        <w:spacing w:after="0" w:line="94"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During 2015, Ashland placed $335 million of insurance proceeds into a renewable annual trust for asbestos (Asbestos trust) that Ashland determined is restricted for the purpose of paying ongoing and future litigation defense and claim settlement costs incurred in conjunction with asbestos claims. As of September 30, 2025 and 2024, the funds within the Asbestos trust had a balance of $231 million and $248 million, respectively, and were primarily invested in publicly traded mutual funds with diversified asset allocations with a portion maintained in demand deposits. These funds are presented primarily as noncurrent assets within the restricted investments caption of the Consolidated Balance Sheets, with $30 million and $36 million classified within other current assets in the Consolidated Balance Sheets as of September 30, 2025 and 2024, respectively.</w:t>
      </w:r>
    </w:p>
    <w:p>
      <w:pPr>
        <w:spacing w:after="0" w:line="77" w:lineRule="exact"/>
        <w:rPr>
          <w:sz w:val="20"/>
          <w:szCs w:val="20"/>
          <w:color w:val="auto"/>
        </w:rPr>
      </w:pPr>
    </w:p>
    <w:p>
      <w:pPr>
        <w:ind w:right="100" w:firstLine="348"/>
        <w:spacing w:after="0" w:line="284" w:lineRule="auto"/>
        <w:rPr>
          <w:sz w:val="20"/>
          <w:szCs w:val="20"/>
          <w:color w:val="auto"/>
        </w:rPr>
      </w:pPr>
      <w:r>
        <w:rPr>
          <w:rFonts w:ascii="Times New Roman" w:cs="Times New Roman" w:eastAsia="Times New Roman" w:hAnsi="Times New Roman"/>
          <w:sz w:val="14"/>
          <w:szCs w:val="14"/>
          <w:color w:val="auto"/>
        </w:rPr>
        <w:t>During 2021, Ashland established a renewable annual trust for environmental remediation (Environmental trust) that Ashland determined is restricted for ongoing and future environmental remediation and related litigation costs. As of September 30, 2025 and 2024, the funds within the Environmental trust had a balance of $116 million and $120 million, respectively, and were primarily invested in publicly traded mutual funds with diversified asset allocations with a portion maintained in demand deposits. These funds are presented primarily as noncurrent assets within the restricted investments caption of the Consolidated Balance Sheets, with $20 million and $37 million classified within other current assets in the Consolidated Balance Sheets as of September 30, 2025 and 2024, respectively.</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97" w:name="page98"/>
    <w:bookmarkEnd w:id="97"/>
    <w:p>
      <w:pPr>
        <w:ind w:right="200" w:firstLine="348"/>
        <w:spacing w:after="0" w:line="247" w:lineRule="auto"/>
        <w:rPr>
          <w:sz w:val="20"/>
          <w:szCs w:val="20"/>
          <w:color w:val="auto"/>
        </w:rPr>
      </w:pPr>
      <w:r>
        <w:rPr>
          <w:rFonts w:ascii="Times New Roman" w:cs="Times New Roman" w:eastAsia="Times New Roman" w:hAnsi="Times New Roman"/>
          <w:sz w:val="16"/>
          <w:szCs w:val="16"/>
          <w:color w:val="auto"/>
        </w:rPr>
        <w:t>The funds within these trusts are classified as investment securities reported at fair value. Interest income and gains and losses (realized and unrealized) on the investment securities are reported in the net interest and other expense (income) caption in the Statements of Consolidated Comprehensive Income (Loss). See Note E for additional information regarding the fair value of these investments within the trusts.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94" w:lineRule="exact"/>
        <w:rPr>
          <w:sz w:val="20"/>
          <w:szCs w:val="20"/>
          <w:color w:val="auto"/>
        </w:rPr>
      </w:pPr>
    </w:p>
    <w:p>
      <w:pPr>
        <w:ind w:right="220" w:firstLine="348"/>
        <w:spacing w:after="0" w:line="247" w:lineRule="auto"/>
        <w:rPr>
          <w:sz w:val="20"/>
          <w:szCs w:val="20"/>
          <w:color w:val="auto"/>
        </w:rPr>
      </w:pPr>
      <w:r>
        <w:rPr>
          <w:rFonts w:ascii="Times New Roman" w:cs="Times New Roman" w:eastAsia="Times New Roman" w:hAnsi="Times New Roman"/>
          <w:sz w:val="16"/>
          <w:szCs w:val="16"/>
          <w:color w:val="auto"/>
        </w:rPr>
        <w:t>Ashland’s sales are measured as the amount of consideration it expects to receive in exchange for transferring goods and are recognized when performance obligations are satisfied under the terms of contracts or purchase orders with customers. Ashland generally utilizes standardized language for the terms of contracts or purchase orders.</w:t>
      </w:r>
    </w:p>
    <w:p>
      <w:pPr>
        <w:spacing w:after="0" w:line="68"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A performance obligation is deemed to be satisfied by Ashland when control of the product or service is transferred to the customer. The transaction price of a contract or purchase order, or the amount Ashland expects to receive upon satisfaction of all performance obligations, is determined by reference to the applicable terms. Ashland generally collects the cash from its customers within 60 days of the product delivery date. Sales and other similar taxes collected from customers on behalf of third parties are excluded from the contract price.</w:t>
      </w:r>
    </w:p>
    <w:p>
      <w:pPr>
        <w:spacing w:after="0" w:line="71" w:lineRule="exact"/>
        <w:rPr>
          <w:sz w:val="20"/>
          <w:szCs w:val="20"/>
          <w:color w:val="auto"/>
        </w:rPr>
      </w:pPr>
    </w:p>
    <w:p>
      <w:pPr>
        <w:ind w:right="60" w:firstLine="348"/>
        <w:spacing w:after="0" w:line="243" w:lineRule="auto"/>
        <w:rPr>
          <w:sz w:val="20"/>
          <w:szCs w:val="20"/>
          <w:color w:val="auto"/>
        </w:rPr>
      </w:pPr>
      <w:r>
        <w:rPr>
          <w:rFonts w:ascii="Times New Roman" w:cs="Times New Roman" w:eastAsia="Times New Roman" w:hAnsi="Times New Roman"/>
          <w:sz w:val="16"/>
          <w:szCs w:val="16"/>
          <w:color w:val="auto"/>
        </w:rPr>
        <w:t>All of Ashland’s sales are derived from contracts or purchase orders with customers, and nearly all contracts or purchase orders with customers contain a single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Costs incurred to obtain contracts with customers are not significant and are expensed immediately as the period of performance is generally one year or less.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Ashland records credit losses in specific situations when it is determined that the customer is unable to meet its financial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Expense recognition</w:t>
      </w:r>
    </w:p>
    <w:p>
      <w:pPr>
        <w:spacing w:after="0" w:line="94" w:lineRule="exact"/>
        <w:rPr>
          <w:sz w:val="20"/>
          <w:szCs w:val="20"/>
          <w:color w:val="auto"/>
        </w:rPr>
      </w:pPr>
    </w:p>
    <w:p>
      <w:pPr>
        <w:ind w:right="80" w:firstLine="348"/>
        <w:spacing w:after="0" w:line="243" w:lineRule="auto"/>
        <w:rPr>
          <w:sz w:val="20"/>
          <w:szCs w:val="20"/>
          <w:color w:val="auto"/>
        </w:rPr>
      </w:pPr>
      <w:r>
        <w:rPr>
          <w:rFonts w:ascii="Times New Roman" w:cs="Times New Roman" w:eastAsia="Times New Roman" w:hAnsi="Times New Roman"/>
          <w:sz w:val="16"/>
          <w:szCs w:val="16"/>
          <w:color w:val="auto"/>
        </w:rPr>
        <w:t>Cost of sales include material and production costs, as well as the costs of inbound freight, purchasing and receiving, inspection, warehousing, internal transfers and all other distribution network costs. Selling, general and administrative expense includes sales and marketing costs, advertising, customer support, environmental remediation, corporate and divisional administrative and other costs. Advertising costs ($1 million in 2025, $1 million in 2024 and $2 million in 2023) and research and development costs ($54 million in 2025, $55 million in 2024 and $51 million in 2023) are expensed as incurred.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4" w:lineRule="exact"/>
        <w:rPr>
          <w:sz w:val="20"/>
          <w:szCs w:val="20"/>
          <w:color w:val="auto"/>
        </w:rPr>
      </w:pPr>
    </w:p>
    <w:p>
      <w:pPr>
        <w:ind w:firstLine="348"/>
        <w:spacing w:after="0" w:line="237" w:lineRule="auto"/>
        <w:rPr>
          <w:sz w:val="20"/>
          <w:szCs w:val="20"/>
          <w:color w:val="auto"/>
        </w:rPr>
      </w:pPr>
      <w:r>
        <w:rPr>
          <w:rFonts w:ascii="Times New Roman" w:cs="Times New Roman" w:eastAsia="Times New Roman" w:hAnsi="Times New Roman"/>
          <w:sz w:val="16"/>
          <w:szCs w:val="16"/>
          <w:color w:val="auto"/>
        </w:rPr>
        <w:t>Ashland is subject to income taxes in the United States and numerous foreign jurisdictions. The provision for income taxes includes income taxes paid, currently payable or receivable, and deferred taxes. Ashland recognizes the income tax benefit from an uncertain tax position only if it is more likely than not that the tax position will be sustained on examination by taxing authorities, based on the technical merits of the position. Ashland evaluates and adjusts these accruals based on changing facts and circumstances.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Taxes due on Global Intangible Low-Taxed Income ("GILTI") inclusions in U.S. are recognized as a current period expense when incurred. Valuation allowances are established when necessary on a jurisdictional basis to reduce deferred tax assets to the amounts expected to be realized. In the event that the actual outcome of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 For additional information on income taxes, see Note K.</w:t>
      </w:r>
    </w:p>
    <w:p>
      <w:pPr>
        <w:spacing w:after="0" w:line="78" w:lineRule="exact"/>
        <w:rPr>
          <w:sz w:val="20"/>
          <w:szCs w:val="20"/>
          <w:color w:val="auto"/>
        </w:rPr>
      </w:pPr>
    </w:p>
    <w:p>
      <w:pPr>
        <w:ind w:right="80" w:firstLine="348"/>
        <w:spacing w:after="0" w:line="239" w:lineRule="auto"/>
        <w:rPr>
          <w:sz w:val="20"/>
          <w:szCs w:val="20"/>
          <w:color w:val="auto"/>
        </w:rPr>
      </w:pPr>
      <w:r>
        <w:rPr>
          <w:rFonts w:ascii="Times New Roman" w:cs="Times New Roman" w:eastAsia="Times New Roman" w:hAnsi="Times New Roman"/>
          <w:sz w:val="16"/>
          <w:szCs w:val="16"/>
          <w:color w:val="auto"/>
        </w:rPr>
        <w:t>The Organization for Economic Co- operation and Development (“OECD”) introduced Global Anti-Base Erosion and Profit Shifting (“BEPS”) Pillar 2 rules under which multi-national entities would pay a minimum level of tax on the income arising in each of the jurisdictions in which they operate. Numerous countries, including EU member states, have enacted or are expected to enact legislation to effectuate the new rules. In addition, several non-EU countries have proposed and/or adopted legislation consistent with the global minimum tax framework. Important details of these minimum tax developments are still to be determined and, in some cases, enactment and timing remain uncertain. Based on current legislation and available guidance, Ashland implemented these rules during the year ended September 30, 2025. Ashland</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98" w:name="page99"/>
    <w:bookmarkEnd w:id="98"/>
    <w:p>
      <w:pPr>
        <w:ind w:right="40"/>
        <w:spacing w:after="0" w:line="259" w:lineRule="auto"/>
        <w:rPr>
          <w:sz w:val="20"/>
          <w:szCs w:val="20"/>
          <w:color w:val="auto"/>
        </w:rPr>
      </w:pPr>
      <w:r>
        <w:rPr>
          <w:rFonts w:ascii="Times New Roman" w:cs="Times New Roman" w:eastAsia="Times New Roman" w:hAnsi="Times New Roman"/>
          <w:sz w:val="16"/>
          <w:szCs w:val="16"/>
          <w:color w:val="auto"/>
        </w:rPr>
        <w:t>treated the Pillar Two global minimum tax as a period cost. These Pillar Two minimum tax rules did not have a material impact on Ashland’s financial condition, results of operations, or cash flows during the fiscal year ended September 30, 2025.</w:t>
      </w:r>
    </w:p>
    <w:p>
      <w:pPr>
        <w:spacing w:after="0" w:line="59"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On July 4, 2025, “An Act to provide for reconciliation pursuant to title II of H. Con. Res. 14” – commonly referred to as the One Big Beautiful Bill Act ("OBBBA") – was signed into law. OBBBA includes several changes to the U.S. federal income tax system, including modifications to the deduction for domestic research and development costs, expensing of certain business property, and changes to the limitation on business interest. Ashland recorded the impact of the applicable provisions of OBBBA, which were not material to the Consolidated Financial Statements, during the year ended September 30, 2025.</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progression of activity in the tax valuation allowances is presented in the following table for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Tax valuation allowances - beginning of year</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r>
      <w:tr>
        <w:trPr>
          <w:trHeight w:val="180"/>
        </w:trPr>
        <w:tc>
          <w:tcPr>
            <w:tcW w:w="6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Adjustments to valuation allowances</w:t>
            </w: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Reserves utilized</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Tax valuation allowances - end of year</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r>
      <w:tr>
        <w:trPr>
          <w:trHeight w:val="20"/>
        </w:trPr>
        <w:tc>
          <w:tcPr>
            <w:tcW w:w="6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Asbestos-related litigation</w:t>
      </w:r>
    </w:p>
    <w:p>
      <w:pPr>
        <w:spacing w:after="0" w:line="94" w:lineRule="exact"/>
        <w:rPr>
          <w:sz w:val="20"/>
          <w:szCs w:val="20"/>
          <w:color w:val="auto"/>
        </w:rPr>
      </w:pPr>
    </w:p>
    <w:p>
      <w:pPr>
        <w:ind w:right="80" w:firstLine="348"/>
        <w:spacing w:after="0" w:line="239" w:lineRule="auto"/>
        <w:rPr>
          <w:sz w:val="20"/>
          <w:szCs w:val="20"/>
          <w:color w:val="auto"/>
        </w:rPr>
      </w:pPr>
      <w:r>
        <w:rPr>
          <w:rFonts w:ascii="Times New Roman" w:cs="Times New Roman" w:eastAsia="Times New Roman" w:hAnsi="Times New Roman"/>
          <w:sz w:val="16"/>
          <w:szCs w:val="16"/>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(formerly Hercules Incorporated) in November 2008. Although Riley, a former subsidiary, was neither a producer nor a manufacturer of asbestos, its industrial boilers contained some asbestos-containing components provided by other companies. Hercules, an indirect wholly- 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7" w:lineRule="exact"/>
        <w:rPr>
          <w:sz w:val="20"/>
          <w:szCs w:val="20"/>
          <w:color w:val="auto"/>
        </w:rPr>
      </w:pPr>
    </w:p>
    <w:p>
      <w:pPr>
        <w:ind w:firstLine="348"/>
        <w:spacing w:after="0" w:line="278" w:lineRule="auto"/>
        <w:rPr>
          <w:sz w:val="20"/>
          <w:szCs w:val="20"/>
          <w:color w:val="auto"/>
        </w:rPr>
      </w:pPr>
      <w:r>
        <w:rPr>
          <w:rFonts w:ascii="Times New Roman" w:cs="Times New Roman" w:eastAsia="Times New Roman" w:hAnsi="Times New Roman"/>
          <w:sz w:val="14"/>
          <w:szCs w:val="14"/>
          <w:color w:val="auto"/>
        </w:rPr>
        <w:t>Ashland retained Gnarus Advisors LLC ("Gnarus") to assist in developing and annually updating independent reserve estimates for future asbestos claims and related costs given various assumptions. The methodology used to project future asbestos costs is based largely on Ashland’s recent experience, including claim-filing and settlement rates, disease mix, open claims, and litigation defense. Ashland’s claim experience is compared to the results of previously conducted epidemiological studies estimating the number of people likely to develop asbestos- 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Ashland records the amount it believes to be the best estimate of future payments for litigation defense and claim settlement costs using the results of a non-inflated, non-discounted approximate 40-year model. For additional information on asbestos-related litigation, see Note 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remediation</w:t>
      </w:r>
    </w:p>
    <w:p>
      <w:pPr>
        <w:spacing w:after="0" w:line="94" w:lineRule="exact"/>
        <w:rPr>
          <w:sz w:val="20"/>
          <w:szCs w:val="20"/>
          <w:color w:val="auto"/>
        </w:rPr>
      </w:pPr>
    </w:p>
    <w:p>
      <w:pPr>
        <w:ind w:right="60" w:firstLine="348"/>
        <w:spacing w:after="0" w:line="284" w:lineRule="auto"/>
        <w:rPr>
          <w:sz w:val="20"/>
          <w:szCs w:val="20"/>
          <w:color w:val="auto"/>
        </w:rPr>
      </w:pPr>
      <w:r>
        <w:rPr>
          <w:rFonts w:ascii="Times New Roman" w:cs="Times New Roman" w:eastAsia="Times New Roman" w:hAnsi="Times New Roman"/>
          <w:sz w:val="14"/>
          <w:szCs w:val="14"/>
          <w:color w:val="auto"/>
        </w:rPr>
        <w:t>Accruals for environmental remediation are recognized when it is probable a liability has been incurred and the amount of that liability can be reasonably estimated. Such costs are charged to expense if they relate to the remediation of conditions caused by past operations or are not expected to mitigate or prevent contamination from future operations. Accruals for environmental remediation reflect Ashland's estimates of the most likely costs that will be incurred over an extended period of time to remediate identified conditions for which costs are reasonably estimable and probable of being incurred, without regard to any third -party recoveries, and are regularly adjusted as environmental assessments and remediation efforts continue. For additional information on environmental remediation, see Note M.</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p>
      <w:pPr>
        <w:spacing w:after="0" w:line="94" w:lineRule="exact"/>
        <w:rPr>
          <w:sz w:val="20"/>
          <w:szCs w:val="20"/>
          <w:color w:val="auto"/>
        </w:rPr>
      </w:pPr>
    </w:p>
    <w:p>
      <w:pPr>
        <w:ind w:firstLine="348"/>
        <w:spacing w:after="0" w:line="276" w:lineRule="auto"/>
        <w:rPr>
          <w:sz w:val="20"/>
          <w:szCs w:val="20"/>
          <w:color w:val="auto"/>
        </w:rPr>
      </w:pPr>
      <w:r>
        <w:rPr>
          <w:rFonts w:ascii="Times New Roman" w:cs="Times New Roman" w:eastAsia="Times New Roman" w:hAnsi="Times New Roman"/>
          <w:sz w:val="14"/>
          <w:szCs w:val="14"/>
          <w:color w:val="auto"/>
        </w:rPr>
        <w:t>The funded status of Ashland’s pension and other postretirement benefit plans is recognized in the Consolidated Balance Sheets. The funded status is measured as the difference between the fair value of plan assets and the benefit obligation at September 30, the measurement date. For defined benefit pension plans, the benefit obligation is the projected benefit obligation ("PBO") and for the other postretirement benefit plans, the benefit obligation is the accumulated postretirement benefit obligation ("APBO") . The PBO represents the actuarial present value of benefits expected to be paid upon retirement based on estimated future compensation levels. The APBO represents the actuarial present value of postretirement benefits attributed to employee services already rendered. The measurement of the benefit obligation is based on Ashland’s estimates and actuarial valuations. These valuations reflect the terms of the plans and use participant-specific information such as compensation, age and years of service, as well as certain assumptions that require judgment, including, but not limited to, estimates of discount rates, rate of compensation increases, interest rates and mortality rates. The fair value of plan assets represents the current market value of assets held by an irrevocable trust fund for the sole benefit of participants. For additional information regarding plan assumptions and the current financial position of the pension and other postretirement plans, see Note L.</w:t>
      </w:r>
    </w:p>
    <w:p>
      <w:pPr>
        <w:spacing w:after="0" w:line="50" w:lineRule="exact"/>
        <w:rPr>
          <w:sz w:val="20"/>
          <w:szCs w:val="20"/>
          <w:color w:val="auto"/>
        </w:rPr>
      </w:pPr>
    </w:p>
    <w:p>
      <w:pPr>
        <w:ind w:right="20" w:firstLine="348"/>
        <w:spacing w:after="0" w:line="284" w:lineRule="auto"/>
        <w:rPr>
          <w:sz w:val="20"/>
          <w:szCs w:val="20"/>
          <w:color w:val="auto"/>
        </w:rPr>
      </w:pPr>
      <w:r>
        <w:rPr>
          <w:rFonts w:ascii="Times New Roman" w:cs="Times New Roman" w:eastAsia="Times New Roman" w:hAnsi="Times New Roman"/>
          <w:sz w:val="14"/>
          <w:szCs w:val="14"/>
          <w:color w:val="auto"/>
        </w:rPr>
        <w:t>Ashland recognizes the change in the fair value of plan assets and net actuarial gains and losses annually in the fourth quarter of each fiscal year and whenever a plan is determined to qualify for a remeasurement. The remaining components of pension and other postretirement benefits expense are recorded ratably on a quarterly basis. Pension and other postretirement benefits adjustments charged directly to cost of sales that are applicable to inactive participants are excluded from inventoriable costs. The service cost component of pension and other postretirement benefits costs is allocated to each reportable segment; while the remaining components of pension and other postretirement benefits costs are recorded within the other net periodic benefit loss caption on the Statements of Consolidated Comprehensive Income (Loss).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p>
      <w:pPr>
        <w:spacing w:after="0" w:line="94" w:lineRule="exact"/>
        <w:rPr>
          <w:sz w:val="20"/>
          <w:szCs w:val="20"/>
          <w:color w:val="auto"/>
        </w:rPr>
      </w:pPr>
    </w:p>
    <w:p>
      <w:pPr>
        <w:ind w:right="80" w:firstLine="348"/>
        <w:spacing w:after="0" w:line="241" w:lineRule="auto"/>
        <w:rPr>
          <w:sz w:val="20"/>
          <w:szCs w:val="20"/>
          <w:color w:val="auto"/>
        </w:rPr>
      </w:pPr>
      <w:r>
        <w:rPr>
          <w:rFonts w:ascii="Times New Roman" w:cs="Times New Roman" w:eastAsia="Times New Roman" w:hAnsi="Times New Roman"/>
          <w:sz w:val="16"/>
          <w:szCs w:val="16"/>
          <w:color w:val="auto"/>
        </w:rPr>
        <w:t>Subsidiaries outside the United States primarily use the local currency as the functional currency. Upon consolidation, the results of operations of the subsidiaries and affiliates whose functional currency is other than the U.S. dollar are translated into U.S. dollars at the average exchange rates for the year while assets and liabilities are translated at year-end exchange rates. Adjustments to translate assets and liabilities into U.S. dollars are recorded in the stockholders’ equity section of the Consolidated Balance Sheets as a component of accumulated other comprehensive loss and are included in net income (loss) only upon sale or substantial liquidation of the underlying foreign subsidiary or affiliated company.</w:t>
      </w:r>
    </w:p>
    <w:p>
      <w:pPr>
        <w:spacing w:after="0" w:line="73" w:lineRule="exact"/>
        <w:rPr>
          <w:sz w:val="20"/>
          <w:szCs w:val="20"/>
          <w:color w:val="auto"/>
        </w:rPr>
      </w:pPr>
    </w:p>
    <w:p>
      <w:pPr>
        <w:ind w:right="280" w:firstLine="348"/>
        <w:spacing w:after="0" w:line="259" w:lineRule="auto"/>
        <w:rPr>
          <w:sz w:val="20"/>
          <w:szCs w:val="20"/>
          <w:color w:val="auto"/>
        </w:rPr>
      </w:pPr>
      <w:r>
        <w:rPr>
          <w:rFonts w:ascii="Times New Roman" w:cs="Times New Roman" w:eastAsia="Times New Roman" w:hAnsi="Times New Roman"/>
          <w:sz w:val="16"/>
          <w:szCs w:val="16"/>
          <w:color w:val="auto"/>
        </w:rPr>
        <w:t>During 2024, following the enactment by the Argentina government of a 50% peso devaluation against the U.S. dollar, Ashland recorded a $5 million currency devaluation charge within the selling, general and administrative expense caption of the Statements of Consolidated Comprehensive Income (Loss).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incentive plans</w:t>
      </w:r>
    </w:p>
    <w:p>
      <w:pPr>
        <w:spacing w:after="0" w:line="94" w:lineRule="exact"/>
        <w:rPr>
          <w:sz w:val="20"/>
          <w:szCs w:val="20"/>
          <w:color w:val="auto"/>
        </w:rPr>
      </w:pPr>
    </w:p>
    <w:p>
      <w:pPr>
        <w:ind w:right="20" w:firstLine="348"/>
        <w:spacing w:after="0" w:line="299" w:lineRule="auto"/>
        <w:rPr>
          <w:sz w:val="20"/>
          <w:szCs w:val="20"/>
          <w:color w:val="auto"/>
        </w:rPr>
      </w:pPr>
      <w:r>
        <w:rPr>
          <w:rFonts w:ascii="Times New Roman" w:cs="Times New Roman" w:eastAsia="Times New Roman" w:hAnsi="Times New Roman"/>
          <w:sz w:val="14"/>
          <w:szCs w:val="14"/>
          <w:color w:val="auto"/>
        </w:rPr>
        <w:t>Ashland recognizes compensation expense for stock incentive plans awarded to key employees and directors over the requisite service period based upon the grant-date fair value. Stock incentive awards are primarily in the form of restricted stock and restricted stock units, performance shares and other non-vested stock awards. Ashland utilizes several industry accepted valuation models to determine grant-date fair value. For further information concerning stock incentive plans, see Note O.</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7" w:right="66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color w:val="auto"/>
        </w:rPr>
        <w:t>Earnings (loss) per share</w:t>
      </w:r>
    </w:p>
    <w:p>
      <w:pPr>
        <w:spacing w:after="0" w:line="94" w:lineRule="exact"/>
        <w:rPr>
          <w:sz w:val="20"/>
          <w:szCs w:val="20"/>
          <w:color w:val="auto"/>
        </w:rPr>
      </w:pPr>
    </w:p>
    <w:p>
      <w:pPr>
        <w:ind w:right="20" w:firstLine="348"/>
        <w:spacing w:after="0" w:line="241" w:lineRule="auto"/>
        <w:rPr>
          <w:sz w:val="20"/>
          <w:szCs w:val="20"/>
          <w:color w:val="auto"/>
        </w:rPr>
      </w:pPr>
      <w:r>
        <w:rPr>
          <w:rFonts w:ascii="Times New Roman" w:cs="Times New Roman" w:eastAsia="Times New Roman" w:hAnsi="Times New Roman"/>
          <w:sz w:val="16"/>
          <w:szCs w:val="16"/>
          <w:color w:val="auto"/>
        </w:rPr>
        <w:t>The following is the computation of basic and diluted earnings (loss) per share ("EPS") from continuing operations attributable to Ashland for the years ended September 30. EPS is reported under the treasury stock method. Stock Appreciation Rights ("SARs") and warrants for each reported year whose grant price was greater than the market price of Ashland Common Stock at the end of each fiscal year were not included in the computation of EPS from continuing operations per diluted share because the effect of these instruments would be antidilutive. The total number of these shares outstanding was 1.6 million for 2025 and 1.2 million for both 2024 and 2023. The majority of these shares are for warrants with a strike price of $128.66.</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 except per share data)</w:t>
            </w:r>
          </w:p>
        </w:tc>
        <w:tc>
          <w:tcPr>
            <w:tcW w:w="18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Numerator for basic and diluted EPS - Income (loss) from continuing operations, net of tax</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(822)</w:t>
            </w:r>
          </w:p>
        </w:tc>
        <w:tc>
          <w:tcPr>
            <w:tcW w:w="3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3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Denominator</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Denominator for basic EPS - Weighted-average common shares outstanding</w:t>
            </w:r>
          </w:p>
        </w:tc>
        <w:tc>
          <w:tcPr>
            <w:tcW w:w="180" w:type="dxa"/>
            <w:vAlign w:val="bottom"/>
          </w:tcPr>
          <w:p>
            <w:pPr>
              <w:spacing w:after="0"/>
              <w:rPr>
                <w:sz w:val="15"/>
                <w:szCs w:val="15"/>
                <w:color w:val="auto"/>
              </w:rPr>
            </w:pPr>
          </w:p>
        </w:tc>
        <w:tc>
          <w:tcPr>
            <w:tcW w:w="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Share based awards convertible to common shares</w:t>
            </w:r>
            <w:r>
              <w:rPr>
                <w:rFonts w:ascii="Times New Roman" w:cs="Times New Roman" w:eastAsia="Times New Roman" w:hAnsi="Times New Roman"/>
                <w:sz w:val="20"/>
                <w:szCs w:val="20"/>
                <w:color w:val="auto"/>
                <w:vertAlign w:val="superscript"/>
              </w:rPr>
              <w:t>(a)</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Denominator for diluted EPS - Adjusted weighted - average shares and assumed conversions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6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EPS from continuing operations</w:t>
            </w: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(17.74)</w:t>
            </w:r>
          </w:p>
        </w:tc>
        <w:tc>
          <w:tcPr>
            <w:tcW w:w="3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3.99</w:t>
            </w:r>
          </w:p>
        </w:tc>
        <w:tc>
          <w:tcPr>
            <w:tcW w:w="3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Diluted</w:t>
            </w:r>
            <w:r>
              <w:rPr>
                <w:rFonts w:ascii="Times New Roman" w:cs="Times New Roman" w:eastAsia="Times New Roman" w:hAnsi="Times New Roman"/>
                <w:sz w:val="20"/>
                <w:szCs w:val="20"/>
                <w:color w:val="auto"/>
                <w:vertAlign w:val="superscript"/>
              </w:rPr>
              <w:t>(a)</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(17.74)</w:t>
            </w:r>
          </w:p>
        </w:tc>
        <w:tc>
          <w:tcPr>
            <w:tcW w:w="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3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3"/>
          <w:szCs w:val="13"/>
          <w:color w:val="auto"/>
        </w:rPr>
        <w:t>(a)As a result of the loss from continuing operations attributable to Ashland during fiscal 2025, the effect of the share-based awards convertible to common stock would be antidilutive and have been excluded from the diluted EPS calculation.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accounting pronouncements</w:t>
      </w:r>
    </w:p>
    <w:p>
      <w:pPr>
        <w:spacing w:after="0" w:line="94" w:lineRule="exact"/>
        <w:rPr>
          <w:sz w:val="20"/>
          <w:szCs w:val="20"/>
          <w:color w:val="auto"/>
        </w:rPr>
      </w:pPr>
    </w:p>
    <w:p>
      <w:pPr>
        <w:ind w:right="60" w:firstLine="348"/>
        <w:spacing w:after="0" w:line="237" w:lineRule="auto"/>
        <w:rPr>
          <w:sz w:val="20"/>
          <w:szCs w:val="20"/>
          <w:color w:val="auto"/>
        </w:rPr>
      </w:pPr>
      <w:r>
        <w:rPr>
          <w:rFonts w:ascii="Times New Roman" w:cs="Times New Roman" w:eastAsia="Times New Roman" w:hAnsi="Times New Roman"/>
          <w:sz w:val="16"/>
          <w:szCs w:val="16"/>
          <w:color w:val="auto"/>
        </w:rPr>
        <w:t>In November 2024, the Financial Accounting Standards Board (“FASB”) issued Accounting Standards Update ("ASU") ASU No. 2024-03 “Income Statement – Reporting Comprehensive Income – Expense Disaggregation Disclosures” which was subsequently updated by ASU No. 2025-01 "Income Statement – Reporting Comprehensive Income – Expense Disaggregation Disclosures" clarifying the effective date. The ASU was issued to enhance disclosure of income statement expenses. For each relevant expense caption presented on the face of the income statement, the following expense components must be presented in a tabular format within the Notes to Consolidated Financial Statements: purchases of inventory, employee compensation, depreciation, intangible asset amortization and depletion expense. Certain amounts already required to be disclosed under current GAAP requirements must also be presented in the same disclosure as the new disaggregation requirements. The new guidance also requires disclosure of a qualitative description of the amounts remaining in relevant expense captions that are not separately disaggregated quantitatively. Additionally, the total amount of selling expenses must be disclosed at each interim and annual reporting periods. Finally, the Company’s description of selling expenses must be defined in annual reporting periods. The amendments in this ASU are effective for fiscal years beginning after December 15, 2027, and for interim periods beginning after December 15, 2027. The Company is currently evaluating the impact of adopting this guidance on our Consolidated Financial Statements.</w:t>
      </w:r>
    </w:p>
    <w:p>
      <w:pPr>
        <w:spacing w:after="0" w:line="78" w:lineRule="exact"/>
        <w:rPr>
          <w:sz w:val="20"/>
          <w:szCs w:val="20"/>
          <w:color w:val="auto"/>
        </w:rPr>
      </w:pPr>
    </w:p>
    <w:p>
      <w:pPr>
        <w:ind w:right="120" w:firstLine="348"/>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The ASU was issued to improve transparency and disclosure requirements for the rate reconciliation, income taxes paid and other tax disclosures. The amendments in ASU 2023-09 are effective for fiscal years beginning after December 15, 2024, with early adoption permitted, and may be applied either prospectively or retrospectively. The Company is currently evaluating the impact of adopting this guidance.</w:t>
      </w:r>
    </w:p>
    <w:p>
      <w:pPr>
        <w:spacing w:after="0" w:line="71" w:lineRule="exact"/>
        <w:rPr>
          <w:sz w:val="20"/>
          <w:szCs w:val="20"/>
          <w:color w:val="auto"/>
        </w:rPr>
      </w:pPr>
    </w:p>
    <w:p>
      <w:pPr>
        <w:ind w:right="40" w:firstLine="348"/>
        <w:spacing w:after="0" w:line="241" w:lineRule="auto"/>
        <w:rPr>
          <w:sz w:val="20"/>
          <w:szCs w:val="20"/>
          <w:color w:val="auto"/>
        </w:rPr>
      </w:pPr>
      <w:r>
        <w:rPr>
          <w:rFonts w:ascii="Times New Roman" w:cs="Times New Roman" w:eastAsia="Times New Roman" w:hAnsi="Times New Roman"/>
          <w:sz w:val="16"/>
          <w:szCs w:val="16"/>
          <w:color w:val="auto"/>
        </w:rPr>
        <w:t>In November 2023, the FASB issued ASU No. 2023-07 "Segment Reporting (Topic 280): Improvements to Reporting Segment Disclosures." The ASU was issued to improve reportable segment disclosure requirements, primarily through enhanced disclosures of significant segment expenses that are regularly provided to the chief operating decision maker and included within segment profit and loss. This guidance was effective for fiscal years beginning after December 15, 2023, and interim periods within fiscal years beginning after December 15, 2024, with early adoption permitted, and applied retrospectively to all prior periods presented in the financial statements. The Company adopted the annual guidance during the year ended September 30, 2025. See Note Q for disclosures.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101" w:name="page102"/>
    <w:bookmarkEnd w:id="101"/>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In October 2023, the FASB issued ASU No. 2023- 06 "Disclosure Improvements: Codification Amendments in Response to the SEC's Disclosure Update and Simplification Initiative". The amendments in this ASU represent changes to clarify or improve disclosures and presentation requirements of a variety of topics by aligning them with the SEC's regulations. The amendments to the various topics should be applied prospectively, and the effective date will be determined for each individual disclosure based on the effective date of the SEC's removal of the related disclosure. If the SEC has not removed the applicable requirements from Regulation S-X or Regulation S-K by June 30, 2027, then this ASU will not become effective. Early adoption is prohibited. The Company does not expect the amendments in this ASU to have a material impact on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B – DIVESTITURES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Avoca business sale</w:t>
      </w:r>
    </w:p>
    <w:p>
      <w:pPr>
        <w:spacing w:after="0" w:line="94"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On March 31, 2025, Ashland completed the sale of its Avoca business to Mane SA. Proceeds from the sale were $16 million, net of transaction costs. Ashland recorded an impairment charge of $183 million ($1 million allocated to goodwill, $134 million to other intangible assets, $33 million to property, plant and equipment, $14 million to operating lease assets, net and $1 million to other current assets) within the income (loss) on acquisitions and divestitures, net caption of the Statement of Consolidated Comprehensive Income (Loss) for the year ended September 30, 2025. The impairment charge includes the impact of the related inside tax basis differences associated with the impaired assets. The tax benefit associated with the sale is included within the income tax expense (benefit) caption of the Statement of Consolidated Comprehensive Income (Loss) for the year ended September 30, 2025. See Note K for tax details associated with the transaction. Ashland also recorded a pre-tax gain on sale of $ 8 million following the completion of this divestiture, mainly related to working capital movements, within the income (loss) on acquisitions and divestitures, net caption of Statement of Consolidated Comprehensive Income (Loss) for the year ended September 30, 2025.</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Avoca business was included within Ashland's Personal Care reportable segment.</w:t>
      </w:r>
    </w:p>
    <w:p>
      <w:pPr>
        <w:spacing w:after="0" w:line="92"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Ashland determined this transaction did not qualify for discontinued operations treatment since it neither represented a strategic shift nor did it have a major effect on Ashland's operations and financial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Nutraceuticals business sale</w:t>
      </w:r>
    </w:p>
    <w:p>
      <w:pPr>
        <w:spacing w:after="0" w:line="94" w:lineRule="exact"/>
        <w:rPr>
          <w:sz w:val="20"/>
          <w:szCs w:val="20"/>
          <w:color w:val="auto"/>
        </w:rPr>
      </w:pPr>
    </w:p>
    <w:p>
      <w:pPr>
        <w:ind w:right="20" w:firstLine="348"/>
        <w:spacing w:after="0" w:line="237" w:lineRule="auto"/>
        <w:rPr>
          <w:sz w:val="20"/>
          <w:szCs w:val="20"/>
          <w:color w:val="auto"/>
        </w:rPr>
      </w:pPr>
      <w:r>
        <w:rPr>
          <w:rFonts w:ascii="Times New Roman" w:cs="Times New Roman" w:eastAsia="Times New Roman" w:hAnsi="Times New Roman"/>
          <w:sz w:val="16"/>
          <w:szCs w:val="16"/>
          <w:color w:val="auto"/>
        </w:rPr>
        <w:t>On August 30, 2024, Ashland completed the sale of its Nutraceuticals business to Turnspire Capital Partners LLC ("Turnspire"). Proceeds from the sale were $26 million, net of transaction costs. Ashland recorded a $99 million impairment charge primarily related to allocated goodwill of $17 million, other intangible assets of $69 million and property, plant and equipment of $13 million within the income (loss) on acquisitions and divestitures, net caption of the Statement of Consolidated Comprehensive Income (Loss) for the year ended September 30, 2024. The impairment charge includes the impact of the related inside tax basis differences associated with the impaired assets. The tax benefit associated with the expected disposition is included within the income tax expense (benefit) caption of the Statement of Consolidated Comprehensive Income (Loss) for the year ended September 30, 2025. See Note K for tax details associated with the transaction. Ashland also recorded a pre-tax loss on sale of $ 8 million following the completion of this divestiture, mainly related to working capital movements, within the income (loss) on acquisitions and divestitures, net caption of Statement of Consolidated Comprehensive Income (Loss) for the year ended September 30, 2024. The income (loss) on acquisitions and divestitures, net caption also includes a reserve of $7 million for foreign VAT taxes associated with the entities transferred within the Statement of Consolidated Comprehensive Income (Loss) for the year ended September 30, 2024.</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Nutraceuticals business was included within Ashland's Life Sciences reportable segment and served the broader nutrition market.</w:t>
      </w:r>
    </w:p>
    <w:p>
      <w:pPr>
        <w:spacing w:after="0" w:line="92"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Ashland determined this transaction did not qualify for discontinued operations treatment since it neither represented a strategic shift nor did it have a major effect on Ashland's operations and financial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manufacturing facility sales</w:t>
      </w:r>
    </w:p>
    <w:p>
      <w:pPr>
        <w:spacing w:after="0" w:line="94" w:lineRule="exact"/>
        <w:rPr>
          <w:sz w:val="20"/>
          <w:szCs w:val="20"/>
          <w:color w:val="auto"/>
        </w:rPr>
      </w:pPr>
    </w:p>
    <w:p>
      <w:pPr>
        <w:ind w:right="120" w:firstLine="348"/>
        <w:spacing w:after="0" w:line="259" w:lineRule="auto"/>
        <w:rPr>
          <w:sz w:val="20"/>
          <w:szCs w:val="20"/>
          <w:color w:val="auto"/>
        </w:rPr>
      </w:pPr>
      <w:r>
        <w:rPr>
          <w:rFonts w:ascii="Times New Roman" w:cs="Times New Roman" w:eastAsia="Times New Roman" w:hAnsi="Times New Roman"/>
          <w:sz w:val="16"/>
          <w:szCs w:val="16"/>
          <w:color w:val="auto"/>
        </w:rPr>
        <w:t>During 2023, Ashland entered into and completed a definitive sale agreement to sell a Specialty Additives manufacturing facility for less than $1 million. The net asset value related to this site was $4 million at September 30, 2022. Ashland recorded a $4 million impairment charge</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02" w:name="page103"/>
    <w:bookmarkEnd w:id="102"/>
    <w:p>
      <w:pPr>
        <w:ind w:right="300"/>
        <w:spacing w:after="0" w:line="259" w:lineRule="auto"/>
        <w:rPr>
          <w:sz w:val="20"/>
          <w:szCs w:val="20"/>
          <w:color w:val="auto"/>
        </w:rPr>
      </w:pPr>
      <w:r>
        <w:rPr>
          <w:rFonts w:ascii="Times New Roman" w:cs="Times New Roman" w:eastAsia="Times New Roman" w:hAnsi="Times New Roman"/>
          <w:sz w:val="16"/>
          <w:szCs w:val="16"/>
          <w:color w:val="auto"/>
        </w:rPr>
        <w:t>within the selling, general and administrative expense caption of the Statement of Consolidated Comprehensive Income (Loss) during the year ended September 30, 2023, related to this site.</w:t>
      </w:r>
    </w:p>
    <w:p>
      <w:pPr>
        <w:spacing w:after="0" w:line="59" w:lineRule="exact"/>
        <w:rPr>
          <w:sz w:val="20"/>
          <w:szCs w:val="20"/>
          <w:color w:val="auto"/>
        </w:rPr>
      </w:pPr>
    </w:p>
    <w:p>
      <w:pPr>
        <w:ind w:right="60" w:firstLine="348"/>
        <w:spacing w:after="0" w:line="259" w:lineRule="auto"/>
        <w:rPr>
          <w:sz w:val="20"/>
          <w:szCs w:val="20"/>
          <w:color w:val="auto"/>
        </w:rPr>
      </w:pPr>
      <w:r>
        <w:rPr>
          <w:rFonts w:ascii="Times New Roman" w:cs="Times New Roman" w:eastAsia="Times New Roman" w:hAnsi="Times New Roman"/>
          <w:sz w:val="16"/>
          <w:szCs w:val="16"/>
          <w:color w:val="auto"/>
        </w:rPr>
        <w:t>Ashland determined this transaction did not qualify for discontinued operations treatment since it neither represented a strategic shift nor did it have a major effect on Ashland’s operations and financial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corporate assets</w:t>
      </w:r>
    </w:p>
    <w:p>
      <w:pPr>
        <w:spacing w:after="0" w:line="94" w:lineRule="exact"/>
        <w:rPr>
          <w:sz w:val="20"/>
          <w:szCs w:val="20"/>
          <w:color w:val="auto"/>
        </w:rPr>
      </w:pPr>
    </w:p>
    <w:p>
      <w:pPr>
        <w:jc w:val="both"/>
        <w:ind w:firstLine="348"/>
        <w:spacing w:after="0" w:line="247" w:lineRule="auto"/>
        <w:rPr>
          <w:sz w:val="20"/>
          <w:szCs w:val="20"/>
          <w:color w:val="auto"/>
        </w:rPr>
      </w:pPr>
      <w:r>
        <w:rPr>
          <w:rFonts w:ascii="Times New Roman" w:cs="Times New Roman" w:eastAsia="Times New Roman" w:hAnsi="Times New Roman"/>
          <w:sz w:val="16"/>
          <w:szCs w:val="16"/>
          <w:color w:val="auto"/>
        </w:rPr>
        <w:t>During 2025, Ashland completed the sale of two excess land properties with a net book value of zero. Ashland received net proceeds and recorded a pre-tax gain of $15 million within the income (loss) on acquisitions and divestitures, net caption of the Statement of Consolidated Comprehensive Income (Loss) during the year ended September 30, 2025.</w:t>
      </w:r>
    </w:p>
    <w:p>
      <w:pPr>
        <w:spacing w:after="0" w:line="68" w:lineRule="exact"/>
        <w:rPr>
          <w:sz w:val="20"/>
          <w:szCs w:val="20"/>
          <w:color w:val="auto"/>
        </w:rPr>
      </w:pPr>
    </w:p>
    <w:p>
      <w:pPr>
        <w:ind w:right="300" w:firstLine="348"/>
        <w:spacing w:after="0" w:line="247" w:lineRule="auto"/>
        <w:rPr>
          <w:sz w:val="20"/>
          <w:szCs w:val="20"/>
          <w:color w:val="auto"/>
        </w:rPr>
      </w:pPr>
      <w:r>
        <w:rPr>
          <w:rFonts w:ascii="Times New Roman" w:cs="Times New Roman" w:eastAsia="Times New Roman" w:hAnsi="Times New Roman"/>
          <w:sz w:val="16"/>
          <w:szCs w:val="16"/>
          <w:color w:val="auto"/>
        </w:rPr>
        <w:t>During 2023, Ashland completed the sale of two excess land properties with a net book value of $2 million. Ashland received net proceeds of $9 million and recorded a pre-tax gain of $7 million within the income (loss) on acquisitions and divestitures, net caption of the Statement of Consolidated Comprehensive Income (Loss) for during the year ended September 30,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C – DISCONTINUED OPERATIONS</w:t>
      </w:r>
    </w:p>
    <w:p>
      <w:pPr>
        <w:spacing w:after="0" w:line="94" w:lineRule="exact"/>
        <w:rPr>
          <w:sz w:val="20"/>
          <w:szCs w:val="20"/>
          <w:color w:val="auto"/>
        </w:rPr>
      </w:pPr>
    </w:p>
    <w:p>
      <w:pPr>
        <w:ind w:right="200" w:firstLine="348"/>
        <w:spacing w:after="0" w:line="247" w:lineRule="auto"/>
        <w:rPr>
          <w:sz w:val="20"/>
          <w:szCs w:val="20"/>
          <w:color w:val="auto"/>
        </w:rPr>
      </w:pPr>
      <w:r>
        <w:rPr>
          <w:rFonts w:ascii="Times New Roman" w:cs="Times New Roman" w:eastAsia="Times New Roman" w:hAnsi="Times New Roman"/>
          <w:sz w:val="16"/>
          <w:szCs w:val="16"/>
          <w:color w:val="auto"/>
        </w:rPr>
        <w:t>Ashland has divested certain businesses that have qualified as discontinued operations. The operating results from these divested businesses and subsequent adjustments related to ongoing assessments and activities of certain retained liabilities and tax items have been recorded within the discontinued operations caption in the Statements of Consolidated Comprehensive Income (Loss) for all periods presented and are discussed further within this note.</w:t>
      </w:r>
    </w:p>
    <w:p>
      <w:pPr>
        <w:spacing w:after="0" w:line="68"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6"/>
          <w:szCs w:val="16"/>
          <w:color w:val="auto"/>
        </w:rPr>
        <w:t>Due to the ongoing assessment of certain matters associated with previous divestitures, subsequent adjustments to these divestitures may continue in future periods in the discontinued operations caption in the Statements of Consolidated Comprehensive Income (Loss).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divested businesses represent disposal groups that qualified as discontinued operations in previous periods and impacted discontinued operations: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Performance Adhesives business divested in 2022;</w:t>
      </w:r>
    </w:p>
    <w:p>
      <w:pPr>
        <w:spacing w:after="0" w:line="92" w:lineRule="exact"/>
        <w:rPr>
          <w:sz w:val="20"/>
          <w:szCs w:val="20"/>
          <w:color w:val="auto"/>
        </w:rPr>
      </w:pPr>
    </w:p>
    <w:p>
      <w:pPr>
        <w:ind w:left="480" w:right="4520"/>
        <w:spacing w:after="0" w:line="360" w:lineRule="auto"/>
        <w:rPr>
          <w:sz w:val="20"/>
          <w:szCs w:val="20"/>
          <w:color w:val="auto"/>
        </w:rPr>
      </w:pPr>
      <w:r>
        <w:rPr>
          <w:rFonts w:ascii="Times New Roman" w:cs="Times New Roman" w:eastAsia="Times New Roman" w:hAnsi="Times New Roman"/>
          <w:sz w:val="16"/>
          <w:szCs w:val="16"/>
          <w:color w:val="auto"/>
        </w:rPr>
        <w:t>•The Composites business and Marl facility (Composites/Marl facility) divested in 2019; •The separation of Valvoline Inc. (Valvoline) business divested in 2017;</w:t>
      </w:r>
    </w:p>
    <w:p>
      <w:pPr>
        <w:ind w:left="480" w:right="4100"/>
        <w:spacing w:after="0" w:line="360" w:lineRule="auto"/>
        <w:rPr>
          <w:sz w:val="20"/>
          <w:szCs w:val="20"/>
          <w:color w:val="auto"/>
        </w:rPr>
      </w:pPr>
      <w:r>
        <w:rPr>
          <w:rFonts w:ascii="Times New Roman" w:cs="Times New Roman" w:eastAsia="Times New Roman" w:hAnsi="Times New Roman"/>
          <w:sz w:val="16"/>
          <w:szCs w:val="16"/>
          <w:color w:val="auto"/>
        </w:rPr>
        <w:t>•The sale of Ashland Water Technologies (Water Technologies) business divested in 2014; and •The sale of the Ashland Distribution (Distribution) business divested in 2011.</w:t>
      </w:r>
    </w:p>
    <w:p>
      <w:pPr>
        <w:ind w:firstLine="348"/>
        <w:spacing w:after="0" w:line="243" w:lineRule="auto"/>
        <w:rPr>
          <w:sz w:val="20"/>
          <w:szCs w:val="20"/>
          <w:color w:val="auto"/>
        </w:rPr>
      </w:pPr>
      <w:r>
        <w:rPr>
          <w:rFonts w:ascii="Times New Roman" w:cs="Times New Roman" w:eastAsia="Times New Roman" w:hAnsi="Times New Roman"/>
          <w:sz w:val="16"/>
          <w:szCs w:val="16"/>
          <w:color w:val="auto"/>
        </w:rPr>
        <w:t>Additionally, Ashland is subject to liabilities from claims alleging personal injury caused by exposure to asbestos. Such claims result primarily from indemnification obligations undertaken in 1990 in connection with the sale of Riley, which qualified as a discontinued operation and from the acquisition during 2009 of Hercules. Adjustments to the recorded asbestos litigation reserves and related insurance receivables are recorded within the discontinued operations caption. See Note M for more information related to the adjustments on asbestos litigation reserves and receivables.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103" w:name="page104"/>
    <w:bookmarkEnd w:id="103"/>
    <w:p>
      <w:pPr>
        <w:ind w:right="580" w:firstLine="348"/>
        <w:spacing w:after="0" w:line="259" w:lineRule="auto"/>
        <w:rPr>
          <w:sz w:val="20"/>
          <w:szCs w:val="20"/>
          <w:color w:val="auto"/>
        </w:rPr>
      </w:pPr>
      <w:r>
        <w:rPr>
          <w:rFonts w:ascii="Times New Roman" w:cs="Times New Roman" w:eastAsia="Times New Roman" w:hAnsi="Times New Roman"/>
          <w:sz w:val="16"/>
          <w:szCs w:val="16"/>
          <w:color w:val="auto"/>
        </w:rPr>
        <w:t>Components of amounts reflected in the Statements of Consolidated Comprehensive Income (Loss) related to discontinued operations are presented in the following table for the years ended September 30: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(loss) from discontinued operations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Performance Adhesives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Composites/Marl facility</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Valvoline</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Water Technologies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Distribution</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Asbestos-related litigation</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(loss) before taxes</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tax benefit (expense)</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Benefit (expense) related to income (loss) from discontinued operations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63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Performance Adhesives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6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Composites/Marl facility</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Water Technologies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Distribution</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3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Asbestos-related litigation</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(loss) from discontinued operations, net of income taxes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20"/>
        </w:trPr>
        <w:tc>
          <w:tcPr>
            <w:tcW w:w="6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D – RESTRUCTURING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 activities</w:t>
      </w:r>
    </w:p>
    <w:p>
      <w:pPr>
        <w:spacing w:after="0" w:line="94" w:lineRule="exact"/>
        <w:rPr>
          <w:sz w:val="20"/>
          <w:szCs w:val="20"/>
          <w:color w:val="auto"/>
        </w:rPr>
      </w:pPr>
    </w:p>
    <w:p>
      <w:pPr>
        <w:jc w:val="both"/>
        <w:ind w:firstLine="348"/>
        <w:spacing w:after="0" w:line="259" w:lineRule="auto"/>
        <w:rPr>
          <w:sz w:val="20"/>
          <w:szCs w:val="20"/>
          <w:color w:val="auto"/>
        </w:rPr>
      </w:pPr>
      <w:r>
        <w:rPr>
          <w:rFonts w:ascii="Times New Roman" w:cs="Times New Roman" w:eastAsia="Times New Roman" w:hAnsi="Times New Roman"/>
          <w:sz w:val="16"/>
          <w:szCs w:val="16"/>
          <w:color w:val="auto"/>
        </w:rPr>
        <w:t>Ashland periodically implements company-wide and targeted restructuring programs related to acquisitions, divestitures and other cost reduction programs in order to enhance profitability through streamlined operations and an improved overall cost structure.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2025, 2024 and 2023 restructuring costs</w:t>
      </w:r>
    </w:p>
    <w:p>
      <w:pPr>
        <w:spacing w:after="0" w:line="94" w:lineRule="exact"/>
        <w:rPr>
          <w:sz w:val="20"/>
          <w:szCs w:val="20"/>
          <w:color w:val="auto"/>
        </w:rPr>
      </w:pPr>
    </w:p>
    <w:p>
      <w:pPr>
        <w:ind w:firstLine="348"/>
        <w:spacing w:after="0" w:line="247" w:lineRule="auto"/>
        <w:rPr>
          <w:sz w:val="20"/>
          <w:szCs w:val="20"/>
          <w:color w:val="auto"/>
        </w:rPr>
      </w:pPr>
      <w:r>
        <w:rPr>
          <w:rFonts w:ascii="Times New Roman" w:cs="Times New Roman" w:eastAsia="Times New Roman" w:hAnsi="Times New Roman"/>
          <w:sz w:val="16"/>
          <w:szCs w:val="16"/>
          <w:color w:val="auto"/>
        </w:rPr>
        <w:t>During fiscal 2025, Ashland initiated a restructuring plan to offset the impact from the Nutraceuticals business sale completed in fiscal 2024 and other portfolio optimization actions ("2025 Restructuring Program"). As a part of this program, Ashland is also advancing a multi-year manufacturing optimization restructuring plan to improve operational cost and strengthen its competitive position.</w:t>
      </w:r>
    </w:p>
    <w:p>
      <w:pPr>
        <w:spacing w:after="0" w:line="68" w:lineRule="exact"/>
        <w:rPr>
          <w:sz w:val="20"/>
          <w:szCs w:val="20"/>
          <w:color w:val="auto"/>
        </w:rPr>
      </w:pPr>
    </w:p>
    <w:p>
      <w:pPr>
        <w:ind w:right="200" w:firstLine="348"/>
        <w:spacing w:after="0" w:line="259" w:lineRule="auto"/>
        <w:rPr>
          <w:sz w:val="20"/>
          <w:szCs w:val="20"/>
          <w:color w:val="auto"/>
        </w:rPr>
      </w:pPr>
      <w:r>
        <w:rPr>
          <w:rFonts w:ascii="Times New Roman" w:cs="Times New Roman" w:eastAsia="Times New Roman" w:hAnsi="Times New Roman"/>
          <w:sz w:val="16"/>
          <w:szCs w:val="16"/>
          <w:color w:val="auto"/>
        </w:rPr>
        <w:t>During fiscal 2023, Ashland implemented targeted organizational restructuring actions to reduce costs ("2023 Restructuring Program"). This program continued into fiscal 2024.</w:t>
      </w:r>
    </w:p>
    <w:p>
      <w:pPr>
        <w:spacing w:after="0" w:line="59"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6"/>
          <w:szCs w:val="16"/>
          <w:color w:val="auto"/>
        </w:rPr>
        <w:t>Ashland recorded severance expense of $13 million, $25 million and $5 million during the years ended September 30, 2025, 2024 and 2023, respectively, within the selling, general and administrative expense caption of the Statements of Consolidated Comprehensive Income (Loss).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details at September 30, 2025, the amount of restructuring severance liabilities related to these programs.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80" w:type="dxa"/>
            <w:vAlign w:val="bottom"/>
          </w:tcPr>
          <w:p>
            <w:pPr>
              <w:spacing w:after="0"/>
              <w:rPr>
                <w:sz w:val="16"/>
                <w:szCs w:val="16"/>
                <w:color w:val="auto"/>
              </w:rPr>
            </w:pPr>
          </w:p>
        </w:tc>
        <w:tc>
          <w:tcPr>
            <w:tcW w:w="22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2025 Restructuring Program</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2023 Restructuring Program</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Balance at September 30, 2023</w:t>
            </w:r>
            <w:r>
              <w:rPr>
                <w:rFonts w:ascii="Times New Roman" w:cs="Times New Roman" w:eastAsia="Times New Roman" w:hAnsi="Times New Roman"/>
                <w:sz w:val="20"/>
                <w:szCs w:val="20"/>
                <w:b w:val="1"/>
                <w:bCs w:val="1"/>
                <w:color w:val="auto"/>
                <w:vertAlign w:val="superscript"/>
              </w:rPr>
              <w:t>(a)</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reserve</w:t>
            </w:r>
          </w:p>
        </w:tc>
        <w:tc>
          <w:tcPr>
            <w:tcW w:w="180" w:type="dxa"/>
            <w:vAlign w:val="bottom"/>
          </w:tcPr>
          <w:p>
            <w:pPr>
              <w:spacing w:after="0"/>
              <w:rPr>
                <w:sz w:val="17"/>
                <w:szCs w:val="17"/>
                <w:color w:val="auto"/>
              </w:rPr>
            </w:pPr>
          </w:p>
        </w:tc>
        <w:tc>
          <w:tcPr>
            <w:tcW w:w="2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Utilization (cash paid)</w:t>
            </w:r>
          </w:p>
        </w:tc>
        <w:tc>
          <w:tcPr>
            <w:tcW w:w="180" w:type="dxa"/>
            <w:vAlign w:val="bottom"/>
            <w:shd w:val="clear" w:color="auto" w:fill="CFF0FC"/>
          </w:tcPr>
          <w:p>
            <w:pPr>
              <w:spacing w:after="0"/>
              <w:rPr>
                <w:sz w:val="15"/>
                <w:szCs w:val="15"/>
                <w:color w:val="auto"/>
              </w:rPr>
            </w:pPr>
          </w:p>
        </w:tc>
        <w:tc>
          <w:tcPr>
            <w:tcW w:w="2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Balance at September 30, 2024</w:t>
            </w:r>
            <w:r>
              <w:rPr>
                <w:rFonts w:ascii="Times New Roman" w:cs="Times New Roman" w:eastAsia="Times New Roman" w:hAnsi="Times New Roman"/>
                <w:sz w:val="20"/>
                <w:szCs w:val="20"/>
                <w:b w:val="1"/>
                <w:bCs w:val="1"/>
                <w:color w:val="auto"/>
                <w:vertAlign w:val="superscript"/>
              </w:rPr>
              <w:t>(a)</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Restructuring reserve</w:t>
            </w:r>
          </w:p>
        </w:tc>
        <w:tc>
          <w:tcPr>
            <w:tcW w:w="180" w:type="dxa"/>
            <w:vAlign w:val="bottom"/>
            <w:shd w:val="clear" w:color="auto" w:fill="CFF0FC"/>
          </w:tcPr>
          <w:p>
            <w:pPr>
              <w:spacing w:after="0"/>
              <w:rPr>
                <w:sz w:val="13"/>
                <w:szCs w:val="13"/>
                <w:color w:val="auto"/>
              </w:rPr>
            </w:pPr>
          </w:p>
        </w:tc>
        <w:tc>
          <w:tcPr>
            <w:tcW w:w="222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Utilization (cash paid)</w:t>
            </w:r>
          </w:p>
        </w:tc>
        <w:tc>
          <w:tcPr>
            <w:tcW w:w="180" w:type="dxa"/>
            <w:vAlign w:val="bottom"/>
          </w:tcPr>
          <w:p>
            <w:pPr>
              <w:spacing w:after="0"/>
              <w:rPr>
                <w:sz w:val="15"/>
                <w:szCs w:val="15"/>
                <w:color w:val="auto"/>
              </w:rPr>
            </w:pPr>
          </w:p>
        </w:tc>
        <w:tc>
          <w:tcPr>
            <w:tcW w:w="2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0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Balance at September 30, 2025</w:t>
            </w:r>
            <w:r>
              <w:rPr>
                <w:rFonts w:ascii="Times New Roman" w:cs="Times New Roman" w:eastAsia="Times New Roman" w:hAnsi="Times New Roman"/>
                <w:sz w:val="20"/>
                <w:szCs w:val="20"/>
                <w:b w:val="1"/>
                <w:bCs w:val="1"/>
                <w:color w:val="auto"/>
                <w:vertAlign w:val="superscript"/>
              </w:rPr>
              <w:t>(a)</w:t>
            </w: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color w:val="auto"/>
        </w:rPr>
        <w:t>(a)The restructuring severance liability associated with these programs is recorded within accrued expenses and other liabilities in the Consolidated Balance Sheets at September 30, 2025 and 2024.</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i w:val="1"/>
          <w:iCs w:val="1"/>
          <w:color w:val="auto"/>
        </w:rPr>
        <w:t>Plant optimization actions</w:t>
      </w:r>
    </w:p>
    <w:p>
      <w:pPr>
        <w:spacing w:after="0" w:line="94" w:lineRule="exact"/>
        <w:rPr>
          <w:sz w:val="20"/>
          <w:szCs w:val="20"/>
          <w:color w:val="auto"/>
        </w:rPr>
      </w:pPr>
    </w:p>
    <w:p>
      <w:pPr>
        <w:ind w:right="420" w:firstLine="348"/>
        <w:spacing w:after="0" w:line="259" w:lineRule="auto"/>
        <w:rPr>
          <w:sz w:val="20"/>
          <w:szCs w:val="20"/>
          <w:color w:val="auto"/>
        </w:rPr>
      </w:pPr>
      <w:r>
        <w:rPr>
          <w:rFonts w:ascii="Times New Roman" w:cs="Times New Roman" w:eastAsia="Times New Roman" w:hAnsi="Times New Roman"/>
          <w:sz w:val="16"/>
          <w:szCs w:val="16"/>
          <w:color w:val="auto"/>
        </w:rPr>
        <w:t>Ashland's portfolio optimization actions have included projects associated with carboxymethylcellulose ("CMC"), industrial methylcellulose ("MC"), vinyl pyrrolidone and derivatives ("VP&amp;D") and hydroxyethylcellulose ("HEC") as well as manufacturing productivity initiatives.</w:t>
      </w:r>
    </w:p>
    <w:p>
      <w:pPr>
        <w:spacing w:after="0" w:line="59" w:lineRule="exact"/>
        <w:rPr>
          <w:sz w:val="20"/>
          <w:szCs w:val="20"/>
          <w:color w:val="auto"/>
        </w:rPr>
      </w:pPr>
    </w:p>
    <w:p>
      <w:pPr>
        <w:ind w:right="20" w:firstLine="348"/>
        <w:spacing w:after="0" w:line="247" w:lineRule="auto"/>
        <w:rPr>
          <w:sz w:val="20"/>
          <w:szCs w:val="20"/>
          <w:color w:val="auto"/>
        </w:rPr>
      </w:pPr>
      <w:r>
        <w:rPr>
          <w:rFonts w:ascii="Times New Roman" w:cs="Times New Roman" w:eastAsia="Times New Roman" w:hAnsi="Times New Roman"/>
          <w:sz w:val="16"/>
          <w:szCs w:val="16"/>
          <w:color w:val="auto"/>
        </w:rPr>
        <w:t>During 2025, Ashland incurred $21 million, $1 million and $19 million of accelerated depreciation for product line optimization activities associated with manufacturing facilities within the Life Sciences, Personal Care and Specialty Additives reportable segments, respectively, which was recorded within the cost of sales caption of the Statements of Consolidated Comprehensive Income (Loss).</w:t>
      </w:r>
    </w:p>
    <w:p>
      <w:pPr>
        <w:spacing w:after="0" w:line="68" w:lineRule="exact"/>
        <w:rPr>
          <w:sz w:val="20"/>
          <w:szCs w:val="20"/>
          <w:color w:val="auto"/>
        </w:rPr>
      </w:pPr>
    </w:p>
    <w:p>
      <w:pPr>
        <w:ind w:right="700" w:firstLine="348"/>
        <w:spacing w:after="0" w:line="331" w:lineRule="auto"/>
        <w:rPr>
          <w:sz w:val="20"/>
          <w:szCs w:val="20"/>
          <w:color w:val="auto"/>
        </w:rPr>
      </w:pPr>
      <w:r>
        <w:rPr>
          <w:rFonts w:ascii="Times New Roman" w:cs="Times New Roman" w:eastAsia="Times New Roman" w:hAnsi="Times New Roman"/>
          <w:sz w:val="14"/>
          <w:szCs w:val="14"/>
          <w:color w:val="auto"/>
        </w:rPr>
        <w:t>During 2024, Ashland incurred $55 million of accelerated depreciation for product line optimization activities associated with two Specialty Additives manufacturing facilities, which was recorded within the cost of sales caption of the Statements of Consolidated Comprehensive Income (Loss).</w:t>
      </w:r>
    </w:p>
    <w:p>
      <w:pPr>
        <w:spacing w:after="0" w:line="12" w:lineRule="exact"/>
        <w:rPr>
          <w:sz w:val="20"/>
          <w:szCs w:val="20"/>
          <w:color w:val="auto"/>
        </w:rPr>
      </w:pPr>
    </w:p>
    <w:p>
      <w:pPr>
        <w:ind w:right="340" w:firstLine="348"/>
        <w:spacing w:after="0" w:line="331" w:lineRule="auto"/>
        <w:rPr>
          <w:sz w:val="20"/>
          <w:szCs w:val="20"/>
          <w:color w:val="auto"/>
        </w:rPr>
      </w:pPr>
      <w:r>
        <w:rPr>
          <w:rFonts w:ascii="Times New Roman" w:cs="Times New Roman" w:eastAsia="Times New Roman" w:hAnsi="Times New Roman"/>
          <w:sz w:val="14"/>
          <w:szCs w:val="14"/>
          <w:color w:val="auto"/>
        </w:rPr>
        <w:t>During 2024, Ashland incurred $2 million of accelerated depreciation for product line optimization activities associated with a Personal Care manufacturing facility in Summerville, South Carolina, which was recorded within the cost of sales caption of the Statements of Consolidated Comprehensive Income (Loss).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E – FAIR VALUE MEASUREMENTS</w:t>
      </w:r>
    </w:p>
    <w:p>
      <w:pPr>
        <w:spacing w:after="0" w:line="94" w:lineRule="exact"/>
        <w:rPr>
          <w:sz w:val="20"/>
          <w:szCs w:val="20"/>
          <w:color w:val="auto"/>
        </w:rPr>
      </w:pPr>
    </w:p>
    <w:p>
      <w:pPr>
        <w:ind w:right="20" w:firstLine="348"/>
        <w:spacing w:after="0" w:line="239" w:lineRule="auto"/>
        <w:rPr>
          <w:sz w:val="20"/>
          <w:szCs w:val="20"/>
          <w:color w:val="auto"/>
        </w:rPr>
      </w:pPr>
      <w:r>
        <w:rPr>
          <w:rFonts w:ascii="Times New Roman" w:cs="Times New Roman" w:eastAsia="Times New Roman" w:hAnsi="Times New Roman"/>
          <w:sz w:val="16"/>
          <w:szCs w:val="16"/>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1 – Observable inputs such as unadjusted quoted prices in active markets for identical assets or liabilities.</w:t>
      </w:r>
    </w:p>
    <w:p>
      <w:pPr>
        <w:spacing w:after="0" w:line="92"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6"/>
          <w:szCs w:val="16"/>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59"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1"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07" w:right="780" w:bottom="1440" w:gutter="0" w:footer="0" w:header="0"/>
        </w:sectPr>
      </w:pPr>
    </w:p>
    <w:bookmarkStart w:id="105" w:name="page106"/>
    <w:bookmarkEnd w:id="105"/>
    <w:p>
      <w:pPr>
        <w:ind w:right="22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summarizes financial instruments subject to recurring fair value measurements as of September 30, 2025. For additional information on fair value hierarchy measurements of pension plan assets, see Note L.</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480" w:type="dxa"/>
            <w:vAlign w:val="bottom"/>
          </w:tcPr>
          <w:p>
            <w:pPr>
              <w:spacing w:after="0"/>
              <w:rPr>
                <w:sz w:val="16"/>
                <w:szCs w:val="16"/>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w w:val="98"/>
              </w:rPr>
              <w:t>Carrying value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Total fair value</w:t>
            </w:r>
          </w:p>
        </w:tc>
        <w:tc>
          <w:tcPr>
            <w:tcW w:w="12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Level 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gridSpan w:val="2"/>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2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1180" w:type="dxa"/>
            <w:vAlign w:val="bottom"/>
            <w:gridSpan w:val="2"/>
          </w:tcPr>
          <w:p>
            <w:pPr>
              <w:jc w:val="right"/>
              <w:ind w:right="9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900" w:type="dxa"/>
            <w:vAlign w:val="bottom"/>
            <w:gridSpan w:val="2"/>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Restricted investments</w:t>
            </w:r>
            <w:r>
              <w:rPr>
                <w:rFonts w:ascii="Times New Roman" w:cs="Times New Roman" w:eastAsia="Times New Roman" w:hAnsi="Times New Roman"/>
                <w:sz w:val="20"/>
                <w:szCs w:val="20"/>
                <w:color w:val="auto"/>
                <w:vertAlign w:val="superscript"/>
              </w:rPr>
              <w:t>(a)(b)</w:t>
            </w:r>
          </w:p>
        </w:tc>
        <w:tc>
          <w:tcPr>
            <w:tcW w:w="4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Investments of captive insurance company</w:t>
            </w:r>
            <w:r>
              <w:rPr>
                <w:rFonts w:ascii="Times New Roman" w:cs="Times New Roman" w:eastAsia="Times New Roman" w:hAnsi="Times New Roman"/>
                <w:sz w:val="20"/>
                <w:szCs w:val="20"/>
                <w:color w:val="auto"/>
                <w:vertAlign w:val="superscript"/>
              </w:rPr>
              <w:t>(c)</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Commodity derivatives</w:t>
            </w:r>
            <w:r>
              <w:rPr>
                <w:rFonts w:ascii="Times New Roman" w:cs="Times New Roman" w:eastAsia="Times New Roman" w:hAnsi="Times New Roman"/>
                <w:sz w:val="20"/>
                <w:szCs w:val="20"/>
                <w:color w:val="auto"/>
                <w:vertAlign w:val="superscript"/>
              </w:rPr>
              <w:t>(d)</w:t>
            </w:r>
          </w:p>
        </w:tc>
        <w:tc>
          <w:tcPr>
            <w:tcW w:w="4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assets at fair value</w:t>
            </w:r>
          </w:p>
        </w:tc>
        <w:tc>
          <w:tcPr>
            <w:tcW w:w="900" w:type="dxa"/>
            <w:vAlign w:val="bottom"/>
            <w:gridSpan w:val="2"/>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568</w:t>
            </w:r>
          </w:p>
        </w:tc>
        <w:tc>
          <w:tcPr>
            <w:tcW w:w="2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568</w:t>
            </w:r>
          </w:p>
        </w:tc>
        <w:tc>
          <w:tcPr>
            <w:tcW w:w="1180" w:type="dxa"/>
            <w:vAlign w:val="bottom"/>
            <w:gridSpan w:val="2"/>
          </w:tcPr>
          <w:p>
            <w:pPr>
              <w:jc w:val="right"/>
              <w:ind w:right="9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567</w:t>
            </w:r>
          </w:p>
        </w:tc>
        <w:tc>
          <w:tcPr>
            <w:tcW w:w="900" w:type="dxa"/>
            <w:vAlign w:val="bottom"/>
            <w:gridSpan w:val="2"/>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Foreign currency derivatives</w:t>
            </w:r>
            <w:r>
              <w:rPr>
                <w:rFonts w:ascii="Times New Roman" w:cs="Times New Roman" w:eastAsia="Times New Roman" w:hAnsi="Times New Roman"/>
                <w:sz w:val="20"/>
                <w:szCs w:val="20"/>
                <w:color w:val="auto"/>
                <w:vertAlign w:val="superscript"/>
              </w:rPr>
              <w:t>(e)</w:t>
            </w:r>
          </w:p>
        </w:tc>
        <w:tc>
          <w:tcPr>
            <w:tcW w:w="900" w:type="dxa"/>
            <w:vAlign w:val="bottom"/>
            <w:gridSpan w:val="2"/>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180" w:type="dxa"/>
            <w:vAlign w:val="bottom"/>
            <w:gridSpan w:val="2"/>
            <w:shd w:val="clear" w:color="auto" w:fill="CFF0FC"/>
          </w:tcPr>
          <w:p>
            <w:pPr>
              <w:jc w:val="right"/>
              <w:ind w:right="9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Commodity derivatives</w:t>
            </w:r>
            <w:r>
              <w:rPr>
                <w:rFonts w:ascii="Times New Roman" w:cs="Times New Roman" w:eastAsia="Times New Roman" w:hAnsi="Times New Roman"/>
                <w:sz w:val="20"/>
                <w:szCs w:val="20"/>
                <w:color w:val="auto"/>
                <w:vertAlign w:val="superscript"/>
              </w:rPr>
              <w:t>(e)</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liabilities at fair value</w:t>
            </w:r>
          </w:p>
        </w:tc>
        <w:tc>
          <w:tcPr>
            <w:tcW w:w="900" w:type="dxa"/>
            <w:vAlign w:val="bottom"/>
            <w:gridSpan w:val="2"/>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180" w:type="dxa"/>
            <w:vAlign w:val="bottom"/>
            <w:gridSpan w:val="2"/>
            <w:shd w:val="clear" w:color="auto" w:fill="CFF0FC"/>
          </w:tcPr>
          <w:p>
            <w:pPr>
              <w:jc w:val="right"/>
              <w:ind w:right="9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(a)Includes $297 million within restricted investments and $50 million within other current assets in the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(b)Includes $231 million related to the Asbestos trust and $116 million related to the Environmental trust. See Note A for additional details.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(c)Included in other noncurrent assets in the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(d)Included in accounts receivable, net in the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(e)Included in accrued expenses and other liabilities in the Consolidated Balance Sheets.</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summarizes financial instruments subject to recurring fair value measurements as of September 30,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480" w:type="dxa"/>
            <w:vAlign w:val="bottom"/>
          </w:tcPr>
          <w:p>
            <w:pPr>
              <w:spacing w:after="0"/>
              <w:rPr>
                <w:sz w:val="16"/>
                <w:szCs w:val="16"/>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w w:val="98"/>
              </w:rPr>
              <w:t>Carrying value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Total fair value</w:t>
            </w:r>
          </w:p>
        </w:tc>
        <w:tc>
          <w:tcPr>
            <w:tcW w:w="12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Level 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gridSpan w:val="2"/>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2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1180" w:type="dxa"/>
            <w:vAlign w:val="bottom"/>
            <w:gridSpan w:val="2"/>
          </w:tcPr>
          <w:p>
            <w:pPr>
              <w:jc w:val="right"/>
              <w:ind w:right="9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900" w:type="dxa"/>
            <w:vAlign w:val="bottom"/>
            <w:gridSpan w:val="2"/>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Restricted investments</w:t>
            </w:r>
            <w:r>
              <w:rPr>
                <w:rFonts w:ascii="Times New Roman" w:cs="Times New Roman" w:eastAsia="Times New Roman" w:hAnsi="Times New Roman"/>
                <w:sz w:val="20"/>
                <w:szCs w:val="20"/>
                <w:color w:val="auto"/>
                <w:vertAlign w:val="superscript"/>
              </w:rPr>
              <w:t>(a)(b)</w:t>
            </w:r>
          </w:p>
        </w:tc>
        <w:tc>
          <w:tcPr>
            <w:tcW w:w="4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368</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368</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Investments of captive insurance company</w:t>
            </w:r>
            <w:r>
              <w:rPr>
                <w:rFonts w:ascii="Times New Roman" w:cs="Times New Roman" w:eastAsia="Times New Roman" w:hAnsi="Times New Roman"/>
                <w:sz w:val="20"/>
                <w:szCs w:val="20"/>
                <w:color w:val="auto"/>
                <w:vertAlign w:val="superscript"/>
              </w:rPr>
              <w:t>(c)</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Foreign currency derivatives</w:t>
            </w:r>
            <w:r>
              <w:rPr>
                <w:rFonts w:ascii="Times New Roman" w:cs="Times New Roman" w:eastAsia="Times New Roman" w:hAnsi="Times New Roman"/>
                <w:sz w:val="20"/>
                <w:szCs w:val="20"/>
                <w:color w:val="auto"/>
                <w:vertAlign w:val="superscript"/>
              </w:rPr>
              <w:t>(d)</w:t>
            </w:r>
          </w:p>
        </w:tc>
        <w:tc>
          <w:tcPr>
            <w:tcW w:w="4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assets at fair value</w:t>
            </w:r>
          </w:p>
        </w:tc>
        <w:tc>
          <w:tcPr>
            <w:tcW w:w="900" w:type="dxa"/>
            <w:vAlign w:val="bottom"/>
            <w:gridSpan w:val="2"/>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2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1180" w:type="dxa"/>
            <w:vAlign w:val="bottom"/>
            <w:gridSpan w:val="2"/>
          </w:tcPr>
          <w:p>
            <w:pPr>
              <w:jc w:val="right"/>
              <w:ind w:right="9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675</w:t>
            </w:r>
          </w:p>
        </w:tc>
        <w:tc>
          <w:tcPr>
            <w:tcW w:w="900" w:type="dxa"/>
            <w:vAlign w:val="bottom"/>
            <w:gridSpan w:val="2"/>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Foreign currency derivatives</w:t>
            </w:r>
            <w:r>
              <w:rPr>
                <w:rFonts w:ascii="Times New Roman" w:cs="Times New Roman" w:eastAsia="Times New Roman" w:hAnsi="Times New Roman"/>
                <w:sz w:val="20"/>
                <w:szCs w:val="20"/>
                <w:color w:val="auto"/>
                <w:vertAlign w:val="superscript"/>
              </w:rPr>
              <w:t>(e)</w:t>
            </w:r>
          </w:p>
        </w:tc>
        <w:tc>
          <w:tcPr>
            <w:tcW w:w="900" w:type="dxa"/>
            <w:vAlign w:val="bottom"/>
            <w:gridSpan w:val="2"/>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180" w:type="dxa"/>
            <w:vAlign w:val="bottom"/>
            <w:gridSpan w:val="2"/>
            <w:shd w:val="clear" w:color="auto" w:fill="CFF0FC"/>
          </w:tcPr>
          <w:p>
            <w:pPr>
              <w:jc w:val="right"/>
              <w:ind w:right="9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Commodity derivatives</w:t>
            </w:r>
            <w:r>
              <w:rPr>
                <w:rFonts w:ascii="Times New Roman" w:cs="Times New Roman" w:eastAsia="Times New Roman" w:hAnsi="Times New Roman"/>
                <w:sz w:val="20"/>
                <w:szCs w:val="20"/>
                <w:color w:val="auto"/>
                <w:vertAlign w:val="superscript"/>
              </w:rPr>
              <w:t>(e)</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liabilities at fair value</w:t>
            </w:r>
          </w:p>
        </w:tc>
        <w:tc>
          <w:tcPr>
            <w:tcW w:w="900" w:type="dxa"/>
            <w:vAlign w:val="bottom"/>
            <w:gridSpan w:val="2"/>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180" w:type="dxa"/>
            <w:vAlign w:val="bottom"/>
            <w:gridSpan w:val="2"/>
            <w:shd w:val="clear" w:color="auto" w:fill="CFF0FC"/>
          </w:tcPr>
          <w:p>
            <w:pPr>
              <w:jc w:val="right"/>
              <w:ind w:right="9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(a)Includes $295 million within restricted investments and $73 million within other current assets in the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(a)Includes $248 million related to the Asbestos trust and $120 million related to the Environmental trust. See Note A for additional details.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(b)Included in other noncurrent assets in the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(c)Included in accounts receivable, net in the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(d)Included in accrued expenses and other liabilities in the Consolidated Balance Sheets.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investments</w:t>
      </w:r>
    </w:p>
    <w:p>
      <w:pPr>
        <w:spacing w:after="0" w:line="94" w:lineRule="exact"/>
        <w:rPr>
          <w:sz w:val="20"/>
          <w:szCs w:val="20"/>
          <w:color w:val="auto"/>
        </w:rPr>
      </w:pPr>
    </w:p>
    <w:p>
      <w:pPr>
        <w:ind w:right="60" w:firstLine="348"/>
        <w:spacing w:after="0" w:line="243" w:lineRule="auto"/>
        <w:rPr>
          <w:sz w:val="20"/>
          <w:szCs w:val="20"/>
          <w:color w:val="auto"/>
        </w:rPr>
      </w:pPr>
      <w:r>
        <w:rPr>
          <w:rFonts w:ascii="Times New Roman" w:cs="Times New Roman" w:eastAsia="Times New Roman" w:hAnsi="Times New Roman"/>
          <w:sz w:val="16"/>
          <w:szCs w:val="16"/>
          <w:color w:val="auto"/>
        </w:rPr>
        <w:t>As discussed in Note A, Ashland maintains certain investments in a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investment securities were classified primarily as noncurrent restricted investment assets, with $50 million and $73 million classified within other current assets, in the Consolidated Balance Sheets at September 30, 2025 and 2024, respectively.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06" w:name="page107"/>
    <w:bookmarkEnd w:id="106"/>
    <w:p>
      <w:pPr>
        <w:ind w:left="360"/>
        <w:spacing w:after="0"/>
        <w:rPr>
          <w:sz w:val="20"/>
          <w:szCs w:val="20"/>
          <w:color w:val="auto"/>
        </w:rPr>
      </w:pPr>
      <w:r>
        <w:rPr>
          <w:rFonts w:ascii="Times New Roman" w:cs="Times New Roman" w:eastAsia="Times New Roman" w:hAnsi="Times New Roman"/>
          <w:sz w:val="16"/>
          <w:szCs w:val="16"/>
          <w:color w:val="auto"/>
        </w:rPr>
        <w:t>The following table presents gross unrealized gains and losses for the restricted investments as of:</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Gross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8"/>
              </w:rPr>
              <w:t>Adjusted Cost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Unrealized Gain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Unrealized Loss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 2025</w:t>
            </w: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Demand deposit</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Equity mutual fund</w:t>
            </w: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income mutual fund</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Fair value</w:t>
            </w:r>
          </w:p>
        </w:tc>
        <w:tc>
          <w:tcPr>
            <w:tcW w:w="14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40" w:type="dxa"/>
            <w:vAlign w:val="bottom"/>
            <w:tcBorders>
              <w:top w:val="single" w:sz="8" w:color="CFF0FC"/>
            </w:tcBorders>
          </w:tcPr>
          <w:p>
            <w:pPr>
              <w:spacing w:after="0"/>
              <w:rPr>
                <w:sz w:val="13"/>
                <w:szCs w:val="13"/>
                <w:color w:val="auto"/>
              </w:rPr>
            </w:pPr>
          </w:p>
        </w:tc>
        <w:tc>
          <w:tcPr>
            <w:tcW w:w="13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 2024</w:t>
            </w: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Demand deposit</w:t>
            </w:r>
          </w:p>
        </w:tc>
        <w:tc>
          <w:tcPr>
            <w:tcW w:w="14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Equity mutual fund</w:t>
            </w: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income mutual fund</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Fair value</w:t>
            </w:r>
          </w:p>
        </w:tc>
        <w:tc>
          <w:tcPr>
            <w:tcW w:w="14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340</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ind w:left="1260"/>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right="8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investment income, net gains and losses realized, funds restricted for specific transactions, and disbursements related to restricted investments for the years ended September 30: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Pr>
          <w:p>
            <w:pPr>
              <w:spacing w:after="0"/>
              <w:rPr>
                <w:sz w:val="16"/>
                <w:szCs w:val="16"/>
                <w:color w:val="auto"/>
              </w:rPr>
            </w:pPr>
          </w:p>
        </w:tc>
        <w:tc>
          <w:tcPr>
            <w:tcW w:w="14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Investment income</w:t>
            </w:r>
            <w:r>
              <w:rPr>
                <w:rFonts w:ascii="Times New Roman" w:cs="Times New Roman" w:eastAsia="Times New Roman" w:hAnsi="Times New Roman"/>
                <w:sz w:val="20"/>
                <w:szCs w:val="20"/>
                <w:color w:val="auto"/>
                <w:vertAlign w:val="superscript"/>
              </w:rPr>
              <w:t>(a)</w:t>
            </w:r>
          </w:p>
        </w:tc>
        <w:tc>
          <w:tcPr>
            <w:tcW w:w="2160" w:type="dxa"/>
            <w:vAlign w:val="bottom"/>
            <w:shd w:val="clear" w:color="auto" w:fill="CFF0FC"/>
          </w:tcPr>
          <w:p>
            <w:pPr>
              <w:jc w:val="right"/>
              <w:ind w:right="8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80" w:type="dxa"/>
            <w:vAlign w:val="bottom"/>
            <w:shd w:val="clear" w:color="auto" w:fill="CFF0FC"/>
          </w:tcPr>
          <w:p>
            <w:pPr>
              <w:jc w:val="right"/>
              <w:ind w:right="1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52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37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Net gains</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15"/>
                <w:szCs w:val="15"/>
                <w:color w:val="auto"/>
              </w:rPr>
            </w:pPr>
          </w:p>
        </w:tc>
        <w:tc>
          <w:tcPr>
            <w:tcW w:w="5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480" w:type="dxa"/>
            <w:vAlign w:val="bottom"/>
          </w:tcPr>
          <w:p>
            <w:pPr>
              <w:spacing w:after="0"/>
              <w:rPr>
                <w:sz w:val="15"/>
                <w:szCs w:val="15"/>
                <w:color w:val="auto"/>
              </w:rPr>
            </w:pPr>
          </w:p>
        </w:tc>
        <w:tc>
          <w:tcPr>
            <w:tcW w:w="6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520" w:type="dxa"/>
            <w:vAlign w:val="bottom"/>
          </w:tcPr>
          <w:p>
            <w:pPr>
              <w:spacing w:after="0"/>
              <w:rPr>
                <w:sz w:val="15"/>
                <w:szCs w:val="15"/>
                <w:color w:val="auto"/>
              </w:rPr>
            </w:pPr>
          </w:p>
        </w:tc>
        <w:tc>
          <w:tcPr>
            <w:tcW w:w="15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Funds restricted for specific transactions</w:t>
            </w:r>
          </w:p>
        </w:tc>
        <w:tc>
          <w:tcPr>
            <w:tcW w:w="216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4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52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35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Disbursements</w:t>
            </w:r>
          </w:p>
        </w:tc>
        <w:tc>
          <w:tcPr>
            <w:tcW w:w="2160" w:type="dxa"/>
            <w:vAlign w:val="bottom"/>
          </w:tcPr>
          <w:p>
            <w:pPr>
              <w:spacing w:after="0"/>
              <w:rPr>
                <w:sz w:val="24"/>
                <w:szCs w:val="24"/>
                <w:color w:val="auto"/>
              </w:rPr>
            </w:pPr>
          </w:p>
        </w:tc>
        <w:tc>
          <w:tcPr>
            <w:tcW w:w="520" w:type="dxa"/>
            <w:vAlign w:val="bottom"/>
          </w:tcPr>
          <w:p>
            <w:pPr>
              <w:jc w:val="right"/>
              <w:ind w:right="42"/>
              <w:spacing w:after="0" w:line="350" w:lineRule="exact"/>
              <w:rPr>
                <w:sz w:val="20"/>
                <w:szCs w:val="20"/>
                <w:color w:val="auto"/>
              </w:rPr>
            </w:pPr>
            <w:r>
              <w:rPr>
                <w:rFonts w:ascii="Times New Roman" w:cs="Times New Roman" w:eastAsia="Times New Roman" w:hAnsi="Times New Roman"/>
                <w:sz w:val="16"/>
                <w:szCs w:val="16"/>
                <w:color w:val="auto"/>
              </w:rPr>
              <w:t>(62</w:t>
            </w:r>
            <w:r>
              <w:rPr>
                <w:rFonts w:ascii="Times New Roman" w:cs="Times New Roman" w:eastAsia="Times New Roman" w:hAnsi="Times New Roman"/>
                <w:sz w:val="31"/>
                <w:szCs w:val="31"/>
                <w:color w:val="auto"/>
                <w:vertAlign w:val="subscript"/>
              </w:rPr>
              <w:t>)</w:t>
            </w:r>
          </w:p>
        </w:tc>
        <w:tc>
          <w:tcPr>
            <w:tcW w:w="1480" w:type="dxa"/>
            <w:vAlign w:val="bottom"/>
          </w:tcPr>
          <w:p>
            <w:pPr>
              <w:spacing w:after="0"/>
              <w:rPr>
                <w:sz w:val="24"/>
                <w:szCs w:val="24"/>
                <w:color w:val="auto"/>
              </w:rPr>
            </w:pPr>
          </w:p>
        </w:tc>
        <w:tc>
          <w:tcPr>
            <w:tcW w:w="660" w:type="dxa"/>
            <w:vAlign w:val="bottom"/>
          </w:tcPr>
          <w:p>
            <w:pPr>
              <w:jc w:val="right"/>
              <w:ind w:right="22"/>
              <w:spacing w:after="0" w:line="350" w:lineRule="exact"/>
              <w:rPr>
                <w:sz w:val="20"/>
                <w:szCs w:val="20"/>
                <w:color w:val="auto"/>
              </w:rPr>
            </w:pPr>
            <w:r>
              <w:rPr>
                <w:rFonts w:ascii="Times New Roman" w:cs="Times New Roman" w:eastAsia="Times New Roman" w:hAnsi="Times New Roman"/>
                <w:sz w:val="16"/>
                <w:szCs w:val="16"/>
                <w:color w:val="auto"/>
              </w:rPr>
              <w:t>(79</w:t>
            </w:r>
            <w:r>
              <w:rPr>
                <w:rFonts w:ascii="Times New Roman" w:cs="Times New Roman" w:eastAsia="Times New Roman" w:hAnsi="Times New Roman"/>
                <w:sz w:val="31"/>
                <w:szCs w:val="31"/>
                <w:color w:val="auto"/>
                <w:vertAlign w:val="subscript"/>
              </w:rPr>
              <w:t>)</w:t>
            </w:r>
          </w:p>
        </w:tc>
        <w:tc>
          <w:tcPr>
            <w:tcW w:w="520" w:type="dxa"/>
            <w:vAlign w:val="bottom"/>
          </w:tcPr>
          <w:p>
            <w:pPr>
              <w:spacing w:after="0"/>
              <w:rPr>
                <w:sz w:val="24"/>
                <w:szCs w:val="24"/>
                <w:color w:val="auto"/>
              </w:rPr>
            </w:pPr>
          </w:p>
        </w:tc>
        <w:tc>
          <w:tcPr>
            <w:tcW w:w="1520" w:type="dxa"/>
            <w:vAlign w:val="bottom"/>
          </w:tcPr>
          <w:p>
            <w:pPr>
              <w:jc w:val="right"/>
              <w:spacing w:after="0" w:line="350" w:lineRule="exact"/>
              <w:rPr>
                <w:sz w:val="20"/>
                <w:szCs w:val="20"/>
                <w:color w:val="auto"/>
              </w:rPr>
            </w:pPr>
            <w:r>
              <w:rPr>
                <w:rFonts w:ascii="Times New Roman" w:cs="Times New Roman" w:eastAsia="Times New Roman" w:hAnsi="Times New Roman"/>
                <w:sz w:val="16"/>
                <w:szCs w:val="16"/>
                <w:color w:val="auto"/>
              </w:rPr>
              <w:t>(58</w:t>
            </w:r>
            <w:r>
              <w:rPr>
                <w:rFonts w:ascii="Times New Roman" w:cs="Times New Roman" w:eastAsia="Times New Roman" w:hAnsi="Times New Roman"/>
                <w:sz w:val="31"/>
                <w:szCs w:val="31"/>
                <w:color w:val="auto"/>
                <w:vertAlign w:val="subscript"/>
              </w:rPr>
              <w:t>)</w:t>
            </w:r>
          </w:p>
        </w:tc>
      </w:tr>
    </w:tbl>
    <w:p>
      <w:pPr>
        <w:spacing w:after="0"/>
        <w:rPr>
          <w:sz w:val="20"/>
          <w:szCs w:val="20"/>
          <w:color w:val="auto"/>
        </w:rPr>
      </w:pPr>
      <w:r>
        <w:rPr>
          <w:rFonts w:ascii="Times New Roman" w:cs="Times New Roman" w:eastAsia="Times New Roman" w:hAnsi="Times New Roman"/>
          <w:sz w:val="13"/>
          <w:szCs w:val="13"/>
          <w:color w:val="auto"/>
        </w:rPr>
        <w:t>(a)Included in the net interest and other expense (income) caption within the Statements of Consolidated Comprehensive Income (Loss).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derivatives</w:t>
      </w:r>
    </w:p>
    <w:p>
      <w:pPr>
        <w:spacing w:after="0" w:line="94" w:lineRule="exact"/>
        <w:rPr>
          <w:sz w:val="20"/>
          <w:szCs w:val="20"/>
          <w:color w:val="auto"/>
        </w:rPr>
      </w:pPr>
    </w:p>
    <w:p>
      <w:pPr>
        <w:ind w:right="20" w:firstLine="348"/>
        <w:spacing w:after="0" w:line="280" w:lineRule="auto"/>
        <w:rPr>
          <w:sz w:val="20"/>
          <w:szCs w:val="20"/>
          <w:color w:val="auto"/>
        </w:rPr>
      </w:pPr>
      <w:r>
        <w:rPr>
          <w:rFonts w:ascii="Times New Roman" w:cs="Times New Roman" w:eastAsia="Times New Roman" w:hAnsi="Times New Roman"/>
          <w:sz w:val="14"/>
          <w:szCs w:val="14"/>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of the Statements of Comprehensive Income (Loss). The impacts of these contracts were largely offset by gains and losses resulting from the impact of changes in exchange rates on transactions denominated in non-functional currencies.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summarizes the gains and losses recognized within the Statements of Consolidated Comprehensive Income (Loss) for the years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3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Pr>
          <w:p>
            <w:pPr>
              <w:spacing w:after="0"/>
              <w:rPr>
                <w:sz w:val="16"/>
                <w:szCs w:val="16"/>
                <w:color w:val="auto"/>
              </w:rPr>
            </w:pPr>
          </w:p>
        </w:tc>
        <w:tc>
          <w:tcPr>
            <w:tcW w:w="158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Foreign currency derivative gains</w:t>
            </w:r>
          </w:p>
        </w:tc>
        <w:tc>
          <w:tcPr>
            <w:tcW w:w="2380" w:type="dxa"/>
            <w:vAlign w:val="bottom"/>
            <w:shd w:val="clear" w:color="auto" w:fill="CFF0FC"/>
          </w:tcPr>
          <w:p>
            <w:pPr>
              <w:jc w:val="right"/>
              <w:ind w:right="8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580" w:type="dxa"/>
            <w:vAlign w:val="bottom"/>
            <w:shd w:val="clear" w:color="auto" w:fill="CFF0FC"/>
          </w:tcPr>
          <w:p>
            <w:pPr>
              <w:jc w:val="right"/>
              <w:ind w:right="1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56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r>
    </w:tbl>
    <w:p>
      <w:pPr>
        <w:spacing w:after="0" w:line="143" w:lineRule="exact"/>
        <w:rPr>
          <w:sz w:val="20"/>
          <w:szCs w:val="20"/>
          <w:color w:val="auto"/>
        </w:rPr>
      </w:pPr>
    </w:p>
    <w:p>
      <w:pPr>
        <w:ind w:right="2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fair values of the outstanding foreign currency derivatives included in accounts receivable, net and accrued expenses and other liabilities of the Consolidated Balance Sheets at September 30: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760" w:type="dxa"/>
            <w:vAlign w:val="bottom"/>
          </w:tcPr>
          <w:p>
            <w:pPr>
              <w:spacing w:after="0"/>
              <w:rPr>
                <w:sz w:val="16"/>
                <w:szCs w:val="16"/>
                <w:color w:val="auto"/>
              </w:rPr>
            </w:pPr>
          </w:p>
        </w:tc>
        <w:tc>
          <w:tcPr>
            <w:tcW w:w="14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2025</w:t>
            </w:r>
          </w:p>
        </w:tc>
        <w:tc>
          <w:tcPr>
            <w:tcW w:w="700" w:type="dxa"/>
            <w:vAlign w:val="bottom"/>
          </w:tcPr>
          <w:p>
            <w:pPr>
              <w:spacing w:after="0"/>
              <w:rPr>
                <w:sz w:val="16"/>
                <w:szCs w:val="16"/>
                <w:color w:val="auto"/>
              </w:rPr>
            </w:pPr>
          </w:p>
        </w:tc>
        <w:tc>
          <w:tcPr>
            <w:tcW w:w="1880" w:type="dxa"/>
            <w:vAlign w:val="bottom"/>
          </w:tcPr>
          <w:p>
            <w:pPr>
              <w:jc w:val="right"/>
              <w:ind w:right="1022"/>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Foreign currency derivative assets</w:t>
            </w:r>
          </w:p>
        </w:tc>
        <w:tc>
          <w:tcPr>
            <w:tcW w:w="276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Notional contract values</w:t>
            </w:r>
          </w:p>
        </w:tc>
        <w:tc>
          <w:tcPr>
            <w:tcW w:w="2760" w:type="dxa"/>
            <w:vAlign w:val="bottom"/>
          </w:tcPr>
          <w:p>
            <w:pPr>
              <w:spacing w:after="0"/>
              <w:rPr>
                <w:sz w:val="15"/>
                <w:szCs w:val="15"/>
                <w:color w:val="auto"/>
              </w:rPr>
            </w:pPr>
          </w:p>
        </w:tc>
        <w:tc>
          <w:tcPr>
            <w:tcW w:w="14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700" w:type="dxa"/>
            <w:vAlign w:val="bottom"/>
          </w:tcPr>
          <w:p>
            <w:pPr>
              <w:spacing w:after="0"/>
              <w:rPr>
                <w:sz w:val="15"/>
                <w:szCs w:val="15"/>
                <w:color w:val="auto"/>
              </w:rPr>
            </w:pPr>
          </w:p>
        </w:tc>
        <w:tc>
          <w:tcPr>
            <w:tcW w:w="1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720" w:type="dxa"/>
            <w:vAlign w:val="bottom"/>
            <w:shd w:val="clear" w:color="auto" w:fill="CFF0FC"/>
          </w:tcPr>
          <w:p>
            <w:pPr>
              <w:spacing w:after="0"/>
              <w:rPr>
                <w:sz w:val="15"/>
                <w:szCs w:val="15"/>
                <w:color w:val="auto"/>
              </w:rPr>
            </w:pPr>
          </w:p>
        </w:tc>
        <w:tc>
          <w:tcPr>
            <w:tcW w:w="27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Foreign currency derivative liabilities</w:t>
            </w:r>
          </w:p>
        </w:tc>
        <w:tc>
          <w:tcPr>
            <w:tcW w:w="276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70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Notional contract values</w:t>
            </w:r>
          </w:p>
        </w:tc>
        <w:tc>
          <w:tcPr>
            <w:tcW w:w="276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700" w:type="dxa"/>
            <w:vAlign w:val="bottom"/>
            <w:shd w:val="clear" w:color="auto" w:fill="CFF0FC"/>
          </w:tcPr>
          <w:p>
            <w:pPr>
              <w:spacing w:after="0"/>
              <w:rPr>
                <w:sz w:val="15"/>
                <w:szCs w:val="15"/>
                <w:color w:val="auto"/>
              </w:rPr>
            </w:pPr>
          </w:p>
        </w:tc>
        <w:tc>
          <w:tcPr>
            <w:tcW w:w="1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62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76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rPr>
              <w:t>F-24</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372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color w:val="auto"/>
        </w:rPr>
        <w:t>Commodity derivatives</w:t>
      </w:r>
    </w:p>
    <w:p>
      <w:pPr>
        <w:spacing w:after="0" w:line="94" w:lineRule="exact"/>
        <w:rPr>
          <w:sz w:val="20"/>
          <w:szCs w:val="20"/>
          <w:color w:val="auto"/>
        </w:rPr>
      </w:pPr>
    </w:p>
    <w:p>
      <w:pPr>
        <w:ind w:right="220" w:firstLine="348"/>
        <w:spacing w:after="0" w:line="259" w:lineRule="auto"/>
        <w:rPr>
          <w:sz w:val="20"/>
          <w:szCs w:val="20"/>
          <w:color w:val="auto"/>
        </w:rPr>
      </w:pPr>
      <w:r>
        <w:rPr>
          <w:rFonts w:ascii="Times New Roman" w:cs="Times New Roman" w:eastAsia="Times New Roman" w:hAnsi="Times New Roman"/>
          <w:sz w:val="16"/>
          <w:szCs w:val="16"/>
          <w:color w:val="auto"/>
        </w:rPr>
        <w:t>To manage its exposure to the market price volatility of natural gas consumed by its U.S. plants during the manufacturing process, Ashland regularly enters into forward contracts that are designated as cash flow hedges. See Note A for more information.</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gains and losses recognized within the cost of sales caption of the Statements of Consolidated Comprehensive Income (Loss)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September 30: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tcPr>
          <w:p>
            <w:pPr>
              <w:spacing w:after="0"/>
              <w:rPr>
                <w:sz w:val="16"/>
                <w:szCs w:val="16"/>
                <w:color w:val="auto"/>
              </w:rPr>
            </w:pPr>
          </w:p>
        </w:tc>
        <w:tc>
          <w:tcPr>
            <w:tcW w:w="15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2024</w:t>
            </w: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Commodity derivative losses</w:t>
            </w:r>
          </w:p>
        </w:tc>
        <w:tc>
          <w:tcPr>
            <w:tcW w:w="2540" w:type="dxa"/>
            <w:vAlign w:val="bottom"/>
            <w:shd w:val="clear" w:color="auto" w:fill="CFF0FC"/>
          </w:tcPr>
          <w:p>
            <w:pPr>
              <w:jc w:val="right"/>
              <w:ind w:right="8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520" w:type="dxa"/>
            <w:vAlign w:val="bottom"/>
            <w:shd w:val="clear" w:color="auto" w:fill="CFF0FC"/>
          </w:tcPr>
          <w:p>
            <w:pPr>
              <w:jc w:val="right"/>
              <w:ind w:right="1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52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r>
    </w:tbl>
    <w:p>
      <w:pPr>
        <w:spacing w:after="0" w:line="143" w:lineRule="exact"/>
        <w:rPr>
          <w:sz w:val="20"/>
          <w:szCs w:val="20"/>
          <w:color w:val="auto"/>
        </w:rPr>
      </w:pPr>
    </w:p>
    <w:p>
      <w:pPr>
        <w:ind w:right="34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fair values of the outstanding commodity derivatives included in accounts receivable, net and accrued expenses and other liabilities of the Consolidated Balance Sheets at September 30: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420" w:type="dxa"/>
            <w:vAlign w:val="bottom"/>
          </w:tcPr>
          <w:p>
            <w:pPr>
              <w:spacing w:after="0"/>
              <w:rPr>
                <w:sz w:val="16"/>
                <w:szCs w:val="16"/>
                <w:color w:val="auto"/>
              </w:rPr>
            </w:pPr>
          </w:p>
        </w:tc>
        <w:tc>
          <w:tcPr>
            <w:tcW w:w="148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2025</w:t>
            </w:r>
          </w:p>
        </w:tc>
        <w:tc>
          <w:tcPr>
            <w:tcW w:w="700" w:type="dxa"/>
            <w:vAlign w:val="bottom"/>
          </w:tcPr>
          <w:p>
            <w:pPr>
              <w:spacing w:after="0"/>
              <w:rPr>
                <w:sz w:val="16"/>
                <w:szCs w:val="16"/>
                <w:color w:val="auto"/>
              </w:rPr>
            </w:pPr>
          </w:p>
        </w:tc>
        <w:tc>
          <w:tcPr>
            <w:tcW w:w="1880" w:type="dxa"/>
            <w:vAlign w:val="bottom"/>
          </w:tcPr>
          <w:p>
            <w:pPr>
              <w:jc w:val="right"/>
              <w:ind w:right="1022"/>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Commodity derivative assets</w:t>
            </w:r>
          </w:p>
        </w:tc>
        <w:tc>
          <w:tcPr>
            <w:tcW w:w="242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70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Notional contract values</w:t>
            </w:r>
          </w:p>
        </w:tc>
        <w:tc>
          <w:tcPr>
            <w:tcW w:w="2420" w:type="dxa"/>
            <w:vAlign w:val="bottom"/>
          </w:tcPr>
          <w:p>
            <w:pPr>
              <w:spacing w:after="0"/>
              <w:rPr>
                <w:sz w:val="15"/>
                <w:szCs w:val="15"/>
                <w:color w:val="auto"/>
              </w:rPr>
            </w:pPr>
          </w:p>
        </w:tc>
        <w:tc>
          <w:tcPr>
            <w:tcW w:w="14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700" w:type="dxa"/>
            <w:vAlign w:val="bottom"/>
          </w:tcPr>
          <w:p>
            <w:pPr>
              <w:spacing w:after="0"/>
              <w:rPr>
                <w:sz w:val="15"/>
                <w:szCs w:val="15"/>
                <w:color w:val="auto"/>
              </w:rPr>
            </w:pPr>
          </w:p>
        </w:tc>
        <w:tc>
          <w:tcPr>
            <w:tcW w:w="1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06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Commodity derivative liabilities</w:t>
            </w:r>
          </w:p>
        </w:tc>
        <w:tc>
          <w:tcPr>
            <w:tcW w:w="24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70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Notional contract values</w:t>
            </w:r>
          </w:p>
        </w:tc>
        <w:tc>
          <w:tcPr>
            <w:tcW w:w="242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700" w:type="dxa"/>
            <w:vAlign w:val="bottom"/>
            <w:shd w:val="clear" w:color="auto" w:fill="CFF0FC"/>
          </w:tcPr>
          <w:p>
            <w:pPr>
              <w:spacing w:after="0"/>
              <w:rPr>
                <w:sz w:val="15"/>
                <w:szCs w:val="15"/>
                <w:color w:val="auto"/>
              </w:rPr>
            </w:pPr>
          </w:p>
        </w:tc>
        <w:tc>
          <w:tcPr>
            <w:tcW w:w="18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financial instruments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At September 30, 2025 and 2024, Ashland’s long-term debt (including the current portion and excluding debt issuance cost discounts) had carrying values of</w:t>
      </w:r>
    </w:p>
    <w:p>
      <w:pPr>
        <w:spacing w:after="0" w:line="1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$1,394 million and $1,361 million, respectively, compared to a fair value of $1,366 million and $1,327 million, respectively. The fair values of long-term debt are based on quoted market prices (level 1 of the fair value hierarchy).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F – PROPERTY, PLANT AND EQUIPMENT</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describes the various components of property, plant and equipment within the Consolidated Balance Sheets as of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5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Land</w:t>
            </w:r>
            <w:r>
              <w:rPr>
                <w:rFonts w:ascii="Times New Roman" w:cs="Times New Roman" w:eastAsia="Times New Roman" w:hAnsi="Times New Roman"/>
                <w:sz w:val="20"/>
                <w:szCs w:val="20"/>
                <w:color w:val="auto"/>
                <w:vertAlign w:val="superscript"/>
              </w:rPr>
              <w:t>(a)</w:t>
            </w:r>
          </w:p>
        </w:tc>
        <w:tc>
          <w:tcPr>
            <w:tcW w:w="25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480" w:type="dxa"/>
            <w:vAlign w:val="bottom"/>
            <w:gridSpan w:val="2"/>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149</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Buildings</w:t>
            </w:r>
          </w:p>
        </w:tc>
        <w:tc>
          <w:tcPr>
            <w:tcW w:w="2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473</w:t>
            </w:r>
          </w:p>
        </w:tc>
      </w:tr>
      <w:tr>
        <w:trPr>
          <w:trHeight w:val="180"/>
        </w:trPr>
        <w:tc>
          <w:tcPr>
            <w:tcW w:w="5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Machinery and equipment</w:t>
            </w:r>
          </w:p>
        </w:tc>
        <w:tc>
          <w:tcPr>
            <w:tcW w:w="2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2,565</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2,513</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Construction in progress</w:t>
            </w:r>
          </w:p>
        </w:tc>
        <w:tc>
          <w:tcPr>
            <w:tcW w:w="2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181</w:t>
            </w:r>
          </w:p>
        </w:tc>
      </w:tr>
      <w:tr>
        <w:trPr>
          <w:trHeight w:val="180"/>
        </w:trPr>
        <w:tc>
          <w:tcPr>
            <w:tcW w:w="508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property, plant and equipment (gross)</w:t>
            </w:r>
          </w:p>
        </w:tc>
        <w:tc>
          <w:tcPr>
            <w:tcW w:w="2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3,355</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3,316</w:t>
            </w: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Accumulated depreciation</w:t>
            </w:r>
          </w:p>
        </w:tc>
        <w:tc>
          <w:tcPr>
            <w:tcW w:w="2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(2,154)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(2,013)</w:t>
            </w:r>
          </w:p>
        </w:tc>
      </w:tr>
      <w:tr>
        <w:trPr>
          <w:trHeight w:val="220"/>
        </w:trPr>
        <w:tc>
          <w:tcPr>
            <w:tcW w:w="5080" w:type="dxa"/>
            <w:vAlign w:val="bottom"/>
            <w:tcBorders>
              <w:bottom w:val="single" w:sz="8" w:color="CFF0FC"/>
            </w:tcBorders>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property, plant and equipment (net)</w:t>
            </w:r>
          </w:p>
        </w:tc>
        <w:tc>
          <w:tcPr>
            <w:tcW w:w="2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1,201</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1,303</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(a)Includes $10 million of finance lease asset as of September 30, 2025 and 2024.</w:t>
      </w:r>
    </w:p>
    <w:p>
      <w:pPr>
        <w:spacing w:after="0" w:line="101" w:lineRule="exact"/>
        <w:rPr>
          <w:sz w:val="20"/>
          <w:szCs w:val="20"/>
          <w:color w:val="auto"/>
        </w:rPr>
      </w:pPr>
    </w:p>
    <w:p>
      <w:pPr>
        <w:ind w:right="20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summarizes various property, plant and equipment activity within the Statements of Consolidated Comprehensive Income (Loss) during the years ended September 30: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800" w:type="dxa"/>
            <w:vAlign w:val="bottom"/>
          </w:tcPr>
          <w:p>
            <w:pPr>
              <w:spacing w:after="0"/>
              <w:rPr>
                <w:sz w:val="16"/>
                <w:szCs w:val="16"/>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Depreciation</w:t>
            </w:r>
            <w:r>
              <w:rPr>
                <w:rFonts w:ascii="Times New Roman" w:cs="Times New Roman" w:eastAsia="Times New Roman" w:hAnsi="Times New Roman"/>
                <w:sz w:val="20"/>
                <w:szCs w:val="20"/>
                <w:color w:val="auto"/>
                <w:vertAlign w:val="superscript"/>
              </w:rPr>
              <w:t>(a)</w:t>
            </w:r>
          </w:p>
        </w:tc>
        <w:tc>
          <w:tcPr>
            <w:tcW w:w="280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w:t>
            </w: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280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(a)Includes $41 million and $57 million of accelerated depreciation during 2025 and 2024, respectively, related to plant optimization actions. See Note D for additional details.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1" w:right="68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color w:val="auto"/>
        </w:rPr>
        <w:t>NOTE G – GOODWILL AND OTHER INTANGIBLES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94"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During the third quarter of fiscal 2025, Ashland experienced a continued decline in the market price of its common stock. Ashland also experienced slowing growth due to a weakening macroeconomic environment that is dampening consumer sentiment and demand globally which resulted in lower growth and lower margins for the Life Sciences and Specialty Additives reporting units than what was previously forecasted. These factors led Ashland to determine that triggering events occurred, and a quantitative goodwill impairment assessment was performed during the third quarter of fiscal 2025.</w:t>
      </w:r>
    </w:p>
    <w:p>
      <w:pPr>
        <w:spacing w:after="0" w:line="71" w:lineRule="exact"/>
        <w:rPr>
          <w:sz w:val="20"/>
          <w:szCs w:val="20"/>
          <w:color w:val="auto"/>
        </w:rPr>
      </w:pPr>
    </w:p>
    <w:p>
      <w:pPr>
        <w:ind w:right="100" w:firstLine="348"/>
        <w:spacing w:after="0" w:line="241" w:lineRule="auto"/>
        <w:rPr>
          <w:sz w:val="20"/>
          <w:szCs w:val="20"/>
          <w:color w:val="auto"/>
        </w:rPr>
      </w:pPr>
      <w:r>
        <w:rPr>
          <w:rFonts w:ascii="Times New Roman" w:cs="Times New Roman" w:eastAsia="Times New Roman" w:hAnsi="Times New Roman"/>
          <w:sz w:val="16"/>
          <w:szCs w:val="16"/>
          <w:color w:val="auto"/>
        </w:rPr>
        <w:t>Following the aforementioned quantitative analysis, the carrying value of the Life Sciences and the Specialty Additives reporting units exceeded their fair value, resulting in non-cash goodwill impairment charges of $375 million and $331 million, respectively, for a total goodwill impairment charge of $706 million, which was recorded within the goodwill impairment caption of the Statement of Consolidated Comprehensive Income (Loss) for the year ended September 30, 2025. The pre-impairment goodwill balance for the Life Sciences and Specialty Additives reporting units were $841 million and $443 million, respectively. The goodwill impairment charges are nondeductible for tax purposes.</w:t>
      </w:r>
    </w:p>
    <w:p>
      <w:pPr>
        <w:spacing w:after="0" w:line="73" w:lineRule="exact"/>
        <w:rPr>
          <w:sz w:val="20"/>
          <w:szCs w:val="20"/>
          <w:color w:val="auto"/>
        </w:rPr>
      </w:pPr>
    </w:p>
    <w:p>
      <w:pPr>
        <w:ind w:right="80" w:firstLine="348"/>
        <w:spacing w:after="0" w:line="241" w:lineRule="auto"/>
        <w:rPr>
          <w:sz w:val="20"/>
          <w:szCs w:val="20"/>
          <w:color w:val="auto"/>
        </w:rPr>
      </w:pPr>
      <w:r>
        <w:rPr>
          <w:rFonts w:ascii="Times New Roman" w:cs="Times New Roman" w:eastAsia="Times New Roman" w:hAnsi="Times New Roman"/>
          <w:sz w:val="16"/>
          <w:szCs w:val="16"/>
          <w:color w:val="auto"/>
        </w:rPr>
        <w:t>On July 1, 2025, the date of our annual goodwill impairment assessment, Ashland evaluated each reporting unit using a qualitative approach focusing on any additional changes in market conditions, performances versus forecast and strategic initiatives. Particular attention was given to forward looking macroeconomic trends and forecasts, recent financial results, earnings multiples for guideline public companies in each reporting unit's industry peer group and sensitivity analysis for each reporting unit's discounted cash flow model. There was no additional impairment identified as part of the July 1, 2025 annual goodwill impairment assessment. No subsequent indicators of impairment had been identified during the fourth quarter of fiscal 2025.</w:t>
      </w:r>
    </w:p>
    <w:p>
      <w:pPr>
        <w:spacing w:after="0" w:line="73" w:lineRule="exact"/>
        <w:rPr>
          <w:sz w:val="20"/>
          <w:szCs w:val="20"/>
          <w:color w:val="auto"/>
        </w:rPr>
      </w:pPr>
    </w:p>
    <w:p>
      <w:pPr>
        <w:ind w:firstLine="348"/>
        <w:spacing w:after="0" w:line="284" w:lineRule="auto"/>
        <w:rPr>
          <w:sz w:val="20"/>
          <w:szCs w:val="20"/>
          <w:color w:val="auto"/>
        </w:rPr>
      </w:pPr>
      <w:r>
        <w:rPr>
          <w:rFonts w:ascii="Times New Roman" w:cs="Times New Roman" w:eastAsia="Times New Roman" w:hAnsi="Times New Roman"/>
          <w:sz w:val="14"/>
          <w:szCs w:val="14"/>
          <w:color w:val="auto"/>
        </w:rPr>
        <w:t>The valuation used to test goodwill for impairment is dependent upon a number of significant estimates and assumptions, including macroeconomic conditions, growth rates, competitive activities, cost containment, margin expansion, and Ashland's business plans. Ashland believes these estimates and assumptions are reasonable. However, future changes in the judgments, assumptions, and estimates that are used in the impairment testing for goodwill, including discount rates or future cash flow projections, could result in significantly different estimates of the fair values. As a result of these factors and other factors discussed above and the limited or no cushion (or headroom as commonly referred) for the Life Sciences and Specialty Additives reporting units, goodwill is more susceptible to impairment risk.</w:t>
      </w:r>
    </w:p>
    <w:p>
      <w:pPr>
        <w:spacing w:after="0" w:line="44" w:lineRule="exact"/>
        <w:rPr>
          <w:sz w:val="20"/>
          <w:szCs w:val="20"/>
          <w:color w:val="auto"/>
        </w:rPr>
      </w:pPr>
    </w:p>
    <w:p>
      <w:pPr>
        <w:ind w:right="20" w:firstLine="348"/>
        <w:spacing w:after="0" w:line="237" w:lineRule="auto"/>
        <w:rPr>
          <w:sz w:val="20"/>
          <w:szCs w:val="20"/>
          <w:color w:val="auto"/>
        </w:rPr>
      </w:pPr>
      <w:r>
        <w:rPr>
          <w:rFonts w:ascii="Times New Roman" w:cs="Times New Roman" w:eastAsia="Times New Roman" w:hAnsi="Times New Roman"/>
          <w:sz w:val="16"/>
          <w:szCs w:val="16"/>
          <w:color w:val="auto"/>
        </w:rPr>
        <w:t>Ashland is required to provide additional disclosures about fair value measurements as part of the Consolidated Financial Statements for each major category of assets and liabilities measured at fair value on a non-recurring basis (including impairment assessments). Goodwill was valued using Level 3 inputs, which are unobservable by nature, and included internal estimates of future cash flows (income approach). Significant increases (decreases) in any of those unobservable inputs in isolation would result in a significantly higher (lower) fair value measurement. The most significant assumptions used in the determination of the estimated fair value of reporting units are sales and EBITDA growth rates (including terminal growth rates) and the discount rate. The terminal growth rate represents the rate at which the reporting unit is expected to grow beyond the shorter-term business planning period. The terminal growth rate utilized in Ashland’s fair value estimate is consistent with the reporting unit operating plans and approximates expected long-term category market growth rates and inflation. The discount rate, which is consistent with a weighted-average cost of capital that is likely to be expected by a market participant, is based upon industry required rates of return, including consideration of both debt and equity components of the capital structure. The discount rates may be impacted by adverse changes in the macroeconomic environment, volatility in the equity and debt markets, or other factors. While Ashland can implement and has implemented certain strategies to address the events that triggered the interim impairment assessment, future changes in operating plans or other adverse changes could result in a further decline in fair value that would trigger a future material impairment charge of the reporting unit’s goodwill balance.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109" w:name="page110"/>
    <w:bookmarkEnd w:id="109"/>
    <w:p>
      <w:pPr>
        <w:ind w:left="360"/>
        <w:spacing w:after="0"/>
        <w:rPr>
          <w:sz w:val="20"/>
          <w:szCs w:val="20"/>
          <w:color w:val="auto"/>
        </w:rPr>
      </w:pPr>
      <w:r>
        <w:rPr>
          <w:rFonts w:ascii="Times New Roman" w:cs="Times New Roman" w:eastAsia="Times New Roman" w:hAnsi="Times New Roman"/>
          <w:sz w:val="16"/>
          <w:szCs w:val="16"/>
          <w:color w:val="auto"/>
        </w:rPr>
        <w:t>The following is a progression of goodwill by reportable segment for the years ended September 30, 2025 and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Life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Specialty</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Pr>
          <w:p>
            <w:pPr>
              <w:spacing w:after="0"/>
              <w:rPr>
                <w:sz w:val="16"/>
                <w:szCs w:val="16"/>
                <w:color w:val="auto"/>
              </w:rPr>
            </w:pPr>
          </w:p>
        </w:tc>
        <w:tc>
          <w:tcPr>
            <w:tcW w:w="92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Sciences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Personal Care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Additives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Intermediates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819</w:t>
            </w:r>
          </w:p>
        </w:tc>
        <w:tc>
          <w:tcPr>
            <w:tcW w:w="3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3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421</w:t>
            </w:r>
          </w:p>
        </w:tc>
        <w:tc>
          <w:tcPr>
            <w:tcW w:w="1240" w:type="dxa"/>
            <w:vAlign w:val="bottom"/>
            <w:gridSpan w:val="2"/>
            <w:shd w:val="clear" w:color="auto" w:fill="CFF0FC"/>
          </w:tcPr>
          <w:p>
            <w:pPr>
              <w:jc w:val="right"/>
              <w:ind w:right="8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Currency translation and other</w:t>
            </w:r>
          </w:p>
        </w:tc>
        <w:tc>
          <w:tcPr>
            <w:tcW w:w="1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Nutraceuticals business - divestiture</w:t>
            </w:r>
            <w:r>
              <w:rPr>
                <w:rFonts w:ascii="Times New Roman" w:cs="Times New Roman" w:eastAsia="Times New Roman" w:hAnsi="Times New Roman"/>
                <w:sz w:val="20"/>
                <w:szCs w:val="20"/>
                <w:color w:val="auto"/>
                <w:vertAlign w:val="superscript"/>
              </w:rPr>
              <w:t>(a)</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Balance at September 30, 2024</w:t>
            </w:r>
            <w:r>
              <w:rPr>
                <w:rFonts w:ascii="Times New Roman" w:cs="Times New Roman" w:eastAsia="Times New Roman" w:hAnsi="Times New Roman"/>
                <w:sz w:val="20"/>
                <w:szCs w:val="20"/>
                <w:b w:val="1"/>
                <w:bCs w:val="1"/>
                <w:color w:val="auto"/>
                <w:vertAlign w:val="superscript"/>
              </w:rPr>
              <w:t>(b)</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822</w:t>
            </w:r>
          </w:p>
        </w:tc>
        <w:tc>
          <w:tcPr>
            <w:tcW w:w="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434</w:t>
            </w:r>
          </w:p>
        </w:tc>
        <w:tc>
          <w:tcPr>
            <w:tcW w:w="1240" w:type="dxa"/>
            <w:vAlign w:val="bottom"/>
            <w:gridSpan w:val="2"/>
          </w:tcPr>
          <w:p>
            <w:pPr>
              <w:jc w:val="right"/>
              <w:ind w:right="8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6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Impairment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(375)</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(331)</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Currency translation and other</w:t>
            </w:r>
          </w:p>
        </w:tc>
        <w:tc>
          <w:tcPr>
            <w:tcW w:w="1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Avoca business - divestiture</w:t>
            </w:r>
            <w:r>
              <w:rPr>
                <w:rFonts w:ascii="Times New Roman" w:cs="Times New Roman" w:eastAsia="Times New Roman" w:hAnsi="Times New Roman"/>
                <w:sz w:val="20"/>
                <w:szCs w:val="20"/>
                <w:color w:val="auto"/>
                <w:vertAlign w:val="superscript"/>
              </w:rPr>
              <w:t>(c)</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Balance at September 30, 2025</w:t>
            </w:r>
            <w:r>
              <w:rPr>
                <w:rFonts w:ascii="Times New Roman" w:cs="Times New Roman" w:eastAsia="Times New Roman" w:hAnsi="Times New Roman"/>
                <w:sz w:val="20"/>
                <w:szCs w:val="20"/>
                <w:b w:val="1"/>
                <w:bCs w:val="1"/>
                <w:color w:val="auto"/>
                <w:vertAlign w:val="superscript"/>
              </w:rPr>
              <w:t>(d)</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466</w:t>
            </w:r>
          </w:p>
        </w:tc>
        <w:tc>
          <w:tcPr>
            <w:tcW w:w="3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3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240" w:type="dxa"/>
            <w:vAlign w:val="bottom"/>
            <w:gridSpan w:val="2"/>
          </w:tcPr>
          <w:p>
            <w:pPr>
              <w:jc w:val="right"/>
              <w:ind w:right="8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(a)Ashland allocated $17 million to the Nutraceuticals business during 2024. See Note B for additional details.</w:t>
      </w:r>
    </w:p>
    <w:p>
      <w:pPr>
        <w:spacing w:after="0" w:line="31"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13"/>
          <w:szCs w:val="13"/>
          <w:color w:val="auto"/>
        </w:rPr>
        <w:t>(b)As of September 30, 2024, there were accumulated impairments of zero, $356 million, $174 million and $90 million related to the Life Sciences, Personal Care, Specialty Additives and Intermediates reportable segments,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(c)Ashland allocated $1 million to the Avoca business during 2025. See Note B for additional details.</w:t>
      </w:r>
    </w:p>
    <w:p>
      <w:pPr>
        <w:spacing w:after="0" w:line="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3"/>
          <w:szCs w:val="13"/>
          <w:color w:val="auto"/>
        </w:rPr>
        <w:t>(d)As of September 30, 2025, there were accumulated impairments of $375 million, $356 million, $505 million and $90 million related to the Life Sciences, Personal Care, Specialty Additives and Intermediates reportable segments,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intangible assets</w:t>
      </w:r>
    </w:p>
    <w:p>
      <w:pPr>
        <w:spacing w:after="0" w:line="94" w:lineRule="exact"/>
        <w:rPr>
          <w:sz w:val="20"/>
          <w:szCs w:val="20"/>
          <w:color w:val="auto"/>
        </w:rPr>
      </w:pPr>
    </w:p>
    <w:p>
      <w:pPr>
        <w:ind w:right="40" w:firstLine="348"/>
        <w:spacing w:after="0" w:line="238" w:lineRule="auto"/>
        <w:rPr>
          <w:sz w:val="20"/>
          <w:szCs w:val="20"/>
          <w:color w:val="auto"/>
        </w:rPr>
      </w:pPr>
      <w:r>
        <w:rPr>
          <w:rFonts w:ascii="Times New Roman" w:cs="Times New Roman" w:eastAsia="Times New Roman" w:hAnsi="Times New Roman"/>
          <w:sz w:val="16"/>
          <w:szCs w:val="16"/>
          <w:color w:val="auto"/>
        </w:rPr>
        <w:t>In conjunction with the triggering events described above for goodwill, Ashland tested its indefinite- lived intangible assets for impairment during the third quarter of fiscal 2025. Ashland's quantitative assessment did not indicate any impairment, as each indefinite-lived intangible asset's fair value exceeded its carrying values. Trademarks and trade names are valued using a “relief-from-royalty” valuation method compared to the carrying value. On July 1, 2025, the date of our annual impairment assessment, Ashland evaluated its indefinite-lived intangible assets for impairment using a qualitative approach focusing on key assumptions used as part of the third quarter quantitative approach. There was no impairment identified as part of the July 1, 2025 annual other indefinite-lived intangible asset impairment assessment. No subsequent indicators of impairment had been identified during the fourth quarter of fiscal 2025. However, similar to the factors discussed with respect to goodwill above and limited cushion, certain indefinite-lived intangible assets are more susceptible to impairment risk. See Note B for further information with respect to other intangible assets related to the Avoca business.</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Other intangible assets were comprised of the following as 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Gross</w:t>
            </w:r>
          </w:p>
        </w:tc>
        <w:tc>
          <w:tcPr>
            <w:tcW w:w="140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color w:val="auto"/>
              </w:rPr>
              <w:t>September 30, 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Net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color w:val="auto"/>
              </w:rPr>
              <w:t>Gross</w:t>
            </w:r>
          </w:p>
        </w:tc>
        <w:tc>
          <w:tcPr>
            <w:tcW w:w="13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September 30, 2024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5"/>
                <w:szCs w:val="15"/>
                <w:color w:val="auto"/>
              </w:rPr>
            </w:pPr>
          </w:p>
        </w:tc>
        <w:tc>
          <w:tcPr>
            <w:tcW w:w="8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9"/>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9"/>
              </w:rPr>
              <w:t>amount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w w:val="99"/>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amortization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9"/>
              </w:rPr>
              <w:t>amount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Definite-lived intangible assets</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ind w:left="40"/>
              <w:spacing w:after="0" w:line="168" w:lineRule="exact"/>
              <w:rPr>
                <w:sz w:val="20"/>
                <w:szCs w:val="20"/>
                <w:color w:val="auto"/>
              </w:rPr>
            </w:pPr>
            <w:r>
              <w:rPr>
                <w:rFonts w:ascii="Times New Roman" w:cs="Times New Roman" w:eastAsia="Times New Roman" w:hAnsi="Times New Roman"/>
                <w:sz w:val="14"/>
                <w:szCs w:val="14"/>
                <w:color w:val="auto"/>
              </w:rPr>
              <w:t>Trademarks and trade names</w:t>
            </w:r>
            <w:r>
              <w:rPr>
                <w:rFonts w:ascii="Times New Roman" w:cs="Times New Roman" w:eastAsia="Times New Roman" w:hAnsi="Times New Roman"/>
                <w:sz w:val="19"/>
                <w:szCs w:val="19"/>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40" w:type="dxa"/>
            <w:vAlign w:val="bottom"/>
            <w:shd w:val="clear" w:color="auto" w:fill="CFF0FC"/>
          </w:tcPr>
          <w:p>
            <w:pPr>
              <w:ind w:left="40"/>
              <w:spacing w:after="0" w:line="204" w:lineRule="exact"/>
              <w:rPr>
                <w:sz w:val="20"/>
                <w:szCs w:val="20"/>
                <w:color w:val="auto"/>
              </w:rPr>
            </w:pPr>
            <w:r>
              <w:rPr>
                <w:rFonts w:ascii="Times New Roman" w:cs="Times New Roman" w:eastAsia="Times New Roman" w:hAnsi="Times New Roman"/>
                <w:sz w:val="14"/>
                <w:szCs w:val="14"/>
                <w:color w:val="auto"/>
              </w:rPr>
              <w:t>Intellectual property</w:t>
            </w:r>
            <w:r>
              <w:rPr>
                <w:rFonts w:ascii="Times New Roman" w:cs="Times New Roman" w:eastAsia="Times New Roman" w:hAnsi="Times New Roman"/>
                <w:sz w:val="19"/>
                <w:szCs w:val="19"/>
                <w:color w:val="auto"/>
                <w:vertAlign w:val="superscript"/>
              </w:rPr>
              <w:t>(b)</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683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ind w:left="40"/>
              <w:spacing w:after="0" w:line="168" w:lineRule="exact"/>
              <w:rPr>
                <w:sz w:val="20"/>
                <w:szCs w:val="20"/>
                <w:color w:val="auto"/>
              </w:rPr>
            </w:pPr>
            <w:r>
              <w:rPr>
                <w:rFonts w:ascii="Times New Roman" w:cs="Times New Roman" w:eastAsia="Times New Roman" w:hAnsi="Times New Roman"/>
                <w:sz w:val="14"/>
                <w:szCs w:val="14"/>
                <w:color w:val="auto"/>
              </w:rPr>
              <w:t>Customer and supplier relationships</w:t>
            </w:r>
            <w:r>
              <w:rPr>
                <w:rFonts w:ascii="Times New Roman" w:cs="Times New Roman" w:eastAsia="Times New Roman" w:hAnsi="Times New Roman"/>
                <w:sz w:val="19"/>
                <w:szCs w:val="19"/>
                <w:color w:val="auto"/>
                <w:vertAlign w:val="superscript"/>
              </w:rPr>
              <w:t>(c)</w:t>
            </w:r>
          </w:p>
        </w:tc>
        <w:tc>
          <w:tcPr>
            <w:tcW w:w="12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definite-lived intangible assets</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1,372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285</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1,561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12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1,650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563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1,839</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(a)Ashland allocated $7 million to the Avoca business during 2025 and $7 million to the Nutraceuticals business during 2024. See Note B for additional details.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(b)Ashland allocated $29 million to the Avoca business during 2025 and $17 million to the Nutraceuticals business during 2024. See Note B for additional details.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(c)Ashland allocated $98 million to the Avoca business during 2025 and $45 million to the Nutraceuticals business during 2024. See Note B for additional details.</w:t>
      </w:r>
    </w:p>
    <w:p>
      <w:pPr>
        <w:spacing w:after="0" w:line="101"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Amortization expense recognized on other intangible assets was $63 million for 2025, $76 million for 2024 and $93 million for 2023, and is included in the intangibles amortization expense caption of the Statements of Consolidated Comprehensive Income (Loss). As of September 30, 2025, all of Ashland’s intangible assets that had a carrying value were being amortized except for certain trademarks and trade names that have been determined to have indefinite lives. Estimated amortization expense for future periods is $58 million in 2026, $37 million in 2027, $34 million in 2028, $27 million in 2029 and $19 million in 2030.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i w:val="1"/>
          <w:iCs w:val="1"/>
          <w:color w:val="auto"/>
        </w:rPr>
        <w:t>Goodwill and other intangible assets</w:t>
      </w:r>
    </w:p>
    <w:p>
      <w:pPr>
        <w:spacing w:after="0" w:line="94" w:lineRule="exact"/>
        <w:rPr>
          <w:sz w:val="20"/>
          <w:szCs w:val="20"/>
          <w:color w:val="auto"/>
        </w:rPr>
      </w:pPr>
    </w:p>
    <w:p>
      <w:pPr>
        <w:ind w:right="100" w:firstLine="348"/>
        <w:spacing w:after="0" w:line="243" w:lineRule="auto"/>
        <w:rPr>
          <w:sz w:val="20"/>
          <w:szCs w:val="20"/>
          <w:color w:val="auto"/>
        </w:rPr>
      </w:pPr>
      <w:r>
        <w:rPr>
          <w:rFonts w:ascii="Times New Roman" w:cs="Times New Roman" w:eastAsia="Times New Roman" w:hAnsi="Times New Roman"/>
          <w:sz w:val="16"/>
          <w:szCs w:val="16"/>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results,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H – DEBT</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6"/>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following table summarizes Ashland’s current and long-term debt at September 30:</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0"/>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20" w:type="dxa"/>
            <w:vAlign w:val="bottom"/>
          </w:tcPr>
          <w:p>
            <w:pPr>
              <w:spacing w:after="0"/>
              <w:rPr>
                <w:sz w:val="24"/>
                <w:szCs w:val="24"/>
                <w:color w:val="auto"/>
              </w:rPr>
            </w:pPr>
          </w:p>
        </w:tc>
        <w:tc>
          <w:tcPr>
            <w:tcW w:w="12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3.375% Senior Notes, due 2031</w:t>
            </w:r>
          </w:p>
        </w:tc>
        <w:tc>
          <w:tcPr>
            <w:tcW w:w="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450</w:t>
            </w:r>
          </w:p>
        </w:tc>
        <w:tc>
          <w:tcPr>
            <w:tcW w:w="4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450</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2.00% Senior Notes, due 2028 (Euro 500 million principal)</w:t>
            </w: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586</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558</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6.875% notes, due 2043</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282</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282</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6.50% junior subordinated notes, due 2029</w:t>
            </w: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67</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0"/>
                <w:szCs w:val="20"/>
                <w:color w:val="auto"/>
                <w:vertAlign w:val="superscript"/>
              </w:rPr>
              <w:t>(a)</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 (less debt issuance costs)</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1,384</w:t>
            </w:r>
          </w:p>
        </w:tc>
        <w:tc>
          <w:tcPr>
            <w:tcW w:w="4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1,349</w:t>
            </w:r>
          </w:p>
        </w:tc>
      </w:tr>
      <w:tr>
        <w:trPr>
          <w:trHeight w:val="20"/>
        </w:trPr>
        <w:tc>
          <w:tcPr>
            <w:tcW w:w="7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3"/>
          <w:szCs w:val="13"/>
          <w:color w:val="auto"/>
        </w:rPr>
        <w:t>(a)Other includes $10 million and $12 million of debt issuance costs as of September 30, 2025 and 2024, respectively. The current portion of the long-term debt was zero for both September 30, 2025 and 2024.</w:t>
      </w:r>
    </w:p>
    <w:p>
      <w:pPr>
        <w:spacing w:after="0" w:line="50" w:lineRule="exact"/>
        <w:rPr>
          <w:sz w:val="20"/>
          <w:szCs w:val="20"/>
          <w:color w:val="auto"/>
        </w:rPr>
      </w:pPr>
    </w:p>
    <w:p>
      <w:pPr>
        <w:ind w:right="360" w:firstLine="348"/>
        <w:spacing w:after="0" w:line="247" w:lineRule="auto"/>
        <w:rPr>
          <w:sz w:val="20"/>
          <w:szCs w:val="20"/>
          <w:color w:val="auto"/>
        </w:rPr>
      </w:pPr>
      <w:r>
        <w:rPr>
          <w:rFonts w:ascii="Times New Roman" w:cs="Times New Roman" w:eastAsia="Times New Roman" w:hAnsi="Times New Roman"/>
          <w:sz w:val="16"/>
          <w:szCs w:val="16"/>
          <w:color w:val="auto"/>
        </w:rPr>
        <w:t>At September 30, 2025, Ashland’s total debt had an outstanding principal balance of $1,419 million, discounts of $25 million and debt issuance costs of $10 million. As of September 30, 2025, Ashland had no long-term debt (excluding debt issuance costs) maturing in 2026, $4 million due in fiscal 2027, $586 million in 2028, $97 million in 2029, and zero in 2030.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Agreements and Refinancing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Credit Agreement</w:t>
      </w:r>
    </w:p>
    <w:p>
      <w:pPr>
        <w:spacing w:after="0" w:line="94" w:lineRule="exact"/>
        <w:rPr>
          <w:sz w:val="20"/>
          <w:szCs w:val="20"/>
          <w:color w:val="auto"/>
        </w:rPr>
      </w:pPr>
    </w:p>
    <w:p>
      <w:pPr>
        <w:ind w:right="180" w:firstLine="348"/>
        <w:spacing w:after="0" w:line="289" w:lineRule="auto"/>
        <w:rPr>
          <w:sz w:val="20"/>
          <w:szCs w:val="20"/>
          <w:color w:val="auto"/>
        </w:rPr>
      </w:pPr>
      <w:r>
        <w:rPr>
          <w:rFonts w:ascii="Times New Roman" w:cs="Times New Roman" w:eastAsia="Times New Roman" w:hAnsi="Times New Roman"/>
          <w:sz w:val="14"/>
          <w:szCs w:val="14"/>
          <w:color w:val="auto"/>
        </w:rPr>
        <w:t>During July 2022, Ashland, through two of its subsidiaries, enacted an amendment to the 2020 credit agreement. The amended credit agreement (the 2022 Credit Agreement) provides for a $600 million five-year revolving credit facility (the 2022 Revolving Credit Facility). The 2022 Credit Agreement and the obligations of Ashland Services B.V. under the 2022 Revolving Credit Facility are guaranteed by Ashland. The borrowing capacity remaining under the 2022 Credit Agreement was $596 million, which reflects the full $600 million 2022 Revolving Credit Facility less a reduction of $4 million for letters of credit outstanding at September 30, 2025.</w:t>
      </w:r>
    </w:p>
    <w:p>
      <w:pPr>
        <w:spacing w:after="0" w:line="41" w:lineRule="exact"/>
        <w:rPr>
          <w:sz w:val="20"/>
          <w:szCs w:val="20"/>
          <w:color w:val="auto"/>
        </w:rPr>
      </w:pPr>
    </w:p>
    <w:p>
      <w:pPr>
        <w:ind w:right="60" w:firstLine="348"/>
        <w:spacing w:after="0" w:line="272" w:lineRule="auto"/>
        <w:rPr>
          <w:sz w:val="20"/>
          <w:szCs w:val="20"/>
          <w:color w:val="auto"/>
        </w:rPr>
      </w:pPr>
      <w:r>
        <w:rPr>
          <w:rFonts w:ascii="Times New Roman" w:cs="Times New Roman" w:eastAsia="Times New Roman" w:hAnsi="Times New Roman"/>
          <w:sz w:val="14"/>
          <w:szCs w:val="14"/>
          <w:color w:val="auto"/>
        </w:rPr>
        <w:t>At Ashland’s option, loans issued under the 2022 Credit Agreement bears interest at (a) in the case of loans denominated in U.S. dollars, either Term SOFR or an alternate base rate and (b) in the case of loans denominated in Euros, EURIBOR, in each case plus the applicable interest rate margin. Loans will initially bear interest at Term SOFR or EURIBOR plus 1.250% per annum, in the case of Term SOFR borrowings or EURIBOR borrowings, respectively, or at the alternate base rate plus 0.250% per annum,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per annum), based upon the Consolidated Net Leverage Ratio (as defined in the 2022 Credit Agreement) at such time. Term SOFR borrowings are subject to a credit spread adjustment of 0.10% per annum. In addition, the Company is required to pay fees of</w:t>
      </w:r>
    </w:p>
    <w:p>
      <w:pPr>
        <w:spacing w:after="0" w:line="1"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6"/>
          <w:szCs w:val="16"/>
          <w:color w:val="auto"/>
        </w:rPr>
        <w:t>0.125% per annum on the daily unused amount of the 2022 Revolving Credit Facility through and including the date of delivery of a quarterly compliance certificate, and thereafter the fee rate fluctuates between 0.125% and 0.275% per annum, based upon the Consolidated Net Leverage Ratio. Borrowings under the 2022 Credit Agreement may be prepaid at any time without premiums.</w:t>
      </w:r>
    </w:p>
    <w:p>
      <w:pPr>
        <w:spacing w:after="0" w:line="73" w:lineRule="exact"/>
        <w:rPr>
          <w:sz w:val="20"/>
          <w:szCs w:val="20"/>
          <w:color w:val="auto"/>
        </w:rPr>
      </w:pPr>
    </w:p>
    <w:p>
      <w:pPr>
        <w:ind w:firstLine="348"/>
        <w:spacing w:after="0" w:line="247" w:lineRule="auto"/>
        <w:rPr>
          <w:sz w:val="20"/>
          <w:szCs w:val="20"/>
          <w:color w:val="auto"/>
        </w:rPr>
      </w:pPr>
      <w:r>
        <w:rPr>
          <w:rFonts w:ascii="Times New Roman" w:cs="Times New Roman" w:eastAsia="Times New Roman" w:hAnsi="Times New Roman"/>
          <w:sz w:val="16"/>
          <w:szCs w:val="16"/>
          <w:color w:val="auto"/>
        </w:rPr>
        <w:t>The 2022 Credit Agreement contains financial covenants for leverage and interest coverage ratios. The 2022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7" w:right="6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color w:val="auto"/>
        </w:rPr>
        <w:t>Debt repayments and repurchases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repatriation</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During 2025 and 2024, Ashland repatriated $403 million and $305 million, respectively, in cash.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facilities and off-balance sheet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Accounts Receivable Sales Program</w:t>
      </w:r>
    </w:p>
    <w:p>
      <w:pPr>
        <w:spacing w:after="0" w:line="94"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On March 17, 2021, a wholly-owned, bankruptcy-remote special purpose entity and consolidated Ashland subsidiary ("SPE") entered into an agreement with a group of entities (buyers) to sell certain trade receivables, without recourse beyond the pledged receivables, of two other U.S. based Ashland subsidiaries. Under the agreement, Ashland can transfer whole accounts receivable up to a limit established by the buyer, which was set at $125 million between February and October of each year and up to $100 million all other times (a level 1 fair value measurement). Ashland’s continuing involvement is limited to servicing the accounts receivable, including billing, collections and remittance of payments to the buyers as well as a limited guarantee on over-collateralization. The arrangement was set to terminate on May 31, 2023.</w:t>
      </w:r>
    </w:p>
    <w:p>
      <w:pPr>
        <w:spacing w:after="0" w:line="77" w:lineRule="exact"/>
        <w:rPr>
          <w:sz w:val="20"/>
          <w:szCs w:val="20"/>
          <w:color w:val="auto"/>
        </w:rPr>
      </w:pPr>
    </w:p>
    <w:p>
      <w:pPr>
        <w:jc w:val="both"/>
        <w:ind w:right="140" w:firstLine="348"/>
        <w:spacing w:after="0" w:line="247" w:lineRule="auto"/>
        <w:rPr>
          <w:sz w:val="20"/>
          <w:szCs w:val="20"/>
          <w:color w:val="auto"/>
        </w:rPr>
      </w:pPr>
      <w:r>
        <w:rPr>
          <w:rFonts w:ascii="Times New Roman" w:cs="Times New Roman" w:eastAsia="Times New Roman" w:hAnsi="Times New Roman"/>
          <w:sz w:val="16"/>
          <w:szCs w:val="16"/>
          <w:color w:val="auto"/>
        </w:rPr>
        <w:t>On April 14, 2023, Ashland entered into a Second and Third Amendments associated with this current program. As part of this amendment the buyer's limit was reduced to $115 million between April and October of each year, and up to $100 million at all other times. Additionally, the scheduled termination date was extended from May 31, 2023 to April 14, 2025.</w:t>
      </w:r>
    </w:p>
    <w:p>
      <w:pPr>
        <w:spacing w:after="0" w:line="68"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On September 13, 2024, Ashland entered into a Fourth Amendment associated with this current program. As part of this amendment the buyer's limits were reduced to $80 million between September 13, 2024 to (and including) December 31, 2024 and up to $70 million from January 1, 2025 through the termination date of the agreement. Additionally, the scheduled termination date was extended from April 14, 2025 to September 11, 2026.</w:t>
      </w:r>
    </w:p>
    <w:p>
      <w:pPr>
        <w:spacing w:after="0" w:line="68"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Ashland determined that any accounts receivable transferred under this agreement are put presumptively beyond the reach of Ashland and its creditors, even in bankruptcy or other receivership. Ashland received a true sale at law and non-consolidation opinions to support the legal isolation of these accounts receivable. Ashland accounts for the accounts receivable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accounts receivable that serves as over-collateralization as a restricted asset.</w:t>
      </w:r>
    </w:p>
    <w:p>
      <w:pPr>
        <w:spacing w:after="0" w:line="77" w:lineRule="exact"/>
        <w:rPr>
          <w:sz w:val="20"/>
          <w:szCs w:val="20"/>
          <w:color w:val="auto"/>
        </w:rPr>
      </w:pPr>
    </w:p>
    <w:p>
      <w:pPr>
        <w:ind w:right="20" w:firstLine="348"/>
        <w:spacing w:after="0" w:line="241" w:lineRule="auto"/>
        <w:rPr>
          <w:sz w:val="20"/>
          <w:szCs w:val="20"/>
          <w:color w:val="auto"/>
        </w:rPr>
      </w:pPr>
      <w:r>
        <w:rPr>
          <w:rFonts w:ascii="Times New Roman" w:cs="Times New Roman" w:eastAsia="Times New Roman" w:hAnsi="Times New Roman"/>
          <w:sz w:val="16"/>
          <w:szCs w:val="16"/>
          <w:color w:val="auto"/>
        </w:rPr>
        <w:t>Ashland recognized a loss of $3 million within the Statements of Consolidated Comprehensive Income (Loss) for 2025, 2024 and 2023 within the net interest and other expense (income) caption associated with sales under the program. Ashland has recorded $59 million of sales against the buyer’s limit, which was $59 million at September 30, 2025, compared to $71 million of sales against the buyer's limit, which was $71 million at September 30, 2024. Ashland transferred $75 million and $85 million in accounts receivable to the SPE as of September 30, 2025 and 2024, respectively. Ashland recorded liabilities related to its service obligations and limited guarantee as of September 30, 2025 and 2024 of less than $1 million.</w:t>
      </w:r>
    </w:p>
    <w:p>
      <w:pPr>
        <w:spacing w:after="0" w:line="73"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For the years ended September 30, 2025, 2024, and 2023, the gross cash proceeds received for accounts receivable transferred and derecognized were $388 million, $323 million, and $217 million, respectively, of which $400 million, $322 million, $241 million, were collected by Ashland in our capacity as a servicer of the accounts receivable and remitted to the buyer. The difference between accounts receivable transferred and derecognized versus collected of $12 million, $1 million and $24 million for the years ended September 30, 2025, 2024, and 2023, respectively, represents the impact of a net reduction in account receivable sales volume during 2025, a net increase in 2024, and a net decrease during 2023.</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11" w:right="7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i w:val="1"/>
          <w:iCs w:val="1"/>
          <w:color w:val="auto"/>
        </w:rPr>
        <w:t>Foreign Accounts Receivable Sales Program</w:t>
      </w:r>
    </w:p>
    <w:p>
      <w:pPr>
        <w:spacing w:after="0" w:line="94" w:lineRule="exact"/>
        <w:rPr>
          <w:sz w:val="20"/>
          <w:szCs w:val="20"/>
          <w:color w:val="auto"/>
        </w:rPr>
      </w:pPr>
    </w:p>
    <w:p>
      <w:pPr>
        <w:ind w:firstLine="348"/>
        <w:spacing w:after="0" w:line="284" w:lineRule="auto"/>
        <w:rPr>
          <w:sz w:val="20"/>
          <w:szCs w:val="20"/>
          <w:color w:val="auto"/>
        </w:rPr>
      </w:pPr>
      <w:r>
        <w:rPr>
          <w:rFonts w:ascii="Times New Roman" w:cs="Times New Roman" w:eastAsia="Times New Roman" w:hAnsi="Times New Roman"/>
          <w:sz w:val="14"/>
          <w:szCs w:val="14"/>
          <w:color w:val="auto"/>
        </w:rPr>
        <w:t>On October 19, 2023, Ashland entered, through an Ireland based, wholly-owned, bankruptcy-remote consolidated special purpose entity (the "SPE"), into a three-year agreement with a group of entities (buyers) to sell certain accounts receivable, without recourse beyond the pledged receivables, of certain wholly -owned Ashland subsidiaries (Foreign Accounts Receivable Sales Program) primarily in Europe. Under the agreement, Ashland can transfer whole accounts receivable up to a limit established by the buyer, which is currently set at €125 million (a level 1 fair value measurement). Ashland’s continuing involvement is limited to servicing the accounts receivable, including billing, collections and remittance of payments to the buyers as well as a limited guarantee on over-collateralization.</w:t>
      </w:r>
    </w:p>
    <w:p>
      <w:pPr>
        <w:spacing w:after="0" w:line="44"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Ashland determined that any accounts receivable transferred under this agreement are put presumptively beyond the reach of Ashland and its creditors, even in bankruptcy or other receivership. Ashland received true sale at law and non-consolidation opinions from independent qualified legal advisors in the jurisdiction of each originating subsidiary to support the legal isolation of these accounts receivable. Consequently, Ashland accounts for accounts receivable transferred to buyers as part of this agreement as sales.</w:t>
      </w:r>
    </w:p>
    <w:p>
      <w:pPr>
        <w:spacing w:after="0" w:line="71" w:lineRule="exact"/>
        <w:rPr>
          <w:sz w:val="20"/>
          <w:szCs w:val="20"/>
          <w:color w:val="auto"/>
        </w:rPr>
      </w:pPr>
    </w:p>
    <w:p>
      <w:pPr>
        <w:ind w:firstLine="348"/>
        <w:spacing w:after="0" w:line="241" w:lineRule="auto"/>
        <w:rPr>
          <w:sz w:val="20"/>
          <w:szCs w:val="20"/>
          <w:color w:val="auto"/>
        </w:rPr>
      </w:pPr>
      <w:r>
        <w:rPr>
          <w:rFonts w:ascii="Times New Roman" w:cs="Times New Roman" w:eastAsia="Times New Roman" w:hAnsi="Times New Roman"/>
          <w:sz w:val="16"/>
          <w:szCs w:val="16"/>
          <w:color w:val="auto"/>
        </w:rPr>
        <w:t>Ashland recognized a loss of $5 million and $3 million within the Statements of Consolidated Comprehensive Income (Loss) for 2025 and 2024, respectively, within the net interest and other expense (income) caption associated with sales under the program. Ashland has recorded $103 million of sales against the buyer’s limit, which was $103 million at September 30, 2025, compared to $104 million of sales against the buyer's limit, which was $104 million at September 30, 2024. Ashland transferred $142 million and $155 million in accounts receivable to the SPE as of September 30, 2025 and 2024, respectively. Ashland recorded liabilities related to its service obligations and limited guarantee as of September 30, 2025 and 2024 of less than $1 million.</w:t>
      </w:r>
    </w:p>
    <w:p>
      <w:pPr>
        <w:spacing w:after="0" w:line="73" w:lineRule="exact"/>
        <w:rPr>
          <w:sz w:val="20"/>
          <w:szCs w:val="20"/>
          <w:color w:val="auto"/>
        </w:rPr>
      </w:pPr>
    </w:p>
    <w:p>
      <w:pPr>
        <w:ind w:right="20" w:firstLine="348"/>
        <w:spacing w:after="0" w:line="289" w:lineRule="auto"/>
        <w:rPr>
          <w:sz w:val="20"/>
          <w:szCs w:val="20"/>
          <w:color w:val="auto"/>
        </w:rPr>
      </w:pPr>
      <w:r>
        <w:rPr>
          <w:rFonts w:ascii="Times New Roman" w:cs="Times New Roman" w:eastAsia="Times New Roman" w:hAnsi="Times New Roman"/>
          <w:sz w:val="14"/>
          <w:szCs w:val="14"/>
          <w:color w:val="auto"/>
        </w:rPr>
        <w:t>For the years ended September 30, 2025 and 2024, the gross cash proceeds received for accounts receivable transferred and derecognized were $528 million and $104 million, respectively, of which $534 million and zero were collected by Ashland in our capacity as a servicer of the accounts receivable and remitted to the buyer. The difference between accounts receivable transferred and derecognized versus collected of $6 million and $104 million for the periods ended September 30, 2025 and 2024, respectively, represents the impact of a net reduction and a net increase in accounts receivable sales volume during each period,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Supply Chain Finance Program</w:t>
      </w:r>
    </w:p>
    <w:p>
      <w:pPr>
        <w:spacing w:after="0" w:line="94" w:lineRule="exact"/>
        <w:rPr>
          <w:sz w:val="20"/>
          <w:szCs w:val="20"/>
          <w:color w:val="auto"/>
        </w:rPr>
      </w:pPr>
    </w:p>
    <w:p>
      <w:pPr>
        <w:ind w:right="20" w:firstLine="348"/>
        <w:spacing w:after="0" w:line="284" w:lineRule="auto"/>
        <w:rPr>
          <w:sz w:val="20"/>
          <w:szCs w:val="20"/>
          <w:color w:val="auto"/>
        </w:rPr>
      </w:pPr>
      <w:r>
        <w:rPr>
          <w:rFonts w:ascii="Times New Roman" w:cs="Times New Roman" w:eastAsia="Times New Roman" w:hAnsi="Times New Roman"/>
          <w:sz w:val="14"/>
          <w:szCs w:val="14"/>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Taulia Alliance and such suppliers. There were no changes to Ashland's standard payment terms with its suppliers in connection with this program. Ashland provides no guarantees to JP Morgan and Taulia Alliance under this program. The program was implemented during June 2025 and has been actively offered to suppliers. As of September 30, 2025, participation in the program was not significant. There were less than $1 million of confirmed invoices under this program for the year ended September 30, 2025.</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debt</w:t>
      </w:r>
    </w:p>
    <w:p>
      <w:pPr>
        <w:spacing w:after="0" w:line="94" w:lineRule="exact"/>
        <w:rPr>
          <w:sz w:val="20"/>
          <w:szCs w:val="20"/>
          <w:color w:val="auto"/>
        </w:rPr>
      </w:pPr>
    </w:p>
    <w:p>
      <w:pPr>
        <w:ind w:right="220" w:firstLine="348"/>
        <w:spacing w:after="0" w:line="259" w:lineRule="auto"/>
        <w:rPr>
          <w:sz w:val="20"/>
          <w:szCs w:val="20"/>
          <w:color w:val="auto"/>
        </w:rPr>
      </w:pPr>
      <w:r>
        <w:rPr>
          <w:rFonts w:ascii="Times New Roman" w:cs="Times New Roman" w:eastAsia="Times New Roman" w:hAnsi="Times New Roman"/>
          <w:sz w:val="16"/>
          <w:szCs w:val="16"/>
          <w:color w:val="auto"/>
        </w:rPr>
        <w:t>At September 30, 2025 and 2024, Ashland held other debt totaling $76 million and $71 million, respectively, comprised primarily of the 6.50% notes due 2029 and other notes.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Covenants related to current Ashland debt agreements</w:t>
      </w:r>
    </w:p>
    <w:p>
      <w:pPr>
        <w:spacing w:after="0" w:line="94" w:lineRule="exact"/>
        <w:rPr>
          <w:sz w:val="20"/>
          <w:szCs w:val="20"/>
          <w:color w:val="auto"/>
        </w:rPr>
      </w:pPr>
    </w:p>
    <w:p>
      <w:pPr>
        <w:ind w:right="200" w:firstLine="348"/>
        <w:spacing w:after="0" w:line="247" w:lineRule="auto"/>
        <w:rPr>
          <w:sz w:val="20"/>
          <w:szCs w:val="20"/>
          <w:color w:val="auto"/>
        </w:rPr>
      </w:pPr>
      <w:r>
        <w:rPr>
          <w:rFonts w:ascii="Times New Roman" w:cs="Times New Roman" w:eastAsia="Times New Roman" w:hAnsi="Times New Roman"/>
          <w:sz w:val="16"/>
          <w:szCs w:val="16"/>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2025, Ashland was in compliance with all debt agreement covenant restrictions.</w:t>
      </w:r>
    </w:p>
    <w:p>
      <w:pPr>
        <w:spacing w:after="0" w:line="68" w:lineRule="exact"/>
        <w:rPr>
          <w:sz w:val="20"/>
          <w:szCs w:val="20"/>
          <w:color w:val="auto"/>
        </w:rPr>
      </w:pPr>
    </w:p>
    <w:p>
      <w:pPr>
        <w:ind w:right="80" w:firstLine="348"/>
        <w:spacing w:after="0" w:line="278" w:lineRule="auto"/>
        <w:rPr>
          <w:sz w:val="20"/>
          <w:szCs w:val="20"/>
          <w:color w:val="auto"/>
        </w:rPr>
      </w:pPr>
      <w:r>
        <w:rPr>
          <w:rFonts w:ascii="Times New Roman" w:cs="Times New Roman" w:eastAsia="Times New Roman" w:hAnsi="Times New Roman"/>
          <w:sz w:val="14"/>
          <w:szCs w:val="14"/>
          <w:color w:val="auto"/>
        </w:rPr>
        <w:t>The maximum consolidated net leverage ratio permitted under Ashland’s most recent credit agreement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(loss) plus consolidated interest charges, taxes, depreciation and amortization expense, fees and expenses related to capital market transactions and proposed or actual acquisitions and divestitures, restructuring and integration charges, certain environmental charges, non-cash stock and equity compensation expense, and any other nonrecurring expenses or losses that do not represent a cash item in such period or any future period; less any non- cash gains or other items increasing net income (loss). In general, consolidated indebtedness includes debt plus all purchase money indebtedness, banker’s acceptances and bank guaranties, deferred purchase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7" w:right="70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color w:val="auto"/>
        </w:rPr>
        <w:t>price of property or services, attributable indebtedness and guarantees. At September 30, 2025, Ashland’s calculation of the consolidated net leverage ratio was 2.8.</w:t>
      </w:r>
    </w:p>
    <w:p>
      <w:pPr>
        <w:spacing w:after="0" w:line="92" w:lineRule="exact"/>
        <w:rPr>
          <w:sz w:val="20"/>
          <w:szCs w:val="20"/>
          <w:color w:val="auto"/>
        </w:rPr>
      </w:pPr>
    </w:p>
    <w:p>
      <w:pPr>
        <w:ind w:firstLine="348"/>
        <w:spacing w:after="0" w:line="247" w:lineRule="auto"/>
        <w:rPr>
          <w:sz w:val="20"/>
          <w:szCs w:val="20"/>
          <w:color w:val="auto"/>
        </w:rPr>
      </w:pPr>
      <w:r>
        <w:rPr>
          <w:rFonts w:ascii="Times New Roman" w:cs="Times New Roman" w:eastAsia="Times New Roman" w:hAnsi="Times New Roman"/>
          <w:sz w:val="16"/>
          <w:szCs w:val="16"/>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September 30, 2025, Ashland’s calculation of the consolidated interest coverage ratio was 6.5.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interest and other expense (income)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9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80" w:type="dxa"/>
            <w:vAlign w:val="bottom"/>
          </w:tcPr>
          <w:p>
            <w:pPr>
              <w:spacing w:after="0"/>
              <w:rPr>
                <w:sz w:val="24"/>
                <w:szCs w:val="24"/>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4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4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180"/>
        </w:trPr>
        <w:tc>
          <w:tcPr>
            <w:tcW w:w="6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6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on the accounts receivable sale programs</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62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Investment securities income</w:t>
            </w:r>
            <w:r>
              <w:rPr>
                <w:rFonts w:ascii="Times New Roman" w:cs="Times New Roman" w:eastAsia="Times New Roman" w:hAnsi="Times New Roman"/>
                <w:sz w:val="20"/>
                <w:szCs w:val="20"/>
                <w:color w:val="auto"/>
                <w:vertAlign w:val="superscript"/>
              </w:rPr>
              <w:t>(a)</w:t>
            </w: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r>
      <w:tr>
        <w:trPr>
          <w:trHeight w:val="180"/>
        </w:trPr>
        <w:tc>
          <w:tcPr>
            <w:tcW w:w="6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financing costs</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6260" w:type="dxa"/>
            <w:vAlign w:val="bottom"/>
          </w:tcPr>
          <w:p>
            <w:pPr>
              <w:spacing w:after="0"/>
              <w:rPr>
                <w:sz w:val="15"/>
                <w:szCs w:val="15"/>
                <w:color w:val="auto"/>
              </w:rPr>
            </w:pP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20"/>
        </w:trPr>
        <w:tc>
          <w:tcPr>
            <w:tcW w:w="6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(a)Represents investment income related to the restricted investments discussed in Note E.</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details the debt issuance cost and original issue discount amortization included in interest expense during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5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Normal amortization</w:t>
            </w:r>
          </w:p>
        </w:tc>
        <w:tc>
          <w:tcPr>
            <w:tcW w:w="1920" w:type="dxa"/>
            <w:vAlign w:val="bottom"/>
            <w:shd w:val="clear" w:color="auto" w:fill="CFF0FC"/>
          </w:tcPr>
          <w:p>
            <w:pPr>
              <w:jc w:val="right"/>
              <w:ind w:right="8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220" w:type="dxa"/>
            <w:vAlign w:val="bottom"/>
            <w:shd w:val="clear" w:color="auto" w:fill="CFF0FC"/>
          </w:tcPr>
          <w:p>
            <w:pPr>
              <w:jc w:val="right"/>
              <w:ind w:right="9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4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526"/>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I – OTHER NONCURRENT ASSETS AND LIABILITIES</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74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The following table summarizes the components of other noncurrent assets as of September 30: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0"/>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5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compensation investments</w:t>
            </w:r>
          </w:p>
        </w:tc>
        <w:tc>
          <w:tcPr>
            <w:tcW w:w="2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95</w:t>
            </w: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Tax and tax indemnity receivables</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5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Life insurance policies</w:t>
            </w:r>
          </w:p>
        </w:tc>
        <w:tc>
          <w:tcPr>
            <w:tcW w:w="1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80</w:t>
            </w: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Manufacturing catalyst supplies</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5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Defined benefit plan assets</w:t>
            </w:r>
          </w:p>
        </w:tc>
        <w:tc>
          <w:tcPr>
            <w:tcW w:w="1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unconsolidated investments</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5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Land use rights</w:t>
            </w:r>
          </w:p>
        </w:tc>
        <w:tc>
          <w:tcPr>
            <w:tcW w:w="1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5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Environmental insurance receivables</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5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Debt issuance costs</w:t>
            </w:r>
          </w:p>
        </w:tc>
        <w:tc>
          <w:tcPr>
            <w:tcW w:w="1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r>
      <w:tr>
        <w:trPr>
          <w:trHeight w:val="109"/>
        </w:trPr>
        <w:tc>
          <w:tcPr>
            <w:tcW w:w="53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0"/>
        </w:trPr>
        <w:tc>
          <w:tcPr>
            <w:tcW w:w="536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253</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264</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compensation investments</w:t>
      </w:r>
    </w:p>
    <w:p>
      <w:pPr>
        <w:spacing w:after="0" w:line="94"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Deferred compensation investments consist of insurance policies valued at cash surrender value. Gains and losses related to deferred compensation investments are immediately recognized within the selling, general and administrative expense caption on the Statements of Consolidated Comprehensive Income (Loss). These investments had gains of $5 million, $8 million, and $5 million during 2025, 2024 and 2023, respectively. These cash inflows exclude company-owned life insurance death benefits of $12 million, $1 million and $6 million for 2025, 2024 and 2023, respectively.</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provides the components of other noncurrent liabilities as of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Tax liabilities</w:t>
            </w:r>
          </w:p>
        </w:tc>
        <w:tc>
          <w:tcPr>
            <w:tcW w:w="392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480" w:type="dxa"/>
            <w:vAlign w:val="bottom"/>
            <w:gridSpan w:val="2"/>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69</w:t>
            </w:r>
          </w:p>
        </w:tc>
      </w:tr>
      <w:tr>
        <w:trPr>
          <w:trHeight w:val="180"/>
        </w:trPr>
        <w:tc>
          <w:tcPr>
            <w:tcW w:w="3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Environmental remediation reserves</w:t>
            </w:r>
          </w:p>
        </w:tc>
        <w:tc>
          <w:tcPr>
            <w:tcW w:w="3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164</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compensation</w:t>
            </w:r>
          </w:p>
        </w:tc>
        <w:tc>
          <w:tcPr>
            <w:tcW w:w="3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3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220"/>
        </w:trPr>
        <w:tc>
          <w:tcPr>
            <w:tcW w:w="370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299</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286</w:t>
            </w:r>
          </w:p>
        </w:tc>
      </w:tr>
      <w:tr>
        <w:trPr>
          <w:trHeight w:val="598"/>
        </w:trPr>
        <w:tc>
          <w:tcPr>
            <w:tcW w:w="3700" w:type="dxa"/>
            <w:vAlign w:val="bottom"/>
          </w:tcPr>
          <w:p>
            <w:pPr>
              <w:spacing w:after="0"/>
              <w:rPr>
                <w:sz w:val="24"/>
                <w:szCs w:val="24"/>
                <w:color w:val="auto"/>
              </w:rPr>
            </w:pPr>
          </w:p>
        </w:tc>
        <w:tc>
          <w:tcPr>
            <w:tcW w:w="3920" w:type="dxa"/>
            <w:vAlign w:val="bottom"/>
            <w:gridSpan w:val="2"/>
          </w:tcPr>
          <w:p>
            <w:pPr>
              <w:jc w:val="right"/>
              <w:ind w:right="2102"/>
              <w:spacing w:after="0"/>
              <w:rPr>
                <w:sz w:val="20"/>
                <w:szCs w:val="20"/>
                <w:color w:val="auto"/>
              </w:rPr>
            </w:pPr>
            <w:r>
              <w:rPr>
                <w:rFonts w:ascii="Times New Roman" w:cs="Times New Roman" w:eastAsia="Times New Roman" w:hAnsi="Times New Roman"/>
                <w:sz w:val="16"/>
                <w:szCs w:val="16"/>
                <w:color w:val="auto"/>
              </w:rPr>
              <w:t>F-31</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74"/>
        </w:trPr>
        <w:tc>
          <w:tcPr>
            <w:tcW w:w="3700" w:type="dxa"/>
            <w:vAlign w:val="bottom"/>
            <w:tcBorders>
              <w:bottom w:val="single" w:sz="8" w:color="EEEEEE"/>
            </w:tcBorders>
          </w:tcPr>
          <w:p>
            <w:pPr>
              <w:spacing w:after="0"/>
              <w:rPr>
                <w:sz w:val="24"/>
                <w:szCs w:val="24"/>
                <w:color w:val="auto"/>
              </w:rPr>
            </w:pPr>
          </w:p>
        </w:tc>
        <w:tc>
          <w:tcPr>
            <w:tcW w:w="36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color w:val="auto"/>
        </w:rPr>
        <w:t>NOTE J – LEASING ARRANGEMENTS</w:t>
      </w:r>
    </w:p>
    <w:p>
      <w:pPr>
        <w:spacing w:after="0" w:line="94"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Ashland leases certain office buildings, transportation equipment, warehouses and storage facilities, and equipment. Substantially all of Ashland’s leases are operating leases or short-term leases. Real estate leases represented over 85% of the total lease liability at both September 30, 2025 and 2024. See Note A for additional information related to Ashland’s leasing arrangements.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components of lease cost recognized within the Statements of Consolidated Comprehensive Income (Loss) for the years ended September 30,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8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Location</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Lease cost:</w:t>
            </w:r>
          </w:p>
        </w:tc>
        <w:tc>
          <w:tcPr>
            <w:tcW w:w="28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cost</w:t>
            </w:r>
          </w:p>
        </w:tc>
        <w:tc>
          <w:tcPr>
            <w:tcW w:w="28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Selling, General &amp; Administrative</w:t>
            </w:r>
          </w:p>
        </w:tc>
        <w:tc>
          <w:tcPr>
            <w:tcW w:w="9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160" w:type="dxa"/>
            <w:vAlign w:val="bottom"/>
            <w:gridSpan w:val="2"/>
          </w:tcPr>
          <w:p>
            <w:pPr>
              <w:jc w:val="center"/>
              <w:ind w:right="80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cost</w:t>
            </w:r>
          </w:p>
        </w:tc>
        <w:tc>
          <w:tcPr>
            <w:tcW w:w="28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Cost of Sales</w:t>
            </w: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Variable lease cost</w:t>
            </w:r>
          </w:p>
        </w:tc>
        <w:tc>
          <w:tcPr>
            <w:tcW w:w="28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Selling, General &amp; Administrative</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Variable lease cost</w:t>
            </w:r>
          </w:p>
        </w:tc>
        <w:tc>
          <w:tcPr>
            <w:tcW w:w="28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Cost of Sales</w:t>
            </w: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Short-term leases</w:t>
            </w:r>
          </w:p>
        </w:tc>
        <w:tc>
          <w:tcPr>
            <w:tcW w:w="28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Cost of Sales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lease cost</w:t>
            </w:r>
          </w:p>
        </w:tc>
        <w:tc>
          <w:tcPr>
            <w:tcW w:w="28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160" w:type="dxa"/>
            <w:vAlign w:val="bottom"/>
            <w:gridSpan w:val="2"/>
            <w:shd w:val="clear" w:color="auto" w:fill="CFF0FC"/>
          </w:tcPr>
          <w:p>
            <w:pPr>
              <w:jc w:val="center"/>
              <w:ind w:right="80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0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The following table summarizes Ashland’s lease assets and liabilities at September 30:</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gridSpan w:val="2"/>
          </w:tcPr>
          <w:p>
            <w:pPr>
              <w:jc w:val="center"/>
              <w:ind w:right="800"/>
              <w:spacing w:after="0"/>
              <w:rPr>
                <w:sz w:val="20"/>
                <w:szCs w:val="20"/>
                <w:color w:val="auto"/>
              </w:rPr>
            </w:pPr>
            <w:r>
              <w:rPr>
                <w:rFonts w:ascii="Times New Roman" w:cs="Times New Roman" w:eastAsia="Times New Roman" w:hAnsi="Times New Roman"/>
                <w:sz w:val="16"/>
                <w:szCs w:val="16"/>
                <w:color w:val="auto"/>
                <w:w w:val="99"/>
              </w:rPr>
              <w:t>2025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28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Finance lease assets</w:t>
            </w:r>
            <w:r>
              <w:rPr>
                <w:rFonts w:ascii="Times New Roman" w:cs="Times New Roman" w:eastAsia="Times New Roman" w:hAnsi="Times New Roman"/>
                <w:sz w:val="20"/>
                <w:szCs w:val="20"/>
                <w:color w:val="auto"/>
                <w:vertAlign w:val="superscript"/>
              </w:rPr>
              <w:t>(a)</w:t>
            </w:r>
          </w:p>
        </w:tc>
        <w:tc>
          <w:tcPr>
            <w:tcW w:w="2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assets, net</w:t>
            </w:r>
          </w:p>
        </w:tc>
        <w:tc>
          <w:tcPr>
            <w:tcW w:w="28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 lease assets</w:t>
            </w:r>
          </w:p>
        </w:tc>
        <w:tc>
          <w:tcPr>
            <w:tcW w:w="2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56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113</w:t>
            </w:r>
          </w:p>
        </w:tc>
        <w:tc>
          <w:tcPr>
            <w:tcW w:w="3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2300" w:type="dxa"/>
            <w:vAlign w:val="bottom"/>
            <w:shd w:val="clear" w:color="auto" w:fill="CFF0FC"/>
          </w:tcPr>
          <w:p>
            <w:pPr>
              <w:spacing w:after="0"/>
              <w:rPr>
                <w:sz w:val="13"/>
                <w:szCs w:val="13"/>
                <w:color w:val="auto"/>
              </w:rPr>
            </w:pPr>
          </w:p>
        </w:tc>
        <w:tc>
          <w:tcPr>
            <w:tcW w:w="28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3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 operating lease obligations</w:t>
            </w:r>
          </w:p>
        </w:tc>
        <w:tc>
          <w:tcPr>
            <w:tcW w:w="28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Non-current operating lease obligations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0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28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(a)Included in property, plant and equipment. See Note F.</w:t>
      </w:r>
    </w:p>
    <w:p>
      <w:pPr>
        <w:spacing w:after="0" w:line="125" w:lineRule="exact"/>
        <w:rPr>
          <w:sz w:val="20"/>
          <w:szCs w:val="20"/>
          <w:color w:val="auto"/>
        </w:rPr>
      </w:pPr>
    </w:p>
    <w:p>
      <w:pPr>
        <w:ind w:right="200" w:firstLine="348"/>
        <w:spacing w:after="0" w:line="259" w:lineRule="auto"/>
        <w:rPr>
          <w:sz w:val="20"/>
          <w:szCs w:val="20"/>
          <w:color w:val="auto"/>
        </w:rPr>
      </w:pPr>
      <w:r>
        <w:rPr>
          <w:rFonts w:ascii="Times New Roman" w:cs="Times New Roman" w:eastAsia="Times New Roman" w:hAnsi="Times New Roman"/>
          <w:sz w:val="16"/>
          <w:szCs w:val="16"/>
          <w:color w:val="auto"/>
        </w:rPr>
        <w:t>The weighted average remaining lease term for operating leases as of September 30, 2025 and 2024 was approximately 10 years and 19 years, respectively. The sale of the Avoca business in fiscal 2025 was the driver for the reduction of the average.</w:t>
      </w:r>
    </w:p>
    <w:p>
      <w:pPr>
        <w:spacing w:after="0" w:line="59" w:lineRule="exact"/>
        <w:rPr>
          <w:sz w:val="20"/>
          <w:szCs w:val="20"/>
          <w:color w:val="auto"/>
        </w:rPr>
      </w:pPr>
    </w:p>
    <w:p>
      <w:pPr>
        <w:ind w:right="20" w:firstLine="348"/>
        <w:spacing w:after="0" w:line="259" w:lineRule="auto"/>
        <w:rPr>
          <w:sz w:val="20"/>
          <w:szCs w:val="20"/>
          <w:color w:val="auto"/>
        </w:rPr>
      </w:pPr>
      <w:r>
        <w:rPr>
          <w:rFonts w:ascii="Times New Roman" w:cs="Times New Roman" w:eastAsia="Times New Roman" w:hAnsi="Times New Roman"/>
          <w:sz w:val="16"/>
          <w:szCs w:val="16"/>
          <w:color w:val="auto"/>
        </w:rPr>
        <w:t>The weighted average discount rate used to measure operating lease liabilities as of both September 30, 2025 and 2024 was 3.8%. There are no leases that have not yet commenced but that create significant rights and obligations for Ashland.</w:t>
      </w:r>
    </w:p>
    <w:p>
      <w:pPr>
        <w:spacing w:after="0" w:line="59" w:lineRule="exact"/>
        <w:rPr>
          <w:sz w:val="20"/>
          <w:szCs w:val="20"/>
          <w:color w:val="auto"/>
        </w:rPr>
      </w:pPr>
    </w:p>
    <w:p>
      <w:pPr>
        <w:jc w:val="both"/>
        <w:ind w:right="120" w:firstLine="348"/>
        <w:spacing w:after="0" w:line="247" w:lineRule="auto"/>
        <w:rPr>
          <w:sz w:val="20"/>
          <w:szCs w:val="20"/>
          <w:color w:val="auto"/>
        </w:rPr>
      </w:pPr>
      <w:r>
        <w:rPr>
          <w:rFonts w:ascii="Times New Roman" w:cs="Times New Roman" w:eastAsia="Times New Roman" w:hAnsi="Times New Roman"/>
          <w:sz w:val="16"/>
          <w:szCs w:val="16"/>
          <w:color w:val="auto"/>
        </w:rPr>
        <w:t>Right -of-use assets exchanged for new operating lease obligations was $7 million and $6 million for the years ended September 30, 2025 and 2024, respectively. During the second quarter of fiscal 2024, Ashland acquired a favorable lease asset for $10 million, which was recorded in the property, plant and equipment caption of the Consolidated Balance Sheet at September 30, 2024.</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provides cash paid for amounts included in the measurement of operating lease liabilities for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120" w:type="dxa"/>
            <w:vAlign w:val="bottom"/>
          </w:tcPr>
          <w:p>
            <w:pPr>
              <w:spacing w:after="0"/>
              <w:rPr>
                <w:sz w:val="16"/>
                <w:szCs w:val="16"/>
                <w:color w:val="auto"/>
              </w:rPr>
            </w:pPr>
          </w:p>
        </w:tc>
        <w:tc>
          <w:tcPr>
            <w:tcW w:w="134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Pr>
          <w:p>
            <w:pPr>
              <w:spacing w:after="0"/>
              <w:rPr>
                <w:sz w:val="16"/>
                <w:szCs w:val="16"/>
                <w:color w:val="auto"/>
              </w:rPr>
            </w:pPr>
          </w:p>
        </w:tc>
        <w:tc>
          <w:tcPr>
            <w:tcW w:w="132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Pr>
          <w:p>
            <w:pPr>
              <w:spacing w:after="0"/>
              <w:rPr>
                <w:sz w:val="16"/>
                <w:szCs w:val="16"/>
                <w:color w:val="auto"/>
              </w:rPr>
            </w:pPr>
          </w:p>
        </w:tc>
        <w:tc>
          <w:tcPr>
            <w:tcW w:w="102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3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12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4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27</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Investing cash flows from finance lease</w:t>
            </w:r>
          </w:p>
        </w:tc>
        <w:tc>
          <w:tcPr>
            <w:tcW w:w="2120" w:type="dxa"/>
            <w:vAlign w:val="bottom"/>
          </w:tcPr>
          <w:p>
            <w:pPr>
              <w:spacing w:after="0"/>
              <w:rPr>
                <w:sz w:val="17"/>
                <w:szCs w:val="17"/>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599"/>
        </w:trPr>
        <w:tc>
          <w:tcPr>
            <w:tcW w:w="3920" w:type="dxa"/>
            <w:vAlign w:val="bottom"/>
          </w:tcPr>
          <w:p>
            <w:pPr>
              <w:spacing w:after="0"/>
              <w:rPr>
                <w:sz w:val="24"/>
                <w:szCs w:val="24"/>
                <w:color w:val="auto"/>
              </w:rPr>
            </w:pPr>
          </w:p>
        </w:tc>
        <w:tc>
          <w:tcPr>
            <w:tcW w:w="212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F-32</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4"/>
        </w:trPr>
        <w:tc>
          <w:tcPr>
            <w:tcW w:w="3920" w:type="dxa"/>
            <w:vAlign w:val="bottom"/>
            <w:tcBorders>
              <w:bottom w:val="single" w:sz="8" w:color="EEEEEE"/>
            </w:tcBorders>
          </w:tcPr>
          <w:p>
            <w:pPr>
              <w:spacing w:after="0"/>
              <w:rPr>
                <w:sz w:val="24"/>
                <w:szCs w:val="24"/>
                <w:color w:val="auto"/>
              </w:rPr>
            </w:pPr>
          </w:p>
        </w:tc>
        <w:tc>
          <w:tcPr>
            <w:tcW w:w="212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following table summarizes Ashland's maturities of lease liabilities as of September 30, 2025:</w:t>
            </w: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90"/>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0"/>
        </w:trPr>
        <w:tc>
          <w:tcPr>
            <w:tcW w:w="8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040" w:type="dxa"/>
            <w:vAlign w:val="bottom"/>
            <w:shd w:val="clear" w:color="auto" w:fill="CFF0FC"/>
          </w:tcPr>
          <w:p>
            <w:pPr>
              <w:jc w:val="right"/>
              <w:ind w:right="8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8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040" w:type="dxa"/>
            <w:vAlign w:val="bottom"/>
          </w:tcPr>
          <w:p>
            <w:pPr>
              <w:spacing w:after="0"/>
              <w:rPr>
                <w:sz w:val="15"/>
                <w:szCs w:val="15"/>
                <w:color w:val="auto"/>
              </w:rPr>
            </w:pPr>
          </w:p>
        </w:tc>
        <w:tc>
          <w:tcPr>
            <w:tcW w:w="12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8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0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8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04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8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w:t>
            </w:r>
          </w:p>
        </w:tc>
        <w:tc>
          <w:tcPr>
            <w:tcW w:w="10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8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040" w:type="dxa"/>
            <w:vAlign w:val="bottom"/>
          </w:tcPr>
          <w:p>
            <w:pPr>
              <w:spacing w:after="0"/>
              <w:rPr>
                <w:sz w:val="15"/>
                <w:szCs w:val="15"/>
                <w:color w:val="auto"/>
              </w:rPr>
            </w:pPr>
          </w:p>
        </w:tc>
        <w:tc>
          <w:tcPr>
            <w:tcW w:w="12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8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lease payments</w:t>
            </w:r>
          </w:p>
        </w:tc>
        <w:tc>
          <w:tcPr>
            <w:tcW w:w="10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118</w:t>
            </w:r>
          </w:p>
        </w:tc>
      </w:tr>
      <w:tr>
        <w:trPr>
          <w:trHeight w:val="180"/>
        </w:trPr>
        <w:tc>
          <w:tcPr>
            <w:tcW w:w="8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amount of lease payment representing interest</w:t>
            </w:r>
          </w:p>
        </w:tc>
        <w:tc>
          <w:tcPr>
            <w:tcW w:w="104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244"/>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present value of lease payments</w:t>
            </w:r>
          </w:p>
        </w:tc>
        <w:tc>
          <w:tcPr>
            <w:tcW w:w="1040" w:type="dxa"/>
            <w:vAlign w:val="bottom"/>
            <w:tcBorders>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106</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K – INCOME TAXES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Provision</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summary of the provision for income taxes related to continuing operations for the years ended September 30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0"/>
        </w:trPr>
        <w:tc>
          <w:tcPr>
            <w:tcW w:w="6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42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40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63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6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Foreign</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w:t>
            </w:r>
          </w:p>
        </w:tc>
      </w:tr>
      <w:tr>
        <w:trPr>
          <w:trHeight w:val="180"/>
        </w:trPr>
        <w:tc>
          <w:tcPr>
            <w:tcW w:w="6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220"/>
        </w:trPr>
        <w:tc>
          <w:tcPr>
            <w:tcW w:w="630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r>
    </w:tbl>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Temporary differences that give rise to significant deferred tax assets and liabilities as of September 30 are presented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20" w:type="dxa"/>
            <w:vAlign w:val="bottom"/>
          </w:tcPr>
          <w:p>
            <w:pPr>
              <w:spacing w:after="0"/>
              <w:rPr>
                <w:sz w:val="16"/>
                <w:szCs w:val="16"/>
                <w:color w:val="auto"/>
              </w:rPr>
            </w:pPr>
          </w:p>
        </w:tc>
        <w:tc>
          <w:tcPr>
            <w:tcW w:w="12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Deferred tax assets</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Foreign net operating loss carryforwards</w:t>
            </w:r>
            <w:r>
              <w:rPr>
                <w:rFonts w:ascii="Times New Roman" w:cs="Times New Roman" w:eastAsia="Times New Roman" w:hAnsi="Times New Roman"/>
                <w:sz w:val="20"/>
                <w:szCs w:val="20"/>
                <w:color w:val="auto"/>
                <w:vertAlign w:val="superscript"/>
              </w:rPr>
              <w:t>(a)</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4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Employee benefit obligations</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Environmental, self-insurance and litigation reserves (net of receivables)</w:t>
            </w: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95</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State net operating loss carryforwards (net of unrecognized tax benefits)</w:t>
            </w:r>
            <w:r>
              <w:rPr>
                <w:rFonts w:ascii="Times New Roman" w:cs="Times New Roman" w:eastAsia="Times New Roman" w:hAnsi="Times New Roman"/>
                <w:sz w:val="20"/>
                <w:szCs w:val="20"/>
                <w:color w:val="auto"/>
                <w:vertAlign w:val="superscript"/>
              </w:rPr>
              <w:t>(b)</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Capital loss carryback/carryforward</w:t>
            </w:r>
          </w:p>
        </w:tc>
        <w:tc>
          <w:tcPr>
            <w:tcW w:w="32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106</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Compensation accruals</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Credit carryforwards (net of unrecognized tax benefits)</w:t>
            </w:r>
            <w:r>
              <w:rPr>
                <w:rFonts w:ascii="Times New Roman" w:cs="Times New Roman" w:eastAsia="Times New Roman" w:hAnsi="Times New Roman"/>
                <w:sz w:val="20"/>
                <w:szCs w:val="20"/>
                <w:color w:val="auto"/>
                <w:vertAlign w:val="superscript"/>
              </w:rPr>
              <w:t>(c)</w:t>
            </w: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items</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37</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Goodwill and other intangibles</w:t>
            </w:r>
            <w:r>
              <w:rPr>
                <w:rFonts w:ascii="Times New Roman" w:cs="Times New Roman" w:eastAsia="Times New Roman" w:hAnsi="Times New Roman"/>
                <w:sz w:val="20"/>
                <w:szCs w:val="20"/>
                <w:color w:val="auto"/>
                <w:vertAlign w:val="superscript"/>
              </w:rPr>
              <w:t>(e)</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Valuation allowances</w:t>
            </w:r>
            <w:r>
              <w:rPr>
                <w:rFonts w:ascii="Times New Roman" w:cs="Times New Roman" w:eastAsia="Times New Roman" w:hAnsi="Times New Roman"/>
                <w:sz w:val="20"/>
                <w:szCs w:val="20"/>
                <w:color w:val="auto"/>
                <w:vertAlign w:val="superscript"/>
              </w:rPr>
              <w:t>(d)</w:t>
            </w:r>
          </w:p>
        </w:tc>
        <w:tc>
          <w:tcPr>
            <w:tcW w:w="32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deferred tax assets</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316</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Property, plant and equipment</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123</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Right of use assets</w:t>
            </w:r>
          </w:p>
        </w:tc>
        <w:tc>
          <w:tcPr>
            <w:tcW w:w="3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deferred tax asset (liability)</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4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181</w:t>
            </w:r>
          </w:p>
        </w:tc>
      </w:tr>
      <w:tr>
        <w:trPr>
          <w:trHeight w:val="20"/>
        </w:trPr>
        <w:tc>
          <w:tcPr>
            <w:tcW w:w="7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(a)Gross net operating loss carryforwards of $99 million will expire in future years beyond 2026 or have no expiration, and primarily relate to European and Asian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(b)Apportioned net operating loss carryforwards generated of $443 million will expire in future years as follows: $44 million in 2026, and the remaining balance in other future years.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(c)Credit carryforwards consist primarily of foreign tax credits of $23 million expiring in future years, and state tax credits of $3 million that will expire in 2026 and other future years.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(d)Valuation allowances primarily relate to certain state and foreign net operating loss carryforwards and certain federal credit carryforwards.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(e)The total gross amount of goodwill as of September 30, 2025 and 2024 expected to be deductible for tax purposes was $33 million and $36 million, respectively.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16" w:name="page117"/>
    <w:bookmarkEnd w:id="116"/>
    <w:p>
      <w:pPr>
        <w:ind w:right="60" w:firstLine="348"/>
        <w:spacing w:after="0" w:line="247" w:lineRule="auto"/>
        <w:rPr>
          <w:sz w:val="20"/>
          <w:szCs w:val="20"/>
          <w:color w:val="auto"/>
        </w:rPr>
      </w:pPr>
      <w:r>
        <w:rPr>
          <w:rFonts w:ascii="Times New Roman" w:cs="Times New Roman" w:eastAsia="Times New Roman" w:hAnsi="Times New Roman"/>
          <w:sz w:val="16"/>
          <w:szCs w:val="16"/>
          <w:color w:val="auto"/>
        </w:rPr>
        <w:t>The U.S. and foreign components of income (loss) from continuing operations before income taxes and a reconciliation of the statutory federal income tax with the provision for income taxes for the years ended September 30 is as follows. The foreign components of income (loss) from continuing operations disclosed in the following table exclude any allocations of certain corporate expenses incurred in the U.S.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(632)</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(228)</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Foreign</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(809)</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00" w:type="dxa"/>
            <w:vAlign w:val="bottom"/>
            <w:gridSpan w:val="2"/>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taxes computed at U.S. statutory rate</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(decrease) in amount computed resulting from</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Tax law changes</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Non U.S. restructuring</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Uncertain tax positions</w:t>
            </w:r>
          </w:p>
        </w:tc>
        <w:tc>
          <w:tcPr>
            <w:tcW w:w="26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5"/>
                <w:szCs w:val="15"/>
                <w:color w:val="auto"/>
              </w:rPr>
              <w:t>Deemed inclusions, foreign dividends and other restructuring</w:t>
            </w:r>
            <w:r>
              <w:rPr>
                <w:rFonts w:ascii="Times New Roman" w:cs="Times New Roman" w:eastAsia="Times New Roman" w:hAnsi="Times New Roman"/>
                <w:sz w:val="20"/>
                <w:szCs w:val="20"/>
                <w:color w:val="auto"/>
                <w:vertAlign w:val="superscript"/>
              </w:rPr>
              <w:t>(a)</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Foreign tax credits</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5"/>
                <w:szCs w:val="15"/>
                <w:color w:val="auto"/>
              </w:rPr>
              <w:t>Valuation allowance changes</w:t>
            </w:r>
            <w:r>
              <w:rPr>
                <w:rFonts w:ascii="Times New Roman" w:cs="Times New Roman" w:eastAsia="Times New Roman" w:hAnsi="Times New Roman"/>
                <w:sz w:val="20"/>
                <w:szCs w:val="20"/>
                <w:color w:val="auto"/>
                <w:vertAlign w:val="superscript"/>
              </w:rPr>
              <w:t>(b)</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Research and development credits</w:t>
            </w:r>
          </w:p>
        </w:tc>
        <w:tc>
          <w:tcPr>
            <w:tcW w:w="2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 taxes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International rate differential</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on stock sale</w:t>
            </w:r>
          </w:p>
        </w:tc>
        <w:tc>
          <w:tcPr>
            <w:tcW w:w="26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items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3"/>
          <w:szCs w:val="13"/>
          <w:color w:val="auto"/>
        </w:rPr>
        <w:t>(a)2025 includes $ 12 million related to GILTI permanent adjustments and $15 million related to Subpart F. 2024 includes $17 million related to GILTI permanent adjustments and $11 million related to Subpart F. 2023 includes $19 million related to GILTI permanent adjustment and $12 million related to Subpart F.</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(b)2025 includes net $10 million related to state NOL's, deferred taxes and foreign tax credits. 2024 includes net $10 million related to state NOL's, deferred taxes and foreign tax credits. 2023 includes net $2 million related to deferred taxes and foreign tax credits.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Unrecognized tax benefits</w:t>
      </w:r>
    </w:p>
    <w:p>
      <w:pPr>
        <w:spacing w:after="0" w:line="94" w:lineRule="exact"/>
        <w:rPr>
          <w:sz w:val="20"/>
          <w:szCs w:val="20"/>
          <w:color w:val="auto"/>
        </w:rPr>
      </w:pPr>
    </w:p>
    <w:p>
      <w:pPr>
        <w:ind w:right="40" w:firstLine="348"/>
        <w:spacing w:after="0" w:line="238" w:lineRule="auto"/>
        <w:rPr>
          <w:sz w:val="20"/>
          <w:szCs w:val="20"/>
          <w:color w:val="auto"/>
        </w:rPr>
      </w:pPr>
      <w:r>
        <w:rPr>
          <w:rFonts w:ascii="Times New Roman" w:cs="Times New Roman" w:eastAsia="Times New Roman" w:hAnsi="Times New Roman"/>
          <w:sz w:val="16"/>
          <w:szCs w:val="16"/>
          <w:color w:val="auto"/>
        </w:rPr>
        <w:t>U.S. GAAP prescribes a recognition threshold and measurement attribute for the accounting and financial statement disclosure of tax positions taken or expected to be taken in a tax return. The evaluation of a tax position is a two-step process. The first step requires Ashland to determine whether it is more likely than not that a tax position will be sustained upon examination based on the technical merits of the position. The second step requires Ashland to recognize in the financial statements each tax position that meets the more likely than not criteria, measured at the amount of benefit that has a greater than 50% likelihood of being realized. Ashland had $65 million of unrecognized tax benefits at both September 30, 2025 and 2024, recorded within other noncurrent liabilities. As of September 30, 2025, the total amount of unrecognized tax benefits that, if recognized, would affect the tax rate for continuing and discontinued operations was $60 million. The remaining unrecognized tax benefits relate to tax positions for which ultimate deductibility is highly certain but for which there is uncertainty as to the timing of such deductibility. Recognition of these tax benefits would not have an impact on the effective tax rate.</w:t>
      </w:r>
    </w:p>
    <w:p>
      <w:pPr>
        <w:spacing w:after="0" w:line="77" w:lineRule="exact"/>
        <w:rPr>
          <w:sz w:val="20"/>
          <w:szCs w:val="20"/>
          <w:color w:val="auto"/>
        </w:rPr>
      </w:pPr>
    </w:p>
    <w:p>
      <w:pPr>
        <w:ind w:right="120" w:firstLine="348"/>
        <w:spacing w:after="0" w:line="247" w:lineRule="auto"/>
        <w:rPr>
          <w:sz w:val="20"/>
          <w:szCs w:val="20"/>
          <w:color w:val="auto"/>
        </w:rPr>
      </w:pPr>
      <w:r>
        <w:rPr>
          <w:rFonts w:ascii="Times New Roman" w:cs="Times New Roman" w:eastAsia="Times New Roman" w:hAnsi="Times New Roman"/>
          <w:sz w:val="16"/>
          <w:szCs w:val="16"/>
          <w:color w:val="auto"/>
        </w:rPr>
        <w:t>Ashland recognizes interest and penalties related to uncertain tax positions as a component of income tax expense (benefit) in the Statements of Consolidated Comprehensive Income (Loss) . Such interest and penalties totaled $4 million expense in 2025, $3 million expense in 2024 and $1 million benefit in 2023. Ashland had $19 million and $14 million in interest and penalties related to unrecognized tax benefits accrued as of September 30, 2025 and 2024, respectively.</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3"/>
        </w:trPr>
        <w:tc>
          <w:tcPr>
            <w:tcW w:w="8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unrecognized tax benefits were as follows:</w:t>
            </w: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90"/>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0"/>
        </w:trPr>
        <w:tc>
          <w:tcPr>
            <w:tcW w:w="8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840" w:type="dxa"/>
            <w:vAlign w:val="bottom"/>
            <w:shd w:val="clear" w:color="auto" w:fill="CFF0FC"/>
          </w:tcPr>
          <w:p>
            <w:pPr>
              <w:jc w:val="right"/>
              <w:ind w:right="6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59</w:t>
            </w:r>
          </w:p>
        </w:tc>
      </w:tr>
      <w:tr>
        <w:trPr>
          <w:trHeight w:val="180"/>
        </w:trPr>
        <w:tc>
          <w:tcPr>
            <w:tcW w:w="8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Decreases related to positions taken on items from prior years</w:t>
            </w:r>
          </w:p>
        </w:tc>
        <w:tc>
          <w:tcPr>
            <w:tcW w:w="8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8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Increases related to positions taken in the current year</w:t>
            </w:r>
          </w:p>
        </w:tc>
        <w:tc>
          <w:tcPr>
            <w:tcW w:w="8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8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Increases related to positions taken in the prior year</w:t>
            </w:r>
          </w:p>
        </w:tc>
        <w:tc>
          <w:tcPr>
            <w:tcW w:w="8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8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Settlements</w:t>
            </w:r>
          </w:p>
        </w:tc>
        <w:tc>
          <w:tcPr>
            <w:tcW w:w="8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8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Lapse of statute of limitations</w:t>
            </w:r>
          </w:p>
        </w:tc>
        <w:tc>
          <w:tcPr>
            <w:tcW w:w="8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8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840" w:type="dxa"/>
            <w:vAlign w:val="bottom"/>
            <w:shd w:val="clear" w:color="auto" w:fill="CFF0FC"/>
          </w:tcPr>
          <w:p>
            <w:pPr>
              <w:jc w:val="right"/>
              <w:ind w:right="6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65</w:t>
            </w:r>
          </w:p>
        </w:tc>
      </w:tr>
      <w:tr>
        <w:trPr>
          <w:trHeight w:val="180"/>
        </w:trPr>
        <w:tc>
          <w:tcPr>
            <w:tcW w:w="8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Decreases related to positions taken on items from prior years</w:t>
            </w:r>
          </w:p>
        </w:tc>
        <w:tc>
          <w:tcPr>
            <w:tcW w:w="8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8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Increases related to positions taken in the current year</w:t>
            </w:r>
          </w:p>
        </w:tc>
        <w:tc>
          <w:tcPr>
            <w:tcW w:w="8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8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Increases related to positions taken in the prior year</w:t>
            </w:r>
          </w:p>
        </w:tc>
        <w:tc>
          <w:tcPr>
            <w:tcW w:w="840" w:type="dxa"/>
            <w:vAlign w:val="bottom"/>
          </w:tcPr>
          <w:p>
            <w:pPr>
              <w:spacing w:after="0"/>
              <w:rPr>
                <w:sz w:val="15"/>
                <w:szCs w:val="15"/>
                <w:color w:val="auto"/>
              </w:rPr>
            </w:pPr>
          </w:p>
        </w:tc>
        <w:tc>
          <w:tcPr>
            <w:tcW w:w="10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180"/>
        </w:trPr>
        <w:tc>
          <w:tcPr>
            <w:tcW w:w="8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Lapse of statute of limitations</w:t>
            </w:r>
          </w:p>
        </w:tc>
        <w:tc>
          <w:tcPr>
            <w:tcW w:w="8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87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840" w:type="dxa"/>
            <w:vAlign w:val="bottom"/>
            <w:tcBorders>
              <w:bottom w:val="single" w:sz="8" w:color="auto"/>
            </w:tcBorders>
          </w:tcPr>
          <w:p>
            <w:pPr>
              <w:jc w:val="right"/>
              <w:ind w:right="6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65</w:t>
            </w:r>
          </w:p>
        </w:tc>
      </w:tr>
      <w:tr>
        <w:trPr>
          <w:trHeight w:val="20"/>
        </w:trPr>
        <w:tc>
          <w:tcPr>
            <w:tcW w:w="8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80" w:firstLine="348"/>
        <w:spacing w:after="0" w:line="289" w:lineRule="auto"/>
        <w:rPr>
          <w:sz w:val="20"/>
          <w:szCs w:val="20"/>
          <w:color w:val="auto"/>
        </w:rPr>
      </w:pPr>
      <w:r>
        <w:rPr>
          <w:rFonts w:ascii="Times New Roman" w:cs="Times New Roman" w:eastAsia="Times New Roman" w:hAnsi="Times New Roman"/>
          <w:sz w:val="14"/>
          <w:szCs w:val="14"/>
          <w:color w:val="auto"/>
        </w:rPr>
        <w:t>From a combination of statute expirations and audit settlements in the next twelve months, Ashland expects a decrease in the amount of accrual for uncertain tax positions of between zero and $ 1 million for continuing operations. For the remaining balance as of September 30, 2025,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spacing w:after="0" w:line="41" w:lineRule="exact"/>
        <w:rPr>
          <w:sz w:val="20"/>
          <w:szCs w:val="20"/>
          <w:color w:val="auto"/>
        </w:rPr>
      </w:pPr>
    </w:p>
    <w:p>
      <w:pPr>
        <w:ind w:right="80" w:firstLine="348"/>
        <w:spacing w:after="0" w:line="239" w:lineRule="auto"/>
        <w:rPr>
          <w:sz w:val="20"/>
          <w:szCs w:val="20"/>
          <w:color w:val="auto"/>
        </w:rPr>
      </w:pPr>
      <w:r>
        <w:rPr>
          <w:rFonts w:ascii="Times New Roman" w:cs="Times New Roman" w:eastAsia="Times New Roman" w:hAnsi="Times New Roman"/>
          <w:sz w:val="16"/>
          <w:szCs w:val="16"/>
          <w:color w:val="auto"/>
        </w:rPr>
        <w:t>Ashland or one of its subsidiaries files income tax returns in the U.S. federal jurisdiction and various state and foreign jurisdictions. Foreign taxing jurisdictions significant to Ashland include Belgium, Brazil, China, Germany, India, Italy, Mexico, Netherlands, Spain, Switzerland and the United Kingdom. Ashland is subject to U.S. federal income tax examinations by tax authorities for periods after September 30, 2021 and U.S. state income tax examinations by tax authorities for periods after September 30, 2018. With respect to countries outside of the United States, with certain exceptions, Ashland’s foreign subsidiaries are subject to income tax audits for years after 2019. In October 2025, Ashland received a $103 million tax refund related to the capital loss carryback from the Nutraceuticals business divestiture which was included within other current assets in the Consolidated Balance Sheet at September 30,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L – EMPLOYEE BENEFIT PLANS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Pension plans</w:t>
      </w:r>
    </w:p>
    <w:p>
      <w:pPr>
        <w:spacing w:after="0" w:line="94"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Ashland and its subsidiaries have several contributory and noncontributory qualified defined benefit pension plans that generally cover international employees and a small portion of certain U.S. manufacturing union employees. Pension obligations for applicable employees of non- U.S. consolidated subsidiaries are provided for in accordance with local practices and regulations of the respective countries. The majority of these foreign pension plans are closed to new participants while those that remain open relate to areas where jurisdictions require plans to operate within the applicable country.</w:t>
      </w:r>
    </w:p>
    <w:p>
      <w:pPr>
        <w:spacing w:after="0" w:line="71" w:lineRule="exact"/>
        <w:rPr>
          <w:sz w:val="20"/>
          <w:szCs w:val="20"/>
          <w:color w:val="auto"/>
        </w:rPr>
      </w:pPr>
    </w:p>
    <w:p>
      <w:pPr>
        <w:ind w:right="240" w:firstLine="348"/>
        <w:spacing w:after="0" w:line="331" w:lineRule="auto"/>
        <w:rPr>
          <w:sz w:val="20"/>
          <w:szCs w:val="20"/>
          <w:color w:val="auto"/>
        </w:rPr>
      </w:pPr>
      <w:r>
        <w:rPr>
          <w:rFonts w:ascii="Times New Roman" w:cs="Times New Roman" w:eastAsia="Times New Roman" w:hAnsi="Times New Roman"/>
          <w:sz w:val="14"/>
          <w:szCs w:val="14"/>
          <w:color w:val="auto"/>
        </w:rPr>
        <w:t>Benefits for those eligible for Ashland’s U.S. pension plans generally are based on employees’ years of service and compensation during the years immediately preceding their retirement. The remaining U.S. pension plans are still open for enrollment for qualifying union employees within certain manufacturing sites.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postretirement benefit plans</w:t>
      </w:r>
    </w:p>
    <w:p>
      <w:pPr>
        <w:spacing w:after="0" w:line="94" w:lineRule="exact"/>
        <w:rPr>
          <w:sz w:val="20"/>
          <w:szCs w:val="20"/>
          <w:color w:val="auto"/>
        </w:rPr>
      </w:pPr>
    </w:p>
    <w:p>
      <w:pPr>
        <w:ind w:right="20" w:firstLine="348"/>
        <w:spacing w:after="0" w:line="247" w:lineRule="auto"/>
        <w:rPr>
          <w:sz w:val="20"/>
          <w:szCs w:val="20"/>
          <w:color w:val="auto"/>
        </w:rPr>
      </w:pPr>
      <w:r>
        <w:rPr>
          <w:rFonts w:ascii="Times New Roman" w:cs="Times New Roman" w:eastAsia="Times New Roman" w:hAnsi="Times New Roman"/>
          <w:sz w:val="16"/>
          <w:szCs w:val="16"/>
          <w:color w:val="auto"/>
        </w:rPr>
        <w:t>Ashland and its subsidiaries maintain limited health care for certain eligible employees in the U.S. who are retired or disabled. Ashland shares the costs of providing health care coverage with certain eligible retired employees through premiums, deductibles and coinsurance provisions. Ashland funds its share of the costs of the postretirement benefit plans as the benefits are paid.</w:t>
      </w:r>
    </w:p>
    <w:p>
      <w:pPr>
        <w:spacing w:after="0" w:line="68" w:lineRule="exact"/>
        <w:rPr>
          <w:sz w:val="20"/>
          <w:szCs w:val="20"/>
          <w:color w:val="auto"/>
        </w:rPr>
      </w:pPr>
    </w:p>
    <w:p>
      <w:pPr>
        <w:jc w:val="both"/>
        <w:ind w:firstLine="348"/>
        <w:spacing w:after="0" w:line="247" w:lineRule="auto"/>
        <w:rPr>
          <w:sz w:val="20"/>
          <w:szCs w:val="20"/>
          <w:color w:val="auto"/>
        </w:rPr>
      </w:pPr>
      <w:r>
        <w:rPr>
          <w:rFonts w:ascii="Times New Roman" w:cs="Times New Roman" w:eastAsia="Times New Roman" w:hAnsi="Times New Roman"/>
          <w:sz w:val="16"/>
          <w:szCs w:val="16"/>
          <w:color w:val="auto"/>
        </w:rPr>
        <w:t>Postretirement health care plans include a limit on Ashland’s share of costs for recent and future retirees. The assumed pre-65 health care cost increase trend rate as of September 30, 2025 was 7.1% and continues to be reduced to 4.0% in 2049 and thereafter. The assumptions used to project the liability anticipate future cost-sharing changes to the written plans that are consistent with the increase in health care costs.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color w:val="auto"/>
        </w:rPr>
        <w:t>Net periodic benefit loss allocation</w:t>
      </w:r>
    </w:p>
    <w:p>
      <w:pPr>
        <w:spacing w:after="0" w:line="94"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Consistent with Ashland’s historical accounting policies, service cost for continuing operations is allocated to each reportable segment, excluding the Unallocated and other, while all other costs for continuing operations are recorded within Unallocated and other.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 and plan remeasurement</w:t>
      </w:r>
    </w:p>
    <w:p>
      <w:pPr>
        <w:spacing w:after="0" w:line="94" w:lineRule="exact"/>
        <w:rPr>
          <w:sz w:val="20"/>
          <w:szCs w:val="20"/>
          <w:color w:val="auto"/>
        </w:rPr>
      </w:pPr>
    </w:p>
    <w:p>
      <w:pPr>
        <w:ind w:right="20" w:firstLine="348"/>
        <w:spacing w:after="0" w:line="241" w:lineRule="auto"/>
        <w:rPr>
          <w:sz w:val="20"/>
          <w:szCs w:val="20"/>
          <w:color w:val="auto"/>
        </w:rPr>
      </w:pPr>
      <w:r>
        <w:rPr>
          <w:rFonts w:ascii="Times New Roman" w:cs="Times New Roman" w:eastAsia="Times New Roman" w:hAnsi="Times New Roman"/>
          <w:sz w:val="16"/>
          <w:szCs w:val="16"/>
          <w:color w:val="auto"/>
        </w:rPr>
        <w:t>During the first quarter of fiscal 2025, as part of its fiscal 2024 restructuring activities, Ashland terminated approximately 40 employees in its Doel, Belgium facility. The post-retirement benefits for these employees, all of whom participated in a non-contributory defined benefit plan in Belgium, were frozen. This resulted in a decrease in total expected future years of service within the plan and required Ashland to remeasure the plan as of December 31, 2024. As a result, Ashland recorded a $1 million curtailment loss within the other net periodic benefit loss caption of the Statement of Consolidated Comprehensive Income (Loss) during the year ended September 30, 2025.</w:t>
      </w:r>
    </w:p>
    <w:p>
      <w:pPr>
        <w:spacing w:after="0" w:line="73" w:lineRule="exact"/>
        <w:rPr>
          <w:sz w:val="20"/>
          <w:szCs w:val="20"/>
          <w:color w:val="auto"/>
        </w:rPr>
      </w:pPr>
    </w:p>
    <w:p>
      <w:pPr>
        <w:ind w:right="2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components of pension and other postretirement benefit costs for continuing operations and the assumptions used to determine net periodic benefit loss for the plans for the years ended September 30: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Pension benefits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6"/>
          </w:tcPr>
          <w:p>
            <w:pPr>
              <w:ind w:left="420"/>
              <w:spacing w:after="0"/>
              <w:rPr>
                <w:sz w:val="20"/>
                <w:szCs w:val="20"/>
                <w:color w:val="auto"/>
              </w:rPr>
            </w:pPr>
            <w:r>
              <w:rPr>
                <w:rFonts w:ascii="Times New Roman" w:cs="Times New Roman" w:eastAsia="Times New Roman" w:hAnsi="Times New Roman"/>
                <w:sz w:val="16"/>
                <w:szCs w:val="16"/>
                <w:color w:val="auto"/>
                <w:w w:val="97"/>
              </w:rPr>
              <w:t>Other postretirement benefits</w:t>
            </w:r>
          </w:p>
        </w:tc>
        <w:tc>
          <w:tcPr>
            <w:tcW w:w="720" w:type="dxa"/>
            <w:vAlign w:val="bottom"/>
          </w:tcPr>
          <w:p>
            <w:pPr>
              <w:spacing w:after="0"/>
              <w:rPr>
                <w:sz w:val="16"/>
                <w:szCs w:val="16"/>
                <w:color w:val="auto"/>
              </w:rPr>
            </w:pPr>
          </w:p>
        </w:tc>
      </w:tr>
      <w:tr>
        <w:trPr>
          <w:trHeight w:val="193"/>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2023</w:t>
            </w:r>
          </w:p>
        </w:tc>
      </w:tr>
      <w:tr>
        <w:trPr>
          <w:trHeight w:val="180"/>
        </w:trPr>
        <w:tc>
          <w:tcPr>
            <w:tcW w:w="20" w:type="dxa"/>
            <w:vAlign w:val="bottom"/>
          </w:tcPr>
          <w:p>
            <w:pPr>
              <w:spacing w:after="0"/>
              <w:rPr>
                <w:sz w:val="15"/>
                <w:szCs w:val="15"/>
                <w:color w:val="auto"/>
              </w:rPr>
            </w:pPr>
          </w:p>
        </w:tc>
        <w:tc>
          <w:tcPr>
            <w:tcW w:w="3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Service cost</w:t>
            </w:r>
            <w:r>
              <w:rPr>
                <w:rFonts w:ascii="Times New Roman" w:cs="Times New Roman" w:eastAsia="Times New Roman" w:hAnsi="Times New Roman"/>
                <w:sz w:val="20"/>
                <w:szCs w:val="20"/>
                <w:color w:val="auto"/>
                <w:vertAlign w:val="superscript"/>
              </w:rPr>
              <w:t>(a)</w:t>
            </w:r>
          </w:p>
        </w:tc>
        <w:tc>
          <w:tcPr>
            <w:tcW w:w="5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20" w:type="dxa"/>
            <w:vAlign w:val="bottom"/>
          </w:tcPr>
          <w:p>
            <w:pPr>
              <w:spacing w:after="0"/>
              <w:rPr>
                <w:sz w:val="15"/>
                <w:szCs w:val="15"/>
                <w:color w:val="auto"/>
              </w:rPr>
            </w:pPr>
          </w:p>
        </w:tc>
        <w:tc>
          <w:tcPr>
            <w:tcW w:w="33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Interest cost</w:t>
            </w:r>
            <w:r>
              <w:rPr>
                <w:rFonts w:ascii="Times New Roman" w:cs="Times New Roman" w:eastAsia="Times New Roman" w:hAnsi="Times New Roman"/>
                <w:sz w:val="20"/>
                <w:szCs w:val="20"/>
                <w:color w:val="auto"/>
                <w:vertAlign w:val="superscript"/>
              </w:rPr>
              <w:t>(b)</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20" w:type="dxa"/>
            <w:vAlign w:val="bottom"/>
          </w:tcPr>
          <w:p>
            <w:pPr>
              <w:spacing w:after="0"/>
              <w:rPr>
                <w:sz w:val="15"/>
                <w:szCs w:val="15"/>
                <w:color w:val="auto"/>
              </w:rPr>
            </w:pPr>
          </w:p>
        </w:tc>
        <w:tc>
          <w:tcPr>
            <w:tcW w:w="3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Expected return on plan assets</w:t>
            </w:r>
            <w:r>
              <w:rPr>
                <w:rFonts w:ascii="Times New Roman" w:cs="Times New Roman" w:eastAsia="Times New Roman" w:hAnsi="Times New Roman"/>
                <w:sz w:val="20"/>
                <w:szCs w:val="20"/>
                <w:color w:val="auto"/>
                <w:vertAlign w:val="superscript"/>
              </w:rPr>
              <w:t>(b)</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4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Actuarial (gain) loss</w:t>
            </w:r>
            <w:r>
              <w:rPr>
                <w:rFonts w:ascii="Times New Roman" w:cs="Times New Roman" w:eastAsia="Times New Roman" w:hAnsi="Times New Roman"/>
                <w:sz w:val="20"/>
                <w:szCs w:val="20"/>
                <w:color w:val="auto"/>
                <w:vertAlign w:val="superscript"/>
              </w:rPr>
              <w:t>(b)</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22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shd w:val="clear" w:color="auto" w:fill="CFF0FC"/>
          </w:tcPr>
          <w:p>
            <w:pPr>
              <w:ind w:left="620"/>
              <w:spacing w:after="0" w:line="180" w:lineRule="exact"/>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56"/>
        </w:trPr>
        <w:tc>
          <w:tcPr>
            <w:tcW w:w="20" w:type="dxa"/>
            <w:vAlign w:val="bottom"/>
          </w:tcPr>
          <w:p>
            <w:pPr>
              <w:spacing w:after="0"/>
              <w:rPr>
                <w:sz w:val="13"/>
                <w:szCs w:val="13"/>
                <w:color w:val="auto"/>
              </w:rPr>
            </w:pPr>
          </w:p>
        </w:tc>
        <w:tc>
          <w:tcPr>
            <w:tcW w:w="334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Weighted-average plan assumptions</w:t>
            </w:r>
            <w:r>
              <w:rPr>
                <w:rFonts w:ascii="Times New Roman" w:cs="Times New Roman" w:eastAsia="Times New Roman" w:hAnsi="Times New Roman"/>
                <w:sz w:val="18"/>
                <w:szCs w:val="18"/>
                <w:b w:val="1"/>
                <w:bCs w:val="1"/>
                <w:color w:val="auto"/>
                <w:vertAlign w:val="superscript"/>
              </w:rPr>
              <w:t>(c)</w:t>
            </w:r>
          </w:p>
        </w:tc>
        <w:tc>
          <w:tcPr>
            <w:tcW w:w="38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Discount rate for service cost</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5.80%</w:t>
            </w:r>
          </w:p>
        </w:tc>
      </w:tr>
      <w:tr>
        <w:trPr>
          <w:trHeight w:val="180"/>
        </w:trPr>
        <w:tc>
          <w:tcPr>
            <w:tcW w:w="20" w:type="dxa"/>
            <w:vAlign w:val="bottom"/>
          </w:tcPr>
          <w:p>
            <w:pPr>
              <w:spacing w:after="0"/>
              <w:rPr>
                <w:sz w:val="15"/>
                <w:szCs w:val="15"/>
                <w:color w:val="auto"/>
              </w:rPr>
            </w:pPr>
          </w:p>
        </w:tc>
        <w:tc>
          <w:tcPr>
            <w:tcW w:w="3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Discount rate for interest cost</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5.54%</w:t>
            </w:r>
          </w:p>
        </w:tc>
      </w:tr>
      <w:tr>
        <w:trPr>
          <w:trHeight w:val="180"/>
        </w:trPr>
        <w:tc>
          <w:tcPr>
            <w:tcW w:w="20" w:type="dxa"/>
            <w:vAlign w:val="bottom"/>
          </w:tcPr>
          <w:p>
            <w:pPr>
              <w:spacing w:after="0"/>
              <w:rPr>
                <w:sz w:val="15"/>
                <w:szCs w:val="15"/>
                <w:color w:val="auto"/>
              </w:rPr>
            </w:pPr>
          </w:p>
        </w:tc>
        <w:tc>
          <w:tcPr>
            <w:tcW w:w="3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Rate of compensation increase</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Expected long-term rate of return on plan assets</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(a)Service cost is classified within the selling, general and administrative expense and cost of sales captions on the Statements of Consolidated Comprehensive Income (Loss).</w:t>
      </w:r>
    </w:p>
    <w:p>
      <w:pPr>
        <w:spacing w:after="0" w:line="31"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13"/>
          <w:szCs w:val="13"/>
          <w:color w:val="auto"/>
        </w:rPr>
        <w:t>(b)These components are classified within the other net periodic benefit loss caption on the Statements of Consolidated Comprehensive Income (Loss). Actuarial (gain) loss includes net actuarial gains and losses as well as the change in the fair value of plan assets recognized in the fourth quarter. The change in the fair value of plan assets recognized in the fourth quarter was a loss of $15 million, gain of $12 million and a loss of $9 million for the years ended September 30, 2025, 2024 and 2023,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(c)The plan assumptions discussed are a blended weighted-average rate for Ashland’s U.S. and non-U.S. plans.</w:t>
      </w:r>
    </w:p>
    <w:p>
      <w:pPr>
        <w:spacing w:after="0" w:line="101" w:lineRule="exact"/>
        <w:rPr>
          <w:sz w:val="20"/>
          <w:szCs w:val="20"/>
          <w:color w:val="auto"/>
        </w:rPr>
      </w:pPr>
    </w:p>
    <w:p>
      <w:pPr>
        <w:ind w:right="220" w:firstLine="348"/>
        <w:spacing w:after="0" w:line="247" w:lineRule="auto"/>
        <w:rPr>
          <w:sz w:val="20"/>
          <w:szCs w:val="20"/>
          <w:color w:val="auto"/>
        </w:rPr>
      </w:pPr>
      <w:r>
        <w:rPr>
          <w:rFonts w:ascii="Times New Roman" w:cs="Times New Roman" w:eastAsia="Times New Roman" w:hAnsi="Times New Roman"/>
          <w:sz w:val="16"/>
          <w:szCs w:val="16"/>
          <w:color w:val="auto"/>
        </w:rPr>
        <w:t>The changes in prior service credit recognized in accumulated other comprehensive loss during the years ended September 30, 2025 and 2024 were less than $1 million each. At September 30, 2025, Ashland expects to recognize less than $1 million of the prior service credit in accumulated other comprehensive loss as net periodic benefit loss during the next fiscal year.</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amounts included in accumulated other comprehensive loss at September 30, are shown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560" w:type="dxa"/>
            <w:vAlign w:val="bottom"/>
            <w:gridSpan w:val="2"/>
          </w:tcPr>
          <w:p>
            <w:pPr>
              <w:jc w:val="right"/>
              <w:ind w:right="802"/>
              <w:spacing w:after="0"/>
              <w:rPr>
                <w:sz w:val="20"/>
                <w:szCs w:val="20"/>
                <w:color w:val="auto"/>
              </w:rPr>
            </w:pPr>
            <w:r>
              <w:rPr>
                <w:rFonts w:ascii="Times New Roman" w:cs="Times New Roman" w:eastAsia="Times New Roman" w:hAnsi="Times New Roman"/>
                <w:sz w:val="16"/>
                <w:szCs w:val="16"/>
                <w:color w:val="auto"/>
              </w:rPr>
              <w:t>Pension</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Postretirement</w:t>
            </w:r>
          </w:p>
        </w:tc>
        <w:tc>
          <w:tcPr>
            <w:tcW w:w="940" w:type="dxa"/>
            <w:vAlign w:val="bottom"/>
          </w:tcPr>
          <w:p>
            <w:pPr>
              <w:spacing w:after="0"/>
              <w:rPr>
                <w:sz w:val="16"/>
                <w:szCs w:val="16"/>
                <w:color w:val="auto"/>
              </w:rPr>
            </w:pPr>
          </w:p>
        </w:tc>
      </w:tr>
      <w:tr>
        <w:trPr>
          <w:trHeight w:val="19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76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Pr>
          <w:p>
            <w:pPr>
              <w:spacing w:after="0"/>
              <w:rPr>
                <w:sz w:val="16"/>
                <w:szCs w:val="16"/>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Pr>
          <w:p>
            <w:pPr>
              <w:spacing w:after="0"/>
              <w:rPr>
                <w:sz w:val="16"/>
                <w:szCs w:val="16"/>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tcPr>
          <w:p>
            <w:pPr>
              <w:spacing w:after="0"/>
              <w:rPr>
                <w:sz w:val="16"/>
                <w:szCs w:val="16"/>
                <w:color w:val="auto"/>
              </w:rPr>
            </w:pPr>
          </w:p>
        </w:tc>
        <w:tc>
          <w:tcPr>
            <w:tcW w:w="94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2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Prior service cost</w:t>
            </w:r>
          </w:p>
        </w:tc>
        <w:tc>
          <w:tcPr>
            <w:tcW w:w="2760" w:type="dxa"/>
            <w:vAlign w:val="bottom"/>
            <w:shd w:val="clear" w:color="auto" w:fill="CFF0FC"/>
          </w:tcPr>
          <w:p>
            <w:pPr>
              <w:jc w:val="right"/>
              <w:ind w:right="8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120" w:type="dxa"/>
            <w:vAlign w:val="bottom"/>
            <w:shd w:val="clear" w:color="auto" w:fill="CFF0FC"/>
          </w:tcPr>
          <w:p>
            <w:pPr>
              <w:jc w:val="right"/>
              <w:ind w:right="8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980" w:type="dxa"/>
            <w:vAlign w:val="bottom"/>
            <w:shd w:val="clear" w:color="auto" w:fill="CFF0FC"/>
          </w:tcPr>
          <w:p>
            <w:pPr>
              <w:jc w:val="right"/>
              <w:ind w:right="7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622"/>
        </w:trPr>
        <w:tc>
          <w:tcPr>
            <w:tcW w:w="2880" w:type="dxa"/>
            <w:vAlign w:val="bottom"/>
          </w:tcPr>
          <w:p>
            <w:pPr>
              <w:spacing w:after="0"/>
              <w:rPr>
                <w:sz w:val="24"/>
                <w:szCs w:val="24"/>
                <w:color w:val="auto"/>
              </w:rPr>
            </w:pPr>
          </w:p>
        </w:tc>
        <w:tc>
          <w:tcPr>
            <w:tcW w:w="276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F-36</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74"/>
        </w:trPr>
        <w:tc>
          <w:tcPr>
            <w:tcW w:w="288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color w:val="auto"/>
        </w:rPr>
        <w:t>Obligations and funded status</w:t>
      </w:r>
    </w:p>
    <w:p>
      <w:pPr>
        <w:spacing w:after="0" w:line="94" w:lineRule="exact"/>
        <w:rPr>
          <w:sz w:val="20"/>
          <w:szCs w:val="20"/>
          <w:color w:val="auto"/>
        </w:rPr>
      </w:pPr>
    </w:p>
    <w:p>
      <w:pPr>
        <w:ind w:right="40" w:firstLine="348"/>
        <w:spacing w:after="0" w:line="247" w:lineRule="auto"/>
        <w:rPr>
          <w:sz w:val="20"/>
          <w:szCs w:val="20"/>
          <w:color w:val="auto"/>
        </w:rPr>
      </w:pPr>
      <w:r>
        <w:rPr>
          <w:rFonts w:ascii="Times New Roman" w:cs="Times New Roman" w:eastAsia="Times New Roman" w:hAnsi="Times New Roman"/>
          <w:sz w:val="16"/>
          <w:szCs w:val="16"/>
          <w:color w:val="auto"/>
        </w:rPr>
        <w:t>Actuarial valuations are performed for the pension and other postretirement benefit plans to determine Ashland’s obligation for each plan. In accordance with U.S. GAAP, Ashland recognizes the status of the plans in the Consolidated Balance Sheets. Ashland maintains a defined benefits plan in the U.K. that is overfunded by $12 million, all of which is recorded in the other noncurrent assets caption of the Consolidated Balance Sheets.</w:t>
      </w:r>
    </w:p>
    <w:p>
      <w:pPr>
        <w:spacing w:after="0" w:line="68" w:lineRule="exact"/>
        <w:rPr>
          <w:sz w:val="20"/>
          <w:szCs w:val="20"/>
          <w:color w:val="auto"/>
        </w:rPr>
      </w:pPr>
    </w:p>
    <w:p>
      <w:pPr>
        <w:ind w:right="120" w:firstLine="387"/>
        <w:spacing w:after="0" w:line="259" w:lineRule="auto"/>
        <w:rPr>
          <w:sz w:val="20"/>
          <w:szCs w:val="20"/>
          <w:color w:val="auto"/>
        </w:rPr>
      </w:pPr>
      <w:r>
        <w:rPr>
          <w:rFonts w:ascii="Times New Roman" w:cs="Times New Roman" w:eastAsia="Times New Roman" w:hAnsi="Times New Roman"/>
          <w:sz w:val="16"/>
          <w:szCs w:val="16"/>
          <w:color w:val="auto"/>
        </w:rPr>
        <w:t>Summaries of the change in benefit obligations, plan assets, funded status of the plans, amounts recognized in the Consolidated Balance Sheets, and assumptions used to determine the benefit obligations at September 30,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782"/>
              <w:spacing w:after="0"/>
              <w:rPr>
                <w:sz w:val="20"/>
                <w:szCs w:val="20"/>
                <w:color w:val="auto"/>
              </w:rPr>
            </w:pPr>
            <w:r>
              <w:rPr>
                <w:rFonts w:ascii="Times New Roman" w:cs="Times New Roman" w:eastAsia="Times New Roman" w:hAnsi="Times New Roman"/>
                <w:sz w:val="16"/>
                <w:szCs w:val="16"/>
                <w:color w:val="auto"/>
              </w:rPr>
              <w:t>Other postretirement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gridSpan w:val="3"/>
          </w:tcPr>
          <w:p>
            <w:pPr>
              <w:jc w:val="right"/>
              <w:ind w:right="600"/>
              <w:spacing w:after="0" w:line="180" w:lineRule="exact"/>
              <w:rPr>
                <w:sz w:val="20"/>
                <w:szCs w:val="20"/>
                <w:color w:val="auto"/>
              </w:rPr>
            </w:pPr>
            <w:r>
              <w:rPr>
                <w:rFonts w:ascii="Times New Roman" w:cs="Times New Roman" w:eastAsia="Times New Roman" w:hAnsi="Times New Roman"/>
                <w:sz w:val="16"/>
                <w:szCs w:val="16"/>
                <w:color w:val="auto"/>
              </w:rPr>
              <w:t>Pension plans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benefit plans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Change in benefit obligations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Benefit obligations at October 1</w:t>
            </w:r>
          </w:p>
        </w:tc>
        <w:tc>
          <w:tcPr>
            <w:tcW w:w="880" w:type="dxa"/>
            <w:vAlign w:val="bottom"/>
          </w:tcPr>
          <w:p>
            <w:pPr>
              <w:jc w:val="right"/>
              <w:ind w:right="7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290</w:t>
            </w:r>
          </w:p>
        </w:tc>
        <w:tc>
          <w:tcPr>
            <w:tcW w:w="1000" w:type="dxa"/>
            <w:vAlign w:val="bottom"/>
            <w:gridSpan w:val="2"/>
          </w:tcPr>
          <w:p>
            <w:pPr>
              <w:jc w:val="right"/>
              <w:ind w:right="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255</w:t>
            </w:r>
          </w:p>
        </w:tc>
        <w:tc>
          <w:tcPr>
            <w:tcW w:w="4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4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Service cost</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cost</w:t>
            </w:r>
          </w:p>
        </w:tc>
        <w:tc>
          <w:tcPr>
            <w:tcW w:w="88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Benefits paid</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Actuarial (gain) loss</w:t>
            </w:r>
          </w:p>
        </w:tc>
        <w:tc>
          <w:tcPr>
            <w:tcW w:w="880" w:type="dxa"/>
            <w:vAlign w:val="bottom"/>
          </w:tcPr>
          <w:p>
            <w:pPr>
              <w:spacing w:after="0"/>
              <w:rPr>
                <w:sz w:val="15"/>
                <w:szCs w:val="15"/>
                <w:color w:val="auto"/>
              </w:rPr>
            </w:pPr>
          </w:p>
        </w:tc>
        <w:tc>
          <w:tcPr>
            <w:tcW w:w="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Curtailments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Foreign currency exchange rate changes</w:t>
            </w:r>
          </w:p>
        </w:tc>
        <w:tc>
          <w:tcPr>
            <w:tcW w:w="88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Settlements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Benefit obligations at September 30</w:t>
            </w:r>
          </w:p>
        </w:tc>
        <w:tc>
          <w:tcPr>
            <w:tcW w:w="880" w:type="dxa"/>
            <w:vAlign w:val="bottom"/>
          </w:tcPr>
          <w:p>
            <w:pPr>
              <w:jc w:val="right"/>
              <w:ind w:right="7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1000" w:type="dxa"/>
            <w:vAlign w:val="bottom"/>
            <w:gridSpan w:val="2"/>
          </w:tcPr>
          <w:p>
            <w:pPr>
              <w:jc w:val="right"/>
              <w:ind w:right="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290</w:t>
            </w:r>
          </w:p>
        </w:tc>
        <w:tc>
          <w:tcPr>
            <w:tcW w:w="4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4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6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Change in plan assets</w:t>
            </w: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Value of plan assets at October 1</w:t>
            </w:r>
          </w:p>
        </w:tc>
        <w:tc>
          <w:tcPr>
            <w:tcW w:w="880" w:type="dxa"/>
            <w:vAlign w:val="bottom"/>
          </w:tcPr>
          <w:p>
            <w:pPr>
              <w:jc w:val="right"/>
              <w:ind w:right="7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1000" w:type="dxa"/>
            <w:vAlign w:val="bottom"/>
            <w:gridSpan w:val="2"/>
          </w:tcPr>
          <w:p>
            <w:pPr>
              <w:jc w:val="right"/>
              <w:ind w:right="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203</w:t>
            </w:r>
          </w:p>
        </w:tc>
        <w:tc>
          <w:tcPr>
            <w:tcW w:w="4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Actual (loss) return on plan assets</w:t>
            </w:r>
          </w:p>
        </w:tc>
        <w:tc>
          <w:tcPr>
            <w:tcW w:w="88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2"/>
              <w:spacing w:after="0" w:line="264" w:lineRule="exact"/>
              <w:rPr>
                <w:sz w:val="20"/>
                <w:szCs w:val="20"/>
                <w:color w:val="auto"/>
              </w:rPr>
            </w:pPr>
            <w:r>
              <w:rPr>
                <w:rFonts w:ascii="Times New Roman" w:cs="Times New Roman" w:eastAsia="Times New Roman" w:hAnsi="Times New Roman"/>
                <w:sz w:val="15"/>
                <w:szCs w:val="15"/>
                <w:color w:val="auto"/>
              </w:rPr>
              <w:t>(5</w:t>
            </w:r>
            <w:r>
              <w:rPr>
                <w:rFonts w:ascii="Times New Roman" w:cs="Times New Roman" w:eastAsia="Times New Roman" w:hAnsi="Times New Roman"/>
                <w:sz w:val="30"/>
                <w:szCs w:val="30"/>
                <w:color w:val="auto"/>
                <w:vertAlign w:val="superscript"/>
              </w:rPr>
              <w:t>)</w:t>
            </w: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Employer contributions</w:t>
            </w:r>
          </w:p>
        </w:tc>
        <w:tc>
          <w:tcPr>
            <w:tcW w:w="88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Benefits paid</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Foreign currency exchange rate changes</w:t>
            </w:r>
          </w:p>
        </w:tc>
        <w:tc>
          <w:tcPr>
            <w:tcW w:w="88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Settlements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Value of plan assets at September 30</w:t>
            </w:r>
          </w:p>
        </w:tc>
        <w:tc>
          <w:tcPr>
            <w:tcW w:w="880" w:type="dxa"/>
            <w:vAlign w:val="bottom"/>
          </w:tcPr>
          <w:p>
            <w:pPr>
              <w:jc w:val="right"/>
              <w:ind w:right="7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1000" w:type="dxa"/>
            <w:vAlign w:val="bottom"/>
            <w:gridSpan w:val="2"/>
          </w:tcPr>
          <w:p>
            <w:pPr>
              <w:jc w:val="right"/>
              <w:ind w:right="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4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6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80" w:type="dxa"/>
            <w:vAlign w:val="bottom"/>
            <w:gridSpan w:val="2"/>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unfunded status of the plans</w:t>
            </w:r>
          </w:p>
        </w:tc>
        <w:tc>
          <w:tcPr>
            <w:tcW w:w="880" w:type="dxa"/>
            <w:vAlign w:val="bottom"/>
          </w:tcPr>
          <w:p>
            <w:pPr>
              <w:jc w:val="right"/>
              <w:ind w:right="7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000" w:type="dxa"/>
            <w:vAlign w:val="bottom"/>
            <w:gridSpan w:val="2"/>
          </w:tcPr>
          <w:p>
            <w:pPr>
              <w:jc w:val="right"/>
              <w:ind w:right="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4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4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6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Amounts recognized in the Consolidated Balance Sheets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noncurrent assets</w:t>
            </w:r>
          </w:p>
        </w:tc>
        <w:tc>
          <w:tcPr>
            <w:tcW w:w="880" w:type="dxa"/>
            <w:vAlign w:val="bottom"/>
            <w:shd w:val="clear" w:color="auto" w:fill="CFF0FC"/>
          </w:tcPr>
          <w:p>
            <w:pPr>
              <w:jc w:val="right"/>
              <w:ind w:right="7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00" w:type="dxa"/>
            <w:vAlign w:val="bottom"/>
            <w:gridSpan w:val="2"/>
            <w:shd w:val="clear" w:color="auto" w:fill="CFF0FC"/>
          </w:tcPr>
          <w:p>
            <w:pPr>
              <w:jc w:val="right"/>
              <w:ind w:right="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4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expenses and other liabilities</w:t>
            </w:r>
          </w:p>
        </w:tc>
        <w:tc>
          <w:tcPr>
            <w:tcW w:w="880" w:type="dxa"/>
            <w:vAlign w:val="bottom"/>
          </w:tcPr>
          <w:p>
            <w:pPr>
              <w:spacing w:after="0"/>
              <w:rPr>
                <w:sz w:val="15"/>
                <w:szCs w:val="15"/>
                <w:color w:val="auto"/>
              </w:rPr>
            </w:pPr>
          </w:p>
        </w:tc>
        <w:tc>
          <w:tcPr>
            <w:tcW w:w="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Employee benefit obligations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amount recognized</w:t>
            </w:r>
          </w:p>
        </w:tc>
        <w:tc>
          <w:tcPr>
            <w:tcW w:w="880" w:type="dxa"/>
            <w:vAlign w:val="bottom"/>
          </w:tcPr>
          <w:p>
            <w:pPr>
              <w:jc w:val="right"/>
              <w:ind w:right="7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000" w:type="dxa"/>
            <w:vAlign w:val="bottom"/>
            <w:gridSpan w:val="2"/>
          </w:tcPr>
          <w:p>
            <w:pPr>
              <w:jc w:val="right"/>
              <w:ind w:right="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4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48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6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Weighted-average plan assumptions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Discount rate</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right="140" w:firstLine="348"/>
        <w:spacing w:after="0" w:line="331" w:lineRule="auto"/>
        <w:rPr>
          <w:sz w:val="20"/>
          <w:szCs w:val="20"/>
          <w:color w:val="auto"/>
        </w:rPr>
      </w:pPr>
      <w:r>
        <w:rPr>
          <w:rFonts w:ascii="Times New Roman" w:cs="Times New Roman" w:eastAsia="Times New Roman" w:hAnsi="Times New Roman"/>
          <w:sz w:val="14"/>
          <w:szCs w:val="14"/>
          <w:color w:val="auto"/>
        </w:rPr>
        <w:t>The accumulated benefit obligation for all pension plans was $271 million and $ 284 million at September 30, 2025 and 2024, respectively. All Ashland pension plans are either qualified U.S. or non-US plans. Information for pension plans with an accumulated benefit obligation in excess of plan assets follows at September 30: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380" w:type="dxa"/>
            <w:vAlign w:val="bottom"/>
          </w:tcPr>
          <w:p>
            <w:pPr>
              <w:spacing w:after="0"/>
              <w:rPr>
                <w:sz w:val="16"/>
                <w:szCs w:val="16"/>
                <w:color w:val="auto"/>
              </w:rPr>
            </w:pPr>
          </w:p>
        </w:tc>
        <w:tc>
          <w:tcPr>
            <w:tcW w:w="156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Pr>
          <w:p>
            <w:pPr>
              <w:spacing w:after="0"/>
              <w:rPr>
                <w:sz w:val="16"/>
                <w:szCs w:val="16"/>
                <w:color w:val="auto"/>
              </w:rPr>
            </w:pPr>
          </w:p>
        </w:tc>
        <w:tc>
          <w:tcPr>
            <w:tcW w:w="150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Projected benefit obligation</w:t>
            </w:r>
          </w:p>
        </w:tc>
        <w:tc>
          <w:tcPr>
            <w:tcW w:w="338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56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168</w:t>
            </w: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Accumulated benefit obligation</w:t>
            </w:r>
          </w:p>
        </w:tc>
        <w:tc>
          <w:tcPr>
            <w:tcW w:w="3380" w:type="dxa"/>
            <w:vAlign w:val="bottom"/>
          </w:tcPr>
          <w:p>
            <w:pPr>
              <w:spacing w:after="0"/>
              <w:rPr>
                <w:sz w:val="15"/>
                <w:szCs w:val="15"/>
                <w:color w:val="auto"/>
              </w:rPr>
            </w:pPr>
          </w:p>
        </w:tc>
        <w:tc>
          <w:tcPr>
            <w:tcW w:w="15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560" w:type="dxa"/>
            <w:vAlign w:val="bottom"/>
          </w:tcPr>
          <w:p>
            <w:pPr>
              <w:spacing w:after="0"/>
              <w:rPr>
                <w:sz w:val="15"/>
                <w:szCs w:val="15"/>
                <w:color w:val="auto"/>
              </w:rPr>
            </w:pPr>
          </w:p>
        </w:tc>
        <w:tc>
          <w:tcPr>
            <w:tcW w:w="15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162</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Fair value of plan assets</w:t>
            </w:r>
          </w:p>
        </w:tc>
        <w:tc>
          <w:tcPr>
            <w:tcW w:w="338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5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93</w:t>
            </w:r>
          </w:p>
        </w:tc>
      </w:tr>
      <w:tr>
        <w:trPr>
          <w:trHeight w:val="622"/>
        </w:trPr>
        <w:tc>
          <w:tcPr>
            <w:tcW w:w="3560" w:type="dxa"/>
            <w:vAlign w:val="bottom"/>
          </w:tcPr>
          <w:p>
            <w:pPr>
              <w:spacing w:after="0"/>
              <w:rPr>
                <w:sz w:val="24"/>
                <w:szCs w:val="24"/>
                <w:color w:val="auto"/>
              </w:rPr>
            </w:pPr>
          </w:p>
        </w:tc>
        <w:tc>
          <w:tcPr>
            <w:tcW w:w="3380" w:type="dxa"/>
            <w:vAlign w:val="bottom"/>
          </w:tcPr>
          <w:p>
            <w:pPr>
              <w:jc w:val="right"/>
              <w:ind w:right="1422"/>
              <w:spacing w:after="0"/>
              <w:rPr>
                <w:sz w:val="20"/>
                <w:szCs w:val="20"/>
                <w:color w:val="auto"/>
              </w:rPr>
            </w:pPr>
            <w:r>
              <w:rPr>
                <w:rFonts w:ascii="Times New Roman" w:cs="Times New Roman" w:eastAsia="Times New Roman" w:hAnsi="Times New Roman"/>
                <w:sz w:val="16"/>
                <w:szCs w:val="16"/>
                <w:color w:val="auto"/>
              </w:rPr>
              <w:t>F-37</w:t>
            </w: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74"/>
        </w:trPr>
        <w:tc>
          <w:tcPr>
            <w:tcW w:w="3560" w:type="dxa"/>
            <w:vAlign w:val="bottom"/>
            <w:tcBorders>
              <w:bottom w:val="single" w:sz="8" w:color="EEEEEE"/>
            </w:tcBorders>
          </w:tcPr>
          <w:p>
            <w:pPr>
              <w:spacing w:after="0"/>
              <w:rPr>
                <w:sz w:val="24"/>
                <w:szCs w:val="24"/>
                <w:color w:val="auto"/>
              </w:rPr>
            </w:pPr>
          </w:p>
        </w:tc>
        <w:tc>
          <w:tcPr>
            <w:tcW w:w="338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color w:val="auto"/>
        </w:rPr>
        <w:t>Plan assets</w:t>
      </w:r>
    </w:p>
    <w:p>
      <w:pPr>
        <w:spacing w:after="0" w:line="94" w:lineRule="exact"/>
        <w:rPr>
          <w:sz w:val="20"/>
          <w:szCs w:val="20"/>
          <w:color w:val="auto"/>
        </w:rPr>
      </w:pPr>
    </w:p>
    <w:p>
      <w:pPr>
        <w:ind w:right="140" w:firstLine="348"/>
        <w:spacing w:after="0" w:line="247" w:lineRule="auto"/>
        <w:rPr>
          <w:sz w:val="20"/>
          <w:szCs w:val="20"/>
          <w:color w:val="auto"/>
        </w:rPr>
      </w:pPr>
      <w:r>
        <w:rPr>
          <w:rFonts w:ascii="Times New Roman" w:cs="Times New Roman" w:eastAsia="Times New Roman" w:hAnsi="Times New Roman"/>
          <w:sz w:val="16"/>
          <w:szCs w:val="16"/>
          <w:color w:val="auto"/>
        </w:rPr>
        <w:t>The expected long-term rate of return on pension plan assets was 4.78% and 4.99% for the years ended September 30, 2025 and 2024, respectively. The basis for determining the expected long-term rate of return is a combination of future return assumptions for various asset classes in Ashland’s investment portfolio, historical analysis of previous returns, market indices and a projection of inflation.</w:t>
      </w:r>
    </w:p>
    <w:p>
      <w:pPr>
        <w:spacing w:after="0" w:line="68" w:lineRule="exact"/>
        <w:rPr>
          <w:sz w:val="20"/>
          <w:szCs w:val="20"/>
          <w:color w:val="auto"/>
        </w:rPr>
      </w:pPr>
    </w:p>
    <w:p>
      <w:pPr>
        <w:ind w:right="300" w:firstLine="348"/>
        <w:spacing w:after="0" w:line="247" w:lineRule="auto"/>
        <w:rPr>
          <w:sz w:val="20"/>
          <w:szCs w:val="20"/>
          <w:color w:val="auto"/>
        </w:rPr>
      </w:pPr>
      <w:r>
        <w:rPr>
          <w:rFonts w:ascii="Times New Roman" w:cs="Times New Roman" w:eastAsia="Times New Roman" w:hAnsi="Times New Roman"/>
          <w:sz w:val="16"/>
          <w:szCs w:val="16"/>
          <w:color w:val="auto"/>
        </w:rPr>
        <w:t>The following table summarizes the various investment categories that the pension plan assets are invested in and the applicable fair value hierarchy that the pension plan assets are classified in as of September 30, 2025. For additional information and a detailed description of each level within the fair value hierarchy, see Note 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Total fair</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20" w:type="dxa"/>
            <w:vAlign w:val="bottom"/>
          </w:tcPr>
          <w:p>
            <w:pPr>
              <w:spacing w:after="0"/>
              <w:rPr>
                <w:sz w:val="16"/>
                <w:szCs w:val="16"/>
                <w:color w:val="auto"/>
              </w:rPr>
            </w:pPr>
          </w:p>
        </w:tc>
        <w:tc>
          <w:tcPr>
            <w:tcW w:w="11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Level 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Level 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Level 3</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Common collective trusts: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466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U.S. Government securities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ind w:left="88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Corporate debt instruments</w:t>
            </w:r>
          </w:p>
        </w:tc>
        <w:tc>
          <w:tcPr>
            <w:tcW w:w="220" w:type="dxa"/>
            <w:vAlign w:val="bottom"/>
          </w:tcPr>
          <w:p>
            <w:pPr>
              <w:spacing w:after="0"/>
              <w:rPr>
                <w:sz w:val="15"/>
                <w:szCs w:val="15"/>
                <w:color w:val="auto"/>
              </w:rPr>
            </w:pP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880"/>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Listed real assets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ind w:left="88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Corporate stocks</w:t>
            </w:r>
          </w:p>
        </w:tc>
        <w:tc>
          <w:tcPr>
            <w:tcW w:w="220" w:type="dxa"/>
            <w:vAlign w:val="bottom"/>
          </w:tcPr>
          <w:p>
            <w:pPr>
              <w:spacing w:after="0"/>
              <w:rPr>
                <w:sz w:val="15"/>
                <w:szCs w:val="15"/>
                <w:color w:val="auto"/>
              </w:rPr>
            </w:pP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880"/>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 contracts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145</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assets at fair value</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880"/>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145</w:t>
            </w:r>
          </w:p>
        </w:tc>
      </w:tr>
      <w:tr>
        <w:trPr>
          <w:trHeight w:val="20"/>
        </w:trPr>
        <w:tc>
          <w:tcPr>
            <w:tcW w:w="4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40" w:firstLine="348"/>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various investment categories that the pension plan assets are invested in and the applicable fair value hierarchy that the pension plan assets are classified in as of September 30,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Total fair</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20" w:type="dxa"/>
            <w:vAlign w:val="bottom"/>
          </w:tcPr>
          <w:p>
            <w:pPr>
              <w:spacing w:after="0"/>
              <w:rPr>
                <w:sz w:val="16"/>
                <w:szCs w:val="16"/>
                <w:color w:val="auto"/>
              </w:rPr>
            </w:pPr>
          </w:p>
        </w:tc>
        <w:tc>
          <w:tcPr>
            <w:tcW w:w="11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Level 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Level 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Level 3</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Common collective trusts: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466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U.S. Government securities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Corporate debt instruments</w:t>
            </w:r>
          </w:p>
        </w:tc>
        <w:tc>
          <w:tcPr>
            <w:tcW w:w="220" w:type="dxa"/>
            <w:vAlign w:val="bottom"/>
          </w:tcPr>
          <w:p>
            <w:pPr>
              <w:spacing w:after="0"/>
              <w:rPr>
                <w:sz w:val="15"/>
                <w:szCs w:val="15"/>
                <w:color w:val="auto"/>
              </w:rPr>
            </w:pP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Listed real assets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Corporate stocks</w:t>
            </w:r>
          </w:p>
        </w:tc>
        <w:tc>
          <w:tcPr>
            <w:tcW w:w="220" w:type="dxa"/>
            <w:vAlign w:val="bottom"/>
          </w:tcPr>
          <w:p>
            <w:pPr>
              <w:spacing w:after="0"/>
              <w:rPr>
                <w:sz w:val="15"/>
                <w:szCs w:val="15"/>
                <w:color w:val="auto"/>
              </w:rPr>
            </w:pP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 contracts</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assets at fair value</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232</w:t>
            </w:r>
          </w:p>
        </w:tc>
        <w:tc>
          <w:tcPr>
            <w:tcW w:w="3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8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348"/>
        <w:spacing w:after="0" w:line="238" w:lineRule="auto"/>
        <w:rPr>
          <w:sz w:val="20"/>
          <w:szCs w:val="20"/>
          <w:color w:val="auto"/>
        </w:rPr>
      </w:pPr>
      <w:r>
        <w:rPr>
          <w:rFonts w:ascii="Times New Roman" w:cs="Times New Roman" w:eastAsia="Times New Roman" w:hAnsi="Times New Roman"/>
          <w:sz w:val="16"/>
          <w:szCs w:val="16"/>
          <w:color w:val="auto"/>
        </w:rPr>
        <w:t>Ashland’s defined benefit pension plans hold a variety of investments that are designed to diversity risk. Ashland’s pension plan assets are generally classified within Level 1 or Level 2 of the fair value hierarchy because they are valued using quoted market prices in active markets, broker or dealer quotations, or alternative pricing sources, primarily matrix pricing, with reasonable levels of price transparency, however, certain pension plan assets are classified within Level 3 of the fair value hierarchy if they have significant unobservable inputs. The types of financial instruments based on quoted market prices in active markets include cash and cash equivalents (money market securities). Such instruments are classified within Level 1 of the fair value hierarchy. Ashland does not adjust the quoted market price for such financial instruments. The types of financial instruments valued based on quoted market prices in markets that are not active, broker or dealer quotations, or alternative pricing sources with reasonable levels of price transparency include common collective trust funds (“CCTs”) and insurance contracts at or near inception. Such financial instruments are generally classified within Level 2 for the fair value hierarchy. Insurance contracts after inception based on values from third-party insurers with limited level of transparency, are generally classified within Level 3 of the fair value hierarchy.</w:t>
      </w:r>
    </w:p>
    <w:p>
      <w:pPr>
        <w:spacing w:after="0" w:line="74" w:lineRule="exact"/>
        <w:rPr>
          <w:sz w:val="20"/>
          <w:szCs w:val="20"/>
          <w:color w:val="auto"/>
        </w:rPr>
      </w:pPr>
    </w:p>
    <w:p>
      <w:pPr>
        <w:ind w:right="200" w:firstLine="348"/>
        <w:spacing w:after="0" w:line="241" w:lineRule="auto"/>
        <w:rPr>
          <w:sz w:val="20"/>
          <w:szCs w:val="20"/>
          <w:color w:val="auto"/>
        </w:rPr>
      </w:pPr>
      <w:r>
        <w:rPr>
          <w:rFonts w:ascii="Times New Roman" w:cs="Times New Roman" w:eastAsia="Times New Roman" w:hAnsi="Times New Roman"/>
          <w:sz w:val="16"/>
          <w:szCs w:val="16"/>
          <w:color w:val="auto"/>
        </w:rPr>
        <w:t>The CCTs are valued at net asset value ("NAV") provided by the respective fund administrators as there is not an active market for CCTs. The Company has determined that the NAV is an appropriate estimate of the fair value of the CCTs at September 30, 2025 and 2024, because the CCTs are audited and accounted for at fair value by the administrators of the respective CCTs. The underlying assets in the CCTs consist primarily of marketable debt and equity securities based on the respective fund administrator’s investment strategy. Given there are no significant liquidity restrictions on any of the CCTs as of September 30, 2025 or 2024, the Company has determined that the CCTs are classified within Level 2 of the fair value hierarchy.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21" w:name="page122"/>
    <w:bookmarkEnd w:id="121"/>
    <w:p>
      <w:pPr>
        <w:ind w:right="60" w:firstLine="348"/>
        <w:spacing w:after="0" w:line="243" w:lineRule="auto"/>
        <w:rPr>
          <w:sz w:val="20"/>
          <w:szCs w:val="20"/>
          <w:color w:val="auto"/>
        </w:rPr>
      </w:pPr>
      <w:r>
        <w:rPr>
          <w:rFonts w:ascii="Times New Roman" w:cs="Times New Roman" w:eastAsia="Times New Roman" w:hAnsi="Times New Roman"/>
          <w:sz w:val="16"/>
          <w:szCs w:val="16"/>
          <w:color w:val="auto"/>
        </w:rPr>
        <w:t>Insurance contracts represent qualified insurance contracts (“buy in”) with a third-party insurer that were executed by Ashland for certain non-US defined benefit pension plans. The buy in insurance contracts replaced certain assets historically held by the defined benefit pension plans and as a result the longevity and investments risks for certain of these non-US defined benefit pension plans have been transferred to the respective insurers. The projected benefit obligations related to these non-US defined benefit pension plans remain on the Consolidated Balance Sheets but are insured through these buy in insurance contracts.</w:t>
      </w:r>
    </w:p>
    <w:p>
      <w:pPr>
        <w:spacing w:after="0" w:line="71" w:lineRule="exact"/>
        <w:rPr>
          <w:sz w:val="20"/>
          <w:szCs w:val="20"/>
          <w:color w:val="auto"/>
        </w:rPr>
      </w:pPr>
    </w:p>
    <w:p>
      <w:pPr>
        <w:ind w:firstLine="348"/>
        <w:spacing w:after="0" w:line="237" w:lineRule="auto"/>
        <w:rPr>
          <w:sz w:val="20"/>
          <w:szCs w:val="20"/>
          <w:color w:val="auto"/>
        </w:rPr>
      </w:pPr>
      <w:r>
        <w:rPr>
          <w:rFonts w:ascii="Times New Roman" w:cs="Times New Roman" w:eastAsia="Times New Roman" w:hAnsi="Times New Roman"/>
          <w:sz w:val="16"/>
          <w:szCs w:val="16"/>
          <w:color w:val="auto"/>
        </w:rPr>
        <w:t>The fair value of the insurance contracts is initially based on the purchase price (premium) of the insurance contact which is based on a competitive quoted price in a market that is not active (i.e. among multiple insurance companies) and not less than the Company’s actuarially determined projected benefit obligation, which is consistent with a Level 2 measurement of the fair value hierarchy (and was the case at September 30, 2024). Subsequent fair value measurements, including at September 30, 2025, of the insurance contracts are based on the insurance contracts exit value (the amount at which the insurance contracts could be sold to another third-party insurer). The exit price, or fair value, is determined by the third-party insurers using assumptions similar to that of the related projected benefit obligations and include significant unobservable inputs such as the defined benefit pension plans demographic data, internal insurance company determined margin requirements and proprietary discount rates. As a result, and after the period in which the buy in insurance contracts are entered into, the Company has determined that the insurance contracts are classified with Level 3 of the fair value hierarchy. The fair value of the insurance contracts at September 30, 2024 was $157 million. During the year ended September 30, 2025, cash payments made under the insurance contracts were $9 million, additional employer contributions were $6 million and the change in fair value based on the insurers internally developed valuation models was $9 million, which represented a decrease in the actual return on plan assets, resulting in fair value of the insurance contracts of $145 million at September 30,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 and Strategy</w:t>
      </w:r>
    </w:p>
    <w:p>
      <w:pPr>
        <w:spacing w:after="0" w:line="94" w:lineRule="exact"/>
        <w:rPr>
          <w:sz w:val="20"/>
          <w:szCs w:val="20"/>
          <w:color w:val="auto"/>
        </w:rPr>
      </w:pPr>
    </w:p>
    <w:p>
      <w:pPr>
        <w:ind w:right="180" w:firstLine="348"/>
        <w:spacing w:after="0" w:line="239" w:lineRule="auto"/>
        <w:rPr>
          <w:sz w:val="20"/>
          <w:szCs w:val="20"/>
          <w:color w:val="auto"/>
        </w:rPr>
      </w:pPr>
      <w:r>
        <w:rPr>
          <w:rFonts w:ascii="Times New Roman" w:cs="Times New Roman" w:eastAsia="Times New Roman" w:hAnsi="Times New Roman"/>
          <w:sz w:val="16"/>
          <w:szCs w:val="16"/>
          <w:color w:val="auto"/>
        </w:rPr>
        <w:t>In developing an investment strategy for its defined benefit pension plans, Ashland has considered the following factors: the nature of the plans’ liabilities, the allocation of liabilities between active, deferred and retired members, the funded status of the plans, the applicable investment horizon, the respective size of the plans and historical and expected capital market returns. Ashland’s U.S. pension plan assets are managed by outside investment managers, which are monitored against investment return benchmarks and Ashland’s established investment strategy. Investment managers are selected based on an analysis of, among other things, their investment process, historical investment results, frequency of management turnover, cost structure and assets under management. Assets are periodically reallocated between investment managers to maintain an appropriate asset mix and diversification of investments and to optimize returns.</w:t>
      </w:r>
    </w:p>
    <w:p>
      <w:pPr>
        <w:spacing w:after="0" w:line="77" w:lineRule="exact"/>
        <w:rPr>
          <w:sz w:val="20"/>
          <w:szCs w:val="20"/>
          <w:color w:val="auto"/>
        </w:rPr>
      </w:pPr>
    </w:p>
    <w:p>
      <w:pPr>
        <w:ind w:right="40" w:firstLine="348"/>
        <w:spacing w:after="0" w:line="247" w:lineRule="auto"/>
        <w:rPr>
          <w:sz w:val="20"/>
          <w:szCs w:val="20"/>
          <w:color w:val="auto"/>
        </w:rPr>
      </w:pPr>
      <w:r>
        <w:rPr>
          <w:rFonts w:ascii="Times New Roman" w:cs="Times New Roman" w:eastAsia="Times New Roman" w:hAnsi="Times New Roman"/>
          <w:sz w:val="16"/>
          <w:szCs w:val="16"/>
          <w:color w:val="auto"/>
        </w:rPr>
        <w:t>The current asset allocation for the U.S. plans is 51% fixed income, 36% equity and 13% other. Fixed income primarily includes long duration corporate debt obligations and U.S. government debt obligations. Equity primarily includes public equity investments. Investment managers may employ a limited use of derivatives to gain efficient exposure to markets.</w:t>
      </w:r>
    </w:p>
    <w:p>
      <w:pPr>
        <w:spacing w:after="0" w:line="68"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Ashland’s investment strategy and management practices relative to pension plan assets of non-U.S. plans generally are consistent with those for U.S. plans, except in those countries where investment of pension plan assets is dictated by applicable regulations. Although the investment allocation may vary based on funding percentages and whether plans are still accruing additional liabilities, the weighted-average asset allocations for Ashland’s U.S. and non-U.S. plans at September 30 by asset category follow.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120" w:type="dxa"/>
            <w:vAlign w:val="bottom"/>
            <w:gridSpan w:val="3"/>
          </w:tcPr>
          <w:p>
            <w:pPr>
              <w:ind w:left="1460"/>
              <w:spacing w:after="0"/>
              <w:rPr>
                <w:sz w:val="20"/>
                <w:szCs w:val="20"/>
                <w:color w:val="auto"/>
              </w:rPr>
            </w:pPr>
            <w:r>
              <w:rPr>
                <w:rFonts w:ascii="Times New Roman" w:cs="Times New Roman" w:eastAsia="Times New Roman" w:hAnsi="Times New Roman"/>
                <w:sz w:val="16"/>
                <w:szCs w:val="16"/>
                <w:color w:val="auto"/>
              </w:rPr>
              <w:t>Actual</w:t>
            </w:r>
          </w:p>
        </w:tc>
        <w:tc>
          <w:tcPr>
            <w:tcW w:w="1320" w:type="dxa"/>
            <w:vAlign w:val="bottom"/>
          </w:tcPr>
          <w:p>
            <w:pPr>
              <w:spacing w:after="0"/>
              <w:rPr>
                <w:sz w:val="16"/>
                <w:szCs w:val="16"/>
                <w:color w:val="auto"/>
              </w:rPr>
            </w:pPr>
          </w:p>
        </w:tc>
      </w:tr>
      <w:tr>
        <w:trPr>
          <w:trHeight w:val="19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72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Target</w:t>
            </w:r>
          </w:p>
        </w:tc>
        <w:tc>
          <w:tcPr>
            <w:tcW w:w="168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3720" w:type="dxa"/>
            <w:vAlign w:val="bottom"/>
            <w:shd w:val="clear" w:color="auto" w:fill="CFF0FC"/>
          </w:tcPr>
          <w:p>
            <w:pPr>
              <w:jc w:val="center"/>
              <w:ind w:left="1862"/>
              <w:spacing w:after="0" w:line="180" w:lineRule="exact"/>
              <w:rPr>
                <w:sz w:val="20"/>
                <w:szCs w:val="20"/>
                <w:color w:val="auto"/>
              </w:rPr>
            </w:pPr>
            <w:r>
              <w:rPr>
                <w:rFonts w:ascii="Times New Roman" w:cs="Times New Roman" w:eastAsia="Times New Roman" w:hAnsi="Times New Roman"/>
                <w:sz w:val="16"/>
                <w:szCs w:val="16"/>
                <w:color w:val="auto"/>
                <w:w w:val="98"/>
              </w:rPr>
              <w:t>5 - 45%</w:t>
            </w: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income</w:t>
            </w:r>
          </w:p>
        </w:tc>
        <w:tc>
          <w:tcPr>
            <w:tcW w:w="3720" w:type="dxa"/>
            <w:vAlign w:val="bottom"/>
          </w:tcPr>
          <w:p>
            <w:pPr>
              <w:jc w:val="center"/>
              <w:ind w:left="1862"/>
              <w:spacing w:after="0" w:line="180" w:lineRule="exact"/>
              <w:rPr>
                <w:sz w:val="20"/>
                <w:szCs w:val="20"/>
                <w:color w:val="auto"/>
              </w:rPr>
            </w:pPr>
            <w:r>
              <w:rPr>
                <w:rFonts w:ascii="Times New Roman" w:cs="Times New Roman" w:eastAsia="Times New Roman" w:hAnsi="Times New Roman"/>
                <w:sz w:val="16"/>
                <w:szCs w:val="16"/>
                <w:color w:val="auto"/>
                <w:w w:val="98"/>
              </w:rPr>
              <w:t>55 - 95%</w:t>
            </w:r>
          </w:p>
        </w:tc>
        <w:tc>
          <w:tcPr>
            <w:tcW w:w="1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720" w:type="dxa"/>
            <w:vAlign w:val="bottom"/>
            <w:shd w:val="clear" w:color="auto" w:fill="CFF0FC"/>
          </w:tcPr>
          <w:p>
            <w:pPr>
              <w:jc w:val="center"/>
              <w:ind w:left="1862"/>
              <w:spacing w:after="0" w:line="180" w:lineRule="exact"/>
              <w:rPr>
                <w:sz w:val="20"/>
                <w:szCs w:val="20"/>
                <w:color w:val="auto"/>
              </w:rPr>
            </w:pPr>
            <w:r>
              <w:rPr>
                <w:rFonts w:ascii="Times New Roman" w:cs="Times New Roman" w:eastAsia="Times New Roman" w:hAnsi="Times New Roman"/>
                <w:sz w:val="16"/>
                <w:szCs w:val="16"/>
                <w:color w:val="auto"/>
                <w:w w:val="98"/>
              </w:rPr>
              <w:t>0 - 5%</w:t>
            </w:r>
          </w:p>
        </w:tc>
        <w:tc>
          <w:tcPr>
            <w:tcW w:w="1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34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r>
      <w:tr>
        <w:trPr>
          <w:trHeight w:val="20"/>
        </w:trPr>
        <w:tc>
          <w:tcPr>
            <w:tcW w:w="3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94" w:lineRule="exact"/>
        <w:rPr>
          <w:sz w:val="20"/>
          <w:szCs w:val="20"/>
          <w:color w:val="auto"/>
        </w:rPr>
      </w:pPr>
    </w:p>
    <w:p>
      <w:pPr>
        <w:ind w:firstLine="348"/>
        <w:spacing w:after="0" w:line="247" w:lineRule="auto"/>
        <w:rPr>
          <w:sz w:val="20"/>
          <w:szCs w:val="20"/>
          <w:color w:val="auto"/>
        </w:rPr>
      </w:pPr>
      <w:r>
        <w:rPr>
          <w:rFonts w:ascii="Times New Roman" w:cs="Times New Roman" w:eastAsia="Times New Roman" w:hAnsi="Times New Roman"/>
          <w:sz w:val="16"/>
          <w:szCs w:val="16"/>
          <w:color w:val="auto"/>
        </w:rPr>
        <w:t>During the years ended September 30, 2025 and 2024, Ashland contributed $6 million and $7 million to its U.S. pension plans, respectively, and $6 million and $8 million to its non- U.S. pension plans, respectively. Ashland expects to contribute approximately $5 million to its U.S. pension plans and expects to contribute approximately $6 million to its non-U.S. pension plans during 2026.</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22" w:name="page123"/>
    <w:bookmarkEnd w:id="122"/>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The following benefit payments, which reflect future service expectations, are projected to be paid from plan assets in each of the next five years and in aggregate for five years thereafter.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tcPr>
          <w:p>
            <w:pPr>
              <w:jc w:val="center"/>
              <w:ind w:right="282"/>
              <w:spacing w:after="0"/>
              <w:rPr>
                <w:sz w:val="20"/>
                <w:szCs w:val="20"/>
                <w:color w:val="auto"/>
              </w:rPr>
            </w:pPr>
            <w:r>
              <w:rPr>
                <w:rFonts w:ascii="Times New Roman" w:cs="Times New Roman" w:eastAsia="Times New Roman" w:hAnsi="Times New Roman"/>
                <w:sz w:val="16"/>
                <w:szCs w:val="16"/>
                <w:color w:val="auto"/>
                <w:w w:val="98"/>
              </w:rPr>
              <w:t>Other</w:t>
            </w:r>
          </w:p>
        </w:tc>
      </w:tr>
      <w:tr>
        <w:trPr>
          <w:trHeight w:val="180"/>
        </w:trPr>
        <w:tc>
          <w:tcPr>
            <w:tcW w:w="3660" w:type="dxa"/>
            <w:vAlign w:val="bottom"/>
          </w:tcPr>
          <w:p>
            <w:pPr>
              <w:spacing w:after="0"/>
              <w:rPr>
                <w:sz w:val="15"/>
                <w:szCs w:val="15"/>
                <w:color w:val="auto"/>
              </w:rPr>
            </w:pPr>
          </w:p>
        </w:tc>
        <w:tc>
          <w:tcPr>
            <w:tcW w:w="4260" w:type="dxa"/>
            <w:vAlign w:val="bottom"/>
          </w:tcPr>
          <w:p>
            <w:pPr>
              <w:ind w:left="3540"/>
              <w:spacing w:after="0" w:line="180" w:lineRule="exact"/>
              <w:rPr>
                <w:sz w:val="20"/>
                <w:szCs w:val="20"/>
                <w:color w:val="auto"/>
              </w:rPr>
            </w:pPr>
            <w:r>
              <w:rPr>
                <w:rFonts w:ascii="Times New Roman" w:cs="Times New Roman" w:eastAsia="Times New Roman" w:hAnsi="Times New Roman"/>
                <w:sz w:val="16"/>
                <w:szCs w:val="16"/>
                <w:color w:val="auto"/>
              </w:rPr>
              <w:t>Pension</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color w:val="auto"/>
                <w:w w:val="97"/>
              </w:rPr>
              <w:t>postretirement</w:t>
            </w:r>
          </w:p>
        </w:tc>
      </w:tr>
      <w:tr>
        <w:trPr>
          <w:trHeight w:val="19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4260" w:type="dxa"/>
            <w:vAlign w:val="bottom"/>
          </w:tcPr>
          <w:p>
            <w:pPr>
              <w:ind w:left="3540"/>
              <w:spacing w:after="0"/>
              <w:rPr>
                <w:sz w:val="20"/>
                <w:szCs w:val="20"/>
                <w:color w:val="auto"/>
              </w:rPr>
            </w:pPr>
            <w:r>
              <w:rPr>
                <w:rFonts w:ascii="Times New Roman" w:cs="Times New Roman" w:eastAsia="Times New Roman" w:hAnsi="Times New Roman"/>
                <w:sz w:val="16"/>
                <w:szCs w:val="16"/>
                <w:color w:val="auto"/>
              </w:rPr>
              <w:t>benefits</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tcPr>
          <w:p>
            <w:pPr>
              <w:jc w:val="center"/>
              <w:ind w:right="282"/>
              <w:spacing w:after="0"/>
              <w:rPr>
                <w:sz w:val="20"/>
                <w:szCs w:val="20"/>
                <w:color w:val="auto"/>
              </w:rPr>
            </w:pPr>
            <w:r>
              <w:rPr>
                <w:rFonts w:ascii="Times New Roman" w:cs="Times New Roman" w:eastAsia="Times New Roman" w:hAnsi="Times New Roman"/>
                <w:sz w:val="16"/>
                <w:szCs w:val="16"/>
                <w:color w:val="auto"/>
                <w:w w:val="94"/>
              </w:rPr>
              <w:t>benefits</w:t>
            </w:r>
          </w:p>
        </w:tc>
      </w:tr>
      <w:tr>
        <w:trPr>
          <w:trHeight w:val="180"/>
        </w:trPr>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4260" w:type="dxa"/>
            <w:vAlign w:val="bottom"/>
            <w:shd w:val="clear" w:color="auto" w:fill="CFF0FC"/>
          </w:tcPr>
          <w:p>
            <w:pPr>
              <w:jc w:val="right"/>
              <w:ind w:right="12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4260" w:type="dxa"/>
            <w:vAlign w:val="bottom"/>
          </w:tcPr>
          <w:p>
            <w:pPr>
              <w:spacing w:after="0"/>
              <w:rPr>
                <w:sz w:val="15"/>
                <w:szCs w:val="15"/>
                <w:color w:val="auto"/>
              </w:rPr>
            </w:pPr>
          </w:p>
        </w:tc>
        <w:tc>
          <w:tcPr>
            <w:tcW w:w="6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40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4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40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4260" w:type="dxa"/>
            <w:vAlign w:val="bottom"/>
          </w:tcPr>
          <w:p>
            <w:pPr>
              <w:spacing w:after="0"/>
              <w:rPr>
                <w:sz w:val="15"/>
                <w:szCs w:val="15"/>
                <w:color w:val="auto"/>
              </w:rPr>
            </w:pPr>
          </w:p>
        </w:tc>
        <w:tc>
          <w:tcPr>
            <w:tcW w:w="6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40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w:t>
            </w:r>
          </w:p>
        </w:tc>
        <w:tc>
          <w:tcPr>
            <w:tcW w:w="4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40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2031 - 2035</w:t>
            </w:r>
          </w:p>
        </w:tc>
        <w:tc>
          <w:tcPr>
            <w:tcW w:w="4260" w:type="dxa"/>
            <w:vAlign w:val="bottom"/>
          </w:tcPr>
          <w:p>
            <w:pPr>
              <w:spacing w:after="0"/>
              <w:rPr>
                <w:sz w:val="17"/>
                <w:szCs w:val="17"/>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101</w:t>
            </w:r>
          </w:p>
        </w:tc>
        <w:tc>
          <w:tcPr>
            <w:tcW w:w="400" w:type="dxa"/>
            <w:vAlign w:val="bottom"/>
          </w:tcPr>
          <w:p>
            <w:pPr>
              <w:spacing w:after="0"/>
              <w:rPr>
                <w:sz w:val="17"/>
                <w:szCs w:val="17"/>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plans</w:t>
      </w:r>
    </w:p>
    <w:p>
      <w:pPr>
        <w:spacing w:after="0" w:line="94" w:lineRule="exact"/>
        <w:rPr>
          <w:sz w:val="20"/>
          <w:szCs w:val="20"/>
          <w:color w:val="auto"/>
        </w:rPr>
      </w:pPr>
    </w:p>
    <w:p>
      <w:pPr>
        <w:ind w:right="60" w:firstLine="348"/>
        <w:spacing w:after="0" w:line="241" w:lineRule="auto"/>
        <w:rPr>
          <w:sz w:val="20"/>
          <w:szCs w:val="20"/>
          <w:color w:val="auto"/>
        </w:rPr>
      </w:pPr>
      <w:r>
        <w:rPr>
          <w:rFonts w:ascii="Times New Roman" w:cs="Times New Roman" w:eastAsia="Times New Roman" w:hAnsi="Times New Roman"/>
          <w:sz w:val="16"/>
          <w:szCs w:val="16"/>
          <w:color w:val="auto"/>
        </w:rPr>
        <w:t>Ashland sponsors savings plans to assist eligible employees in providing for retirement or other future needs. Under such plans, Company contributions amounted to $21 million in both 2025 and 2024, and $23 million 2023, respectively. These contributions are expensed according to the consolidated financial statement line based on the employee's role within Ashland, which is either cost of sales, selling, general and administrative expense, or research and development expense within the Statements of Consolidated Comprehensive Income (Loss). Ashland also sponsors various other employee benefit plans, some of which are required by different countries. The total noncurrent liabilities associated with these plans was $4 million for both September 30, 2025 and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M – LITIGATION, CLAIMS AND CONTINGENCIES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Asbestos litigation</w:t>
      </w:r>
    </w:p>
    <w:p>
      <w:pPr>
        <w:spacing w:after="0" w:line="94" w:lineRule="exact"/>
        <w:rPr>
          <w:sz w:val="20"/>
          <w:szCs w:val="20"/>
          <w:color w:val="auto"/>
        </w:rPr>
      </w:pPr>
    </w:p>
    <w:p>
      <w:pPr>
        <w:ind w:right="80" w:firstLine="348"/>
        <w:spacing w:after="0" w:line="238" w:lineRule="auto"/>
        <w:rPr>
          <w:sz w:val="20"/>
          <w:szCs w:val="20"/>
          <w:color w:val="auto"/>
        </w:rPr>
      </w:pPr>
      <w:r>
        <w:rPr>
          <w:rFonts w:ascii="Times New Roman" w:cs="Times New Roman" w:eastAsia="Times New Roman" w:hAnsi="Times New Roman"/>
          <w:sz w:val="16"/>
          <w:szCs w:val="16"/>
          <w:color w:val="auto"/>
        </w:rPr>
        <w:t>Ashland and Hercules have liabilities from claims alleging personal injury caused by exposure to asbestos. To assist in developing and annually updating independent reserve estimates for future asbestos claims and related costs, Ashland has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 litigation reserves and receivables are recorded on an after-tax basis within the discontinued operations caption in the Statements of Consolidated Comprehensive Income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Ashland asbestos-related litigation</w:t>
      </w:r>
    </w:p>
    <w:p>
      <w:pPr>
        <w:spacing w:after="0" w:line="94"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 A summary of Ashland asbestos claims activity, excluding Hercules claims, is as follows for the years ended September 30: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38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2025</w:t>
            </w:r>
          </w:p>
        </w:tc>
        <w:tc>
          <w:tcPr>
            <w:tcW w:w="150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color w:val="auto"/>
              </w:rPr>
              <w:t>2024</w:t>
            </w:r>
          </w:p>
        </w:tc>
        <w:tc>
          <w:tcPr>
            <w:tcW w:w="1460" w:type="dxa"/>
            <w:vAlign w:val="bottom"/>
            <w:gridSpan w:val="2"/>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Open claims - beginning of year</w:t>
            </w:r>
          </w:p>
        </w:tc>
        <w:tc>
          <w:tcPr>
            <w:tcW w:w="1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50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46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44</w:t>
            </w:r>
          </w:p>
        </w:tc>
      </w:tr>
      <w:tr>
        <w:trPr>
          <w:trHeight w:val="180"/>
        </w:trPr>
        <w:tc>
          <w:tcPr>
            <w:tcW w:w="6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New claims filed</w:t>
            </w: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50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Claims settled</w:t>
            </w:r>
          </w:p>
        </w:tc>
        <w:tc>
          <w:tcPr>
            <w:tcW w:w="1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Claims dismissed</w:t>
            </w: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220"/>
        </w:trPr>
        <w:tc>
          <w:tcPr>
            <w:tcW w:w="622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Open claims - end of year</w:t>
            </w:r>
          </w:p>
        </w:tc>
        <w:tc>
          <w:tcPr>
            <w:tcW w:w="13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Ashland asbestos-related liability</w:t>
      </w:r>
    </w:p>
    <w:p>
      <w:pPr>
        <w:spacing w:after="0" w:line="94" w:lineRule="exact"/>
        <w:rPr>
          <w:sz w:val="20"/>
          <w:szCs w:val="20"/>
          <w:color w:val="auto"/>
        </w:rPr>
      </w:pPr>
    </w:p>
    <w:p>
      <w:pPr>
        <w:ind w:right="260" w:firstLine="348"/>
        <w:spacing w:after="0" w:line="247" w:lineRule="auto"/>
        <w:rPr>
          <w:sz w:val="20"/>
          <w:szCs w:val="20"/>
          <w:color w:val="auto"/>
        </w:rPr>
      </w:pPr>
      <w:r>
        <w:rPr>
          <w:rFonts w:ascii="Times New Roman" w:cs="Times New Roman" w:eastAsia="Times New Roman" w:hAnsi="Times New Roman"/>
          <w:sz w:val="16"/>
          <w:szCs w:val="16"/>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23" w:name="page124"/>
    <w:bookmarkEnd w:id="123"/>
    <w:p>
      <w:pPr>
        <w:ind w:left="360"/>
        <w:spacing w:after="0"/>
        <w:rPr>
          <w:sz w:val="20"/>
          <w:szCs w:val="20"/>
          <w:color w:val="auto"/>
        </w:rPr>
      </w:pPr>
      <w:r>
        <w:rPr>
          <w:rFonts w:ascii="Times New Roman" w:cs="Times New Roman" w:eastAsia="Times New Roman" w:hAnsi="Times New Roman"/>
          <w:sz w:val="14"/>
          <w:szCs w:val="14"/>
          <w:color w:val="auto"/>
        </w:rPr>
        <w:t>During the most recent update completed during 2025, it was determined that the liability for Ashland asbestos-related claims should be increased by $16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reserves for asbestos claims were $258 million at September 30, 2025 compared to $274 million at September 30, 2024.</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progression of activity in the asbestos litigation reserves for the years ended September 30,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16"/>
                <w:szCs w:val="16"/>
                <w:color w:val="auto"/>
              </w:rPr>
            </w:pPr>
          </w:p>
        </w:tc>
        <w:tc>
          <w:tcPr>
            <w:tcW w:w="12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Asbestos reserve - beginning of year</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274</w:t>
            </w:r>
          </w:p>
        </w:tc>
        <w:tc>
          <w:tcPr>
            <w:tcW w:w="5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281</w:t>
            </w:r>
          </w:p>
        </w:tc>
        <w:tc>
          <w:tcPr>
            <w:tcW w:w="52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305</w:t>
            </w: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Reserve adjustment</w:t>
            </w:r>
          </w:p>
        </w:tc>
        <w:tc>
          <w:tcPr>
            <w:tcW w:w="34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Amounts paid</w:t>
            </w: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Asbestos reserve - end of year</w:t>
            </w:r>
            <w:r>
              <w:rPr>
                <w:rFonts w:ascii="Times New Roman" w:cs="Times New Roman" w:eastAsia="Times New Roman" w:hAnsi="Times New Roman"/>
                <w:sz w:val="20"/>
                <w:szCs w:val="20"/>
                <w:color w:val="auto"/>
                <w:vertAlign w:val="superscript"/>
              </w:rPr>
              <w:t>(a)</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258</w:t>
            </w:r>
          </w:p>
        </w:tc>
        <w:tc>
          <w:tcPr>
            <w:tcW w:w="5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274</w:t>
            </w:r>
          </w:p>
        </w:tc>
        <w:tc>
          <w:tcPr>
            <w:tcW w:w="5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281</w:t>
            </w:r>
          </w:p>
        </w:tc>
      </w:tr>
      <w:tr>
        <w:trPr>
          <w:trHeight w:val="20"/>
        </w:trPr>
        <w:tc>
          <w:tcPr>
            <w:tcW w:w="5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(a)Includes $29 million and $28 million classified in accrued expenses and other liabilities on the Consolidated Balance Sheets as of September 30, 2025 and 2024,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Ashland asbestos-related receivables</w:t>
      </w:r>
    </w:p>
    <w:p>
      <w:pPr>
        <w:spacing w:after="0" w:line="94" w:lineRule="exact"/>
        <w:rPr>
          <w:sz w:val="20"/>
          <w:szCs w:val="20"/>
          <w:color w:val="auto"/>
        </w:rPr>
      </w:pPr>
    </w:p>
    <w:p>
      <w:pPr>
        <w:ind w:right="320" w:firstLine="348"/>
        <w:spacing w:after="0" w:line="259" w:lineRule="auto"/>
        <w:rPr>
          <w:sz w:val="20"/>
          <w:szCs w:val="20"/>
          <w:color w:val="auto"/>
        </w:rPr>
      </w:pPr>
      <w:r>
        <w:rPr>
          <w:rFonts w:ascii="Times New Roman" w:cs="Times New Roman" w:eastAsia="Times New Roman" w:hAnsi="Times New Roman"/>
          <w:sz w:val="16"/>
          <w:szCs w:val="16"/>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59" w:lineRule="exact"/>
        <w:rPr>
          <w:sz w:val="20"/>
          <w:szCs w:val="20"/>
          <w:color w:val="auto"/>
        </w:rPr>
      </w:pPr>
    </w:p>
    <w:p>
      <w:pPr>
        <w:ind w:right="80" w:firstLine="348"/>
        <w:spacing w:after="0" w:line="299" w:lineRule="auto"/>
        <w:rPr>
          <w:sz w:val="20"/>
          <w:szCs w:val="20"/>
          <w:color w:val="auto"/>
        </w:rPr>
      </w:pPr>
      <w:r>
        <w:rPr>
          <w:rFonts w:ascii="Times New Roman" w:cs="Times New Roman" w:eastAsia="Times New Roman" w:hAnsi="Times New Roman"/>
          <w:sz w:val="14"/>
          <w:szCs w:val="14"/>
          <w:color w:val="auto"/>
        </w:rPr>
        <w:t>For the Ashland asbestos-related obligations,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34" w:lineRule="exact"/>
        <w:rPr>
          <w:sz w:val="20"/>
          <w:szCs w:val="20"/>
          <w:color w:val="auto"/>
        </w:rPr>
      </w:pPr>
    </w:p>
    <w:p>
      <w:pPr>
        <w:jc w:val="both"/>
        <w:ind w:right="40" w:firstLine="348"/>
        <w:spacing w:after="0" w:line="243" w:lineRule="auto"/>
        <w:rPr>
          <w:sz w:val="20"/>
          <w:szCs w:val="20"/>
          <w:color w:val="auto"/>
        </w:rPr>
      </w:pPr>
      <w:r>
        <w:rPr>
          <w:rFonts w:ascii="Times New Roman" w:cs="Times New Roman" w:eastAsia="Times New Roman" w:hAnsi="Times New Roman"/>
          <w:sz w:val="16"/>
          <w:szCs w:val="16"/>
          <w:color w:val="auto"/>
        </w:rPr>
        <w:t>At September 30, 2025, Ashland’s receivable for recoveries of litigation defense and claim settlement costs from insurers amounted to $95 million (excluding the Hercules receivable for asbestos claims discussed below). Receivables from insurers amounted to $97 million at September 30, 2024. During 2025, the annual update of the model used for purposes of valuing the asbestos litigation reserves and its impact on valuation of future recoveries from insurers was completed. This model update resulted in a $5 million increase in the receivable for probable insurance recoveries.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24" w:name="page125"/>
    <w:bookmarkEnd w:id="124"/>
    <w:p>
      <w:pPr>
        <w:ind w:left="360"/>
        <w:spacing w:after="0"/>
        <w:rPr>
          <w:sz w:val="20"/>
          <w:szCs w:val="20"/>
          <w:color w:val="auto"/>
        </w:rPr>
      </w:pPr>
      <w:r>
        <w:rPr>
          <w:rFonts w:ascii="Times New Roman" w:cs="Times New Roman" w:eastAsia="Times New Roman" w:hAnsi="Times New Roman"/>
          <w:sz w:val="16"/>
          <w:szCs w:val="16"/>
          <w:color w:val="auto"/>
        </w:rPr>
        <w:t>A progression of activity in the Ashland insurance receivable for the years ended September 30,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9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 receivable - beginning of year</w:t>
            </w:r>
          </w:p>
        </w:tc>
        <w:tc>
          <w:tcPr>
            <w:tcW w:w="92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1060" w:type="dxa"/>
            <w:vAlign w:val="bottom"/>
            <w:gridSpan w:val="2"/>
            <w:shd w:val="clear" w:color="auto" w:fill="CFF0FC"/>
          </w:tcPr>
          <w:p>
            <w:pPr>
              <w:jc w:val="right"/>
              <w:ind w:right="8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4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101</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Receivable adjustment</w:t>
            </w:r>
            <w:r>
              <w:rPr>
                <w:rFonts w:ascii="Times New Roman" w:cs="Times New Roman" w:eastAsia="Times New Roman" w:hAnsi="Times New Roman"/>
                <w:sz w:val="20"/>
                <w:szCs w:val="20"/>
                <w:color w:val="auto"/>
                <w:vertAlign w:val="superscript"/>
              </w:rPr>
              <w:t>(a)</w:t>
            </w:r>
          </w:p>
        </w:tc>
        <w:tc>
          <w:tcPr>
            <w:tcW w:w="920" w:type="dxa"/>
            <w:vAlign w:val="bottom"/>
          </w:tcPr>
          <w:p>
            <w:pPr>
              <w:spacing w:after="0"/>
              <w:rPr>
                <w:sz w:val="15"/>
                <w:szCs w:val="15"/>
                <w:color w:val="auto"/>
              </w:rPr>
            </w:pP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Amounts collected</w:t>
            </w:r>
          </w:p>
        </w:tc>
        <w:tc>
          <w:tcPr>
            <w:tcW w:w="9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Insurance receivable - end of year</w:t>
            </w:r>
            <w:r>
              <w:rPr>
                <w:rFonts w:ascii="Times New Roman" w:cs="Times New Roman" w:eastAsia="Times New Roman" w:hAnsi="Times New Roman"/>
                <w:sz w:val="20"/>
                <w:szCs w:val="20"/>
                <w:color w:val="auto"/>
                <w:vertAlign w:val="superscript"/>
              </w:rPr>
              <w:t>(b)</w:t>
            </w:r>
          </w:p>
        </w:tc>
        <w:tc>
          <w:tcPr>
            <w:tcW w:w="92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1060" w:type="dxa"/>
            <w:vAlign w:val="bottom"/>
            <w:gridSpan w:val="2"/>
          </w:tcPr>
          <w:p>
            <w:pPr>
              <w:jc w:val="right"/>
              <w:ind w:right="8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95</w:t>
            </w:r>
          </w:p>
        </w:tc>
      </w:tr>
      <w:tr>
        <w:trPr>
          <w:trHeight w:val="20"/>
        </w:trPr>
        <w:tc>
          <w:tcPr>
            <w:tcW w:w="6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(a)The total allowance for credit losses was $1 million at both September 30, 2025 and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(b)Includes $10 million and $9 million classified in accounts receivable on the Consolidated Balance Sheets as of September 30, 2025 and 2024,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Hercules asbestos-related litigation</w:t>
      </w:r>
    </w:p>
    <w:p>
      <w:pPr>
        <w:spacing w:after="0" w:line="94" w:lineRule="exact"/>
        <w:rPr>
          <w:sz w:val="20"/>
          <w:szCs w:val="20"/>
          <w:color w:val="auto"/>
        </w:rPr>
      </w:pPr>
    </w:p>
    <w:p>
      <w:pPr>
        <w:ind w:right="220" w:firstLine="348"/>
        <w:spacing w:after="0" w:line="243" w:lineRule="auto"/>
        <w:rPr>
          <w:sz w:val="20"/>
          <w:szCs w:val="20"/>
          <w:color w:val="auto"/>
        </w:rPr>
      </w:pPr>
      <w:r>
        <w:rPr>
          <w:rFonts w:ascii="Times New Roman" w:cs="Times New Roman" w:eastAsia="Times New Roman" w:hAnsi="Times New Roman"/>
          <w:sz w:val="16"/>
          <w:szCs w:val="16"/>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for the years ended September 30,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38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2025</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2024</w:t>
            </w:r>
          </w:p>
        </w:tc>
        <w:tc>
          <w:tcPr>
            <w:tcW w:w="1460" w:type="dxa"/>
            <w:vAlign w:val="bottom"/>
            <w:gridSpan w:val="2"/>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Open claims - beginning of year</w:t>
            </w:r>
          </w:p>
        </w:tc>
        <w:tc>
          <w:tcPr>
            <w:tcW w:w="1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5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46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6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New claims filed</w:t>
            </w: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6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Claims dismissed</w:t>
            </w: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5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Open claims - end of year</w:t>
            </w:r>
          </w:p>
        </w:tc>
        <w:tc>
          <w:tcPr>
            <w:tcW w:w="1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46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20"/>
        </w:trPr>
        <w:tc>
          <w:tcPr>
            <w:tcW w:w="6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Hercules asbestos-related liability</w:t>
      </w:r>
    </w:p>
    <w:p>
      <w:pPr>
        <w:spacing w:after="0" w:line="94" w:lineRule="exact"/>
        <w:rPr>
          <w:sz w:val="20"/>
          <w:szCs w:val="20"/>
          <w:color w:val="auto"/>
        </w:rPr>
      </w:pPr>
    </w:p>
    <w:p>
      <w:pPr>
        <w:ind w:right="280" w:firstLine="348"/>
        <w:spacing w:after="0" w:line="241" w:lineRule="auto"/>
        <w:rPr>
          <w:sz w:val="20"/>
          <w:szCs w:val="20"/>
          <w:color w:val="auto"/>
        </w:rPr>
      </w:pPr>
      <w:r>
        <w:rPr>
          <w:rFonts w:ascii="Times New Roman" w:cs="Times New Roman" w:eastAsia="Times New Roman" w:hAnsi="Times New Roman"/>
          <w:sz w:val="16"/>
          <w:szCs w:val="16"/>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 discounted approximate 40-year model developed with the assistance of Gnarus. As a result of the most recent annual update of this estimate completed during 2025, it was determined that the liability for Hercules asbestos-related claims should be increased by $10 million. Total reserves for asbestos claims were $177 million at September 30, 2025 compared to $185 million at September 30, 2024.</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progression of activity in the asbestos litigation reserves for the years ended September 30,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16"/>
                <w:szCs w:val="16"/>
                <w:color w:val="auto"/>
              </w:rPr>
            </w:pPr>
          </w:p>
        </w:tc>
        <w:tc>
          <w:tcPr>
            <w:tcW w:w="12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Asbestos reserve - beginning of year</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5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52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213</w:t>
            </w: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Reserve adjustments</w:t>
            </w:r>
          </w:p>
        </w:tc>
        <w:tc>
          <w:tcPr>
            <w:tcW w:w="34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5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Amounts paid</w:t>
            </w: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53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Asbestos reserve - end of year</w:t>
            </w:r>
            <w:r>
              <w:rPr>
                <w:rFonts w:ascii="Times New Roman" w:cs="Times New Roman" w:eastAsia="Times New Roman" w:hAnsi="Times New Roman"/>
                <w:sz w:val="20"/>
                <w:szCs w:val="20"/>
                <w:color w:val="auto"/>
                <w:vertAlign w:val="superscript"/>
              </w:rPr>
              <w:t>(a)</w:t>
            </w:r>
          </w:p>
        </w:tc>
        <w:tc>
          <w:tcPr>
            <w:tcW w:w="3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177</w:t>
            </w:r>
          </w:p>
        </w:tc>
        <w:tc>
          <w:tcPr>
            <w:tcW w:w="5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5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191</w:t>
            </w:r>
          </w:p>
        </w:tc>
      </w:tr>
      <w:tr>
        <w:trPr>
          <w:trHeight w:val="20"/>
        </w:trPr>
        <w:tc>
          <w:tcPr>
            <w:tcW w:w="5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(a)Included $17 million classified in accrued expenses and other liabilities on the Consolidated Balance Sheets as of September 30, 2025 and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Hercules asbestos-related receivables</w:t>
      </w:r>
    </w:p>
    <w:p>
      <w:pPr>
        <w:spacing w:after="0" w:line="94"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4"/>
          <w:szCs w:val="14"/>
          <w:color w:val="auto"/>
        </w:rPr>
        <w:t>For the Hercules asbestos-related obligations, certain reimbursement obligations pursuant to coverage -in-place agreements with insurance carriers exist. As a result, any increases in the asbestos litigation reserves have been partially offset by probable insurance recoveries. Ashland has estimated the value of probable insurance recoveries associated with its asbestos litigation reserves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41" w:lineRule="exact"/>
        <w:rPr>
          <w:sz w:val="20"/>
          <w:szCs w:val="20"/>
          <w:color w:val="auto"/>
        </w:rPr>
      </w:pPr>
    </w:p>
    <w:p>
      <w:pPr>
        <w:ind w:right="200" w:firstLine="348"/>
        <w:spacing w:after="0" w:line="247" w:lineRule="auto"/>
        <w:rPr>
          <w:sz w:val="20"/>
          <w:szCs w:val="20"/>
          <w:color w:val="auto"/>
        </w:rPr>
      </w:pPr>
      <w:r>
        <w:rPr>
          <w:rFonts w:ascii="Times New Roman" w:cs="Times New Roman" w:eastAsia="Times New Roman" w:hAnsi="Times New Roman"/>
          <w:sz w:val="16"/>
          <w:szCs w:val="16"/>
          <w:color w:val="auto"/>
        </w:rPr>
        <w:t>As of September 30, 2025 and 2024, the receivables from insurers amounted to $48 million and $50 million, respectively. During 2025, the annual update of the model used for purposes of valuing the asbestos litigation reserves and its impact on valuation of future recoveries from insurers was completed. This model update resulted in a $4 million increase in the receivable for probable insurance recoveries.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25" w:name="page126"/>
    <w:bookmarkEnd w:id="125"/>
    <w:p>
      <w:pPr>
        <w:ind w:left="360"/>
        <w:spacing w:after="0"/>
        <w:rPr>
          <w:sz w:val="20"/>
          <w:szCs w:val="20"/>
          <w:color w:val="auto"/>
        </w:rPr>
      </w:pPr>
      <w:r>
        <w:rPr>
          <w:rFonts w:ascii="Times New Roman" w:cs="Times New Roman" w:eastAsia="Times New Roman" w:hAnsi="Times New Roman"/>
          <w:sz w:val="16"/>
          <w:szCs w:val="16"/>
          <w:color w:val="auto"/>
        </w:rPr>
        <w:t>A progression of activity in the Hercules insurance receivable for the years ended September 30,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9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 receivable - beginning of year</w:t>
            </w:r>
          </w:p>
        </w:tc>
        <w:tc>
          <w:tcPr>
            <w:tcW w:w="920" w:type="dxa"/>
            <w:vAlign w:val="bottom"/>
            <w:shd w:val="clear" w:color="auto" w:fill="CFF0FC"/>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060" w:type="dxa"/>
            <w:vAlign w:val="bottom"/>
            <w:gridSpan w:val="2"/>
            <w:shd w:val="clear" w:color="auto" w:fill="CFF0FC"/>
          </w:tcPr>
          <w:p>
            <w:pPr>
              <w:jc w:val="right"/>
              <w:ind w:right="8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4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Receivable adjustment</w:t>
            </w:r>
            <w:r>
              <w:rPr>
                <w:rFonts w:ascii="Times New Roman" w:cs="Times New Roman" w:eastAsia="Times New Roman" w:hAnsi="Times New Roman"/>
                <w:sz w:val="20"/>
                <w:szCs w:val="20"/>
                <w:color w:val="auto"/>
                <w:vertAlign w:val="superscript"/>
              </w:rPr>
              <w:t>(a)</w:t>
            </w:r>
          </w:p>
        </w:tc>
        <w:tc>
          <w:tcPr>
            <w:tcW w:w="920" w:type="dxa"/>
            <w:vAlign w:val="bottom"/>
          </w:tcPr>
          <w:p>
            <w:pPr>
              <w:spacing w:after="0"/>
              <w:rPr>
                <w:sz w:val="15"/>
                <w:szCs w:val="15"/>
                <w:color w:val="auto"/>
              </w:rPr>
            </w:pP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Amounts collected</w:t>
            </w:r>
          </w:p>
        </w:tc>
        <w:tc>
          <w:tcPr>
            <w:tcW w:w="9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Insurance receivable - end of year</w:t>
            </w:r>
            <w:r>
              <w:rPr>
                <w:rFonts w:ascii="Times New Roman" w:cs="Times New Roman" w:eastAsia="Times New Roman" w:hAnsi="Times New Roman"/>
                <w:sz w:val="20"/>
                <w:szCs w:val="20"/>
                <w:color w:val="auto"/>
                <w:vertAlign w:val="superscript"/>
              </w:rPr>
              <w:t>(b)</w:t>
            </w:r>
          </w:p>
        </w:tc>
        <w:tc>
          <w:tcPr>
            <w:tcW w:w="92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060" w:type="dxa"/>
            <w:vAlign w:val="bottom"/>
            <w:gridSpan w:val="2"/>
          </w:tcPr>
          <w:p>
            <w:pPr>
              <w:jc w:val="right"/>
              <w:ind w:right="8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4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20"/>
        </w:trPr>
        <w:tc>
          <w:tcPr>
            <w:tcW w:w="6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(a)The total allowance for credit losses was $1 million at both September 30, 2025 and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(b)Includes $6 million classified in accounts receivable on the Consolidated Balance Sheets at both September 30, 2025 and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Asbestos litigation cost projection</w:t>
      </w:r>
    </w:p>
    <w:p>
      <w:pPr>
        <w:spacing w:after="0" w:line="94" w:lineRule="exact"/>
        <w:rPr>
          <w:sz w:val="20"/>
          <w:szCs w:val="20"/>
          <w:color w:val="auto"/>
        </w:rPr>
      </w:pPr>
    </w:p>
    <w:p>
      <w:pPr>
        <w:ind w:firstLine="348"/>
        <w:spacing w:after="0" w:line="236" w:lineRule="auto"/>
        <w:rPr>
          <w:sz w:val="20"/>
          <w:szCs w:val="20"/>
          <w:color w:val="auto"/>
        </w:rPr>
      </w:pPr>
      <w:r>
        <w:rPr>
          <w:rFonts w:ascii="Times New Roman" w:cs="Times New Roman" w:eastAsia="Times New Roman" w:hAnsi="Times New Roman"/>
          <w:sz w:val="16"/>
          <w:szCs w:val="16"/>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litigation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 -term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$382 million for the Ashland asbestos-related litigation (current reserve of $258 million) and approximately $262 million for the Hercules asbestos-related litigation (current reserve of $177 million), depending on the combination of assumptions selected in the various models. While the timeframe used in Ashland's models for projecting asbestos liabilities generally decreases over time based on the expected lifetime of the liabilities, these models have been consistently applied within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remediation</w:t>
      </w:r>
    </w:p>
    <w:p>
      <w:pPr>
        <w:spacing w:after="0" w:line="94"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Ashland is subject to various federal, state and local environmental laws and regulations that require environmental assessment or remediation efforts (collectively environmental remediation) at multiple locations. At September 30, 2025, such locations included 53 sites where Ashland has been identified as a potentially responsible party under Superfund or similar state laws, 107 current and former operating facilities and about 1,225 service station properties, of which 14 are being actively remediated.</w:t>
      </w:r>
    </w:p>
    <w:p>
      <w:pPr>
        <w:spacing w:after="0" w:line="71" w:lineRule="exact"/>
        <w:rPr>
          <w:sz w:val="20"/>
          <w:szCs w:val="20"/>
          <w:color w:val="auto"/>
        </w:rPr>
      </w:pPr>
    </w:p>
    <w:p>
      <w:pPr>
        <w:ind w:right="40" w:firstLine="348"/>
        <w:spacing w:after="0" w:line="247" w:lineRule="auto"/>
        <w:rPr>
          <w:sz w:val="20"/>
          <w:szCs w:val="20"/>
          <w:color w:val="auto"/>
        </w:rPr>
      </w:pPr>
      <w:r>
        <w:rPr>
          <w:rFonts w:ascii="Times New Roman" w:cs="Times New Roman" w:eastAsia="Times New Roman" w:hAnsi="Times New Roman"/>
          <w:sz w:val="16"/>
          <w:szCs w:val="16"/>
          <w:color w:val="auto"/>
        </w:rPr>
        <w:t>Ashland’s reserves for environmental remediation and related environmental litigation amounted to $226 million at September 30, 2025 compared to $ 221 million at September 30, 2024, of which $179 million at September 30, 2025 and $164 million at September 30, 2024, were classified in other noncurrent liabilities on the Consolidated Balance Sheets. The remaining reserves were classified in accrued expenses and other liabilities on the Consolidated Balance Sheets.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provides a reconciliation of the changes in the environmental remediation reserves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20" w:type="dxa"/>
            <w:vAlign w:val="bottom"/>
          </w:tcPr>
          <w:p>
            <w:pPr>
              <w:spacing w:after="0"/>
              <w:rPr>
                <w:sz w:val="16"/>
                <w:szCs w:val="16"/>
                <w:color w:val="auto"/>
              </w:rPr>
            </w:pPr>
          </w:p>
        </w:tc>
        <w:tc>
          <w:tcPr>
            <w:tcW w:w="124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Environmental remediation reserve - beginning of year</w:t>
            </w:r>
          </w:p>
        </w:tc>
        <w:tc>
          <w:tcPr>
            <w:tcW w:w="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221</w:t>
            </w:r>
          </w:p>
        </w:tc>
        <w:tc>
          <w:tcPr>
            <w:tcW w:w="4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214</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Disbursements</w:t>
            </w:r>
          </w:p>
        </w:tc>
        <w:tc>
          <w:tcPr>
            <w:tcW w:w="32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Revised obligation estimates and accretion</w:t>
            </w: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Environmental remediation reserve - end of year</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4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221</w:t>
            </w:r>
          </w:p>
        </w:tc>
      </w:tr>
      <w:tr>
        <w:trPr>
          <w:trHeight w:val="20"/>
        </w:trPr>
        <w:tc>
          <w:tcPr>
            <w:tcW w:w="7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20" w:firstLine="348"/>
        <w:spacing w:after="0" w:line="243" w:lineRule="auto"/>
        <w:rPr>
          <w:sz w:val="20"/>
          <w:szCs w:val="20"/>
          <w:color w:val="auto"/>
        </w:rPr>
      </w:pPr>
      <w:r>
        <w:rPr>
          <w:rFonts w:ascii="Times New Roman" w:cs="Times New Roman" w:eastAsia="Times New Roman" w:hAnsi="Times New Roman"/>
          <w:sz w:val="16"/>
          <w:szCs w:val="16"/>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 continues. Ashland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26" w:name="page127"/>
    <w:bookmarkEnd w:id="126"/>
    <w:p>
      <w:pPr>
        <w:jc w:val="both"/>
        <w:spacing w:after="0" w:line="299" w:lineRule="auto"/>
        <w:rPr>
          <w:sz w:val="20"/>
          <w:szCs w:val="20"/>
          <w:color w:val="auto"/>
        </w:rPr>
      </w:pPr>
      <w:r>
        <w:rPr>
          <w:rFonts w:ascii="Times New Roman" w:cs="Times New Roman" w:eastAsia="Times New Roman" w:hAnsi="Times New Roman"/>
          <w:sz w:val="14"/>
          <w:szCs w:val="14"/>
          <w:color w:val="auto"/>
        </w:rPr>
        <w:t>has estimated the value of its probable insurance recoveries associated with its environmental remediation reserves based on management’s interpretations and estimates surrounding the available or applicable insurance coverage. At September 30, 2025 and 2024, Ashland’s recorded receivable for these probable insurance recoveries was $14 million and $13 million, respectively, of which $12 million and $11 million was classified in other noncurrent assets on the Consolidated Balance Sheets.</w:t>
      </w:r>
    </w:p>
    <w:p>
      <w:pPr>
        <w:spacing w:after="0" w:line="34"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6"/>
          <w:szCs w:val="16"/>
          <w:color w:val="auto"/>
        </w:rPr>
        <w:t>During 2025, 2024 and 2023, Ashland recognized $50 million, $54 million and $56 million of expense, respectively, for certain environmental liabilities related to normal ongoing remediation cost estimate updates for sites, which is consistent with Ashland’s historical environmental accounting policy.</w:t>
      </w:r>
    </w:p>
    <w:p>
      <w:pPr>
        <w:spacing w:after="0" w:line="59" w:lineRule="exact"/>
        <w:rPr>
          <w:sz w:val="20"/>
          <w:szCs w:val="20"/>
          <w:color w:val="auto"/>
        </w:rPr>
      </w:pPr>
    </w:p>
    <w:p>
      <w:pPr>
        <w:ind w:right="360" w:firstLine="348"/>
        <w:spacing w:after="0" w:line="259" w:lineRule="auto"/>
        <w:rPr>
          <w:sz w:val="20"/>
          <w:szCs w:val="20"/>
          <w:color w:val="auto"/>
        </w:rPr>
      </w:pPr>
      <w:r>
        <w:rPr>
          <w:rFonts w:ascii="Times New Roman" w:cs="Times New Roman" w:eastAsia="Times New Roman" w:hAnsi="Times New Roman"/>
          <w:sz w:val="16"/>
          <w:szCs w:val="16"/>
          <w:color w:val="auto"/>
        </w:rPr>
        <w:t>Components of environmental remediation expense included within the selling, general and administrative expense caption of the Statements of Consolidated Comprehensive Income (Loss) are presented in the following table for the years ended September 30: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40" w:type="dxa"/>
            <w:vAlign w:val="bottom"/>
          </w:tcPr>
          <w:p>
            <w:pPr>
              <w:spacing w:after="0"/>
              <w:rPr>
                <w:sz w:val="16"/>
                <w:szCs w:val="16"/>
                <w:color w:val="auto"/>
              </w:rPr>
            </w:pPr>
          </w:p>
        </w:tc>
        <w:tc>
          <w:tcPr>
            <w:tcW w:w="130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Environmental expense</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520" w:type="dxa"/>
            <w:vAlign w:val="bottom"/>
            <w:gridSpan w:val="2"/>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5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w:t>
            </w:r>
          </w:p>
        </w:tc>
        <w:tc>
          <w:tcPr>
            <w:tcW w:w="340" w:type="dxa"/>
            <w:vAlign w:val="bottom"/>
          </w:tcPr>
          <w:p>
            <w:pPr>
              <w:spacing w:after="0"/>
              <w:rPr>
                <w:sz w:val="15"/>
                <w:szCs w:val="15"/>
                <w:color w:val="auto"/>
              </w:rPr>
            </w:pPr>
          </w:p>
        </w:tc>
        <w:tc>
          <w:tcPr>
            <w:tcW w:w="1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Legal expense</w:t>
            </w: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expense</w:t>
            </w:r>
          </w:p>
        </w:tc>
        <w:tc>
          <w:tcPr>
            <w:tcW w:w="340" w:type="dxa"/>
            <w:vAlign w:val="bottom"/>
          </w:tcPr>
          <w:p>
            <w:pPr>
              <w:spacing w:after="0"/>
              <w:rPr>
                <w:sz w:val="15"/>
                <w:szCs w:val="15"/>
                <w:color w:val="auto"/>
              </w:rPr>
            </w:pPr>
          </w:p>
        </w:tc>
        <w:tc>
          <w:tcPr>
            <w:tcW w:w="1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3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Insurance receivable</w:t>
            </w:r>
          </w:p>
        </w:tc>
        <w:tc>
          <w:tcPr>
            <w:tcW w:w="3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5"/>
                <w:szCs w:val="15"/>
                <w:color w:val="auto"/>
              </w:rPr>
              <w:t>Total expense, net of receivable activity</w:t>
            </w:r>
            <w:r>
              <w:rPr>
                <w:rFonts w:ascii="Times New Roman" w:cs="Times New Roman" w:eastAsia="Times New Roman" w:hAnsi="Times New Roman"/>
                <w:sz w:val="20"/>
                <w:szCs w:val="20"/>
                <w:color w:val="auto"/>
                <w:vertAlign w:val="superscript"/>
              </w:rPr>
              <w:t>(a)</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50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3"/>
          <w:szCs w:val="13"/>
          <w:color w:val="auto"/>
        </w:rPr>
        <w:t>(a)Net expense of $14 million, $11 million and $5 million for the years ended September 30, 2025, 2024 and 2023, respectively, related to divested businesses which qualified for treatment as discontinued operations and for which certain environmental liabilities were retained by Ashland. These amounts are classified within the income (loss) from discontinued operations caption of the Statements of Consolidated Comprehensive Income (Loss).</w:t>
      </w:r>
    </w:p>
    <w:p>
      <w:pPr>
        <w:spacing w:after="0" w:line="62" w:lineRule="exact"/>
        <w:rPr>
          <w:sz w:val="20"/>
          <w:szCs w:val="20"/>
          <w:color w:val="auto"/>
        </w:rPr>
      </w:pPr>
    </w:p>
    <w:p>
      <w:pPr>
        <w:ind w:right="60" w:firstLine="348"/>
        <w:spacing w:after="0" w:line="289" w:lineRule="auto"/>
        <w:rPr>
          <w:sz w:val="20"/>
          <w:szCs w:val="20"/>
          <w:color w:val="auto"/>
        </w:rPr>
      </w:pPr>
      <w:r>
        <w:rPr>
          <w:rFonts w:ascii="Times New Roman" w:cs="Times New Roman" w:eastAsia="Times New Roman" w:hAnsi="Times New Roman"/>
          <w:sz w:val="14"/>
          <w:szCs w:val="14"/>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$495 million. The largest reserve for any site is 21% of the total environmental remediation reserves as of September 30,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Brazil tax credits</w:t>
      </w:r>
    </w:p>
    <w:p>
      <w:pPr>
        <w:spacing w:after="0" w:line="94" w:lineRule="exact"/>
        <w:rPr>
          <w:sz w:val="20"/>
          <w:szCs w:val="20"/>
          <w:color w:val="auto"/>
        </w:rPr>
      </w:pPr>
    </w:p>
    <w:p>
      <w:pPr>
        <w:ind w:right="320" w:firstLine="348"/>
        <w:spacing w:after="0" w:line="299" w:lineRule="auto"/>
        <w:rPr>
          <w:sz w:val="20"/>
          <w:szCs w:val="20"/>
          <w:color w:val="auto"/>
        </w:rPr>
      </w:pPr>
      <w:r>
        <w:rPr>
          <w:rFonts w:ascii="Times New Roman" w:cs="Times New Roman" w:eastAsia="Times New Roman" w:hAnsi="Times New Roman"/>
          <w:sz w:val="14"/>
          <w:szCs w:val="14"/>
          <w:color w:val="auto"/>
        </w:rPr>
        <w:t>In March 2017, the Federal Supreme Court of Brazil (Brazil Supreme Court) ruled in a leading case that a Brazilian value-added tax ("ICMS") should not be included in the base used to calculate a taxpayer’s federal contribution on total revenue known as PIS/COFINS ("2017 Decision"). As a result, two of Ashland’s Brazilian subsidiaries filed lawsuits challenging the inclusion of ICMS in Ashland’s calculation of PIS/COFINs, seeking recovery of excess taxes paid plus interest.</w:t>
      </w:r>
    </w:p>
    <w:p>
      <w:pPr>
        <w:spacing w:after="0" w:line="34" w:lineRule="exact"/>
        <w:rPr>
          <w:sz w:val="20"/>
          <w:szCs w:val="20"/>
          <w:color w:val="auto"/>
        </w:rPr>
      </w:pPr>
    </w:p>
    <w:p>
      <w:pPr>
        <w:jc w:val="both"/>
        <w:ind w:right="80" w:firstLine="348"/>
        <w:spacing w:after="0" w:line="299" w:lineRule="auto"/>
        <w:rPr>
          <w:sz w:val="20"/>
          <w:szCs w:val="20"/>
          <w:color w:val="auto"/>
        </w:rPr>
      </w:pPr>
      <w:r>
        <w:rPr>
          <w:rFonts w:ascii="Times New Roman" w:cs="Times New Roman" w:eastAsia="Times New Roman" w:hAnsi="Times New Roman"/>
          <w:sz w:val="14"/>
          <w:szCs w:val="14"/>
          <w:color w:val="auto"/>
        </w:rPr>
        <w:t>In response to the 2017 Decision, the Brazilian tax authority filed an appeal of the 2017 Decision seeking clarification of the amount of ICMS tax to exclude from the calculation of PIS/COFINS. In May 2021, the Brazil Supreme Court ruled that the ICMS tax be excluded from the calculation of PIS/COFINS. In May 2023, Law 14592/23 was passed in Brazil, converting the 2017 Decision provisional measure effective for PIS/COFINS legislation excluding ICMS from the calculation basis.</w:t>
      </w:r>
    </w:p>
    <w:p>
      <w:pPr>
        <w:spacing w:after="0" w:line="34" w:lineRule="exact"/>
        <w:rPr>
          <w:sz w:val="20"/>
          <w:szCs w:val="20"/>
          <w:color w:val="auto"/>
        </w:rPr>
      </w:pPr>
    </w:p>
    <w:p>
      <w:pPr>
        <w:ind w:right="160" w:firstLine="348"/>
        <w:spacing w:after="0" w:line="239" w:lineRule="auto"/>
        <w:rPr>
          <w:sz w:val="20"/>
          <w:szCs w:val="20"/>
          <w:color w:val="auto"/>
        </w:rPr>
      </w:pPr>
      <w:r>
        <w:rPr>
          <w:rFonts w:ascii="Times New Roman" w:cs="Times New Roman" w:eastAsia="Times New Roman" w:hAnsi="Times New Roman"/>
          <w:sz w:val="16"/>
          <w:szCs w:val="16"/>
          <w:color w:val="auto"/>
        </w:rPr>
        <w:t>As of September 30, 2025, Ashland had received all favorable court rulings for previously filed suits, completed its analysis of certain prior year overpayments related to ICMS and received acknowledgment from the Brazilian tax authority that allows Ashland to begin the process to recover the taxes. As a result, Ashland recorded a pre-tax gain of $ 12 million during the year ended September 30, 2023 for certain excess PIS/COFINS paid from 2012 to February 2023 plus interest. The gain was recognized within the selling, general and administrative expense caption of the Statement of Consolidated Comprehensive Income (Loss) . Ashland started utilizing these credits in December 2023. As of September 30, 2025, Ashland had remaining credits for a total of $7 million available for future use ($3 million within other current assets and $4 million within other noncurrent assets in the Consolidated Balance Sheets,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legal proceedings and claims</w:t>
      </w:r>
    </w:p>
    <w:p>
      <w:pPr>
        <w:spacing w:after="0" w:line="94" w:lineRule="exact"/>
        <w:rPr>
          <w:sz w:val="20"/>
          <w:szCs w:val="20"/>
          <w:color w:val="auto"/>
        </w:rPr>
      </w:pPr>
    </w:p>
    <w:p>
      <w:pPr>
        <w:ind w:right="160" w:firstLine="348"/>
        <w:spacing w:after="0" w:line="241" w:lineRule="auto"/>
        <w:rPr>
          <w:sz w:val="20"/>
          <w:szCs w:val="20"/>
          <w:color w:val="auto"/>
        </w:rPr>
      </w:pPr>
      <w:r>
        <w:rPr>
          <w:rFonts w:ascii="Times New Roman" w:cs="Times New Roman" w:eastAsia="Times New Roman" w:hAnsi="Times New Roman"/>
          <w:sz w:val="16"/>
          <w:szCs w:val="16"/>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2025 and 2024. There is a reasonable possibility that a loss exceeding amounts already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color w:val="auto"/>
        </w:rPr>
        <w:t>recognized may be incurred related to these actions; however, Ashland believes that such potential losses were immaterial as of September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N – EQUITY ITEMS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repurchase program</w:t>
      </w:r>
    </w:p>
    <w:p>
      <w:pPr>
        <w:spacing w:after="0" w:line="94" w:lineRule="exact"/>
        <w:rPr>
          <w:sz w:val="20"/>
          <w:szCs w:val="20"/>
          <w:color w:val="auto"/>
        </w:rPr>
      </w:pPr>
    </w:p>
    <w:p>
      <w:pPr>
        <w:jc w:val="both"/>
        <w:ind w:right="120" w:firstLine="348"/>
        <w:spacing w:after="0" w:line="247" w:lineRule="auto"/>
        <w:rPr>
          <w:sz w:val="20"/>
          <w:szCs w:val="20"/>
          <w:color w:val="auto"/>
        </w:rPr>
      </w:pPr>
      <w:r>
        <w:rPr>
          <w:rFonts w:ascii="Times New Roman" w:cs="Times New Roman" w:eastAsia="Times New Roman" w:hAnsi="Times New Roman"/>
          <w:sz w:val="16"/>
          <w:szCs w:val="16"/>
          <w:color w:val="auto"/>
        </w:rPr>
        <w:t>On June 28, 2023, Ashland's board of directors ("the Board") authorized a new evergreen $1 billion common share repurchase program ("2023 Stock Repurchase Program"). The new authorization terminated and replaced the 2022 Stock Repurchase Program, which had $200 million outstanding at the date of termination. As of September 30, 2025, $520 million remained available for repurchase under the 2023 Stock Repurchase Program.</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provides the stock repurchase activity for the years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(In millions, except per share amounts)</w:t>
            </w:r>
          </w:p>
        </w:tc>
        <w:tc>
          <w:tcPr>
            <w:tcW w:w="1160" w:type="dxa"/>
            <w:vAlign w:val="bottom"/>
          </w:tcPr>
          <w:p>
            <w:pPr>
              <w:spacing w:after="0"/>
              <w:rPr>
                <w:sz w:val="16"/>
                <w:szCs w:val="16"/>
                <w:color w:val="auto"/>
              </w:rPr>
            </w:pPr>
          </w:p>
        </w:tc>
        <w:tc>
          <w:tcPr>
            <w:tcW w:w="182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3"/>
              </w:rPr>
              <w:t>2025</w:t>
            </w:r>
          </w:p>
        </w:tc>
        <w:tc>
          <w:tcPr>
            <w:tcW w:w="360" w:type="dxa"/>
            <w:vAlign w:val="bottom"/>
          </w:tcPr>
          <w:p>
            <w:pPr>
              <w:spacing w:after="0"/>
              <w:rPr>
                <w:sz w:val="16"/>
                <w:szCs w:val="16"/>
                <w:color w:val="auto"/>
              </w:rPr>
            </w:pPr>
          </w:p>
        </w:tc>
        <w:tc>
          <w:tcPr>
            <w:tcW w:w="18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3"/>
              </w:rPr>
              <w:t>2024</w:t>
            </w:r>
          </w:p>
        </w:tc>
        <w:tc>
          <w:tcPr>
            <w:tcW w:w="180" w:type="dxa"/>
            <w:vAlign w:val="bottom"/>
          </w:tcPr>
          <w:p>
            <w:pPr>
              <w:spacing w:after="0"/>
              <w:rPr>
                <w:sz w:val="16"/>
                <w:szCs w:val="16"/>
                <w:color w:val="auto"/>
              </w:rPr>
            </w:pPr>
          </w:p>
        </w:tc>
        <w:tc>
          <w:tcPr>
            <w:tcW w:w="16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3"/>
              </w:rPr>
              <w:t>2023</w:t>
            </w: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Number of shares repurchased</w:t>
            </w:r>
          </w:p>
        </w:tc>
        <w:tc>
          <w:tcPr>
            <w:tcW w:w="1160" w:type="dxa"/>
            <w:vAlign w:val="bottom"/>
            <w:shd w:val="clear" w:color="auto" w:fill="CFF0FC"/>
          </w:tcPr>
          <w:p>
            <w:pPr>
              <w:spacing w:after="0"/>
              <w:rPr>
                <w:sz w:val="15"/>
                <w:szCs w:val="15"/>
                <w:color w:val="auto"/>
              </w:rPr>
            </w:pPr>
          </w:p>
        </w:tc>
        <w:tc>
          <w:tcPr>
            <w:tcW w:w="18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36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3.10</w:t>
            </w: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Weighted-average price per share</w:t>
            </w:r>
            <w:r>
              <w:rPr>
                <w:rFonts w:ascii="Times New Roman" w:cs="Times New Roman" w:eastAsia="Times New Roman" w:hAnsi="Times New Roman"/>
                <w:sz w:val="20"/>
                <w:szCs w:val="20"/>
                <w:color w:val="auto"/>
                <w:vertAlign w:val="superscript"/>
              </w:rPr>
              <w:t>(a)</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64.90</w:t>
            </w:r>
          </w:p>
        </w:tc>
        <w:tc>
          <w:tcPr>
            <w:tcW w:w="3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88.70</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97.33</w:t>
            </w: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Aggregate purchase price</w:t>
            </w:r>
            <w:r>
              <w:rPr>
                <w:rFonts w:ascii="Times New Roman" w:cs="Times New Roman" w:eastAsia="Times New Roman" w:hAnsi="Times New Roman"/>
                <w:sz w:val="20"/>
                <w:szCs w:val="20"/>
                <w:color w:val="auto"/>
                <w:vertAlign w:val="superscript"/>
              </w:rPr>
              <w:t>(a)</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3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380</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300</w:t>
            </w:r>
          </w:p>
        </w:tc>
      </w:tr>
      <w:tr>
        <w:trPr>
          <w:trHeight w:val="167"/>
        </w:trPr>
        <w:tc>
          <w:tcPr>
            <w:tcW w:w="35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Program</w:t>
            </w:r>
          </w:p>
        </w:tc>
        <w:tc>
          <w:tcPr>
            <w:tcW w:w="1160" w:type="dxa"/>
            <w:vAlign w:val="bottom"/>
          </w:tcPr>
          <w:p>
            <w:pPr>
              <w:spacing w:after="0"/>
              <w:rPr>
                <w:sz w:val="14"/>
                <w:szCs w:val="14"/>
                <w:color w:val="auto"/>
              </w:rPr>
            </w:pPr>
          </w:p>
        </w:tc>
        <w:tc>
          <w:tcPr>
            <w:tcW w:w="1820" w:type="dxa"/>
            <w:vAlign w:val="bottom"/>
          </w:tcPr>
          <w:p>
            <w:pPr>
              <w:jc w:val="center"/>
              <w:ind w:right="262"/>
              <w:spacing w:after="0" w:line="167" w:lineRule="exact"/>
              <w:rPr>
                <w:sz w:val="20"/>
                <w:szCs w:val="20"/>
                <w:color w:val="auto"/>
              </w:rPr>
            </w:pPr>
            <w:r>
              <w:rPr>
                <w:rFonts w:ascii="Times New Roman" w:cs="Times New Roman" w:eastAsia="Times New Roman" w:hAnsi="Times New Roman"/>
                <w:sz w:val="16"/>
                <w:szCs w:val="16"/>
                <w:color w:val="auto"/>
                <w:w w:val="97"/>
              </w:rPr>
              <w:t>2023 Stock Repurchase</w:t>
            </w:r>
          </w:p>
        </w:tc>
        <w:tc>
          <w:tcPr>
            <w:tcW w:w="360" w:type="dxa"/>
            <w:vAlign w:val="bottom"/>
          </w:tcPr>
          <w:p>
            <w:pPr>
              <w:spacing w:after="0"/>
              <w:rPr>
                <w:sz w:val="14"/>
                <w:szCs w:val="14"/>
                <w:color w:val="auto"/>
              </w:rPr>
            </w:pPr>
          </w:p>
        </w:tc>
        <w:tc>
          <w:tcPr>
            <w:tcW w:w="1860" w:type="dxa"/>
            <w:vAlign w:val="bottom"/>
          </w:tcPr>
          <w:p>
            <w:pPr>
              <w:jc w:val="center"/>
              <w:ind w:right="182"/>
              <w:spacing w:after="0" w:line="167" w:lineRule="exact"/>
              <w:rPr>
                <w:sz w:val="20"/>
                <w:szCs w:val="20"/>
                <w:color w:val="auto"/>
              </w:rPr>
            </w:pPr>
            <w:r>
              <w:rPr>
                <w:rFonts w:ascii="Times New Roman" w:cs="Times New Roman" w:eastAsia="Times New Roman" w:hAnsi="Times New Roman"/>
                <w:sz w:val="16"/>
                <w:szCs w:val="16"/>
                <w:color w:val="auto"/>
                <w:w w:val="97"/>
              </w:rPr>
              <w:t>2023 Stock Repurchase</w:t>
            </w:r>
          </w:p>
        </w:tc>
        <w:tc>
          <w:tcPr>
            <w:tcW w:w="180" w:type="dxa"/>
            <w:vAlign w:val="bottom"/>
          </w:tcPr>
          <w:p>
            <w:pPr>
              <w:spacing w:after="0"/>
              <w:rPr>
                <w:sz w:val="14"/>
                <w:szCs w:val="14"/>
                <w:color w:val="auto"/>
              </w:rPr>
            </w:pPr>
          </w:p>
        </w:tc>
        <w:tc>
          <w:tcPr>
            <w:tcW w:w="1680" w:type="dxa"/>
            <w:vAlign w:val="bottom"/>
          </w:tcPr>
          <w:p>
            <w:pPr>
              <w:jc w:val="center"/>
              <w:ind w:right="102"/>
              <w:spacing w:after="0" w:line="167" w:lineRule="exact"/>
              <w:rPr>
                <w:sz w:val="20"/>
                <w:szCs w:val="20"/>
                <w:color w:val="auto"/>
              </w:rPr>
            </w:pPr>
            <w:r>
              <w:rPr>
                <w:rFonts w:ascii="Times New Roman" w:cs="Times New Roman" w:eastAsia="Times New Roman" w:hAnsi="Times New Roman"/>
                <w:sz w:val="16"/>
                <w:szCs w:val="16"/>
                <w:color w:val="auto"/>
                <w:w w:val="96"/>
              </w:rPr>
              <w:t>2022 Stock Repurchase</w:t>
            </w:r>
          </w:p>
        </w:tc>
      </w:tr>
      <w:tr>
        <w:trPr>
          <w:trHeight w:val="203"/>
        </w:trPr>
        <w:tc>
          <w:tcPr>
            <w:tcW w:w="3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2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Program</w:t>
            </w:r>
          </w:p>
        </w:tc>
        <w:tc>
          <w:tcPr>
            <w:tcW w:w="360" w:type="dxa"/>
            <w:vAlign w:val="bottom"/>
          </w:tcPr>
          <w:p>
            <w:pPr>
              <w:spacing w:after="0"/>
              <w:rPr>
                <w:sz w:val="17"/>
                <w:szCs w:val="17"/>
                <w:color w:val="auto"/>
              </w:rPr>
            </w:pPr>
          </w:p>
        </w:tc>
        <w:tc>
          <w:tcPr>
            <w:tcW w:w="18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7"/>
              </w:rPr>
              <w:t>Program</w:t>
            </w:r>
          </w:p>
        </w:tc>
        <w:tc>
          <w:tcPr>
            <w:tcW w:w="180" w:type="dxa"/>
            <w:vAlign w:val="bottom"/>
          </w:tcPr>
          <w:p>
            <w:pPr>
              <w:spacing w:after="0"/>
              <w:rPr>
                <w:sz w:val="17"/>
                <w:szCs w:val="17"/>
                <w:color w:val="auto"/>
              </w:rPr>
            </w:pPr>
          </w:p>
        </w:tc>
        <w:tc>
          <w:tcPr>
            <w:tcW w:w="168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Program</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(a)Includes transactions costs.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dividends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Ashland paid dividends per common share of $1.64, $1.58 and $1.44 during 2025, 2024 and 2023, respectively.</w:t>
      </w:r>
    </w:p>
    <w:p>
      <w:pPr>
        <w:spacing w:after="0" w:line="92" w:lineRule="exact"/>
        <w:rPr>
          <w:sz w:val="20"/>
          <w:szCs w:val="20"/>
          <w:color w:val="auto"/>
        </w:rPr>
      </w:pPr>
    </w:p>
    <w:p>
      <w:pPr>
        <w:ind w:right="320" w:firstLine="348"/>
        <w:spacing w:after="0" w:line="259" w:lineRule="auto"/>
        <w:rPr>
          <w:sz w:val="20"/>
          <w:szCs w:val="20"/>
          <w:color w:val="auto"/>
        </w:rPr>
      </w:pPr>
      <w:r>
        <w:rPr>
          <w:rFonts w:ascii="Times New Roman" w:cs="Times New Roman" w:eastAsia="Times New Roman" w:hAnsi="Times New Roman"/>
          <w:sz w:val="16"/>
          <w:szCs w:val="16"/>
          <w:color w:val="auto"/>
        </w:rPr>
        <w:t>In May 2025, the Board announced a quarterly cash dividend of 41.5 cents per share to eligible stockholders at record, which represented an increase from the previous quarterly cash dividend of 40.5 cents per share. The dividend was paid in the third and fourth quarter of fiscal 2025.</w:t>
      </w:r>
    </w:p>
    <w:p>
      <w:pPr>
        <w:spacing w:after="0" w:line="59" w:lineRule="exact"/>
        <w:rPr>
          <w:sz w:val="20"/>
          <w:szCs w:val="20"/>
          <w:color w:val="auto"/>
        </w:rPr>
      </w:pPr>
    </w:p>
    <w:p>
      <w:pPr>
        <w:ind w:right="180" w:firstLine="348"/>
        <w:spacing w:after="0" w:line="247" w:lineRule="auto"/>
        <w:rPr>
          <w:sz w:val="20"/>
          <w:szCs w:val="20"/>
          <w:color w:val="auto"/>
        </w:rPr>
      </w:pPr>
      <w:r>
        <w:rPr>
          <w:rFonts w:ascii="Times New Roman" w:cs="Times New Roman" w:eastAsia="Times New Roman" w:hAnsi="Times New Roman"/>
          <w:sz w:val="16"/>
          <w:szCs w:val="16"/>
          <w:color w:val="auto"/>
        </w:rPr>
        <w:t>In May 2024, the Board announced a quarterly cash dividend of 40.5 cents per share to eligible stockholders at record, which represented an increase from the previous quarterly cash dividend of 38.5 cents per share. The dividend was paid in the third and fourth quarter of fiscal 2024 and the first and second quarters of fiscal 2025.</w:t>
      </w:r>
    </w:p>
    <w:p>
      <w:pPr>
        <w:spacing w:after="0" w:line="68" w:lineRule="exact"/>
        <w:rPr>
          <w:sz w:val="20"/>
          <w:szCs w:val="20"/>
          <w:color w:val="auto"/>
        </w:rPr>
      </w:pPr>
    </w:p>
    <w:p>
      <w:pPr>
        <w:ind w:right="180" w:firstLine="348"/>
        <w:spacing w:after="0" w:line="247" w:lineRule="auto"/>
        <w:rPr>
          <w:sz w:val="20"/>
          <w:szCs w:val="20"/>
          <w:color w:val="auto"/>
        </w:rPr>
      </w:pPr>
      <w:r>
        <w:rPr>
          <w:rFonts w:ascii="Times New Roman" w:cs="Times New Roman" w:eastAsia="Times New Roman" w:hAnsi="Times New Roman"/>
          <w:sz w:val="16"/>
          <w:szCs w:val="16"/>
          <w:color w:val="auto"/>
        </w:rPr>
        <w:t>In May 2023, the Board announced a quarterly cash dividend of 38.5 cents per share to eligible stockholders at record, which represented an increase from the previous quarterly cash dividend of 33.5 cents per share. The dividend was paid in the third and fourth quarter of fiscal 2023 and the first and second quarters of fiscal 2024.</w:t>
      </w:r>
    </w:p>
    <w:p>
      <w:pPr>
        <w:spacing w:after="0" w:line="68"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In May 2022, the Board announced a quarterly cash dividend of 33.5 cents per share to eligible stockholders at record, which represented an increase from the previous quarterly cash dividend of 30.0 cents per share. This dividend was paid in the third and fourth quarters of fiscal 2022 and the first and second quarters of fiscal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Shares reserved for issuance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At September 30, 2025, 16.4 million common shares were reserved for issuance under stock incentive and deferred compensation plans.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p>
      <w:pPr>
        <w:spacing w:after="0" w:line="94"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6"/>
          <w:szCs w:val="16"/>
          <w:color w:val="auto"/>
        </w:rPr>
        <w:t>Components of other comprehensive income (loss) recorded in the Statements of Consolidated Comprehensive Income (Loss) are presented in the following table, before tax and net of tax effects.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Tax</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Before</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222"/>
              <w:spacing w:after="0" w:line="180" w:lineRule="exact"/>
              <w:rPr>
                <w:sz w:val="20"/>
                <w:szCs w:val="20"/>
                <w:color w:val="auto"/>
              </w:rPr>
            </w:pPr>
            <w:r>
              <w:rPr>
                <w:rFonts w:ascii="Times New Roman" w:cs="Times New Roman" w:eastAsia="Times New Roman" w:hAnsi="Times New Roman"/>
                <w:sz w:val="16"/>
                <w:szCs w:val="16"/>
                <w:color w:val="auto"/>
                <w:w w:val="96"/>
              </w:rPr>
              <w:t>(expense)</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Net of</w:t>
            </w:r>
          </w:p>
        </w:tc>
        <w:tc>
          <w:tcPr>
            <w:tcW w:w="0" w:type="dxa"/>
            <w:vAlign w:val="bottom"/>
          </w:tcPr>
          <w:p>
            <w:pPr>
              <w:spacing w:after="0"/>
              <w:rPr>
                <w:sz w:val="1"/>
                <w:szCs w:val="1"/>
                <w:color w:val="auto"/>
              </w:rPr>
            </w:pPr>
          </w:p>
        </w:tc>
      </w:tr>
      <w:tr>
        <w:trPr>
          <w:trHeight w:val="19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460" w:type="dxa"/>
            <w:vAlign w:val="bottom"/>
          </w:tcPr>
          <w:p>
            <w:pPr>
              <w:spacing w:after="0"/>
              <w:rPr>
                <w:sz w:val="16"/>
                <w:szCs w:val="16"/>
                <w:color w:val="auto"/>
              </w:rPr>
            </w:pPr>
          </w:p>
        </w:tc>
        <w:tc>
          <w:tcPr>
            <w:tcW w:w="9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tax</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8"/>
              </w:rPr>
              <w:t>benefit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tax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Year ended September 30, 2025</w:t>
            </w:r>
          </w:p>
        </w:tc>
        <w:tc>
          <w:tcPr>
            <w:tcW w:w="24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translation gain</w:t>
            </w:r>
          </w:p>
        </w:tc>
        <w:tc>
          <w:tcPr>
            <w:tcW w:w="3420" w:type="dxa"/>
            <w:vAlign w:val="bottom"/>
            <w:gridSpan w:val="2"/>
            <w:shd w:val="clear" w:color="auto" w:fill="CFF0FC"/>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3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gain on commodity hedges</w:t>
            </w: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other comprehensive income (loss)</w:t>
            </w:r>
          </w:p>
        </w:tc>
        <w:tc>
          <w:tcPr>
            <w:tcW w:w="3420" w:type="dxa"/>
            <w:vAlign w:val="bottom"/>
            <w:gridSpan w:val="2"/>
            <w:shd w:val="clear" w:color="auto" w:fill="CFF0FC"/>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3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820" w:type="dxa"/>
            <w:vAlign w:val="bottom"/>
            <w:tcBorders>
              <w:top w:val="single" w:sz="8" w:color="CFF0FC"/>
            </w:tcBorders>
          </w:tcPr>
          <w:p>
            <w:pPr>
              <w:spacing w:after="0"/>
              <w:rPr>
                <w:sz w:val="13"/>
                <w:szCs w:val="13"/>
                <w:color w:val="auto"/>
              </w:rPr>
            </w:pPr>
          </w:p>
        </w:tc>
        <w:tc>
          <w:tcPr>
            <w:tcW w:w="246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Year ended September 30, 2024</w:t>
            </w:r>
          </w:p>
        </w:tc>
        <w:tc>
          <w:tcPr>
            <w:tcW w:w="24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translation gain</w:t>
            </w:r>
          </w:p>
        </w:tc>
        <w:tc>
          <w:tcPr>
            <w:tcW w:w="3420" w:type="dxa"/>
            <w:vAlign w:val="bottom"/>
            <w:gridSpan w:val="2"/>
            <w:shd w:val="clear" w:color="auto" w:fill="CFF0FC"/>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3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gain on commodity hedges</w:t>
            </w: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other comprehensive income</w:t>
            </w:r>
          </w:p>
        </w:tc>
        <w:tc>
          <w:tcPr>
            <w:tcW w:w="3420" w:type="dxa"/>
            <w:vAlign w:val="bottom"/>
            <w:gridSpan w:val="2"/>
            <w:shd w:val="clear" w:color="auto" w:fill="CFF0FC"/>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3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820" w:type="dxa"/>
            <w:vAlign w:val="bottom"/>
            <w:tcBorders>
              <w:top w:val="single" w:sz="8" w:color="CFF0FC"/>
            </w:tcBorders>
          </w:tcPr>
          <w:p>
            <w:pPr>
              <w:spacing w:after="0"/>
              <w:rPr>
                <w:sz w:val="13"/>
                <w:szCs w:val="13"/>
                <w:color w:val="auto"/>
              </w:rPr>
            </w:pPr>
          </w:p>
        </w:tc>
        <w:tc>
          <w:tcPr>
            <w:tcW w:w="246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Year ended September 30, 2023</w:t>
            </w:r>
          </w:p>
        </w:tc>
        <w:tc>
          <w:tcPr>
            <w:tcW w:w="24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translation gain</w:t>
            </w:r>
          </w:p>
        </w:tc>
        <w:tc>
          <w:tcPr>
            <w:tcW w:w="3420" w:type="dxa"/>
            <w:vAlign w:val="bottom"/>
            <w:gridSpan w:val="2"/>
            <w:shd w:val="clear" w:color="auto" w:fill="CFF0FC"/>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3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Unrealized loss on commodity hedges</w:t>
            </w:r>
          </w:p>
        </w:tc>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34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3820" w:type="dxa"/>
            <w:vAlign w:val="bottom"/>
            <w:tcBorders>
              <w:top w:val="single" w:sz="8" w:color="CFF0FC"/>
            </w:tcBorders>
          </w:tcPr>
          <w:p>
            <w:pPr>
              <w:spacing w:after="0"/>
              <w:rPr>
                <w:sz w:val="24"/>
                <w:szCs w:val="24"/>
                <w:color w:val="auto"/>
              </w:rPr>
            </w:pPr>
          </w:p>
        </w:tc>
        <w:tc>
          <w:tcPr>
            <w:tcW w:w="2460" w:type="dxa"/>
            <w:vAlign w:val="bottom"/>
            <w:tcBorders>
              <w:top w:val="single" w:sz="8" w:color="CFF0FC"/>
            </w:tcBorders>
          </w:tcPr>
          <w:p>
            <w:pPr>
              <w:ind w:left="1300"/>
              <w:spacing w:after="0"/>
              <w:rPr>
                <w:sz w:val="20"/>
                <w:szCs w:val="20"/>
                <w:color w:val="auto"/>
              </w:rPr>
            </w:pPr>
            <w:r>
              <w:rPr>
                <w:rFonts w:ascii="Times New Roman" w:cs="Times New Roman" w:eastAsia="Times New Roman" w:hAnsi="Times New Roman"/>
                <w:sz w:val="16"/>
                <w:szCs w:val="16"/>
                <w:color w:val="auto"/>
              </w:rPr>
              <w:t>F-46</w:t>
            </w:r>
          </w:p>
        </w:tc>
        <w:tc>
          <w:tcPr>
            <w:tcW w:w="9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3820" w:type="dxa"/>
            <w:vAlign w:val="bottom"/>
            <w:tcBorders>
              <w:bottom w:val="single" w:sz="8" w:color="EEEEEE"/>
            </w:tcBorders>
          </w:tcPr>
          <w:p>
            <w:pPr>
              <w:spacing w:after="0"/>
              <w:rPr>
                <w:sz w:val="24"/>
                <w:szCs w:val="24"/>
                <w:color w:val="auto"/>
              </w:rPr>
            </w:pPr>
          </w:p>
        </w:tc>
        <w:tc>
          <w:tcPr>
            <w:tcW w:w="24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5"/>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of Stockholders’ Equity</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76"/>
        </w:trPr>
        <w:tc>
          <w:tcPr>
            <w:tcW w:w="20" w:type="dxa"/>
            <w:vAlign w:val="bottom"/>
          </w:tcPr>
          <w:p>
            <w:pPr>
              <w:spacing w:after="0"/>
              <w:rPr>
                <w:sz w:val="24"/>
                <w:szCs w:val="24"/>
                <w:color w:val="auto"/>
              </w:rPr>
            </w:pPr>
          </w:p>
        </w:tc>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97"/>
              </w:rPr>
              <w:t>A reconciliation of changes in stockholders’ equity for the years ended September 30, are as follows: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0"/>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400" w:type="dxa"/>
            <w:vAlign w:val="bottom"/>
          </w:tcPr>
          <w:p>
            <w:pPr>
              <w:spacing w:after="0"/>
              <w:rPr>
                <w:sz w:val="24"/>
                <w:szCs w:val="24"/>
                <w:color w:val="auto"/>
              </w:rPr>
            </w:pPr>
          </w:p>
        </w:tc>
        <w:tc>
          <w:tcPr>
            <w:tcW w:w="9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Common stock and paid in capital</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400" w:type="dxa"/>
            <w:vAlign w:val="bottom"/>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2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40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w:t>
            </w: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Common shares issued under stock incentive and other plans</w:t>
            </w:r>
            <w:r>
              <w:rPr>
                <w:rFonts w:ascii="Times New Roman" w:cs="Times New Roman" w:eastAsia="Times New Roman" w:hAnsi="Times New Roman"/>
                <w:sz w:val="20"/>
                <w:szCs w:val="20"/>
                <w:color w:val="auto"/>
                <w:vertAlign w:val="superscript"/>
              </w:rPr>
              <w:t>(a)</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Common shares purchased under repurchase program</w:t>
            </w:r>
            <w:r>
              <w:rPr>
                <w:rFonts w:ascii="Times New Roman" w:cs="Times New Roman" w:eastAsia="Times New Roman" w:hAnsi="Times New Roman"/>
                <w:sz w:val="20"/>
                <w:szCs w:val="20"/>
                <w:color w:val="auto"/>
                <w:vertAlign w:val="superscript"/>
              </w:rPr>
              <w:t>(b)(c)</w:t>
            </w:r>
          </w:p>
        </w:tc>
        <w:tc>
          <w:tcPr>
            <w:tcW w:w="4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w:t>
            </w: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Balance, end of period</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Retained earnings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3,315</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3,595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3,653</w:t>
            </w: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Common shares purchased under repurchase program</w:t>
            </w:r>
            <w:r>
              <w:rPr>
                <w:rFonts w:ascii="Times New Roman" w:cs="Times New Roman" w:eastAsia="Times New Roman" w:hAnsi="Times New Roman"/>
                <w:sz w:val="20"/>
                <w:szCs w:val="20"/>
                <w:color w:val="auto"/>
                <w:vertAlign w:val="superscript"/>
              </w:rPr>
              <w:t>(b)</w:t>
            </w:r>
          </w:p>
        </w:tc>
        <w:tc>
          <w:tcPr>
            <w:tcW w:w="4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w:t>
            </w: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(845)</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178</w:t>
            </w: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Dividends</w:t>
            </w:r>
          </w:p>
        </w:tc>
        <w:tc>
          <w:tcPr>
            <w:tcW w:w="4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Balance, end of period</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2,298</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3,315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3,595</w:t>
            </w: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(448)</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(569)</w:t>
            </w:r>
          </w:p>
        </w:tc>
      </w:tr>
      <w:tr>
        <w:trPr>
          <w:trHeight w:val="180"/>
        </w:trPr>
        <w:tc>
          <w:tcPr>
            <w:tcW w:w="20" w:type="dxa"/>
            <w:vAlign w:val="bottom"/>
          </w:tcPr>
          <w:p>
            <w:pPr>
              <w:spacing w:after="0"/>
              <w:rPr>
                <w:sz w:val="15"/>
                <w:szCs w:val="15"/>
                <w:color w:val="auto"/>
              </w:rPr>
            </w:pPr>
          </w:p>
        </w:tc>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translation gain</w:t>
            </w:r>
          </w:p>
        </w:tc>
        <w:tc>
          <w:tcPr>
            <w:tcW w:w="40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w:t>
            </w:r>
          </w:p>
        </w:tc>
      </w:tr>
      <w:tr>
        <w:trPr>
          <w:trHeight w:val="180"/>
        </w:trPr>
        <w:tc>
          <w:tcPr>
            <w:tcW w:w="20" w:type="dxa"/>
            <w:vAlign w:val="bottom"/>
          </w:tcPr>
          <w:p>
            <w:pPr>
              <w:spacing w:after="0"/>
              <w:rPr>
                <w:sz w:val="15"/>
                <w:szCs w:val="15"/>
                <w:color w:val="auto"/>
              </w:rPr>
            </w:pPr>
          </w:p>
        </w:tc>
        <w:tc>
          <w:tcPr>
            <w:tcW w:w="6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Unrealized gain (loss) on commodity hedges</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20" w:type="dxa"/>
            <w:vAlign w:val="bottom"/>
          </w:tcPr>
          <w:p>
            <w:pPr>
              <w:spacing w:after="0"/>
              <w:rPr>
                <w:sz w:val="15"/>
                <w:szCs w:val="15"/>
                <w:color w:val="auto"/>
              </w:rPr>
            </w:pPr>
          </w:p>
        </w:tc>
        <w:tc>
          <w:tcPr>
            <w:tcW w:w="6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Balance, end of period</w:t>
            </w:r>
          </w:p>
        </w:tc>
        <w:tc>
          <w:tcPr>
            <w:tcW w:w="4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(503)</w:t>
            </w:r>
          </w:p>
        </w:tc>
      </w:tr>
      <w:tr>
        <w:trPr>
          <w:trHeight w:val="220"/>
        </w:trPr>
        <w:tc>
          <w:tcPr>
            <w:tcW w:w="20" w:type="dxa"/>
            <w:vAlign w:val="bottom"/>
          </w:tcPr>
          <w:p>
            <w:pPr>
              <w:spacing w:after="0"/>
              <w:rPr>
                <w:sz w:val="19"/>
                <w:szCs w:val="19"/>
                <w:color w:val="auto"/>
              </w:rPr>
            </w:pPr>
          </w:p>
        </w:tc>
        <w:tc>
          <w:tcPr>
            <w:tcW w:w="628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tcBorders>
              <w:bottom w:val="single" w:sz="8" w:color="auto"/>
            </w:tcBorders>
            <w:shd w:val="clear" w:color="auto" w:fill="CFF0FC"/>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1,904</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2,868</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3,097</w:t>
            </w:r>
          </w:p>
        </w:tc>
      </w:tr>
      <w:tr>
        <w:trPr>
          <w:trHeight w:val="179"/>
        </w:trPr>
        <w:tc>
          <w:tcPr>
            <w:tcW w:w="20" w:type="dxa"/>
            <w:vAlign w:val="bottom"/>
          </w:tcPr>
          <w:p>
            <w:pPr>
              <w:spacing w:after="0"/>
              <w:rPr>
                <w:sz w:val="15"/>
                <w:szCs w:val="15"/>
                <w:color w:val="auto"/>
              </w:rPr>
            </w:pPr>
          </w:p>
        </w:tc>
        <w:tc>
          <w:tcPr>
            <w:tcW w:w="62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Cash dividends declared per common share</w:t>
            </w:r>
          </w:p>
        </w:tc>
        <w:tc>
          <w:tcPr>
            <w:tcW w:w="400" w:type="dxa"/>
            <w:vAlign w:val="bottom"/>
          </w:tcPr>
          <w:p>
            <w:pPr>
              <w:jc w:val="right"/>
              <w:ind w:right="24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1.64</w:t>
            </w:r>
          </w:p>
        </w:tc>
        <w:tc>
          <w:tcPr>
            <w:tcW w:w="420" w:type="dxa"/>
            <w:vAlign w:val="bottom"/>
            <w:gridSpan w:val="2"/>
          </w:tcPr>
          <w:p>
            <w:pPr>
              <w:jc w:val="right"/>
              <w:ind w:right="12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1.58</w:t>
            </w:r>
          </w:p>
        </w:tc>
        <w:tc>
          <w:tcPr>
            <w:tcW w:w="400" w:type="dxa"/>
            <w:vAlign w:val="bottom"/>
            <w:gridSpan w:val="2"/>
          </w:tcPr>
          <w:p>
            <w:pPr>
              <w:jc w:val="right"/>
              <w:ind w:right="122"/>
              <w:spacing w:after="0" w:line="17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rPr>
              <w:t>1.44</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(a)Common shares issued were 143,631, 137,799 and 193,767 for 2025, 2024 and 2023,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(b)Common shares repurchased were 1,541,320, 4,285,194 and 3,082,928 for 2025, 2024 and 2023,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(c)Includes $1 million in 2025 and $3 million in both 2024 and 2023 in excise tax on stock repurchases.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O – STOCK INCENTIVE PLANS</w:t>
      </w:r>
    </w:p>
    <w:p>
      <w:pPr>
        <w:spacing w:after="0" w:line="94" w:lineRule="exact"/>
        <w:rPr>
          <w:sz w:val="20"/>
          <w:szCs w:val="20"/>
          <w:color w:val="auto"/>
        </w:rPr>
      </w:pPr>
    </w:p>
    <w:p>
      <w:pPr>
        <w:ind w:right="40" w:firstLine="348"/>
        <w:spacing w:after="0" w:line="243" w:lineRule="auto"/>
        <w:rPr>
          <w:sz w:val="20"/>
          <w:szCs w:val="20"/>
          <w:color w:val="auto"/>
        </w:rPr>
      </w:pPr>
      <w:r>
        <w:rPr>
          <w:rFonts w:ascii="Times New Roman" w:cs="Times New Roman" w:eastAsia="Times New Roman" w:hAnsi="Times New Roman"/>
          <w:sz w:val="16"/>
          <w:szCs w:val="16"/>
          <w:color w:val="auto"/>
        </w:rPr>
        <w:t>Ashland has stock incentive plans under which key employees or directors are granted performance share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requisite service period and accounts for forfeitures when they occur across all stock-based awards.</w:t>
      </w:r>
    </w:p>
    <w:p>
      <w:pPr>
        <w:spacing w:after="0" w:line="71" w:lineRule="exact"/>
        <w:rPr>
          <w:sz w:val="20"/>
          <w:szCs w:val="20"/>
          <w:color w:val="auto"/>
        </w:rPr>
      </w:pPr>
    </w:p>
    <w:p>
      <w:pPr>
        <w:ind w:right="380" w:firstLine="348"/>
        <w:spacing w:after="0" w:line="259" w:lineRule="auto"/>
        <w:rPr>
          <w:sz w:val="20"/>
          <w:szCs w:val="20"/>
          <w:color w:val="auto"/>
        </w:rPr>
      </w:pPr>
      <w:r>
        <w:rPr>
          <w:rFonts w:ascii="Times New Roman" w:cs="Times New Roman" w:eastAsia="Times New Roman" w:hAnsi="Times New Roman"/>
          <w:sz w:val="16"/>
          <w:szCs w:val="16"/>
          <w:color w:val="auto"/>
        </w:rPr>
        <w:t>The components of Ashland's pretax compensation expense for stock-based awards (net of forfeitures) and associated income tax benefits for the years ended September 30,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2025</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2024</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2023</w:t>
            </w:r>
            <w:r>
              <w:rPr>
                <w:rFonts w:ascii="Times New Roman" w:cs="Times New Roman" w:eastAsia="Times New Roman" w:hAnsi="Times New Roman"/>
                <w:sz w:val="21"/>
                <w:szCs w:val="21"/>
                <w:color w:val="auto"/>
                <w:vertAlign w:val="superscript"/>
              </w:rPr>
              <w:t>(c)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stock awards</w:t>
            </w:r>
          </w:p>
        </w:tc>
        <w:tc>
          <w:tcPr>
            <w:tcW w:w="2120" w:type="dxa"/>
            <w:vAlign w:val="bottom"/>
            <w:gridSpan w:val="2"/>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460" w:type="dxa"/>
            <w:vAlign w:val="bottom"/>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520" w:type="dxa"/>
            <w:vAlign w:val="bottom"/>
            <w:gridSpan w:val="2"/>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Performance share awards</w:t>
            </w:r>
          </w:p>
        </w:tc>
        <w:tc>
          <w:tcPr>
            <w:tcW w:w="1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380" w:type="dxa"/>
            <w:vAlign w:val="bottom"/>
          </w:tcPr>
          <w:p>
            <w:pPr>
              <w:spacing w:after="0"/>
              <w:rPr>
                <w:sz w:val="13"/>
                <w:szCs w:val="13"/>
                <w:color w:val="auto"/>
              </w:rPr>
            </w:pPr>
          </w:p>
        </w:tc>
        <w:tc>
          <w:tcPr>
            <w:tcW w:w="212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338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tax benefit</w:t>
            </w:r>
          </w:p>
        </w:tc>
        <w:tc>
          <w:tcPr>
            <w:tcW w:w="17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13"/>
          <w:szCs w:val="13"/>
          <w:color w:val="auto"/>
        </w:rPr>
        <w:t>(a)The year ended September 30, 2025 included $1 million of expense and $1 million of income related to cash-settled nonvested restricted stock awards and cash-settled performance units, respectively.</w:t>
      </w:r>
    </w:p>
    <w:p>
      <w:pPr>
        <w:spacing w:after="0" w:line="1"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13"/>
          <w:szCs w:val="13"/>
          <w:color w:val="auto"/>
        </w:rPr>
        <w:t>(b)The year ended September 30, 2024 included $2 million and less than $1 million of expense related to cash-settled nonvested restricted stock awards and cash-settled performance units, respectively.</w:t>
      </w:r>
    </w:p>
    <w:p>
      <w:pPr>
        <w:spacing w:after="0" w:line="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3"/>
          <w:szCs w:val="13"/>
          <w:color w:val="auto"/>
        </w:rPr>
        <w:t>(c)The year ended September 30, 2023 included $1 million of expense and $1 million of income related to cash-settled nonvested restricted stock awards and cash-settled performance units, respectively.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color w:val="auto"/>
        </w:rPr>
        <w:t>Stock Appreciation Rights ("SARs")</w:t>
      </w:r>
    </w:p>
    <w:p>
      <w:pPr>
        <w:spacing w:after="0" w:line="94" w:lineRule="exact"/>
        <w:rPr>
          <w:sz w:val="20"/>
          <w:szCs w:val="20"/>
          <w:color w:val="auto"/>
        </w:rPr>
      </w:pPr>
    </w:p>
    <w:p>
      <w:pPr>
        <w:ind w:firstLine="348"/>
        <w:spacing w:after="0" w:line="247" w:lineRule="auto"/>
        <w:rPr>
          <w:sz w:val="20"/>
          <w:szCs w:val="20"/>
          <w:color w:val="auto"/>
        </w:rPr>
      </w:pPr>
      <w:r>
        <w:rPr>
          <w:rFonts w:ascii="Times New Roman" w:cs="Times New Roman" w:eastAsia="Times New Roman" w:hAnsi="Times New Roman"/>
          <w:sz w:val="16"/>
          <w:szCs w:val="16"/>
          <w:color w:val="auto"/>
        </w:rPr>
        <w:t>SARs were granted to employees or directors at a price equal to the fair market value of the stock on the date of grant and typically become exercisable over periods of one to three years. Unexercised SARs lapse ten years after the date of grant. Ashland estimated the fair value of SARs granted using the Black-Scholes option-pricing model. Ashland has not granted any SARs since August 2020.</w:t>
      </w:r>
    </w:p>
    <w:p>
      <w:pPr>
        <w:spacing w:after="0" w:line="68" w:lineRule="exact"/>
        <w:rPr>
          <w:sz w:val="20"/>
          <w:szCs w:val="20"/>
          <w:color w:val="auto"/>
        </w:rPr>
      </w:pPr>
    </w:p>
    <w:p>
      <w:pPr>
        <w:ind w:right="160" w:firstLine="348"/>
        <w:spacing w:after="0" w:line="259" w:lineRule="auto"/>
        <w:rPr>
          <w:sz w:val="20"/>
          <w:szCs w:val="20"/>
          <w:color w:val="auto"/>
        </w:rPr>
      </w:pPr>
      <w:r>
        <w:rPr>
          <w:rFonts w:ascii="Times New Roman" w:cs="Times New Roman" w:eastAsia="Times New Roman" w:hAnsi="Times New Roman"/>
          <w:sz w:val="16"/>
          <w:szCs w:val="16"/>
          <w:color w:val="auto"/>
        </w:rPr>
        <w:t>A progression of activity and various other information relative to SARs and previously issued and vested stock options is presented in the following table for the years ended September 30: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2"/>
          </w:tcPr>
          <w:p>
            <w:pPr>
              <w:jc w:val="right"/>
              <w:ind w:right="1122"/>
              <w:spacing w:after="0"/>
              <w:rPr>
                <w:sz w:val="20"/>
                <w:szCs w:val="20"/>
                <w:color w:val="auto"/>
              </w:rPr>
            </w:pPr>
            <w:r>
              <w:rPr>
                <w:rFonts w:ascii="Times New Roman" w:cs="Times New Roman" w:eastAsia="Times New Roman" w:hAnsi="Times New Roman"/>
                <w:sz w:val="16"/>
                <w:szCs w:val="16"/>
                <w:color w:val="auto"/>
              </w:rPr>
              <w:t>2025</w:t>
            </w:r>
          </w:p>
        </w:tc>
        <w:tc>
          <w:tcPr>
            <w:tcW w:w="880" w:type="dxa"/>
            <w:vAlign w:val="bottom"/>
          </w:tcPr>
          <w:p>
            <w:pPr>
              <w:spacing w:after="0"/>
              <w:rPr>
                <w:sz w:val="16"/>
                <w:szCs w:val="16"/>
                <w:color w:val="auto"/>
              </w:rPr>
            </w:pPr>
          </w:p>
        </w:tc>
        <w:tc>
          <w:tcPr>
            <w:tcW w:w="1600" w:type="dxa"/>
            <w:vAlign w:val="bottom"/>
            <w:gridSpan w:val="2"/>
          </w:tcPr>
          <w:p>
            <w:pPr>
              <w:jc w:val="right"/>
              <w:ind w:right="1122"/>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tcPr>
          <w:p>
            <w:pPr>
              <w:spacing w:after="0"/>
              <w:rPr>
                <w:sz w:val="16"/>
                <w:szCs w:val="16"/>
                <w:color w:val="auto"/>
              </w:rPr>
            </w:pPr>
          </w:p>
        </w:tc>
        <w:tc>
          <w:tcPr>
            <w:tcW w:w="1500" w:type="dxa"/>
            <w:vAlign w:val="bottom"/>
            <w:gridSpan w:val="2"/>
          </w:tcPr>
          <w:p>
            <w:pPr>
              <w:jc w:val="right"/>
              <w:ind w:right="100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9"/>
              </w:rPr>
              <w:t>Number</w:t>
            </w:r>
          </w:p>
        </w:tc>
        <w:tc>
          <w:tcPr>
            <w:tcW w:w="280" w:type="dxa"/>
            <w:vAlign w:val="bottom"/>
          </w:tcPr>
          <w:p>
            <w:pPr>
              <w:spacing w:after="0"/>
              <w:rPr>
                <w:sz w:val="15"/>
                <w:szCs w:val="15"/>
                <w:color w:val="auto"/>
              </w:rPr>
            </w:pPr>
          </w:p>
        </w:tc>
        <w:tc>
          <w:tcPr>
            <w:tcW w:w="132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color w:val="auto"/>
                <w:w w:val="97"/>
              </w:rPr>
              <w:t>Weighted-</w:t>
            </w:r>
          </w:p>
        </w:tc>
        <w:tc>
          <w:tcPr>
            <w:tcW w:w="88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9"/>
              </w:rPr>
              <w:t>Number</w:t>
            </w:r>
          </w:p>
        </w:tc>
        <w:tc>
          <w:tcPr>
            <w:tcW w:w="300" w:type="dxa"/>
            <w:vAlign w:val="bottom"/>
          </w:tcPr>
          <w:p>
            <w:pPr>
              <w:spacing w:after="0"/>
              <w:rPr>
                <w:sz w:val="15"/>
                <w:szCs w:val="15"/>
                <w:color w:val="auto"/>
              </w:rPr>
            </w:pPr>
          </w:p>
        </w:tc>
        <w:tc>
          <w:tcPr>
            <w:tcW w:w="1300" w:type="dxa"/>
            <w:vAlign w:val="bottom"/>
          </w:tcPr>
          <w:p>
            <w:pPr>
              <w:jc w:val="center"/>
              <w:ind w:right="282"/>
              <w:spacing w:after="0" w:line="180" w:lineRule="exact"/>
              <w:rPr>
                <w:sz w:val="20"/>
                <w:szCs w:val="20"/>
                <w:color w:val="auto"/>
              </w:rPr>
            </w:pPr>
            <w:r>
              <w:rPr>
                <w:rFonts w:ascii="Times New Roman" w:cs="Times New Roman" w:eastAsia="Times New Roman" w:hAnsi="Times New Roman"/>
                <w:sz w:val="16"/>
                <w:szCs w:val="16"/>
                <w:color w:val="auto"/>
                <w:w w:val="97"/>
              </w:rPr>
              <w:t>Weighted-</w:t>
            </w:r>
          </w:p>
        </w:tc>
        <w:tc>
          <w:tcPr>
            <w:tcW w:w="9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9"/>
              </w:rPr>
              <w:t>Number</w:t>
            </w:r>
          </w:p>
        </w:tc>
        <w:tc>
          <w:tcPr>
            <w:tcW w:w="300" w:type="dxa"/>
            <w:vAlign w:val="bottom"/>
          </w:tcPr>
          <w:p>
            <w:pPr>
              <w:spacing w:after="0"/>
              <w:rPr>
                <w:sz w:val="15"/>
                <w:szCs w:val="15"/>
                <w:color w:val="auto"/>
              </w:rPr>
            </w:pPr>
          </w:p>
        </w:tc>
        <w:tc>
          <w:tcPr>
            <w:tcW w:w="120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7"/>
              </w:rPr>
              <w:t>Weighted-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89"/>
              </w:rPr>
              <w:t>of</w:t>
            </w:r>
          </w:p>
        </w:tc>
        <w:tc>
          <w:tcPr>
            <w:tcW w:w="280" w:type="dxa"/>
            <w:vAlign w:val="bottom"/>
          </w:tcPr>
          <w:p>
            <w:pPr>
              <w:spacing w:after="0"/>
              <w:rPr>
                <w:sz w:val="15"/>
                <w:szCs w:val="15"/>
                <w:color w:val="auto"/>
              </w:rPr>
            </w:pPr>
          </w:p>
        </w:tc>
        <w:tc>
          <w:tcPr>
            <w:tcW w:w="132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color w:val="auto"/>
              </w:rPr>
              <w:t>average</w:t>
            </w:r>
          </w:p>
        </w:tc>
        <w:tc>
          <w:tcPr>
            <w:tcW w:w="88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rPr>
              <w:t>of</w:t>
            </w:r>
          </w:p>
        </w:tc>
        <w:tc>
          <w:tcPr>
            <w:tcW w:w="300" w:type="dxa"/>
            <w:vAlign w:val="bottom"/>
          </w:tcPr>
          <w:p>
            <w:pPr>
              <w:spacing w:after="0"/>
              <w:rPr>
                <w:sz w:val="15"/>
                <w:szCs w:val="15"/>
                <w:color w:val="auto"/>
              </w:rPr>
            </w:pPr>
          </w:p>
        </w:tc>
        <w:tc>
          <w:tcPr>
            <w:tcW w:w="130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color w:val="auto"/>
                <w:w w:val="96"/>
              </w:rPr>
              <w:t>average</w:t>
            </w:r>
          </w:p>
        </w:tc>
        <w:tc>
          <w:tcPr>
            <w:tcW w:w="9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89"/>
              </w:rPr>
              <w:t>of</w:t>
            </w:r>
          </w:p>
        </w:tc>
        <w:tc>
          <w:tcPr>
            <w:tcW w:w="300" w:type="dxa"/>
            <w:vAlign w:val="bottom"/>
          </w:tcPr>
          <w:p>
            <w:pPr>
              <w:spacing w:after="0"/>
              <w:rPr>
                <w:sz w:val="15"/>
                <w:szCs w:val="15"/>
                <w:color w:val="auto"/>
              </w:rPr>
            </w:pPr>
          </w:p>
        </w:tc>
        <w:tc>
          <w:tcPr>
            <w:tcW w:w="120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rPr>
              <w:t>average</w:t>
            </w:r>
          </w:p>
        </w:tc>
        <w:tc>
          <w:tcPr>
            <w:tcW w:w="0" w:type="dxa"/>
            <w:vAlign w:val="bottom"/>
          </w:tcPr>
          <w:p>
            <w:pPr>
              <w:spacing w:after="0"/>
              <w:rPr>
                <w:sz w:val="1"/>
                <w:szCs w:val="1"/>
                <w:color w:val="auto"/>
              </w:rPr>
            </w:pPr>
          </w:p>
        </w:tc>
      </w:tr>
      <w:tr>
        <w:trPr>
          <w:trHeight w:val="180"/>
        </w:trPr>
        <w:tc>
          <w:tcPr>
            <w:tcW w:w="31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 thousands except per</w:t>
            </w:r>
          </w:p>
        </w:tc>
        <w:tc>
          <w:tcPr>
            <w:tcW w:w="90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6"/>
              </w:rPr>
              <w:t>common</w:t>
            </w:r>
          </w:p>
        </w:tc>
        <w:tc>
          <w:tcPr>
            <w:tcW w:w="280" w:type="dxa"/>
            <w:vAlign w:val="bottom"/>
          </w:tcPr>
          <w:p>
            <w:pPr>
              <w:spacing w:after="0"/>
              <w:rPr>
                <w:sz w:val="15"/>
                <w:szCs w:val="15"/>
                <w:color w:val="auto"/>
              </w:rPr>
            </w:pPr>
          </w:p>
        </w:tc>
        <w:tc>
          <w:tcPr>
            <w:tcW w:w="132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color w:val="auto"/>
                <w:w w:val="97"/>
              </w:rPr>
              <w:t>exercise price</w:t>
            </w:r>
          </w:p>
        </w:tc>
        <w:tc>
          <w:tcPr>
            <w:tcW w:w="88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6"/>
              </w:rPr>
              <w:t>common</w:t>
            </w:r>
          </w:p>
        </w:tc>
        <w:tc>
          <w:tcPr>
            <w:tcW w:w="300" w:type="dxa"/>
            <w:vAlign w:val="bottom"/>
          </w:tcPr>
          <w:p>
            <w:pPr>
              <w:spacing w:after="0"/>
              <w:rPr>
                <w:sz w:val="15"/>
                <w:szCs w:val="15"/>
                <w:color w:val="auto"/>
              </w:rPr>
            </w:pPr>
          </w:p>
        </w:tc>
        <w:tc>
          <w:tcPr>
            <w:tcW w:w="1300" w:type="dxa"/>
            <w:vAlign w:val="bottom"/>
          </w:tcPr>
          <w:p>
            <w:pPr>
              <w:jc w:val="center"/>
              <w:ind w:right="282"/>
              <w:spacing w:after="0" w:line="180" w:lineRule="exact"/>
              <w:rPr>
                <w:sz w:val="20"/>
                <w:szCs w:val="20"/>
                <w:color w:val="auto"/>
              </w:rPr>
            </w:pPr>
            <w:r>
              <w:rPr>
                <w:rFonts w:ascii="Times New Roman" w:cs="Times New Roman" w:eastAsia="Times New Roman" w:hAnsi="Times New Roman"/>
                <w:sz w:val="16"/>
                <w:szCs w:val="16"/>
                <w:color w:val="auto"/>
                <w:w w:val="97"/>
              </w:rPr>
              <w:t>exercise price</w:t>
            </w:r>
          </w:p>
        </w:tc>
        <w:tc>
          <w:tcPr>
            <w:tcW w:w="9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9"/>
              </w:rPr>
              <w:t>common</w:t>
            </w:r>
          </w:p>
        </w:tc>
        <w:tc>
          <w:tcPr>
            <w:tcW w:w="300" w:type="dxa"/>
            <w:vAlign w:val="bottom"/>
          </w:tcPr>
          <w:p>
            <w:pPr>
              <w:spacing w:after="0"/>
              <w:rPr>
                <w:sz w:val="15"/>
                <w:szCs w:val="15"/>
                <w:color w:val="auto"/>
              </w:rPr>
            </w:pPr>
          </w:p>
        </w:tc>
        <w:tc>
          <w:tcPr>
            <w:tcW w:w="120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7"/>
              </w:rPr>
              <w:t>exercise price</w:t>
            </w:r>
          </w:p>
        </w:tc>
        <w:tc>
          <w:tcPr>
            <w:tcW w:w="0" w:type="dxa"/>
            <w:vAlign w:val="bottom"/>
          </w:tcPr>
          <w:p>
            <w:pPr>
              <w:spacing w:after="0"/>
              <w:rPr>
                <w:sz w:val="1"/>
                <w:szCs w:val="1"/>
                <w:color w:val="auto"/>
              </w:rPr>
            </w:pPr>
          </w:p>
        </w:tc>
      </w:tr>
      <w:tr>
        <w:trPr>
          <w:trHeight w:val="193"/>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data)</w:t>
            </w: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4"/>
              </w:rPr>
              <w:t>shares</w:t>
            </w:r>
          </w:p>
        </w:tc>
        <w:tc>
          <w:tcPr>
            <w:tcW w:w="280" w:type="dxa"/>
            <w:vAlign w:val="bottom"/>
          </w:tcPr>
          <w:p>
            <w:pPr>
              <w:spacing w:after="0"/>
              <w:rPr>
                <w:sz w:val="16"/>
                <w:szCs w:val="16"/>
                <w:color w:val="auto"/>
              </w:rPr>
            </w:pPr>
          </w:p>
        </w:tc>
        <w:tc>
          <w:tcPr>
            <w:tcW w:w="132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9"/>
              </w:rPr>
              <w:t>per share</w:t>
            </w:r>
          </w:p>
        </w:tc>
        <w:tc>
          <w:tcPr>
            <w:tcW w:w="88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4"/>
              </w:rPr>
              <w:t>shares</w:t>
            </w:r>
          </w:p>
        </w:tc>
        <w:tc>
          <w:tcPr>
            <w:tcW w:w="300" w:type="dxa"/>
            <w:vAlign w:val="bottom"/>
          </w:tcPr>
          <w:p>
            <w:pPr>
              <w:spacing w:after="0"/>
              <w:rPr>
                <w:sz w:val="16"/>
                <w:szCs w:val="16"/>
                <w:color w:val="auto"/>
              </w:rPr>
            </w:pPr>
          </w:p>
        </w:tc>
        <w:tc>
          <w:tcPr>
            <w:tcW w:w="130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6"/>
              </w:rPr>
              <w:t>per share</w:t>
            </w:r>
          </w:p>
        </w:tc>
        <w:tc>
          <w:tcPr>
            <w:tcW w:w="90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shares</w:t>
            </w:r>
          </w:p>
        </w:tc>
        <w:tc>
          <w:tcPr>
            <w:tcW w:w="30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9"/>
              </w:rPr>
              <w:t>per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Outstanding - beginning of year</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819</w:t>
            </w:r>
          </w:p>
        </w:tc>
        <w:tc>
          <w:tcPr>
            <w:tcW w:w="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66.16</w:t>
            </w: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1,023</w:t>
            </w:r>
          </w:p>
        </w:tc>
        <w:tc>
          <w:tcPr>
            <w:tcW w:w="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65.22</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1,142</w:t>
            </w:r>
          </w:p>
        </w:tc>
        <w:tc>
          <w:tcPr>
            <w:tcW w:w="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5"/>
                <w:szCs w:val="15"/>
                <w:color w:val="auto"/>
              </w:rPr>
            </w:pPr>
          </w:p>
        </w:tc>
        <w:tc>
          <w:tcPr>
            <w:tcW w:w="13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60.54</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300" w:type="dxa"/>
            <w:vAlign w:val="bottom"/>
          </w:tcPr>
          <w:p>
            <w:pPr>
              <w:spacing w:after="0"/>
              <w:rPr>
                <w:sz w:val="15"/>
                <w:szCs w:val="15"/>
                <w:color w:val="auto"/>
              </w:rPr>
            </w:pPr>
          </w:p>
        </w:tc>
        <w:tc>
          <w:tcPr>
            <w:tcW w:w="1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61.15</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300" w:type="dxa"/>
            <w:vAlign w:val="bottom"/>
          </w:tcPr>
          <w:p>
            <w:pPr>
              <w:spacing w:after="0"/>
              <w:rPr>
                <w:sz w:val="15"/>
                <w:szCs w:val="15"/>
                <w:color w:val="auto"/>
              </w:rPr>
            </w:pPr>
          </w:p>
        </w:tc>
        <w:tc>
          <w:tcPr>
            <w:tcW w:w="12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52.31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Forfeitures and expirations</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79.47</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71.33</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46.67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Outstanding - end of year</w:t>
            </w:r>
            <w:r>
              <w:rPr>
                <w:rFonts w:ascii="Times New Roman" w:cs="Times New Roman" w:eastAsia="Times New Roman" w:hAnsi="Times New Roman"/>
                <w:sz w:val="18"/>
                <w:szCs w:val="18"/>
                <w:color w:val="auto"/>
                <w:vertAlign w:val="superscript"/>
              </w:rPr>
              <w:t>(a)</w:t>
            </w:r>
          </w:p>
        </w:tc>
        <w:tc>
          <w:tcPr>
            <w:tcW w:w="900" w:type="dxa"/>
            <w:vAlign w:val="bottom"/>
            <w:tcBorders>
              <w:bottom w:val="single" w:sz="8" w:color="auto"/>
            </w:tcBorders>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746</w:t>
            </w:r>
          </w:p>
        </w:tc>
        <w:tc>
          <w:tcPr>
            <w:tcW w:w="280" w:type="dxa"/>
            <w:vAlign w:val="bottom"/>
          </w:tcPr>
          <w:p>
            <w:pPr>
              <w:spacing w:after="0"/>
              <w:rPr>
                <w:sz w:val="15"/>
                <w:szCs w:val="15"/>
                <w:color w:val="auto"/>
              </w:rPr>
            </w:pPr>
          </w:p>
        </w:tc>
        <w:tc>
          <w:tcPr>
            <w:tcW w:w="1320" w:type="dxa"/>
            <w:vAlign w:val="bottom"/>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rPr>
              <w:t>65.47</w:t>
            </w:r>
          </w:p>
        </w:tc>
        <w:tc>
          <w:tcPr>
            <w:tcW w:w="880" w:type="dxa"/>
            <w:vAlign w:val="bottom"/>
            <w:tcBorders>
              <w:bottom w:val="single" w:sz="8" w:color="auto"/>
            </w:tcBorders>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819</w:t>
            </w:r>
          </w:p>
        </w:tc>
        <w:tc>
          <w:tcPr>
            <w:tcW w:w="300" w:type="dxa"/>
            <w:vAlign w:val="bottom"/>
          </w:tcPr>
          <w:p>
            <w:pPr>
              <w:spacing w:after="0"/>
              <w:rPr>
                <w:sz w:val="15"/>
                <w:szCs w:val="15"/>
                <w:color w:val="auto"/>
              </w:rPr>
            </w:pPr>
          </w:p>
        </w:tc>
        <w:tc>
          <w:tcPr>
            <w:tcW w:w="1300" w:type="dxa"/>
            <w:vAlign w:val="bottom"/>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rPr>
              <w:t>66.16</w:t>
            </w:r>
          </w:p>
        </w:tc>
        <w:tc>
          <w:tcPr>
            <w:tcW w:w="900" w:type="dxa"/>
            <w:vAlign w:val="bottom"/>
            <w:tcBorders>
              <w:bottom w:val="single" w:sz="8" w:color="auto"/>
            </w:tcBorders>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1,023</w:t>
            </w:r>
          </w:p>
        </w:tc>
        <w:tc>
          <w:tcPr>
            <w:tcW w:w="300" w:type="dxa"/>
            <w:vAlign w:val="bottom"/>
          </w:tcPr>
          <w:p>
            <w:pPr>
              <w:spacing w:after="0"/>
              <w:rPr>
                <w:sz w:val="15"/>
                <w:szCs w:val="15"/>
                <w:color w:val="auto"/>
              </w:rPr>
            </w:pPr>
          </w:p>
        </w:tc>
        <w:tc>
          <w:tcPr>
            <w:tcW w:w="1200" w:type="dxa"/>
            <w:vAlign w:val="bottom"/>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rPr>
              <w:t>65.22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1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Exercisable - end of year</w:t>
            </w:r>
          </w:p>
        </w:tc>
        <w:tc>
          <w:tcPr>
            <w:tcW w:w="90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746</w:t>
            </w: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142"/>
              <w:spacing w:after="0" w:line="156" w:lineRule="exact"/>
              <w:rPr>
                <w:sz w:val="20"/>
                <w:szCs w:val="20"/>
                <w:color w:val="auto"/>
              </w:rPr>
            </w:pPr>
            <w:r>
              <w:rPr>
                <w:rFonts w:ascii="Times New Roman" w:cs="Times New Roman" w:eastAsia="Times New Roman" w:hAnsi="Times New Roman"/>
                <w:sz w:val="16"/>
                <w:szCs w:val="16"/>
                <w:color w:val="auto"/>
              </w:rPr>
              <w:t>65.47</w:t>
            </w:r>
          </w:p>
        </w:tc>
        <w:tc>
          <w:tcPr>
            <w:tcW w:w="88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819</w:t>
            </w: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142"/>
              <w:spacing w:after="0" w:line="156" w:lineRule="exact"/>
              <w:rPr>
                <w:sz w:val="20"/>
                <w:szCs w:val="20"/>
                <w:color w:val="auto"/>
              </w:rPr>
            </w:pPr>
            <w:r>
              <w:rPr>
                <w:rFonts w:ascii="Times New Roman" w:cs="Times New Roman" w:eastAsia="Times New Roman" w:hAnsi="Times New Roman"/>
                <w:sz w:val="16"/>
                <w:szCs w:val="16"/>
                <w:color w:val="auto"/>
              </w:rPr>
              <w:t>66.16</w:t>
            </w:r>
          </w:p>
        </w:tc>
        <w:tc>
          <w:tcPr>
            <w:tcW w:w="900" w:type="dxa"/>
            <w:vAlign w:val="bottom"/>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6"/>
                <w:szCs w:val="16"/>
                <w:color w:val="auto"/>
              </w:rPr>
              <w:t>1,023</w:t>
            </w:r>
          </w:p>
        </w:tc>
        <w:tc>
          <w:tcPr>
            <w:tcW w:w="3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65.22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(a)Exercise prices per share for SARs outstanding at September 30, 2025 ranged from $57.96 to $67.16 for 588 thousand shares and from $76.76 to $82.34 for 158 thousand shares. The weighted-average remaining contractual life of outstanding and exercisable SARs and stock options was 2.0 years.</w:t>
      </w:r>
    </w:p>
    <w:p>
      <w:pPr>
        <w:spacing w:after="0" w:line="50" w:lineRule="exact"/>
        <w:rPr>
          <w:sz w:val="20"/>
          <w:szCs w:val="20"/>
          <w:color w:val="auto"/>
        </w:rPr>
      </w:pPr>
    </w:p>
    <w:p>
      <w:pPr>
        <w:ind w:right="80" w:firstLine="348"/>
        <w:spacing w:after="0" w:line="243" w:lineRule="auto"/>
        <w:rPr>
          <w:sz w:val="20"/>
          <w:szCs w:val="20"/>
          <w:color w:val="auto"/>
        </w:rPr>
      </w:pPr>
      <w:r>
        <w:rPr>
          <w:rFonts w:ascii="Times New Roman" w:cs="Times New Roman" w:eastAsia="Times New Roman" w:hAnsi="Times New Roman"/>
          <w:sz w:val="16"/>
          <w:szCs w:val="16"/>
          <w:color w:val="auto"/>
        </w:rPr>
        <w:t>The total intrinsic value of SARs exercised was less than $1 million in 2025, $6 million in 2024 and $6 million in 2023. The actual tax benefit realized from the exercised SARs was zero in 2025, $1 million in 2024 and $1 million in 2023. The total grant date fair value of SARs that vested during 2025, 2024 and 2023 was zero, zero and $1 million, respectively. As of September 30, 2025, there was zero unrecognized compensation costs related to SARs. As of September 30, 2025, the aggregate intrinsic value of outstanding and exercisable SARs was zero.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Nonvested stock awards</w:t>
      </w:r>
    </w:p>
    <w:p>
      <w:pPr>
        <w:spacing w:after="0" w:line="94" w:lineRule="exact"/>
        <w:rPr>
          <w:sz w:val="20"/>
          <w:szCs w:val="20"/>
          <w:color w:val="auto"/>
        </w:rPr>
      </w:pPr>
    </w:p>
    <w:p>
      <w:pPr>
        <w:ind w:right="200" w:firstLine="348"/>
        <w:spacing w:after="0" w:line="241" w:lineRule="auto"/>
        <w:rPr>
          <w:sz w:val="20"/>
          <w:szCs w:val="20"/>
          <w:color w:val="auto"/>
        </w:rPr>
      </w:pPr>
      <w:r>
        <w:rPr>
          <w:rFonts w:ascii="Times New Roman" w:cs="Times New Roman" w:eastAsia="Times New Roman" w:hAnsi="Times New Roman"/>
          <w:sz w:val="16"/>
          <w:szCs w:val="16"/>
          <w:color w:val="auto"/>
        </w:rPr>
        <w:t>Nonvested stock awards are granted to employees or directors at a price equal to the fair market value of the stock on the date of grant and generally vest over a one-to- three- year period. However, such shares or units are subject to forfeiture upon termination of service before the vesting period ends. Beginning in 2016, these awards were primarily granted as stock units that will convert to shares upon vesting, while the grants in prior years were generally made in nonvested shares.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progression of activity and various other information relative to nonvested stock awards is presented in the following table for the years ended September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1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16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80" w:type="dxa"/>
            <w:vAlign w:val="bottom"/>
          </w:tcPr>
          <w:p>
            <w:pPr>
              <w:spacing w:after="0"/>
              <w:rPr>
                <w:sz w:val="16"/>
                <w:szCs w:val="16"/>
                <w:color w:val="auto"/>
              </w:rPr>
            </w:pPr>
          </w:p>
        </w:tc>
      </w:tr>
      <w:tr>
        <w:trPr>
          <w:trHeight w:val="180"/>
        </w:trPr>
        <w:tc>
          <w:tcPr>
            <w:tcW w:w="2900" w:type="dxa"/>
            <w:vAlign w:val="bottom"/>
          </w:tcPr>
          <w:p>
            <w:pPr>
              <w:spacing w:after="0"/>
              <w:rPr>
                <w:sz w:val="15"/>
                <w:szCs w:val="15"/>
                <w:color w:val="auto"/>
              </w:rPr>
            </w:pPr>
          </w:p>
        </w:tc>
        <w:tc>
          <w:tcPr>
            <w:tcW w:w="110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5"/>
              </w:rPr>
              <w:t>Number</w:t>
            </w:r>
          </w:p>
        </w:tc>
        <w:tc>
          <w:tcPr>
            <w:tcW w:w="300" w:type="dxa"/>
            <w:vAlign w:val="bottom"/>
          </w:tcPr>
          <w:p>
            <w:pPr>
              <w:spacing w:after="0"/>
              <w:rPr>
                <w:sz w:val="15"/>
                <w:szCs w:val="15"/>
                <w:color w:val="auto"/>
              </w:rPr>
            </w:pPr>
          </w:p>
        </w:tc>
        <w:tc>
          <w:tcPr>
            <w:tcW w:w="1180" w:type="dxa"/>
            <w:vAlign w:val="bottom"/>
          </w:tcPr>
          <w:p>
            <w:pPr>
              <w:jc w:val="center"/>
              <w:ind w:right="322"/>
              <w:spacing w:after="0" w:line="180" w:lineRule="exact"/>
              <w:rPr>
                <w:sz w:val="20"/>
                <w:szCs w:val="20"/>
                <w:color w:val="auto"/>
              </w:rPr>
            </w:pPr>
            <w:r>
              <w:rPr>
                <w:rFonts w:ascii="Times New Roman" w:cs="Times New Roman" w:eastAsia="Times New Roman" w:hAnsi="Times New Roman"/>
                <w:sz w:val="16"/>
                <w:szCs w:val="16"/>
                <w:color w:val="auto"/>
                <w:w w:val="97"/>
              </w:rPr>
              <w:t>Weighted-</w:t>
            </w:r>
          </w:p>
        </w:tc>
        <w:tc>
          <w:tcPr>
            <w:tcW w:w="11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9"/>
              </w:rPr>
              <w:t>Number</w:t>
            </w:r>
          </w:p>
        </w:tc>
        <w:tc>
          <w:tcPr>
            <w:tcW w:w="300" w:type="dxa"/>
            <w:vAlign w:val="bottom"/>
          </w:tcPr>
          <w:p>
            <w:pPr>
              <w:spacing w:after="0"/>
              <w:rPr>
                <w:sz w:val="15"/>
                <w:szCs w:val="15"/>
                <w:color w:val="auto"/>
              </w:rPr>
            </w:pPr>
          </w:p>
        </w:tc>
        <w:tc>
          <w:tcPr>
            <w:tcW w:w="1160" w:type="dxa"/>
            <w:vAlign w:val="bottom"/>
          </w:tcPr>
          <w:p>
            <w:pPr>
              <w:jc w:val="center"/>
              <w:ind w:right="322"/>
              <w:spacing w:after="0" w:line="180" w:lineRule="exact"/>
              <w:rPr>
                <w:sz w:val="20"/>
                <w:szCs w:val="20"/>
                <w:color w:val="auto"/>
              </w:rPr>
            </w:pPr>
            <w:r>
              <w:rPr>
                <w:rFonts w:ascii="Times New Roman" w:cs="Times New Roman" w:eastAsia="Times New Roman" w:hAnsi="Times New Roman"/>
                <w:sz w:val="16"/>
                <w:szCs w:val="16"/>
                <w:color w:val="auto"/>
                <w:w w:val="94"/>
              </w:rPr>
              <w:t>Weighted-</w:t>
            </w:r>
          </w:p>
        </w:tc>
        <w:tc>
          <w:tcPr>
            <w:tcW w:w="11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9"/>
              </w:rPr>
              <w:t>Number</w:t>
            </w:r>
          </w:p>
        </w:tc>
        <w:tc>
          <w:tcPr>
            <w:tcW w:w="320" w:type="dxa"/>
            <w:vAlign w:val="bottom"/>
          </w:tcPr>
          <w:p>
            <w:pPr>
              <w:spacing w:after="0"/>
              <w:rPr>
                <w:sz w:val="15"/>
                <w:szCs w:val="15"/>
                <w:color w:val="auto"/>
              </w:rPr>
            </w:pPr>
          </w:p>
        </w:tc>
        <w:tc>
          <w:tcPr>
            <w:tcW w:w="1080" w:type="dxa"/>
            <w:vAlign w:val="bottom"/>
          </w:tcPr>
          <w:p>
            <w:pPr>
              <w:jc w:val="center"/>
              <w:ind w:right="222"/>
              <w:spacing w:after="0" w:line="180" w:lineRule="exact"/>
              <w:rPr>
                <w:sz w:val="20"/>
                <w:szCs w:val="20"/>
                <w:color w:val="auto"/>
              </w:rPr>
            </w:pPr>
            <w:r>
              <w:rPr>
                <w:rFonts w:ascii="Times New Roman" w:cs="Times New Roman" w:eastAsia="Times New Roman" w:hAnsi="Times New Roman"/>
                <w:sz w:val="16"/>
                <w:szCs w:val="16"/>
                <w:color w:val="auto"/>
                <w:w w:val="97"/>
              </w:rPr>
              <w:t>Weighted-</w:t>
            </w:r>
          </w:p>
        </w:tc>
      </w:tr>
      <w:tr>
        <w:trPr>
          <w:trHeight w:val="180"/>
        </w:trPr>
        <w:tc>
          <w:tcPr>
            <w:tcW w:w="2900" w:type="dxa"/>
            <w:vAlign w:val="bottom"/>
          </w:tcPr>
          <w:p>
            <w:pPr>
              <w:spacing w:after="0"/>
              <w:rPr>
                <w:sz w:val="15"/>
                <w:szCs w:val="15"/>
                <w:color w:val="auto"/>
              </w:rPr>
            </w:pPr>
          </w:p>
        </w:tc>
        <w:tc>
          <w:tcPr>
            <w:tcW w:w="11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89"/>
              </w:rPr>
              <w:t>of</w:t>
            </w:r>
          </w:p>
        </w:tc>
        <w:tc>
          <w:tcPr>
            <w:tcW w:w="300" w:type="dxa"/>
            <w:vAlign w:val="bottom"/>
          </w:tcPr>
          <w:p>
            <w:pPr>
              <w:spacing w:after="0"/>
              <w:rPr>
                <w:sz w:val="15"/>
                <w:szCs w:val="15"/>
                <w:color w:val="auto"/>
              </w:rPr>
            </w:pPr>
          </w:p>
        </w:tc>
        <w:tc>
          <w:tcPr>
            <w:tcW w:w="1180" w:type="dxa"/>
            <w:vAlign w:val="bottom"/>
          </w:tcPr>
          <w:p>
            <w:pPr>
              <w:jc w:val="center"/>
              <w:ind w:right="322"/>
              <w:spacing w:after="0" w:line="180" w:lineRule="exact"/>
              <w:rPr>
                <w:sz w:val="20"/>
                <w:szCs w:val="20"/>
                <w:color w:val="auto"/>
              </w:rPr>
            </w:pPr>
            <w:r>
              <w:rPr>
                <w:rFonts w:ascii="Times New Roman" w:cs="Times New Roman" w:eastAsia="Times New Roman" w:hAnsi="Times New Roman"/>
                <w:sz w:val="16"/>
                <w:szCs w:val="16"/>
                <w:color w:val="auto"/>
              </w:rPr>
              <w:t>average</w:t>
            </w:r>
          </w:p>
        </w:tc>
        <w:tc>
          <w:tcPr>
            <w:tcW w:w="11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89"/>
              </w:rPr>
              <w:t>of</w:t>
            </w:r>
          </w:p>
        </w:tc>
        <w:tc>
          <w:tcPr>
            <w:tcW w:w="300" w:type="dxa"/>
            <w:vAlign w:val="bottom"/>
          </w:tcPr>
          <w:p>
            <w:pPr>
              <w:spacing w:after="0"/>
              <w:rPr>
                <w:sz w:val="15"/>
                <w:szCs w:val="15"/>
                <w:color w:val="auto"/>
              </w:rPr>
            </w:pPr>
          </w:p>
        </w:tc>
        <w:tc>
          <w:tcPr>
            <w:tcW w:w="1160" w:type="dxa"/>
            <w:vAlign w:val="bottom"/>
          </w:tcPr>
          <w:p>
            <w:pPr>
              <w:jc w:val="center"/>
              <w:ind w:right="322"/>
              <w:spacing w:after="0" w:line="180" w:lineRule="exact"/>
              <w:rPr>
                <w:sz w:val="20"/>
                <w:szCs w:val="20"/>
                <w:color w:val="auto"/>
              </w:rPr>
            </w:pPr>
            <w:r>
              <w:rPr>
                <w:rFonts w:ascii="Times New Roman" w:cs="Times New Roman" w:eastAsia="Times New Roman" w:hAnsi="Times New Roman"/>
                <w:sz w:val="16"/>
                <w:szCs w:val="16"/>
                <w:color w:val="auto"/>
                <w:w w:val="96"/>
              </w:rPr>
              <w:t>average</w:t>
            </w:r>
          </w:p>
        </w:tc>
        <w:tc>
          <w:tcPr>
            <w:tcW w:w="11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89"/>
              </w:rPr>
              <w:t>of</w:t>
            </w:r>
          </w:p>
        </w:tc>
        <w:tc>
          <w:tcPr>
            <w:tcW w:w="320" w:type="dxa"/>
            <w:vAlign w:val="bottom"/>
          </w:tcPr>
          <w:p>
            <w:pPr>
              <w:spacing w:after="0"/>
              <w:rPr>
                <w:sz w:val="15"/>
                <w:szCs w:val="15"/>
                <w:color w:val="auto"/>
              </w:rPr>
            </w:pPr>
          </w:p>
        </w:tc>
        <w:tc>
          <w:tcPr>
            <w:tcW w:w="1080" w:type="dxa"/>
            <w:vAlign w:val="bottom"/>
          </w:tcPr>
          <w:p>
            <w:pPr>
              <w:jc w:val="center"/>
              <w:ind w:right="202"/>
              <w:spacing w:after="0" w:line="180" w:lineRule="exact"/>
              <w:rPr>
                <w:sz w:val="20"/>
                <w:szCs w:val="20"/>
                <w:color w:val="auto"/>
              </w:rPr>
            </w:pPr>
            <w:r>
              <w:rPr>
                <w:rFonts w:ascii="Times New Roman" w:cs="Times New Roman" w:eastAsia="Times New Roman" w:hAnsi="Times New Roman"/>
                <w:sz w:val="16"/>
                <w:szCs w:val="16"/>
                <w:color w:val="auto"/>
                <w:w w:val="96"/>
              </w:rPr>
              <w:t>average</w:t>
            </w: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thousands except per</w:t>
            </w:r>
          </w:p>
        </w:tc>
        <w:tc>
          <w:tcPr>
            <w:tcW w:w="11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9"/>
              </w:rPr>
              <w:t>common</w:t>
            </w:r>
          </w:p>
        </w:tc>
        <w:tc>
          <w:tcPr>
            <w:tcW w:w="300" w:type="dxa"/>
            <w:vAlign w:val="bottom"/>
          </w:tcPr>
          <w:p>
            <w:pPr>
              <w:spacing w:after="0"/>
              <w:rPr>
                <w:sz w:val="15"/>
                <w:szCs w:val="15"/>
                <w:color w:val="auto"/>
              </w:rPr>
            </w:pPr>
          </w:p>
        </w:tc>
        <w:tc>
          <w:tcPr>
            <w:tcW w:w="1180" w:type="dxa"/>
            <w:vAlign w:val="bottom"/>
          </w:tcPr>
          <w:p>
            <w:pPr>
              <w:jc w:val="center"/>
              <w:ind w:right="322"/>
              <w:spacing w:after="0" w:line="180" w:lineRule="exact"/>
              <w:rPr>
                <w:sz w:val="20"/>
                <w:szCs w:val="20"/>
                <w:color w:val="auto"/>
              </w:rPr>
            </w:pPr>
            <w:r>
              <w:rPr>
                <w:rFonts w:ascii="Times New Roman" w:cs="Times New Roman" w:eastAsia="Times New Roman" w:hAnsi="Times New Roman"/>
                <w:sz w:val="16"/>
                <w:szCs w:val="16"/>
                <w:color w:val="auto"/>
                <w:w w:val="97"/>
              </w:rPr>
              <w:t>grant date</w:t>
            </w:r>
          </w:p>
        </w:tc>
        <w:tc>
          <w:tcPr>
            <w:tcW w:w="11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9"/>
              </w:rPr>
              <w:t>common</w:t>
            </w:r>
          </w:p>
        </w:tc>
        <w:tc>
          <w:tcPr>
            <w:tcW w:w="300" w:type="dxa"/>
            <w:vAlign w:val="bottom"/>
          </w:tcPr>
          <w:p>
            <w:pPr>
              <w:spacing w:after="0"/>
              <w:rPr>
                <w:sz w:val="15"/>
                <w:szCs w:val="15"/>
                <w:color w:val="auto"/>
              </w:rPr>
            </w:pPr>
          </w:p>
        </w:tc>
        <w:tc>
          <w:tcPr>
            <w:tcW w:w="1160" w:type="dxa"/>
            <w:vAlign w:val="bottom"/>
          </w:tcPr>
          <w:p>
            <w:pPr>
              <w:jc w:val="center"/>
              <w:ind w:right="322"/>
              <w:spacing w:after="0" w:line="180" w:lineRule="exact"/>
              <w:rPr>
                <w:sz w:val="20"/>
                <w:szCs w:val="20"/>
                <w:color w:val="auto"/>
              </w:rPr>
            </w:pPr>
            <w:r>
              <w:rPr>
                <w:rFonts w:ascii="Times New Roman" w:cs="Times New Roman" w:eastAsia="Times New Roman" w:hAnsi="Times New Roman"/>
                <w:sz w:val="16"/>
                <w:szCs w:val="16"/>
                <w:color w:val="auto"/>
                <w:w w:val="94"/>
              </w:rPr>
              <w:t>grant date</w:t>
            </w:r>
          </w:p>
        </w:tc>
        <w:tc>
          <w:tcPr>
            <w:tcW w:w="11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9"/>
              </w:rPr>
              <w:t>common</w:t>
            </w:r>
          </w:p>
        </w:tc>
        <w:tc>
          <w:tcPr>
            <w:tcW w:w="320" w:type="dxa"/>
            <w:vAlign w:val="bottom"/>
          </w:tcPr>
          <w:p>
            <w:pPr>
              <w:spacing w:after="0"/>
              <w:rPr>
                <w:sz w:val="15"/>
                <w:szCs w:val="15"/>
                <w:color w:val="auto"/>
              </w:rPr>
            </w:pPr>
          </w:p>
        </w:tc>
        <w:tc>
          <w:tcPr>
            <w:tcW w:w="1080" w:type="dxa"/>
            <w:vAlign w:val="bottom"/>
          </w:tcPr>
          <w:p>
            <w:pPr>
              <w:jc w:val="center"/>
              <w:ind w:right="222"/>
              <w:spacing w:after="0" w:line="180" w:lineRule="exact"/>
              <w:rPr>
                <w:sz w:val="20"/>
                <w:szCs w:val="20"/>
                <w:color w:val="auto"/>
              </w:rPr>
            </w:pPr>
            <w:r>
              <w:rPr>
                <w:rFonts w:ascii="Times New Roman" w:cs="Times New Roman" w:eastAsia="Times New Roman" w:hAnsi="Times New Roman"/>
                <w:sz w:val="16"/>
                <w:szCs w:val="16"/>
                <w:color w:val="auto"/>
                <w:w w:val="97"/>
              </w:rPr>
              <w:t>grant date</w:t>
            </w:r>
          </w:p>
        </w:tc>
      </w:tr>
      <w:tr>
        <w:trPr>
          <w:trHeight w:val="19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share data)</w:t>
            </w:r>
          </w:p>
        </w:tc>
        <w:tc>
          <w:tcPr>
            <w:tcW w:w="110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shares</w:t>
            </w:r>
          </w:p>
        </w:tc>
        <w:tc>
          <w:tcPr>
            <w:tcW w:w="300" w:type="dxa"/>
            <w:vAlign w:val="bottom"/>
          </w:tcPr>
          <w:p>
            <w:pPr>
              <w:spacing w:after="0"/>
              <w:rPr>
                <w:sz w:val="16"/>
                <w:szCs w:val="16"/>
                <w:color w:val="auto"/>
              </w:rPr>
            </w:pPr>
          </w:p>
        </w:tc>
        <w:tc>
          <w:tcPr>
            <w:tcW w:w="118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w w:val="95"/>
              </w:rPr>
              <w:t>fair value</w:t>
            </w:r>
          </w:p>
        </w:tc>
        <w:tc>
          <w:tcPr>
            <w:tcW w:w="110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shares</w:t>
            </w:r>
          </w:p>
        </w:tc>
        <w:tc>
          <w:tcPr>
            <w:tcW w:w="300" w:type="dxa"/>
            <w:vAlign w:val="bottom"/>
          </w:tcPr>
          <w:p>
            <w:pPr>
              <w:spacing w:after="0"/>
              <w:rPr>
                <w:sz w:val="16"/>
                <w:szCs w:val="16"/>
                <w:color w:val="auto"/>
              </w:rPr>
            </w:pPr>
          </w:p>
        </w:tc>
        <w:tc>
          <w:tcPr>
            <w:tcW w:w="116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w w:val="98"/>
              </w:rPr>
              <w:t>fair value</w:t>
            </w:r>
          </w:p>
        </w:tc>
        <w:tc>
          <w:tcPr>
            <w:tcW w:w="112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shares</w:t>
            </w:r>
          </w:p>
        </w:tc>
        <w:tc>
          <w:tcPr>
            <w:tcW w:w="320" w:type="dxa"/>
            <w:vAlign w:val="bottom"/>
          </w:tcPr>
          <w:p>
            <w:pPr>
              <w:spacing w:after="0"/>
              <w:rPr>
                <w:sz w:val="16"/>
                <w:szCs w:val="16"/>
                <w:color w:val="auto"/>
              </w:rPr>
            </w:pPr>
          </w:p>
        </w:tc>
        <w:tc>
          <w:tcPr>
            <w:tcW w:w="108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8"/>
              </w:rPr>
              <w:t>fair value</w:t>
            </w:r>
          </w:p>
        </w:tc>
      </w:tr>
      <w:tr>
        <w:trPr>
          <w:trHeight w:val="180"/>
        </w:trPr>
        <w:tc>
          <w:tcPr>
            <w:tcW w:w="2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 beginning of year</w:t>
            </w:r>
          </w:p>
        </w:tc>
        <w:tc>
          <w:tcPr>
            <w:tcW w:w="11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216</w:t>
            </w:r>
          </w:p>
        </w:tc>
        <w:tc>
          <w:tcPr>
            <w:tcW w:w="3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85.21</w:t>
            </w:r>
          </w:p>
        </w:tc>
        <w:tc>
          <w:tcPr>
            <w:tcW w:w="11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3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97.66</w:t>
            </w:r>
          </w:p>
        </w:tc>
        <w:tc>
          <w:tcPr>
            <w:tcW w:w="11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3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82.55</w:t>
            </w: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1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300" w:type="dxa"/>
            <w:vAlign w:val="bottom"/>
          </w:tcPr>
          <w:p>
            <w:pPr>
              <w:spacing w:after="0"/>
              <w:rPr>
                <w:sz w:val="15"/>
                <w:szCs w:val="15"/>
                <w:color w:val="auto"/>
              </w:rPr>
            </w:pPr>
          </w:p>
        </w:tc>
        <w:tc>
          <w:tcPr>
            <w:tcW w:w="1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72.78</w:t>
            </w:r>
          </w:p>
        </w:tc>
        <w:tc>
          <w:tcPr>
            <w:tcW w:w="11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300" w:type="dxa"/>
            <w:vAlign w:val="bottom"/>
          </w:tcPr>
          <w:p>
            <w:pPr>
              <w:spacing w:after="0"/>
              <w:rPr>
                <w:sz w:val="15"/>
                <w:szCs w:val="15"/>
                <w:color w:val="auto"/>
              </w:rPr>
            </w:pPr>
          </w:p>
        </w:tc>
        <w:tc>
          <w:tcPr>
            <w:tcW w:w="11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78.93</w:t>
            </w:r>
          </w:p>
        </w:tc>
        <w:tc>
          <w:tcPr>
            <w:tcW w:w="11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320" w:type="dxa"/>
            <w:vAlign w:val="bottom"/>
          </w:tcPr>
          <w:p>
            <w:pPr>
              <w:spacing w:after="0"/>
              <w:rPr>
                <w:sz w:val="15"/>
                <w:szCs w:val="15"/>
                <w:color w:val="auto"/>
              </w:rPr>
            </w:pP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105.72</w:t>
            </w:r>
          </w:p>
        </w:tc>
      </w:tr>
      <w:tr>
        <w:trPr>
          <w:trHeight w:val="180"/>
        </w:trPr>
        <w:tc>
          <w:tcPr>
            <w:tcW w:w="2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86.26</w:t>
            </w: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97.33</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82.04</w:t>
            </w: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Forfeitures</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300" w:type="dxa"/>
            <w:vAlign w:val="bottom"/>
          </w:tcPr>
          <w:p>
            <w:pPr>
              <w:spacing w:after="0"/>
              <w:rPr>
                <w:sz w:val="15"/>
                <w:szCs w:val="15"/>
                <w:color w:val="auto"/>
              </w:rPr>
            </w:pPr>
          </w:p>
        </w:tc>
        <w:tc>
          <w:tcPr>
            <w:tcW w:w="11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79.12</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5"/>
                <w:szCs w:val="15"/>
                <w:color w:val="auto"/>
              </w:rPr>
            </w:pPr>
          </w:p>
        </w:tc>
        <w:tc>
          <w:tcPr>
            <w:tcW w:w="11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84.96</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320" w:type="dxa"/>
            <w:vAlign w:val="bottom"/>
          </w:tcPr>
          <w:p>
            <w:pPr>
              <w:spacing w:after="0"/>
              <w:rPr>
                <w:sz w:val="15"/>
                <w:szCs w:val="15"/>
                <w:color w:val="auto"/>
              </w:rPr>
            </w:pP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106.25</w:t>
            </w:r>
          </w:p>
        </w:tc>
      </w:tr>
      <w:tr>
        <w:trPr>
          <w:trHeight w:val="220"/>
        </w:trPr>
        <w:tc>
          <w:tcPr>
            <w:tcW w:w="290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Nonvested - end of year</w:t>
            </w:r>
          </w:p>
        </w:tc>
        <w:tc>
          <w:tcPr>
            <w:tcW w:w="1100" w:type="dxa"/>
            <w:vAlign w:val="bottom"/>
            <w:tcBorders>
              <w:bottom w:val="single" w:sz="8" w:color="auto"/>
            </w:tcBorders>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rPr>
              <w:t>218</w:t>
            </w: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78.78</w:t>
            </w:r>
          </w:p>
        </w:tc>
        <w:tc>
          <w:tcPr>
            <w:tcW w:w="1100" w:type="dxa"/>
            <w:vAlign w:val="bottom"/>
            <w:tcBorders>
              <w:bottom w:val="single" w:sz="8" w:color="auto"/>
            </w:tcBorders>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rPr>
              <w:t>216</w:t>
            </w:r>
          </w:p>
        </w:tc>
        <w:tc>
          <w:tcPr>
            <w:tcW w:w="3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rPr>
              <w:t>85.21</w:t>
            </w:r>
          </w:p>
        </w:tc>
        <w:tc>
          <w:tcPr>
            <w:tcW w:w="1120" w:type="dxa"/>
            <w:vAlign w:val="bottom"/>
            <w:tcBorders>
              <w:bottom w:val="single" w:sz="8" w:color="auto"/>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188</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97.66</w:t>
            </w:r>
          </w:p>
        </w:tc>
      </w:tr>
    </w:tbl>
    <w:p>
      <w:pPr>
        <w:spacing w:after="0" w:line="143" w:lineRule="exact"/>
        <w:rPr>
          <w:sz w:val="20"/>
          <w:szCs w:val="20"/>
          <w:color w:val="auto"/>
        </w:rPr>
      </w:pPr>
    </w:p>
    <w:p>
      <w:pPr>
        <w:ind w:right="220" w:firstLine="348"/>
        <w:spacing w:after="0" w:line="247" w:lineRule="auto"/>
        <w:rPr>
          <w:sz w:val="20"/>
          <w:szCs w:val="20"/>
          <w:color w:val="auto"/>
        </w:rPr>
      </w:pPr>
      <w:r>
        <w:rPr>
          <w:rFonts w:ascii="Times New Roman" w:cs="Times New Roman" w:eastAsia="Times New Roman" w:hAnsi="Times New Roman"/>
          <w:sz w:val="16"/>
          <w:szCs w:val="16"/>
          <w:color w:val="auto"/>
        </w:rPr>
        <w:t>The total grant date fair value of nonvested stock awards that vested during 2025, 2024 and 2023 was $10 million, $9 million and $8 million, respectively. As of September 30, 2025, there was $5 million of total unrecognized compensation costs related to nonvested stock awards. That cost is expected to be recognized over a weighted-average period of 1.6 years.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7" w:right="6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i w:val="1"/>
          <w:iCs w:val="1"/>
          <w:color w:val="auto"/>
        </w:rPr>
        <w:t>Cash-settled nonvested stock awards</w:t>
      </w:r>
    </w:p>
    <w:p>
      <w:pPr>
        <w:spacing w:after="0" w:line="94" w:lineRule="exact"/>
        <w:rPr>
          <w:sz w:val="20"/>
          <w:szCs w:val="20"/>
          <w:color w:val="auto"/>
        </w:rPr>
      </w:pPr>
    </w:p>
    <w:p>
      <w:pPr>
        <w:ind w:right="20" w:firstLine="348"/>
        <w:spacing w:after="0" w:line="243" w:lineRule="auto"/>
        <w:rPr>
          <w:sz w:val="20"/>
          <w:szCs w:val="20"/>
          <w:color w:val="auto"/>
        </w:rPr>
      </w:pPr>
      <w:r>
        <w:rPr>
          <w:rFonts w:ascii="Times New Roman" w:cs="Times New Roman" w:eastAsia="Times New Roman" w:hAnsi="Times New Roman"/>
          <w:sz w:val="16"/>
          <w:szCs w:val="16"/>
          <w:color w:val="auto"/>
        </w:rPr>
        <w:t>Certain nonvested stock awards are granted to employees and are settled in cash upon vesting. As of September 30, 2025, 43 thousand cash-settled nonvested stock awards were outstanding. The value of these cash -settled nonvested stock awards changes in connection with changes in the fair market value of the Ashland Common Stock. These awards generally vest over a period of three years. The expense recognized related to cash-settled nonvested stock awards was zero, $2 million, and zero during 2025, 2024 and 2023,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awards</w:t>
      </w:r>
    </w:p>
    <w:p>
      <w:pPr>
        <w:spacing w:after="0" w:line="94" w:lineRule="exact"/>
        <w:rPr>
          <w:sz w:val="20"/>
          <w:szCs w:val="20"/>
          <w:color w:val="auto"/>
        </w:rPr>
      </w:pPr>
    </w:p>
    <w:p>
      <w:pPr>
        <w:ind w:right="60" w:firstLine="348"/>
        <w:spacing w:after="0" w:line="243" w:lineRule="auto"/>
        <w:rPr>
          <w:sz w:val="20"/>
          <w:szCs w:val="20"/>
          <w:color w:val="auto"/>
        </w:rPr>
      </w:pPr>
      <w:r>
        <w:rPr>
          <w:rFonts w:ascii="Times New Roman" w:cs="Times New Roman" w:eastAsia="Times New Roman" w:hAnsi="Times New Roman"/>
          <w:sz w:val="16"/>
          <w:szCs w:val="16"/>
          <w:color w:val="auto"/>
        </w:rPr>
        <w:t>Ashland sponsors a long-term incentive plan that awards performance shares/units to certain key employees that are tied to Ashland’s overall financial performance relative to the financial performance of selected industry peer groups and/or internal targets. Awards are granted annually, with each award covering a three-year measurement period and vesting over a one to three year period. Nonvested performance shares/units do not entitle employees to vote the shares or to receive any dividends thereon.</w:t>
      </w:r>
    </w:p>
    <w:p>
      <w:pPr>
        <w:spacing w:after="0" w:line="71" w:lineRule="exact"/>
        <w:rPr>
          <w:sz w:val="20"/>
          <w:szCs w:val="20"/>
          <w:color w:val="auto"/>
        </w:rPr>
      </w:pPr>
    </w:p>
    <w:p>
      <w:pPr>
        <w:ind w:right="20" w:firstLine="348"/>
        <w:spacing w:after="0" w:line="239" w:lineRule="auto"/>
        <w:rPr>
          <w:sz w:val="20"/>
          <w:szCs w:val="20"/>
          <w:color w:val="auto"/>
        </w:rPr>
      </w:pPr>
      <w:r>
        <w:rPr>
          <w:rFonts w:ascii="Times New Roman" w:cs="Times New Roman" w:eastAsia="Times New Roman" w:hAnsi="Times New Roman"/>
          <w:sz w:val="16"/>
          <w:szCs w:val="16"/>
          <w:color w:val="auto"/>
        </w:rPr>
        <w:t>Each awarded performance share is convertible to one share of Ashland Common Stock and recorded as a component of stockholders’ equity. For fiscal year 2025, performance measures used to determine the actual number of performance shares issuable upon vesting include 60:20:20 weighting of Ashland’s total shareholder return ("TSR") performance, return on net assets ("RONA"), and Ashland’s EPS as compared to internal targets. TSR relative to peers is considered a market condition while EPS and RONA are considered performance conditions in accordance with U.S. GAAP. Beginning in 2025, each award includes a dividend equivalent feature that accrue dividends and are reinvested from the date of grant until the applicable vesting date. If the award is forfeited the employee is not entitled to the accrued reinvested dividends on those awards.</w:t>
      </w:r>
    </w:p>
    <w:p>
      <w:pPr>
        <w:spacing w:after="0" w:line="77" w:lineRule="exact"/>
        <w:rPr>
          <w:sz w:val="20"/>
          <w:szCs w:val="20"/>
          <w:color w:val="auto"/>
        </w:rPr>
      </w:pPr>
    </w:p>
    <w:p>
      <w:pPr>
        <w:jc w:val="both"/>
        <w:ind w:right="80" w:firstLine="348"/>
        <w:spacing w:after="0" w:line="247" w:lineRule="auto"/>
        <w:rPr>
          <w:sz w:val="20"/>
          <w:szCs w:val="20"/>
          <w:color w:val="auto"/>
        </w:rPr>
      </w:pPr>
      <w:r>
        <w:rPr>
          <w:rFonts w:ascii="Times New Roman" w:cs="Times New Roman" w:eastAsia="Times New Roman" w:hAnsi="Times New Roman"/>
          <w:sz w:val="16"/>
          <w:szCs w:val="16"/>
          <w:color w:val="auto"/>
        </w:rPr>
        <w:t>For fiscal years 2024 and 2023, performance measures used to determine the actual number of performance shares issuable upon vesting includes 60:40 weighting of Ashland’s TSR performance and Ashland’s RONA performance as compared to internal targets. TSR relative to peers is considered a market condition while RONA is considered a performance condition in accordance with U.S. GAAP.</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shows the performance shares/units granted: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7"/>
              </w:rPr>
              <w:t>Weighted-</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40" w:type="dxa"/>
            <w:vAlign w:val="bottom"/>
          </w:tcPr>
          <w:p>
            <w:pPr>
              <w:jc w:val="center"/>
              <w:ind w:left="962"/>
              <w:spacing w:after="0" w:line="180" w:lineRule="exact"/>
              <w:rPr>
                <w:sz w:val="20"/>
                <w:szCs w:val="20"/>
                <w:color w:val="auto"/>
              </w:rPr>
            </w:pPr>
            <w:r>
              <w:rPr>
                <w:rFonts w:ascii="Times New Roman" w:cs="Times New Roman" w:eastAsia="Times New Roman" w:hAnsi="Times New Roman"/>
                <w:sz w:val="16"/>
                <w:szCs w:val="16"/>
                <w:color w:val="auto"/>
                <w:w w:val="95"/>
              </w:rPr>
              <w:t>Target</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center"/>
              <w:ind w:right="242"/>
              <w:spacing w:after="0" w:line="180" w:lineRule="exact"/>
              <w:rPr>
                <w:sz w:val="20"/>
                <w:szCs w:val="20"/>
                <w:color w:val="auto"/>
              </w:rPr>
            </w:pPr>
            <w:r>
              <w:rPr>
                <w:rFonts w:ascii="Times New Roman" w:cs="Times New Roman" w:eastAsia="Times New Roman" w:hAnsi="Times New Roman"/>
                <w:sz w:val="16"/>
                <w:szCs w:val="16"/>
                <w:color w:val="auto"/>
                <w:w w:val="96"/>
              </w:rPr>
              <w:t>average</w:t>
            </w:r>
          </w:p>
        </w:tc>
        <w:tc>
          <w:tcPr>
            <w:tcW w:w="0" w:type="dxa"/>
            <w:vAlign w:val="bottom"/>
          </w:tcPr>
          <w:p>
            <w:pPr>
              <w:spacing w:after="0"/>
              <w:rPr>
                <w:sz w:val="1"/>
                <w:szCs w:val="1"/>
                <w:color w:val="auto"/>
              </w:rPr>
            </w:pPr>
          </w:p>
        </w:tc>
      </w:tr>
      <w:tr>
        <w:trPr>
          <w:trHeight w:val="157"/>
        </w:trPr>
        <w:tc>
          <w:tcPr>
            <w:tcW w:w="1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(In thousands except per</w:t>
            </w:r>
          </w:p>
        </w:tc>
        <w:tc>
          <w:tcPr>
            <w:tcW w:w="4180" w:type="dxa"/>
            <w:vAlign w:val="bottom"/>
          </w:tcPr>
          <w:p>
            <w:pPr>
              <w:spacing w:after="0"/>
              <w:rPr>
                <w:sz w:val="13"/>
                <w:szCs w:val="13"/>
                <w:color w:val="auto"/>
              </w:rPr>
            </w:pPr>
          </w:p>
        </w:tc>
        <w:tc>
          <w:tcPr>
            <w:tcW w:w="2040" w:type="dxa"/>
            <w:vAlign w:val="bottom"/>
          </w:tcPr>
          <w:p>
            <w:pPr>
              <w:jc w:val="center"/>
              <w:ind w:left="962"/>
              <w:spacing w:after="0" w:line="157" w:lineRule="exact"/>
              <w:rPr>
                <w:sz w:val="20"/>
                <w:szCs w:val="20"/>
                <w:color w:val="auto"/>
              </w:rPr>
            </w:pPr>
            <w:r>
              <w:rPr>
                <w:rFonts w:ascii="Times New Roman" w:cs="Times New Roman" w:eastAsia="Times New Roman" w:hAnsi="Times New Roman"/>
                <w:sz w:val="16"/>
                <w:szCs w:val="16"/>
                <w:color w:val="auto"/>
                <w:w w:val="95"/>
              </w:rPr>
              <w:t>shares/units</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Pr>
          <w:p>
            <w:pPr>
              <w:jc w:val="center"/>
              <w:ind w:right="242"/>
              <w:spacing w:after="0" w:line="157" w:lineRule="exact"/>
              <w:rPr>
                <w:sz w:val="20"/>
                <w:szCs w:val="20"/>
                <w:color w:val="auto"/>
              </w:rPr>
            </w:pPr>
            <w:r>
              <w:rPr>
                <w:rFonts w:ascii="Times New Roman" w:cs="Times New Roman" w:eastAsia="Times New Roman" w:hAnsi="Times New Roman"/>
                <w:sz w:val="16"/>
                <w:szCs w:val="16"/>
                <w:color w:val="auto"/>
                <w:w w:val="98"/>
              </w:rPr>
              <w:t>fair value per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share data)</w:t>
            </w:r>
          </w:p>
        </w:tc>
        <w:tc>
          <w:tcPr>
            <w:tcW w:w="418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Vesting period</w:t>
            </w:r>
          </w:p>
        </w:tc>
        <w:tc>
          <w:tcPr>
            <w:tcW w:w="2040" w:type="dxa"/>
            <w:vAlign w:val="bottom"/>
          </w:tcPr>
          <w:p>
            <w:pPr>
              <w:jc w:val="center"/>
              <w:ind w:left="962"/>
              <w:spacing w:after="0" w:line="216" w:lineRule="exact"/>
              <w:rPr>
                <w:sz w:val="20"/>
                <w:szCs w:val="20"/>
                <w:color w:val="auto"/>
              </w:rPr>
            </w:pPr>
            <w:r>
              <w:rPr>
                <w:rFonts w:ascii="Times New Roman" w:cs="Times New Roman" w:eastAsia="Times New Roman" w:hAnsi="Times New Roman"/>
                <w:sz w:val="16"/>
                <w:szCs w:val="16"/>
                <w:color w:val="auto"/>
                <w:w w:val="94"/>
              </w:rPr>
              <w:t>granted</w:t>
            </w:r>
            <w:r>
              <w:rPr>
                <w:rFonts w:ascii="Times New Roman" w:cs="Times New Roman" w:eastAsia="Times New Roman" w:hAnsi="Times New Roman"/>
                <w:sz w:val="21"/>
                <w:szCs w:val="21"/>
                <w:color w:val="auto"/>
                <w:w w:val="94"/>
                <w:vertAlign w:val="superscript"/>
              </w:rPr>
              <w:t>(a)</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center"/>
              <w:ind w:right="242"/>
              <w:spacing w:after="0" w:line="216" w:lineRule="exact"/>
              <w:rPr>
                <w:sz w:val="20"/>
                <w:szCs w:val="20"/>
                <w:color w:val="auto"/>
              </w:rPr>
            </w:pPr>
            <w:r>
              <w:rPr>
                <w:rFonts w:ascii="Times New Roman" w:cs="Times New Roman" w:eastAsia="Times New Roman" w:hAnsi="Times New Roman"/>
                <w:sz w:val="16"/>
                <w:szCs w:val="16"/>
                <w:color w:val="auto"/>
                <w:w w:val="91"/>
              </w:rPr>
              <w:t>share/unit</w:t>
            </w:r>
            <w:r>
              <w:rPr>
                <w:rFonts w:ascii="Times New Roman" w:cs="Times New Roman" w:eastAsia="Times New Roman" w:hAnsi="Times New Roman"/>
                <w:sz w:val="21"/>
                <w:szCs w:val="21"/>
                <w:color w:val="auto"/>
                <w:w w:val="91"/>
                <w:vertAlign w:val="superscript"/>
              </w:rPr>
              <w:t>(a)</w:t>
            </w:r>
          </w:p>
        </w:tc>
        <w:tc>
          <w:tcPr>
            <w:tcW w:w="0" w:type="dxa"/>
            <w:vAlign w:val="bottom"/>
          </w:tcPr>
          <w:p>
            <w:pPr>
              <w:spacing w:after="0"/>
              <w:rPr>
                <w:sz w:val="1"/>
                <w:szCs w:val="1"/>
                <w:color w:val="auto"/>
              </w:rPr>
            </w:pPr>
          </w:p>
        </w:tc>
      </w:tr>
      <w:tr>
        <w:trPr>
          <w:trHeight w:val="203"/>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Year 2025</w:t>
            </w:r>
          </w:p>
        </w:tc>
        <w:tc>
          <w:tcPr>
            <w:tcW w:w="418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October 1, 2024 - September 30, 2027</w:t>
            </w:r>
          </w:p>
        </w:tc>
        <w:tc>
          <w:tcPr>
            <w:tcW w:w="204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142</w:t>
            </w:r>
          </w:p>
        </w:tc>
        <w:tc>
          <w:tcPr>
            <w:tcW w:w="380" w:type="dxa"/>
            <w:vAlign w:val="bottom"/>
            <w:vMerge w:val="restart"/>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80.84</w:t>
            </w:r>
          </w:p>
        </w:tc>
        <w:tc>
          <w:tcPr>
            <w:tcW w:w="0" w:type="dxa"/>
            <w:vAlign w:val="bottom"/>
          </w:tcPr>
          <w:p>
            <w:pPr>
              <w:spacing w:after="0"/>
              <w:rPr>
                <w:sz w:val="1"/>
                <w:szCs w:val="1"/>
                <w:color w:val="auto"/>
              </w:rPr>
            </w:pPr>
          </w:p>
        </w:tc>
      </w:tr>
      <w:tr>
        <w:trPr>
          <w:trHeight w:val="97"/>
        </w:trPr>
        <w:tc>
          <w:tcPr>
            <w:tcW w:w="1980" w:type="dxa"/>
            <w:vAlign w:val="bottom"/>
            <w:shd w:val="clear" w:color="auto" w:fill="CFF0FC"/>
          </w:tcPr>
          <w:p>
            <w:pPr>
              <w:spacing w:after="0"/>
              <w:rPr>
                <w:sz w:val="8"/>
                <w:szCs w:val="8"/>
                <w:color w:val="auto"/>
              </w:rPr>
            </w:pPr>
          </w:p>
        </w:tc>
        <w:tc>
          <w:tcPr>
            <w:tcW w:w="4180" w:type="dxa"/>
            <w:vAlign w:val="bottom"/>
            <w:vMerge w:val="continue"/>
            <w:shd w:val="clear" w:color="auto" w:fill="CFF0FC"/>
          </w:tcPr>
          <w:p>
            <w:pPr>
              <w:spacing w:after="0"/>
              <w:rPr>
                <w:sz w:val="8"/>
                <w:szCs w:val="8"/>
                <w:color w:val="auto"/>
              </w:rPr>
            </w:pPr>
          </w:p>
        </w:tc>
        <w:tc>
          <w:tcPr>
            <w:tcW w:w="204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380" w:type="dxa"/>
            <w:vAlign w:val="bottom"/>
            <w:vMerge w:val="continue"/>
            <w:shd w:val="clear" w:color="auto" w:fill="CFF0FC"/>
          </w:tcPr>
          <w:p>
            <w:pPr>
              <w:spacing w:after="0"/>
              <w:rPr>
                <w:sz w:val="8"/>
                <w:szCs w:val="8"/>
                <w:color w:val="auto"/>
              </w:rPr>
            </w:pPr>
          </w:p>
        </w:tc>
        <w:tc>
          <w:tcPr>
            <w:tcW w:w="14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Fiscal Year 2024</w:t>
            </w:r>
          </w:p>
        </w:tc>
        <w:tc>
          <w:tcPr>
            <w:tcW w:w="418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October 1, 2023 - September 30, 2026</w:t>
            </w:r>
          </w:p>
        </w:tc>
        <w:tc>
          <w:tcPr>
            <w:tcW w:w="2040" w:type="dxa"/>
            <w:vAlign w:val="bottom"/>
          </w:tcPr>
          <w:p>
            <w:pPr>
              <w:spacing w:after="0"/>
              <w:rPr>
                <w:sz w:val="15"/>
                <w:szCs w:val="15"/>
                <w:color w:val="auto"/>
              </w:rPr>
            </w:pPr>
          </w:p>
        </w:tc>
        <w:tc>
          <w:tcPr>
            <w:tcW w:w="5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140</w:t>
            </w:r>
          </w:p>
        </w:tc>
        <w:tc>
          <w:tcPr>
            <w:tcW w:w="3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81.29</w:t>
            </w:r>
          </w:p>
        </w:tc>
        <w:tc>
          <w:tcPr>
            <w:tcW w:w="0" w:type="dxa"/>
            <w:vAlign w:val="bottom"/>
          </w:tcPr>
          <w:p>
            <w:pPr>
              <w:spacing w:after="0"/>
              <w:rPr>
                <w:sz w:val="1"/>
                <w:szCs w:val="1"/>
                <w:color w:val="auto"/>
              </w:rPr>
            </w:pPr>
          </w:p>
        </w:tc>
      </w:tr>
      <w:tr>
        <w:trPr>
          <w:trHeight w:val="180"/>
        </w:trPr>
        <w:tc>
          <w:tcPr>
            <w:tcW w:w="1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Fiscal Year 2023</w:t>
            </w:r>
          </w:p>
        </w:tc>
        <w:tc>
          <w:tcPr>
            <w:tcW w:w="4180" w:type="dxa"/>
            <w:vAlign w:val="bottom"/>
            <w:shd w:val="clear" w:color="auto" w:fill="CFF0FC"/>
          </w:tcPr>
          <w:p>
            <w:pPr>
              <w:ind w:left="420"/>
              <w:spacing w:after="0" w:line="180" w:lineRule="exact"/>
              <w:rPr>
                <w:sz w:val="20"/>
                <w:szCs w:val="20"/>
                <w:color w:val="auto"/>
              </w:rPr>
            </w:pPr>
            <w:r>
              <w:rPr>
                <w:rFonts w:ascii="Times New Roman" w:cs="Times New Roman" w:eastAsia="Times New Roman" w:hAnsi="Times New Roman"/>
                <w:sz w:val="16"/>
                <w:szCs w:val="16"/>
                <w:color w:val="auto"/>
              </w:rPr>
              <w:t>October 1, 2022 - September 30, 2025</w:t>
            </w:r>
          </w:p>
        </w:tc>
        <w:tc>
          <w:tcPr>
            <w:tcW w:w="204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3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135.93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3"/>
          <w:szCs w:val="13"/>
          <w:color w:val="auto"/>
        </w:rPr>
        <w:t>(a)At the end of the performance period, the actual number of shares/units awarded can range from zero to 200% of the target shares/units granted, which is assumed to be 100%. Both the shares granted and weighted-average fair value per share/unit are as of the grant date.</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For these awards, the fair value of the performance unit awards is equal to the fair market value of Ashland’s Common Stock as of the end of each reporting period.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cost is recognized over the requisite service period if it is probable that the performance condition will be satisfied.</w:t>
      </w:r>
    </w:p>
    <w:p>
      <w:pPr>
        <w:spacing w:after="0" w:line="74" w:lineRule="exact"/>
        <w:rPr>
          <w:sz w:val="20"/>
          <w:szCs w:val="20"/>
          <w:color w:val="auto"/>
        </w:rPr>
      </w:pPr>
    </w:p>
    <w:p>
      <w:pPr>
        <w:ind w:right="40" w:firstLine="348"/>
        <w:spacing w:after="0" w:line="247" w:lineRule="auto"/>
        <w:rPr>
          <w:sz w:val="20"/>
          <w:szCs w:val="20"/>
          <w:color w:val="auto"/>
        </w:rPr>
      </w:pPr>
      <w:r>
        <w:rPr>
          <w:rFonts w:ascii="Times New Roman" w:cs="Times New Roman" w:eastAsia="Times New Roman" w:hAnsi="Times New Roman"/>
          <w:sz w:val="16"/>
          <w:szCs w:val="16"/>
          <w:color w:val="auto"/>
        </w:rPr>
        <w:t>The fair values of the TSR portion of the performance share awards and TSR modifier of the performance unit awards are calculated using a Monte Carlo simulation valuation model using key assumptions for the years ended September 30, included in the following table. Compensation cost is recognized over the requisite service period regardless of whether the market condition is satisfied.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ind w:left="578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tcPr>
          <w:p>
            <w:pPr>
              <w:spacing w:after="0"/>
              <w:rPr>
                <w:sz w:val="16"/>
                <w:szCs w:val="16"/>
                <w:color w:val="auto"/>
              </w:rPr>
            </w:pPr>
          </w:p>
        </w:tc>
        <w:tc>
          <w:tcPr>
            <w:tcW w:w="1760" w:type="dxa"/>
            <w:vAlign w:val="bottom"/>
          </w:tcPr>
          <w:p>
            <w:pPr>
              <w:jc w:val="right"/>
              <w:ind w:right="1022"/>
              <w:spacing w:after="0"/>
              <w:rPr>
                <w:sz w:val="20"/>
                <w:szCs w:val="20"/>
                <w:color w:val="auto"/>
              </w:rPr>
            </w:pPr>
            <w:r>
              <w:rPr>
                <w:rFonts w:ascii="Times New Roman" w:cs="Times New Roman" w:eastAsia="Times New Roman" w:hAnsi="Times New Roman"/>
                <w:sz w:val="16"/>
                <w:szCs w:val="16"/>
                <w:color w:val="auto"/>
              </w:rPr>
              <w:t>2024</w:t>
            </w:r>
          </w:p>
        </w:tc>
        <w:tc>
          <w:tcPr>
            <w:tcW w:w="154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Risk-free interest rate</w:t>
            </w:r>
          </w:p>
        </w:tc>
        <w:tc>
          <w:tcPr>
            <w:tcW w:w="960" w:type="dxa"/>
            <w:vAlign w:val="bottom"/>
            <w:shd w:val="clear" w:color="auto" w:fill="CFF0FC"/>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4.25%</w:t>
            </w:r>
          </w:p>
        </w:tc>
        <w:tc>
          <w:tcPr>
            <w:tcW w:w="1760" w:type="dxa"/>
            <w:vAlign w:val="bottom"/>
            <w:shd w:val="clear" w:color="auto" w:fill="CFF0FC"/>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1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4.22%</w:t>
            </w:r>
          </w:p>
        </w:tc>
      </w:tr>
      <w:tr>
        <w:trPr>
          <w:trHeight w:val="180"/>
        </w:trPr>
        <w:tc>
          <w:tcPr>
            <w:tcW w:w="6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dividend yield</w:t>
            </w:r>
          </w:p>
        </w:tc>
        <w:tc>
          <w:tcPr>
            <w:tcW w:w="960" w:type="dxa"/>
            <w:vAlign w:val="bottom"/>
          </w:tcPr>
          <w:p>
            <w:pPr>
              <w:jc w:val="right"/>
              <w:ind w:right="282"/>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760" w:type="dxa"/>
            <w:vAlign w:val="bottom"/>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r>
      <w:tr>
        <w:trPr>
          <w:trHeight w:val="180"/>
        </w:trPr>
        <w:tc>
          <w:tcPr>
            <w:tcW w:w="6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Expected life (in years)</w:t>
            </w:r>
          </w:p>
        </w:tc>
        <w:tc>
          <w:tcPr>
            <w:tcW w:w="960" w:type="dxa"/>
            <w:vAlign w:val="bottom"/>
            <w:shd w:val="clear" w:color="auto" w:fill="CFF0FC"/>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760" w:type="dxa"/>
            <w:vAlign w:val="bottom"/>
            <w:shd w:val="clear" w:color="auto" w:fill="CFF0FC"/>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9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27.3%</w:t>
            </w:r>
          </w:p>
        </w:tc>
        <w:tc>
          <w:tcPr>
            <w:tcW w:w="17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26.0%</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599"/>
        </w:trPr>
        <w:tc>
          <w:tcPr>
            <w:tcW w:w="6300" w:type="dxa"/>
            <w:vAlign w:val="bottom"/>
          </w:tcPr>
          <w:p>
            <w:pPr>
              <w:ind w:left="5140"/>
              <w:spacing w:after="0"/>
              <w:rPr>
                <w:sz w:val="20"/>
                <w:szCs w:val="20"/>
                <w:color w:val="auto"/>
              </w:rPr>
            </w:pPr>
            <w:r>
              <w:rPr>
                <w:rFonts w:ascii="Times New Roman" w:cs="Times New Roman" w:eastAsia="Times New Roman" w:hAnsi="Times New Roman"/>
                <w:sz w:val="16"/>
                <w:szCs w:val="16"/>
                <w:color w:val="auto"/>
              </w:rPr>
              <w:t>F-49</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74"/>
        </w:trPr>
        <w:tc>
          <w:tcPr>
            <w:tcW w:w="630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76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7" w:right="660" w:bottom="1440" w:gutter="0" w:footer="0" w:header="0"/>
        </w:sectPr>
      </w:pPr>
    </w:p>
    <w:bookmarkStart w:id="132" w:name="page133"/>
    <w:bookmarkEnd w:id="132"/>
    <w:p>
      <w:pPr>
        <w:ind w:left="360"/>
        <w:spacing w:after="0"/>
        <w:rPr>
          <w:sz w:val="20"/>
          <w:szCs w:val="20"/>
          <w:color w:val="auto"/>
        </w:rPr>
      </w:pPr>
      <w:r>
        <w:rPr>
          <w:rFonts w:ascii="Times New Roman" w:cs="Times New Roman" w:eastAsia="Times New Roman" w:hAnsi="Times New Roman"/>
          <w:sz w:val="16"/>
          <w:szCs w:val="16"/>
          <w:color w:val="auto"/>
        </w:rPr>
        <w:t>The following table shows changes in nonvested performance shares/units for the years ended September 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2025</w:t>
            </w:r>
          </w:p>
        </w:tc>
        <w:tc>
          <w:tcPr>
            <w:tcW w:w="1100" w:type="dxa"/>
            <w:vAlign w:val="bottom"/>
            <w:vMerge w:val="restart"/>
          </w:tcPr>
          <w:p>
            <w:pPr>
              <w:jc w:val="center"/>
              <w:ind w:right="322"/>
              <w:spacing w:after="0"/>
              <w:rPr>
                <w:sz w:val="20"/>
                <w:szCs w:val="20"/>
                <w:color w:val="auto"/>
              </w:rPr>
            </w:pPr>
            <w:r>
              <w:rPr>
                <w:rFonts w:ascii="Times New Roman" w:cs="Times New Roman" w:eastAsia="Times New Roman" w:hAnsi="Times New Roman"/>
                <w:sz w:val="16"/>
                <w:szCs w:val="16"/>
                <w:color w:val="auto"/>
                <w:w w:val="97"/>
              </w:rPr>
              <w:t>Weighted-</w:t>
            </w: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2024</w:t>
            </w:r>
          </w:p>
        </w:tc>
        <w:tc>
          <w:tcPr>
            <w:tcW w:w="1100" w:type="dxa"/>
            <w:vAlign w:val="bottom"/>
            <w:vMerge w:val="restart"/>
          </w:tcPr>
          <w:p>
            <w:pPr>
              <w:jc w:val="center"/>
              <w:ind w:right="322"/>
              <w:spacing w:after="0"/>
              <w:rPr>
                <w:sz w:val="20"/>
                <w:szCs w:val="20"/>
                <w:color w:val="auto"/>
              </w:rPr>
            </w:pPr>
            <w:r>
              <w:rPr>
                <w:rFonts w:ascii="Times New Roman" w:cs="Times New Roman" w:eastAsia="Times New Roman" w:hAnsi="Times New Roman"/>
                <w:sz w:val="16"/>
                <w:szCs w:val="16"/>
                <w:color w:val="auto"/>
                <w:w w:val="97"/>
              </w:rPr>
              <w:t>Weighted-</w:t>
            </w: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2023</w:t>
            </w:r>
          </w:p>
        </w:tc>
        <w:tc>
          <w:tcPr>
            <w:tcW w:w="980" w:type="dxa"/>
            <w:vAlign w:val="bottom"/>
            <w:vMerge w:val="restart"/>
          </w:tcPr>
          <w:p>
            <w:pPr>
              <w:jc w:val="center"/>
              <w:ind w:right="202"/>
              <w:spacing w:after="0"/>
              <w:rPr>
                <w:sz w:val="20"/>
                <w:szCs w:val="20"/>
                <w:color w:val="auto"/>
              </w:rPr>
            </w:pPr>
            <w:r>
              <w:rPr>
                <w:rFonts w:ascii="Times New Roman" w:cs="Times New Roman" w:eastAsia="Times New Roman" w:hAnsi="Times New Roman"/>
                <w:sz w:val="16"/>
                <w:szCs w:val="16"/>
                <w:color w:val="auto"/>
                <w:w w:val="97"/>
              </w:rPr>
              <w:t>Weighted-</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center"/>
              <w:ind w:right="302"/>
              <w:spacing w:after="0" w:line="180" w:lineRule="exact"/>
              <w:rPr>
                <w:sz w:val="20"/>
                <w:szCs w:val="20"/>
                <w:color w:val="auto"/>
              </w:rPr>
            </w:pPr>
            <w:r>
              <w:rPr>
                <w:rFonts w:ascii="Times New Roman" w:cs="Times New Roman" w:eastAsia="Times New Roman" w:hAnsi="Times New Roman"/>
                <w:sz w:val="16"/>
                <w:szCs w:val="16"/>
                <w:color w:val="auto"/>
                <w:w w:val="96"/>
              </w:rPr>
              <w:t>average</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center"/>
              <w:ind w:right="342"/>
              <w:spacing w:after="0" w:line="180" w:lineRule="exact"/>
              <w:rPr>
                <w:sz w:val="20"/>
                <w:szCs w:val="20"/>
                <w:color w:val="auto"/>
              </w:rPr>
            </w:pPr>
            <w:r>
              <w:rPr>
                <w:rFonts w:ascii="Times New Roman" w:cs="Times New Roman" w:eastAsia="Times New Roman" w:hAnsi="Times New Roman"/>
                <w:sz w:val="16"/>
                <w:szCs w:val="16"/>
                <w:color w:val="auto"/>
                <w:w w:val="96"/>
              </w:rPr>
              <w:t>average</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center"/>
              <w:ind w:right="182"/>
              <w:spacing w:after="0" w:line="180" w:lineRule="exact"/>
              <w:rPr>
                <w:sz w:val="20"/>
                <w:szCs w:val="20"/>
                <w:color w:val="auto"/>
              </w:rPr>
            </w:pPr>
            <w:r>
              <w:rPr>
                <w:rFonts w:ascii="Times New Roman" w:cs="Times New Roman" w:eastAsia="Times New Roman" w:hAnsi="Times New Roman"/>
                <w:sz w:val="16"/>
                <w:szCs w:val="16"/>
                <w:color w:val="auto"/>
                <w:w w:val="96"/>
              </w:rPr>
              <w:t>average</w:t>
            </w:r>
          </w:p>
        </w:tc>
        <w:tc>
          <w:tcPr>
            <w:tcW w:w="0" w:type="dxa"/>
            <w:vAlign w:val="bottom"/>
          </w:tcPr>
          <w:p>
            <w:pPr>
              <w:spacing w:after="0"/>
              <w:rPr>
                <w:sz w:val="1"/>
                <w:szCs w:val="1"/>
                <w:color w:val="auto"/>
              </w:rPr>
            </w:pPr>
          </w:p>
        </w:tc>
      </w:tr>
      <w:tr>
        <w:trPr>
          <w:trHeight w:val="180"/>
        </w:trPr>
        <w:tc>
          <w:tcPr>
            <w:tcW w:w="3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thousands except per</w:t>
            </w:r>
          </w:p>
        </w:tc>
        <w:tc>
          <w:tcPr>
            <w:tcW w:w="8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Shares/</w:t>
            </w:r>
          </w:p>
        </w:tc>
        <w:tc>
          <w:tcPr>
            <w:tcW w:w="340" w:type="dxa"/>
            <w:vAlign w:val="bottom"/>
          </w:tcPr>
          <w:p>
            <w:pPr>
              <w:spacing w:after="0"/>
              <w:rPr>
                <w:sz w:val="15"/>
                <w:szCs w:val="15"/>
                <w:color w:val="auto"/>
              </w:rPr>
            </w:pPr>
          </w:p>
        </w:tc>
        <w:tc>
          <w:tcPr>
            <w:tcW w:w="1100" w:type="dxa"/>
            <w:vAlign w:val="bottom"/>
          </w:tcPr>
          <w:p>
            <w:pPr>
              <w:jc w:val="center"/>
              <w:ind w:right="322"/>
              <w:spacing w:after="0" w:line="180" w:lineRule="exact"/>
              <w:rPr>
                <w:sz w:val="20"/>
                <w:szCs w:val="20"/>
                <w:color w:val="auto"/>
              </w:rPr>
            </w:pPr>
            <w:r>
              <w:rPr>
                <w:rFonts w:ascii="Times New Roman" w:cs="Times New Roman" w:eastAsia="Times New Roman" w:hAnsi="Times New Roman"/>
                <w:sz w:val="16"/>
                <w:szCs w:val="16"/>
                <w:color w:val="auto"/>
                <w:w w:val="97"/>
              </w:rPr>
              <w:t>grant date</w:t>
            </w:r>
          </w:p>
        </w:tc>
        <w:tc>
          <w:tcPr>
            <w:tcW w:w="86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Shares/</w:t>
            </w:r>
          </w:p>
        </w:tc>
        <w:tc>
          <w:tcPr>
            <w:tcW w:w="360" w:type="dxa"/>
            <w:vAlign w:val="bottom"/>
          </w:tcPr>
          <w:p>
            <w:pPr>
              <w:spacing w:after="0"/>
              <w:rPr>
                <w:sz w:val="15"/>
                <w:szCs w:val="15"/>
                <w:color w:val="auto"/>
              </w:rPr>
            </w:pPr>
          </w:p>
        </w:tc>
        <w:tc>
          <w:tcPr>
            <w:tcW w:w="1100" w:type="dxa"/>
            <w:vAlign w:val="bottom"/>
          </w:tcPr>
          <w:p>
            <w:pPr>
              <w:jc w:val="center"/>
              <w:ind w:right="322"/>
              <w:spacing w:after="0" w:line="180" w:lineRule="exact"/>
              <w:rPr>
                <w:sz w:val="20"/>
                <w:szCs w:val="20"/>
                <w:color w:val="auto"/>
              </w:rPr>
            </w:pPr>
            <w:r>
              <w:rPr>
                <w:rFonts w:ascii="Times New Roman" w:cs="Times New Roman" w:eastAsia="Times New Roman" w:hAnsi="Times New Roman"/>
                <w:sz w:val="16"/>
                <w:szCs w:val="16"/>
                <w:color w:val="auto"/>
                <w:w w:val="97"/>
              </w:rPr>
              <w:t>grant date</w:t>
            </w:r>
          </w:p>
        </w:tc>
        <w:tc>
          <w:tcPr>
            <w:tcW w:w="86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Shares/</w:t>
            </w:r>
          </w:p>
        </w:tc>
        <w:tc>
          <w:tcPr>
            <w:tcW w:w="360" w:type="dxa"/>
            <w:vAlign w:val="bottom"/>
          </w:tcPr>
          <w:p>
            <w:pPr>
              <w:spacing w:after="0"/>
              <w:rPr>
                <w:sz w:val="15"/>
                <w:szCs w:val="15"/>
                <w:color w:val="auto"/>
              </w:rPr>
            </w:pPr>
          </w:p>
        </w:tc>
        <w:tc>
          <w:tcPr>
            <w:tcW w:w="980" w:type="dxa"/>
            <w:vAlign w:val="bottom"/>
          </w:tcPr>
          <w:p>
            <w:pPr>
              <w:jc w:val="center"/>
              <w:ind w:right="202"/>
              <w:spacing w:after="0" w:line="180" w:lineRule="exact"/>
              <w:rPr>
                <w:sz w:val="20"/>
                <w:szCs w:val="20"/>
                <w:color w:val="auto"/>
              </w:rPr>
            </w:pPr>
            <w:r>
              <w:rPr>
                <w:rFonts w:ascii="Times New Roman" w:cs="Times New Roman" w:eastAsia="Times New Roman" w:hAnsi="Times New Roman"/>
                <w:sz w:val="16"/>
                <w:szCs w:val="16"/>
                <w:color w:val="auto"/>
                <w:w w:val="97"/>
              </w:rPr>
              <w:t>grant date</w:t>
            </w: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share data)</w:t>
            </w:r>
          </w:p>
        </w:tc>
        <w:tc>
          <w:tcPr>
            <w:tcW w:w="8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Units</w:t>
            </w:r>
          </w:p>
        </w:tc>
        <w:tc>
          <w:tcPr>
            <w:tcW w:w="340" w:type="dxa"/>
            <w:vAlign w:val="bottom"/>
          </w:tcPr>
          <w:p>
            <w:pPr>
              <w:spacing w:after="0"/>
              <w:rPr>
                <w:sz w:val="16"/>
                <w:szCs w:val="16"/>
                <w:color w:val="auto"/>
              </w:rPr>
            </w:pPr>
          </w:p>
        </w:tc>
        <w:tc>
          <w:tcPr>
            <w:tcW w:w="1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8"/>
              </w:rPr>
              <w:t>fair value</w:t>
            </w: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Units</w:t>
            </w:r>
          </w:p>
        </w:tc>
        <w:tc>
          <w:tcPr>
            <w:tcW w:w="360" w:type="dxa"/>
            <w:vAlign w:val="bottom"/>
          </w:tcPr>
          <w:p>
            <w:pPr>
              <w:spacing w:after="0"/>
              <w:rPr>
                <w:sz w:val="16"/>
                <w:szCs w:val="16"/>
                <w:color w:val="auto"/>
              </w:rPr>
            </w:pPr>
          </w:p>
        </w:tc>
        <w:tc>
          <w:tcPr>
            <w:tcW w:w="110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w w:val="95"/>
              </w:rPr>
              <w:t>fair value</w:t>
            </w:r>
          </w:p>
        </w:tc>
        <w:tc>
          <w:tcPr>
            <w:tcW w:w="86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Units</w:t>
            </w:r>
          </w:p>
        </w:tc>
        <w:tc>
          <w:tcPr>
            <w:tcW w:w="360" w:type="dxa"/>
            <w:vAlign w:val="bottom"/>
          </w:tcPr>
          <w:p>
            <w:pPr>
              <w:spacing w:after="0"/>
              <w:rPr>
                <w:sz w:val="16"/>
                <w:szCs w:val="16"/>
                <w:color w:val="auto"/>
              </w:rPr>
            </w:pPr>
          </w:p>
        </w:tc>
        <w:tc>
          <w:tcPr>
            <w:tcW w:w="98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8"/>
              </w:rPr>
              <w:t>fair value</w:t>
            </w:r>
          </w:p>
        </w:tc>
        <w:tc>
          <w:tcPr>
            <w:tcW w:w="0" w:type="dxa"/>
            <w:vAlign w:val="bottom"/>
          </w:tcPr>
          <w:p>
            <w:pPr>
              <w:spacing w:after="0"/>
              <w:rPr>
                <w:sz w:val="1"/>
                <w:szCs w:val="1"/>
                <w:color w:val="auto"/>
              </w:rPr>
            </w:pP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Nonvested - beginning of year</w:t>
            </w: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3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111.16</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3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118.43</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310</w:t>
            </w:r>
          </w:p>
        </w:tc>
        <w:tc>
          <w:tcPr>
            <w:tcW w:w="3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105.78</w:t>
            </w:r>
          </w:p>
        </w:tc>
        <w:tc>
          <w:tcPr>
            <w:tcW w:w="0" w:type="dxa"/>
            <w:vAlign w:val="bottom"/>
          </w:tcPr>
          <w:p>
            <w:pPr>
              <w:spacing w:after="0"/>
              <w:rPr>
                <w:sz w:val="1"/>
                <w:szCs w:val="1"/>
                <w:color w:val="auto"/>
              </w:rPr>
            </w:pPr>
          </w:p>
        </w:tc>
      </w:tr>
      <w:tr>
        <w:trPr>
          <w:trHeight w:val="180"/>
        </w:trPr>
        <w:tc>
          <w:tcPr>
            <w:tcW w:w="3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142</w:t>
            </w:r>
          </w:p>
        </w:tc>
        <w:tc>
          <w:tcPr>
            <w:tcW w:w="340" w:type="dxa"/>
            <w:vAlign w:val="bottom"/>
          </w:tcPr>
          <w:p>
            <w:pPr>
              <w:spacing w:after="0"/>
              <w:rPr>
                <w:sz w:val="15"/>
                <w:szCs w:val="15"/>
                <w:color w:val="auto"/>
              </w:rPr>
            </w:pPr>
          </w:p>
        </w:tc>
        <w:tc>
          <w:tcPr>
            <w:tcW w:w="11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80.84</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141</w:t>
            </w:r>
          </w:p>
        </w:tc>
        <w:tc>
          <w:tcPr>
            <w:tcW w:w="360" w:type="dxa"/>
            <w:vAlign w:val="bottom"/>
          </w:tcPr>
          <w:p>
            <w:pPr>
              <w:spacing w:after="0"/>
              <w:rPr>
                <w:sz w:val="15"/>
                <w:szCs w:val="15"/>
                <w:color w:val="auto"/>
              </w:rPr>
            </w:pPr>
          </w:p>
        </w:tc>
        <w:tc>
          <w:tcPr>
            <w:tcW w:w="11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81.29</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135.95</w:t>
            </w:r>
          </w:p>
        </w:tc>
        <w:tc>
          <w:tcPr>
            <w:tcW w:w="0" w:type="dxa"/>
            <w:vAlign w:val="bottom"/>
          </w:tcPr>
          <w:p>
            <w:pPr>
              <w:spacing w:after="0"/>
              <w:rPr>
                <w:sz w:val="1"/>
                <w:szCs w:val="1"/>
                <w:color w:val="auto"/>
              </w:rPr>
            </w:pP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Reinvested dividends</w:t>
            </w:r>
          </w:p>
        </w:tc>
        <w:tc>
          <w:tcPr>
            <w:tcW w:w="8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0"/>
        </w:trPr>
        <w:tc>
          <w:tcPr>
            <w:tcW w:w="3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340" w:type="dxa"/>
            <w:vAlign w:val="bottom"/>
          </w:tcPr>
          <w:p>
            <w:pPr>
              <w:spacing w:after="0"/>
              <w:rPr>
                <w:sz w:val="15"/>
                <w:szCs w:val="15"/>
                <w:color w:val="auto"/>
              </w:rPr>
            </w:pPr>
          </w:p>
        </w:tc>
        <w:tc>
          <w:tcPr>
            <w:tcW w:w="11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150.71</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360" w:type="dxa"/>
            <w:vAlign w:val="bottom"/>
          </w:tcPr>
          <w:p>
            <w:pPr>
              <w:spacing w:after="0"/>
              <w:rPr>
                <w:sz w:val="15"/>
                <w:szCs w:val="15"/>
                <w:color w:val="auto"/>
              </w:rPr>
            </w:pPr>
          </w:p>
        </w:tc>
        <w:tc>
          <w:tcPr>
            <w:tcW w:w="11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91.77</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84.33</w:t>
            </w:r>
          </w:p>
        </w:tc>
        <w:tc>
          <w:tcPr>
            <w:tcW w:w="0" w:type="dxa"/>
            <w:vAlign w:val="bottom"/>
          </w:tcPr>
          <w:p>
            <w:pPr>
              <w:spacing w:after="0"/>
              <w:rPr>
                <w:sz w:val="1"/>
                <w:szCs w:val="1"/>
                <w:color w:val="auto"/>
              </w:rPr>
            </w:pP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Forfeitures</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106.61</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3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108.50</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94.53</w:t>
            </w:r>
          </w:p>
        </w:tc>
        <w:tc>
          <w:tcPr>
            <w:tcW w:w="0" w:type="dxa"/>
            <w:vAlign w:val="bottom"/>
          </w:tcPr>
          <w:p>
            <w:pPr>
              <w:spacing w:after="0"/>
              <w:rPr>
                <w:sz w:val="1"/>
                <w:szCs w:val="1"/>
                <w:color w:val="auto"/>
              </w:rPr>
            </w:pPr>
          </w:p>
        </w:tc>
      </w:tr>
      <w:tr>
        <w:trPr>
          <w:trHeight w:val="180"/>
        </w:trPr>
        <w:tc>
          <w:tcPr>
            <w:tcW w:w="376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Nonvested - end of year</w:t>
            </w:r>
          </w:p>
        </w:tc>
        <w:tc>
          <w:tcPr>
            <w:tcW w:w="840" w:type="dxa"/>
            <w:vAlign w:val="bottom"/>
            <w:tcBorders>
              <w:bottom w:val="single" w:sz="8" w:color="auto"/>
            </w:tcBorders>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rPr>
              <w:t>319</w:t>
            </w:r>
          </w:p>
        </w:tc>
        <w:tc>
          <w:tcPr>
            <w:tcW w:w="340" w:type="dxa"/>
            <w:vAlign w:val="bottom"/>
          </w:tcPr>
          <w:p>
            <w:pPr>
              <w:spacing w:after="0"/>
              <w:rPr>
                <w:sz w:val="15"/>
                <w:szCs w:val="15"/>
                <w:color w:val="auto"/>
              </w:rPr>
            </w:pPr>
          </w:p>
        </w:tc>
        <w:tc>
          <w:tcPr>
            <w:tcW w:w="1100" w:type="dxa"/>
            <w:vAlign w:val="bottom"/>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rPr>
              <w:t>94.41</w:t>
            </w:r>
          </w:p>
        </w:tc>
        <w:tc>
          <w:tcPr>
            <w:tcW w:w="860" w:type="dxa"/>
            <w:vAlign w:val="bottom"/>
            <w:tcBorders>
              <w:bottom w:val="single" w:sz="8" w:color="auto"/>
            </w:tcBorders>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289</w:t>
            </w:r>
          </w:p>
        </w:tc>
        <w:tc>
          <w:tcPr>
            <w:tcW w:w="360" w:type="dxa"/>
            <w:vAlign w:val="bottom"/>
          </w:tcPr>
          <w:p>
            <w:pPr>
              <w:spacing w:after="0"/>
              <w:rPr>
                <w:sz w:val="15"/>
                <w:szCs w:val="15"/>
                <w:color w:val="auto"/>
              </w:rPr>
            </w:pPr>
          </w:p>
        </w:tc>
        <w:tc>
          <w:tcPr>
            <w:tcW w:w="1100" w:type="dxa"/>
            <w:vAlign w:val="bottom"/>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rPr>
              <w:t>111.16</w:t>
            </w:r>
          </w:p>
        </w:tc>
        <w:tc>
          <w:tcPr>
            <w:tcW w:w="860" w:type="dxa"/>
            <w:vAlign w:val="bottom"/>
            <w:tcBorders>
              <w:bottom w:val="single" w:sz="8" w:color="auto"/>
            </w:tcBorders>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287</w:t>
            </w:r>
          </w:p>
        </w:tc>
        <w:tc>
          <w:tcPr>
            <w:tcW w:w="360" w:type="dxa"/>
            <w:vAlign w:val="bottom"/>
          </w:tcPr>
          <w:p>
            <w:pPr>
              <w:spacing w:after="0"/>
              <w:rPr>
                <w:sz w:val="15"/>
                <w:szCs w:val="15"/>
                <w:color w:val="auto"/>
              </w:rPr>
            </w:pPr>
          </w:p>
        </w:tc>
        <w:tc>
          <w:tcPr>
            <w:tcW w:w="98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118.43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right="540" w:firstLine="348"/>
        <w:spacing w:after="0" w:line="259" w:lineRule="auto"/>
        <w:rPr>
          <w:sz w:val="20"/>
          <w:szCs w:val="20"/>
          <w:color w:val="auto"/>
        </w:rPr>
      </w:pPr>
      <w:r>
        <w:rPr>
          <w:rFonts w:ascii="Times New Roman" w:cs="Times New Roman" w:eastAsia="Times New Roman" w:hAnsi="Times New Roman"/>
          <w:sz w:val="16"/>
          <w:szCs w:val="16"/>
          <w:color w:val="auto"/>
        </w:rPr>
        <w:t>As of September 30, 2025, there was $5 million of total unrecognized compensation costs related to nonvested performance share/unit awards. That cost is expected to be recognized over a weighted-average period of approximately 1.9 years.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P –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 receivables</w:t>
      </w:r>
    </w:p>
    <w:p>
      <w:pPr>
        <w:spacing w:after="0" w:line="94" w:lineRule="exact"/>
        <w:rPr>
          <w:sz w:val="20"/>
          <w:szCs w:val="20"/>
          <w:color w:val="auto"/>
        </w:rPr>
      </w:pPr>
    </w:p>
    <w:p>
      <w:pPr>
        <w:jc w:val="both"/>
        <w:ind w:right="540" w:firstLine="348"/>
        <w:spacing w:after="0" w:line="299" w:lineRule="auto"/>
        <w:rPr>
          <w:sz w:val="20"/>
          <w:szCs w:val="20"/>
          <w:color w:val="auto"/>
        </w:rPr>
      </w:pPr>
      <w:r>
        <w:rPr>
          <w:rFonts w:ascii="Times New Roman" w:cs="Times New Roman" w:eastAsia="Times New Roman" w:hAnsi="Times New Roman"/>
          <w:sz w:val="14"/>
          <w:szCs w:val="14"/>
          <w:color w:val="auto"/>
        </w:rPr>
        <w:t>Trade receivables are defined as receivables arising from contracts with customers and are recorded within the accounts receivable, net caption within the Consolidated Balance Sheets. Ashland’s trade receivables were $200 million and $ 206 million as of September 30, 2025 and 2024, respectively. See Note H for additional information on Ashland's program to sell certain accounts receivable on a revolving basis to third party banks up to an aggregate purchase limit.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p>
      <w:pPr>
        <w:spacing w:after="0" w:line="94" w:lineRule="exact"/>
        <w:rPr>
          <w:sz w:val="20"/>
          <w:szCs w:val="20"/>
          <w:color w:val="auto"/>
        </w:rPr>
      </w:pPr>
    </w:p>
    <w:p>
      <w:pPr>
        <w:ind w:firstLine="348"/>
        <w:spacing w:after="0" w:line="243" w:lineRule="auto"/>
        <w:rPr>
          <w:sz w:val="20"/>
          <w:szCs w:val="20"/>
          <w:color w:val="auto"/>
        </w:rPr>
      </w:pPr>
      <w:r>
        <w:rPr>
          <w:rFonts w:ascii="Times New Roman" w:cs="Times New Roman" w:eastAsia="Times New Roman" w:hAnsi="Times New Roman"/>
          <w:sz w:val="16"/>
          <w:szCs w:val="16"/>
          <w:color w:val="auto"/>
        </w:rPr>
        <w:t>Ashland disaggregates its revenue from contracts with customers by reportable segment and geographical region, as Ashland believes these categories best depict how management reviews the financial performance of its operations for the years ended September 30, 2025, 2024 and 2023. Ashland includes only U.S. and Canada in its North America designation and includes Europe, the Middle East and Africa in its Europe designation. See the following tables for details (Intersegment sales eliminations have been excluded, see Note Q for additional information) for the years ended September 30:</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3200" w:type="dxa"/>
            <w:vAlign w:val="bottom"/>
            <w:gridSpan w:val="2"/>
          </w:tcPr>
          <w:p>
            <w:pPr>
              <w:jc w:val="center"/>
              <w:ind w:left="1142"/>
              <w:spacing w:after="0"/>
              <w:rPr>
                <w:sz w:val="20"/>
                <w:szCs w:val="20"/>
                <w:color w:val="auto"/>
              </w:rPr>
            </w:pPr>
            <w:r>
              <w:rPr>
                <w:rFonts w:ascii="Times New Roman" w:cs="Times New Roman" w:eastAsia="Times New Roman" w:hAnsi="Times New Roman"/>
                <w:sz w:val="16"/>
                <w:szCs w:val="16"/>
                <w:color w:val="auto"/>
                <w:w w:val="97"/>
              </w:rPr>
              <w:t>Sales by geography</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millions)</w:t>
            </w:r>
          </w:p>
        </w:tc>
        <w:tc>
          <w:tcPr>
            <w:tcW w:w="320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540" w:type="dxa"/>
            <w:vAlign w:val="bottom"/>
          </w:tcPr>
          <w:p>
            <w:pPr>
              <w:spacing w:after="0"/>
              <w:rPr>
                <w:sz w:val="15"/>
                <w:szCs w:val="15"/>
                <w:color w:val="auto"/>
              </w:rPr>
            </w:pPr>
          </w:p>
        </w:tc>
        <w:tc>
          <w:tcPr>
            <w:tcW w:w="140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22"/>
              <w:spacing w:after="0" w:line="180" w:lineRule="exact"/>
              <w:rPr>
                <w:sz w:val="20"/>
                <w:szCs w:val="20"/>
                <w:color w:val="auto"/>
              </w:rPr>
            </w:pPr>
            <w:r>
              <w:rPr>
                <w:rFonts w:ascii="Times New Roman" w:cs="Times New Roman" w:eastAsia="Times New Roman" w:hAnsi="Times New Roman"/>
                <w:sz w:val="16"/>
                <w:szCs w:val="16"/>
                <w:color w:val="auto"/>
              </w:rPr>
              <w:t>2023</w:t>
            </w:r>
          </w:p>
        </w:tc>
      </w:tr>
      <w:tr>
        <w:trPr>
          <w:trHeight w:val="193"/>
        </w:trPr>
        <w:tc>
          <w:tcPr>
            <w:tcW w:w="3020" w:type="dxa"/>
            <w:vAlign w:val="bottom"/>
          </w:tcPr>
          <w:p>
            <w:pPr>
              <w:spacing w:after="0"/>
              <w:rPr>
                <w:sz w:val="16"/>
                <w:szCs w:val="16"/>
                <w:color w:val="auto"/>
              </w:rPr>
            </w:pPr>
          </w:p>
        </w:tc>
        <w:tc>
          <w:tcPr>
            <w:tcW w:w="3200" w:type="dxa"/>
            <w:vAlign w:val="bottom"/>
            <w:gridSpan w:val="2"/>
          </w:tcPr>
          <w:p>
            <w:pPr>
              <w:jc w:val="center"/>
              <w:ind w:left="1162"/>
              <w:spacing w:after="0"/>
              <w:rPr>
                <w:sz w:val="20"/>
                <w:szCs w:val="20"/>
                <w:color w:val="auto"/>
              </w:rPr>
            </w:pPr>
            <w:r>
              <w:rPr>
                <w:rFonts w:ascii="Times New Roman" w:cs="Times New Roman" w:eastAsia="Times New Roman" w:hAnsi="Times New Roman"/>
                <w:sz w:val="16"/>
                <w:szCs w:val="16"/>
                <w:color w:val="auto"/>
                <w:w w:val="96"/>
              </w:rPr>
              <w:t>Life Sciences</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0"/>
        </w:trPr>
        <w:tc>
          <w:tcPr>
            <w:tcW w:w="3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North America</w:t>
            </w:r>
          </w:p>
        </w:tc>
        <w:tc>
          <w:tcPr>
            <w:tcW w:w="32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4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6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228</w:t>
            </w: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269</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305</w:t>
            </w:r>
          </w:p>
        </w:tc>
      </w:tr>
      <w:tr>
        <w:trPr>
          <w:trHeight w:val="180"/>
        </w:trPr>
        <w:tc>
          <w:tcPr>
            <w:tcW w:w="3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Asia Pacific</w:t>
            </w:r>
          </w:p>
        </w:tc>
        <w:tc>
          <w:tcPr>
            <w:tcW w:w="20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233</w:t>
            </w: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Latin America &amp; other</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103</w:t>
            </w:r>
          </w:p>
        </w:tc>
      </w:tr>
      <w:tr>
        <w:trPr>
          <w:trHeight w:val="220"/>
        </w:trPr>
        <w:tc>
          <w:tcPr>
            <w:tcW w:w="302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14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810</w:t>
            </w:r>
          </w:p>
        </w:tc>
        <w:tc>
          <w:tcPr>
            <w:tcW w:w="6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869</w:t>
            </w:r>
          </w:p>
        </w:tc>
      </w:tr>
      <w:tr>
        <w:trPr>
          <w:trHeight w:val="323"/>
        </w:trPr>
        <w:tc>
          <w:tcPr>
            <w:tcW w:w="3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6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rPr>
              <w:t>2023</w:t>
            </w:r>
          </w:p>
        </w:tc>
      </w:tr>
      <w:tr>
        <w:trPr>
          <w:trHeight w:val="193"/>
        </w:trPr>
        <w:tc>
          <w:tcPr>
            <w:tcW w:w="3020" w:type="dxa"/>
            <w:vAlign w:val="bottom"/>
          </w:tcPr>
          <w:p>
            <w:pPr>
              <w:spacing w:after="0"/>
              <w:rPr>
                <w:sz w:val="16"/>
                <w:szCs w:val="16"/>
                <w:color w:val="auto"/>
              </w:rPr>
            </w:pPr>
          </w:p>
        </w:tc>
        <w:tc>
          <w:tcPr>
            <w:tcW w:w="3200" w:type="dxa"/>
            <w:vAlign w:val="bottom"/>
            <w:gridSpan w:val="2"/>
          </w:tcPr>
          <w:p>
            <w:pPr>
              <w:jc w:val="center"/>
              <w:ind w:left="1162"/>
              <w:spacing w:after="0"/>
              <w:rPr>
                <w:sz w:val="20"/>
                <w:szCs w:val="20"/>
                <w:color w:val="auto"/>
              </w:rPr>
            </w:pPr>
            <w:r>
              <w:rPr>
                <w:rFonts w:ascii="Times New Roman" w:cs="Times New Roman" w:eastAsia="Times New Roman" w:hAnsi="Times New Roman"/>
                <w:sz w:val="16"/>
                <w:szCs w:val="16"/>
                <w:color w:val="auto"/>
                <w:w w:val="98"/>
              </w:rPr>
              <w:t>Personal Care</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0"/>
        </w:trPr>
        <w:tc>
          <w:tcPr>
            <w:tcW w:w="3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North America</w:t>
            </w:r>
          </w:p>
        </w:tc>
        <w:tc>
          <w:tcPr>
            <w:tcW w:w="32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14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6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176</w:t>
            </w: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219</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233</w:t>
            </w:r>
          </w:p>
        </w:tc>
      </w:tr>
      <w:tr>
        <w:trPr>
          <w:trHeight w:val="30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06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5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128</w:t>
            </w: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128</w:t>
            </w:r>
          </w:p>
        </w:tc>
        <w:tc>
          <w:tcPr>
            <w:tcW w:w="24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105</w:t>
            </w: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Latin America &amp; other</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84</w:t>
            </w:r>
          </w:p>
        </w:tc>
      </w:tr>
      <w:tr>
        <w:trPr>
          <w:trHeight w:val="220"/>
        </w:trPr>
        <w:tc>
          <w:tcPr>
            <w:tcW w:w="302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577</w:t>
            </w:r>
          </w:p>
        </w:tc>
        <w:tc>
          <w:tcPr>
            <w:tcW w:w="14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634</w:t>
            </w:r>
          </w:p>
        </w:tc>
        <w:tc>
          <w:tcPr>
            <w:tcW w:w="6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598</w:t>
            </w:r>
          </w:p>
        </w:tc>
      </w:tr>
      <w:tr>
        <w:trPr>
          <w:trHeight w:val="359"/>
        </w:trPr>
        <w:tc>
          <w:tcPr>
            <w:tcW w:w="3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6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rPr>
              <w:t>2023</w:t>
            </w:r>
          </w:p>
        </w:tc>
      </w:tr>
      <w:tr>
        <w:trPr>
          <w:trHeight w:val="193"/>
        </w:trPr>
        <w:tc>
          <w:tcPr>
            <w:tcW w:w="3020" w:type="dxa"/>
            <w:vAlign w:val="bottom"/>
          </w:tcPr>
          <w:p>
            <w:pPr>
              <w:spacing w:after="0"/>
              <w:rPr>
                <w:sz w:val="16"/>
                <w:szCs w:val="16"/>
                <w:color w:val="auto"/>
              </w:rPr>
            </w:pPr>
          </w:p>
        </w:tc>
        <w:tc>
          <w:tcPr>
            <w:tcW w:w="3200" w:type="dxa"/>
            <w:vAlign w:val="bottom"/>
            <w:gridSpan w:val="2"/>
          </w:tcPr>
          <w:p>
            <w:pPr>
              <w:jc w:val="center"/>
              <w:ind w:left="1162"/>
              <w:spacing w:after="0"/>
              <w:rPr>
                <w:sz w:val="20"/>
                <w:szCs w:val="20"/>
                <w:color w:val="auto"/>
              </w:rPr>
            </w:pPr>
            <w:r>
              <w:rPr>
                <w:rFonts w:ascii="Times New Roman" w:cs="Times New Roman" w:eastAsia="Times New Roman" w:hAnsi="Times New Roman"/>
                <w:sz w:val="16"/>
                <w:szCs w:val="16"/>
                <w:color w:val="auto"/>
                <w:w w:val="98"/>
              </w:rPr>
              <w:t>Specialty Additives</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0"/>
        </w:trPr>
        <w:tc>
          <w:tcPr>
            <w:tcW w:w="3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North America</w:t>
            </w:r>
          </w:p>
        </w:tc>
        <w:tc>
          <w:tcPr>
            <w:tcW w:w="32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177</w:t>
            </w:r>
          </w:p>
        </w:tc>
        <w:tc>
          <w:tcPr>
            <w:tcW w:w="14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6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203</w:t>
            </w: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214</w:t>
            </w:r>
          </w:p>
        </w:tc>
      </w:tr>
      <w:tr>
        <w:trPr>
          <w:trHeight w:val="180"/>
        </w:trPr>
        <w:tc>
          <w:tcPr>
            <w:tcW w:w="3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Asia Pacific</w:t>
            </w:r>
          </w:p>
        </w:tc>
        <w:tc>
          <w:tcPr>
            <w:tcW w:w="20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153</w:t>
            </w: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Latin America &amp; other</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220"/>
        </w:trPr>
        <w:tc>
          <w:tcPr>
            <w:tcW w:w="302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511</w:t>
            </w:r>
          </w:p>
        </w:tc>
        <w:tc>
          <w:tcPr>
            <w:tcW w:w="14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572</w:t>
            </w:r>
          </w:p>
        </w:tc>
        <w:tc>
          <w:tcPr>
            <w:tcW w:w="6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600</w:t>
            </w:r>
          </w:p>
        </w:tc>
      </w:tr>
      <w:tr>
        <w:trPr>
          <w:trHeight w:val="359"/>
        </w:trPr>
        <w:tc>
          <w:tcPr>
            <w:tcW w:w="3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6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rPr>
              <w:t>2023</w:t>
            </w:r>
          </w:p>
        </w:tc>
      </w:tr>
      <w:tr>
        <w:trPr>
          <w:trHeight w:val="193"/>
        </w:trPr>
        <w:tc>
          <w:tcPr>
            <w:tcW w:w="3020" w:type="dxa"/>
            <w:vAlign w:val="bottom"/>
          </w:tcPr>
          <w:p>
            <w:pPr>
              <w:spacing w:after="0"/>
              <w:rPr>
                <w:sz w:val="16"/>
                <w:szCs w:val="16"/>
                <w:color w:val="auto"/>
              </w:rPr>
            </w:pPr>
          </w:p>
        </w:tc>
        <w:tc>
          <w:tcPr>
            <w:tcW w:w="3200" w:type="dxa"/>
            <w:vAlign w:val="bottom"/>
            <w:gridSpan w:val="2"/>
          </w:tcPr>
          <w:p>
            <w:pPr>
              <w:jc w:val="center"/>
              <w:ind w:left="1162"/>
              <w:spacing w:after="0"/>
              <w:rPr>
                <w:sz w:val="20"/>
                <w:szCs w:val="20"/>
                <w:color w:val="auto"/>
              </w:rPr>
            </w:pPr>
            <w:r>
              <w:rPr>
                <w:rFonts w:ascii="Times New Roman" w:cs="Times New Roman" w:eastAsia="Times New Roman" w:hAnsi="Times New Roman"/>
                <w:sz w:val="16"/>
                <w:szCs w:val="16"/>
                <w:color w:val="auto"/>
                <w:w w:val="96"/>
              </w:rPr>
              <w:t>Intermediates</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0"/>
        </w:trPr>
        <w:tc>
          <w:tcPr>
            <w:tcW w:w="3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North America</w:t>
            </w:r>
          </w:p>
        </w:tc>
        <w:tc>
          <w:tcPr>
            <w:tcW w:w="32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4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6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128</w:t>
            </w: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27</w:t>
            </w:r>
          </w:p>
        </w:tc>
      </w:tr>
      <w:tr>
        <w:trPr>
          <w:trHeight w:val="180"/>
        </w:trPr>
        <w:tc>
          <w:tcPr>
            <w:tcW w:w="3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Asia Pacific</w:t>
            </w:r>
          </w:p>
        </w:tc>
        <w:tc>
          <w:tcPr>
            <w:tcW w:w="20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Latin America &amp; other</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200"/>
        </w:trPr>
        <w:tc>
          <w:tcPr>
            <w:tcW w:w="302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400" w:type="dxa"/>
            <w:vAlign w:val="bottom"/>
            <w:gridSpan w:val="2"/>
            <w:shd w:val="clear" w:color="auto" w:fill="CFF0FC"/>
          </w:tcPr>
          <w:p>
            <w:pPr>
              <w:jc w:val="right"/>
              <w:ind w:right="9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6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185</w:t>
            </w: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Ashland has two product categories that represented 10% or greater of Ashland's total consolidated sales, which were cellulosics and polyvinylprrolidones (PVP).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percentage of Ashland's total consolidated sales by product: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3980" w:type="dxa"/>
            <w:vAlign w:val="bottom"/>
            <w:gridSpan w:val="2"/>
          </w:tcPr>
          <w:p>
            <w:pPr>
              <w:jc w:val="right"/>
              <w:ind w:right="902"/>
              <w:spacing w:after="0"/>
              <w:rPr>
                <w:sz w:val="20"/>
                <w:szCs w:val="20"/>
                <w:color w:val="auto"/>
              </w:rPr>
            </w:pPr>
            <w:r>
              <w:rPr>
                <w:rFonts w:ascii="Times New Roman" w:cs="Times New Roman" w:eastAsia="Times New Roman" w:hAnsi="Times New Roman"/>
                <w:sz w:val="16"/>
                <w:szCs w:val="16"/>
                <w:color w:val="auto"/>
              </w:rPr>
              <w:t>Sales by product</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398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auto"/>
              </w:rPr>
              <w:t>2025</w:t>
            </w:r>
          </w:p>
        </w:tc>
        <w:tc>
          <w:tcPr>
            <w:tcW w:w="192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auto"/>
              </w:rPr>
              <w:t>2024</w:t>
            </w:r>
          </w:p>
        </w:tc>
        <w:tc>
          <w:tcPr>
            <w:tcW w:w="192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auto"/>
              </w:rPr>
              <w:t>2023</w:t>
            </w:r>
          </w:p>
        </w:tc>
      </w:tr>
      <w:tr>
        <w:trPr>
          <w:trHeight w:val="216"/>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Cellulosics</w:t>
            </w:r>
          </w:p>
        </w:tc>
        <w:tc>
          <w:tcPr>
            <w:tcW w:w="3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6"/>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PVP</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0"/>
        </w:trPr>
        <w:tc>
          <w:tcPr>
            <w:tcW w:w="274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20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0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Q – REPORTABLE SEGMENT INFORMATION</w:t>
      </w:r>
    </w:p>
    <w:p>
      <w:pPr>
        <w:spacing w:after="0" w:line="94" w:lineRule="exact"/>
        <w:rPr>
          <w:sz w:val="20"/>
          <w:szCs w:val="20"/>
          <w:color w:val="auto"/>
        </w:rPr>
      </w:pPr>
    </w:p>
    <w:p>
      <w:pPr>
        <w:ind w:right="240" w:firstLine="348"/>
        <w:spacing w:after="0" w:line="243" w:lineRule="auto"/>
        <w:rPr>
          <w:sz w:val="20"/>
          <w:szCs w:val="20"/>
          <w:color w:val="auto"/>
        </w:rPr>
      </w:pPr>
      <w:r>
        <w:rPr>
          <w:rFonts w:ascii="Times New Roman" w:cs="Times New Roman" w:eastAsia="Times New Roman" w:hAnsi="Times New Roman"/>
          <w:sz w:val="16"/>
          <w:szCs w:val="16"/>
          <w:color w:val="auto"/>
        </w:rPr>
        <w:t>Ashland determines its reportable segments based on how operations are managed internally for the products and services sold to customers, including how the results are reviewed by Guillermo Novo, Chair and Chief Executive Officer of the Company, which includes determining resource allocation methodologies used for reportable segments. Operating income (loss)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Reportable segment business descriptions</w:t>
      </w:r>
    </w:p>
    <w:p>
      <w:pPr>
        <w:spacing w:after="0" w:line="94" w:lineRule="exact"/>
        <w:rPr>
          <w:sz w:val="20"/>
          <w:szCs w:val="20"/>
          <w:color w:val="auto"/>
        </w:rPr>
      </w:pPr>
    </w:p>
    <w:p>
      <w:pPr>
        <w:ind w:right="340" w:firstLine="348"/>
        <w:spacing w:after="0" w:line="247" w:lineRule="auto"/>
        <w:rPr>
          <w:sz w:val="20"/>
          <w:szCs w:val="20"/>
          <w:color w:val="auto"/>
        </w:rPr>
      </w:pPr>
      <w:r>
        <w:rPr>
          <w:rFonts w:ascii="Times New Roman" w:cs="Times New Roman" w:eastAsia="Times New Roman" w:hAnsi="Times New Roman"/>
          <w:sz w:val="16"/>
          <w:szCs w:val="16"/>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3" w:right="680" w:bottom="1440" w:gutter="0" w:footer="0" w:header="0"/>
        </w:sectPr>
      </w:pPr>
    </w:p>
    <w:bookmarkStart w:id="134" w:name="page135"/>
    <w:bookmarkEnd w:id="134"/>
    <w:p>
      <w:pPr>
        <w:ind w:right="680"/>
        <w:spacing w:after="0" w:line="259" w:lineRule="auto"/>
        <w:rPr>
          <w:sz w:val="20"/>
          <w:szCs w:val="20"/>
          <w:color w:val="auto"/>
        </w:rPr>
      </w:pPr>
      <w:r>
        <w:rPr>
          <w:rFonts w:ascii="Times New Roman" w:cs="Times New Roman" w:eastAsia="Times New Roman" w:hAnsi="Times New Roman"/>
          <w:sz w:val="16"/>
          <w:szCs w:val="16"/>
          <w:color w:val="auto"/>
        </w:rPr>
        <w:t>migration, reducing oil uptake and binding structured foods. Customers include pharmaceutical, food, beverage, hospitals and radiologists manufacturers. The nutraceuticals business was sold in August 2024. See Note B for additional details.</w:t>
      </w:r>
    </w:p>
    <w:p>
      <w:pPr>
        <w:spacing w:after="0" w:line="59" w:lineRule="exact"/>
        <w:rPr>
          <w:sz w:val="20"/>
          <w:szCs w:val="20"/>
          <w:color w:val="auto"/>
        </w:rPr>
      </w:pPr>
    </w:p>
    <w:p>
      <w:pPr>
        <w:ind w:right="40" w:firstLine="348"/>
        <w:spacing w:after="0" w:line="239" w:lineRule="auto"/>
        <w:rPr>
          <w:sz w:val="20"/>
          <w:szCs w:val="20"/>
          <w:color w:val="auto"/>
        </w:rPr>
      </w:pPr>
      <w:r>
        <w:rPr>
          <w:rFonts w:ascii="Times New Roman" w:cs="Times New Roman" w:eastAsia="Times New Roman" w:hAnsi="Times New Roman"/>
          <w:sz w:val="16"/>
          <w:szCs w:val="16"/>
          <w:color w:val="auto"/>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The Avoca business was sold in March 2025. See Note B for additional details.</w:t>
      </w:r>
    </w:p>
    <w:p>
      <w:pPr>
        <w:spacing w:after="0" w:line="77"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but are not limited to, global paint manufacturers, electronics and automotive manufacturers, textile mills, the construction industry and welders.</w:t>
      </w:r>
    </w:p>
    <w:p>
      <w:pPr>
        <w:spacing w:after="0" w:line="77" w:lineRule="exact"/>
        <w:rPr>
          <w:sz w:val="20"/>
          <w:szCs w:val="20"/>
          <w:color w:val="auto"/>
        </w:rPr>
      </w:pPr>
    </w:p>
    <w:p>
      <w:pPr>
        <w:ind w:right="40" w:firstLine="348"/>
        <w:spacing w:after="0" w:line="243" w:lineRule="auto"/>
        <w:rPr>
          <w:sz w:val="20"/>
          <w:szCs w:val="20"/>
          <w:color w:val="auto"/>
        </w:rPr>
      </w:pPr>
      <w:r>
        <w:rPr>
          <w:rFonts w:ascii="Times New Roman" w:cs="Times New Roman" w:eastAsia="Times New Roman" w:hAnsi="Times New Roman"/>
          <w:sz w:val="16"/>
          <w:szCs w:val="16"/>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agriculture, pharmaceuticals, water filtration membranes and more. BDO is also supplied to Life Sciences, Personal Care, and Specialty Additives for use as a raw material.</w:t>
      </w:r>
    </w:p>
    <w:p>
      <w:pPr>
        <w:spacing w:after="0" w:line="71" w:lineRule="exact"/>
        <w:rPr>
          <w:sz w:val="20"/>
          <w:szCs w:val="20"/>
          <w:color w:val="auto"/>
        </w:rPr>
      </w:pPr>
    </w:p>
    <w:p>
      <w:pPr>
        <w:ind w:right="180" w:firstLine="348"/>
        <w:spacing w:after="0" w:line="259" w:lineRule="auto"/>
        <w:rPr>
          <w:sz w:val="20"/>
          <w:szCs w:val="20"/>
          <w:color w:val="auto"/>
        </w:rPr>
      </w:pPr>
      <w:r>
        <w:rPr>
          <w:rFonts w:ascii="Times New Roman" w:cs="Times New Roman" w:eastAsia="Times New Roman" w:hAnsi="Times New Roman"/>
          <w:sz w:val="16"/>
          <w:szCs w:val="16"/>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International data</w:t>
      </w:r>
    </w:p>
    <w:p>
      <w:pPr>
        <w:spacing w:after="0" w:line="94" w:lineRule="exact"/>
        <w:rPr>
          <w:sz w:val="20"/>
          <w:szCs w:val="20"/>
          <w:color w:val="auto"/>
        </w:rPr>
      </w:pPr>
    </w:p>
    <w:p>
      <w:pPr>
        <w:ind w:right="120" w:firstLine="348"/>
        <w:spacing w:after="0" w:line="259" w:lineRule="auto"/>
        <w:rPr>
          <w:sz w:val="20"/>
          <w:szCs w:val="20"/>
          <w:color w:val="auto"/>
        </w:rPr>
      </w:pPr>
      <w:r>
        <w:rPr>
          <w:rFonts w:ascii="Times New Roman" w:cs="Times New Roman" w:eastAsia="Times New Roman" w:hAnsi="Times New Roman"/>
          <w:sz w:val="16"/>
          <w:szCs w:val="16"/>
          <w:color w:val="auto"/>
        </w:rPr>
        <w:t>Information about Ashland’s domestic and international operations for the years ended September 30, are as follows. Ashland has no operations in any individual international country or single customer that represented more than 10% of sales in 2025,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6"/>
              </w:rPr>
              <w:t>Sales to external</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Net assets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4"/>
          </w:tcPr>
          <w:p>
            <w:pPr>
              <w:jc w:val="right"/>
              <w:ind w:right="242"/>
              <w:spacing w:after="0"/>
              <w:rPr>
                <w:sz w:val="20"/>
                <w:szCs w:val="20"/>
                <w:color w:val="auto"/>
              </w:rPr>
            </w:pPr>
            <w:r>
              <w:rPr>
                <w:rFonts w:ascii="Times New Roman" w:cs="Times New Roman" w:eastAsia="Times New Roman" w:hAnsi="Times New Roman"/>
                <w:sz w:val="16"/>
                <w:szCs w:val="16"/>
                <w:color w:val="auto"/>
              </w:rPr>
              <w:t>Property, plant and</w:t>
            </w:r>
          </w:p>
        </w:tc>
      </w:tr>
      <w:tr>
        <w:trPr>
          <w:trHeight w:val="180"/>
        </w:trPr>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98"/>
              </w:rPr>
              <w:t>customers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4"/>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4"/>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equipment - net</w:t>
            </w:r>
          </w:p>
        </w:tc>
      </w:tr>
      <w:tr>
        <w:trPr>
          <w:trHeight w:val="19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Pr>
          <w:p>
            <w:pPr>
              <w:spacing w:after="0"/>
              <w:rPr>
                <w:sz w:val="16"/>
                <w:szCs w:val="16"/>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282"/>
              <w:spacing w:after="0"/>
              <w:rPr>
                <w:sz w:val="20"/>
                <w:szCs w:val="20"/>
                <w:color w:val="auto"/>
              </w:rPr>
            </w:pPr>
            <w:r>
              <w:rPr>
                <w:rFonts w:ascii="Times New Roman" w:cs="Times New Roman" w:eastAsia="Times New Roman" w:hAnsi="Times New Roman"/>
                <w:sz w:val="16"/>
                <w:szCs w:val="16"/>
                <w:color w:val="auto"/>
                <w:w w:val="93"/>
              </w:rPr>
              <w:t>2024</w:t>
            </w:r>
          </w:p>
        </w:tc>
        <w:tc>
          <w:tcPr>
            <w:tcW w:w="140" w:type="dxa"/>
            <w:vAlign w:val="bottom"/>
          </w:tcPr>
          <w:p>
            <w:pPr>
              <w:spacing w:after="0"/>
              <w:rPr>
                <w:sz w:val="16"/>
                <w:szCs w:val="16"/>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3"/>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4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464</w:t>
            </w:r>
          </w:p>
        </w:tc>
        <w:tc>
          <w:tcPr>
            <w:tcW w:w="340" w:type="dxa"/>
            <w:vAlign w:val="bottom"/>
            <w:gridSpan w:val="3"/>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FF0FC"/>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624</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634</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872</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1,352</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848</w:t>
            </w:r>
          </w:p>
        </w:tc>
        <w:tc>
          <w:tcPr>
            <w:tcW w:w="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961</w:t>
            </w:r>
          </w:p>
        </w:tc>
      </w:tr>
      <w:tr>
        <w:trPr>
          <w:trHeight w:val="180"/>
        </w:trPr>
        <w:tc>
          <w:tcPr>
            <w:tcW w:w="4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1,489</w:t>
            </w:r>
          </w:p>
        </w:tc>
        <w:tc>
          <w:tcPr>
            <w:tcW w:w="1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342</w:t>
            </w:r>
          </w:p>
        </w:tc>
      </w:tr>
      <w:tr>
        <w:trPr>
          <w:trHeight w:val="200"/>
        </w:trPr>
        <w:tc>
          <w:tcPr>
            <w:tcW w:w="40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1,824</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FF0FC"/>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2,113</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2,191</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1,904</w:t>
            </w:r>
          </w:p>
        </w:tc>
        <w:tc>
          <w:tcPr>
            <w:tcW w:w="3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2,868</w:t>
            </w:r>
          </w:p>
        </w:tc>
        <w:tc>
          <w:tcPr>
            <w:tcW w:w="2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1,201</w:t>
            </w:r>
          </w:p>
        </w:tc>
        <w:tc>
          <w:tcPr>
            <w:tcW w:w="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1,303</w:t>
            </w: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Reportable segment results</w:t>
      </w:r>
    </w:p>
    <w:p>
      <w:pPr>
        <w:spacing w:after="0" w:line="94" w:lineRule="exact"/>
        <w:rPr>
          <w:sz w:val="20"/>
          <w:szCs w:val="20"/>
          <w:color w:val="auto"/>
        </w:rPr>
      </w:pPr>
    </w:p>
    <w:p>
      <w:pPr>
        <w:ind w:firstLine="348"/>
        <w:spacing w:after="0" w:line="277" w:lineRule="auto"/>
        <w:rPr>
          <w:sz w:val="20"/>
          <w:szCs w:val="20"/>
          <w:color w:val="auto"/>
        </w:rPr>
      </w:pPr>
      <w:r>
        <w:rPr>
          <w:rFonts w:ascii="Times New Roman" w:cs="Times New Roman" w:eastAsia="Times New Roman" w:hAnsi="Times New Roman"/>
          <w:sz w:val="14"/>
          <w:szCs w:val="14"/>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of the Statements of Consolidated Comprehensive Income (loss). Ashland refines its expense allocation methodologies to the reportable segments from time to time as more refined information becomes available and the industry or market changes. Significant revisions to Ashland’s methodologies are adjusted for all reportable segments on a retrospective basis. There were no material changes in methodology for the years ended September 30, 2025, 2024 or 2023.</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35" w:name="page136"/>
    <w:bookmarkEnd w:id="135"/>
    <w:p>
      <w:pPr>
        <w:ind w:firstLine="348"/>
        <w:spacing w:after="0" w:line="313" w:lineRule="auto"/>
        <w:rPr>
          <w:sz w:val="20"/>
          <w:szCs w:val="20"/>
          <w:color w:val="auto"/>
        </w:rPr>
      </w:pPr>
      <w:r>
        <w:rPr>
          <w:rFonts w:ascii="Times New Roman" w:cs="Times New Roman" w:eastAsia="Times New Roman" w:hAnsi="Times New Roman"/>
          <w:sz w:val="14"/>
          <w:szCs w:val="14"/>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w:t>
      </w:r>
    </w:p>
    <w:p>
      <w:pPr>
        <w:ind w:left="360"/>
        <w:spacing w:after="0"/>
        <w:rPr>
          <w:sz w:val="20"/>
          <w:szCs w:val="20"/>
          <w:color w:val="auto"/>
        </w:rPr>
      </w:pPr>
      <w:r>
        <w:rPr>
          <w:rFonts w:ascii="Times New Roman" w:cs="Times New Roman" w:eastAsia="Times New Roman" w:hAnsi="Times New Roman"/>
          <w:sz w:val="16"/>
          <w:szCs w:val="16"/>
          <w:color w:val="auto"/>
        </w:rPr>
        <w:t>The following table presents various financial information for each reportable segment for the years ended September 30:</w:t>
      </w:r>
    </w:p>
    <w:p>
      <w:pPr>
        <w:spacing w:after="0" w:line="18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20"/>
          </w:cols>
          <w:pgMar w:left="660" w:top="1409" w:right="122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9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980" w:type="dxa"/>
            <w:vAlign w:val="bottom"/>
          </w:tcPr>
          <w:p>
            <w:pPr>
              <w:spacing w:after="0"/>
              <w:rPr>
                <w:sz w:val="16"/>
                <w:szCs w:val="16"/>
                <w:color w:val="auto"/>
              </w:rPr>
            </w:pPr>
          </w:p>
        </w:tc>
        <w:tc>
          <w:tcPr>
            <w:tcW w:w="98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Pr>
          <w:p>
            <w:pPr>
              <w:spacing w:after="0"/>
              <w:rPr>
                <w:sz w:val="16"/>
                <w:szCs w:val="16"/>
                <w:color w:val="auto"/>
              </w:rPr>
            </w:pPr>
          </w:p>
        </w:tc>
        <w:tc>
          <w:tcPr>
            <w:tcW w:w="9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2023</w:t>
            </w:r>
          </w:p>
        </w:tc>
      </w:tr>
      <w:tr>
        <w:trPr>
          <w:trHeight w:val="180"/>
        </w:trPr>
        <w:tc>
          <w:tcPr>
            <w:tcW w:w="5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Sales</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810</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869</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577</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634</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598</w:t>
            </w: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511</w:t>
            </w:r>
          </w:p>
        </w:tc>
        <w:tc>
          <w:tcPr>
            <w:tcW w:w="340" w:type="dxa"/>
            <w:vAlign w:val="bottom"/>
          </w:tcPr>
          <w:p>
            <w:pPr>
              <w:spacing w:after="0"/>
              <w:rPr>
                <w:sz w:val="15"/>
                <w:szCs w:val="15"/>
                <w:color w:val="auto"/>
              </w:rPr>
            </w:pPr>
          </w:p>
        </w:tc>
        <w:tc>
          <w:tcPr>
            <w:tcW w:w="9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572</w:t>
            </w:r>
          </w:p>
        </w:tc>
        <w:tc>
          <w:tcPr>
            <w:tcW w:w="3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600</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185</w:t>
            </w: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5"/>
                <w:szCs w:val="15"/>
                <w:i w:val="1"/>
                <w:iCs w:val="1"/>
                <w:color w:val="auto"/>
              </w:rPr>
              <w:t>Intersegment sales</w:t>
            </w:r>
            <w:r>
              <w:rPr>
                <w:rFonts w:ascii="Times New Roman" w:cs="Times New Roman" w:eastAsia="Times New Roman" w:hAnsi="Times New Roman"/>
                <w:sz w:val="20"/>
                <w:szCs w:val="20"/>
                <w:i w:val="1"/>
                <w:iCs w:val="1"/>
                <w:color w:val="auto"/>
                <w:vertAlign w:val="superscript"/>
              </w:rPr>
              <w:t>(a)</w:t>
            </w:r>
          </w:p>
        </w:tc>
        <w:tc>
          <w:tcPr>
            <w:tcW w:w="198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34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30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r>
      <w:tr>
        <w:trPr>
          <w:trHeight w:val="180"/>
        </w:trPr>
        <w:tc>
          <w:tcPr>
            <w:tcW w:w="5100" w:type="dxa"/>
            <w:vAlign w:val="bottom"/>
            <w:shd w:val="clear" w:color="auto" w:fill="CFF0FC"/>
          </w:tcPr>
          <w:p>
            <w:pPr>
              <w:spacing w:after="0"/>
              <w:rPr>
                <w:sz w:val="15"/>
                <w:szCs w:val="15"/>
                <w:color w:val="auto"/>
              </w:rPr>
            </w:pPr>
          </w:p>
        </w:tc>
        <w:tc>
          <w:tcPr>
            <w:tcW w:w="1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1,824</w:t>
            </w:r>
          </w:p>
        </w:tc>
        <w:tc>
          <w:tcPr>
            <w:tcW w:w="3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2,113</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2,191</w:t>
            </w:r>
          </w:p>
        </w:tc>
      </w:tr>
      <w:tr>
        <w:trPr>
          <w:trHeight w:val="180"/>
        </w:trPr>
        <w:tc>
          <w:tcPr>
            <w:tcW w:w="51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 of sales</w:t>
            </w:r>
          </w:p>
        </w:tc>
        <w:tc>
          <w:tcPr>
            <w:tcW w:w="1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1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418</w:t>
            </w:r>
          </w:p>
        </w:tc>
        <w:tc>
          <w:tcPr>
            <w:tcW w:w="3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515</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568</w:t>
            </w: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345</w:t>
            </w:r>
          </w:p>
        </w:tc>
        <w:tc>
          <w:tcPr>
            <w:tcW w:w="340" w:type="dxa"/>
            <w:vAlign w:val="bottom"/>
          </w:tcPr>
          <w:p>
            <w:pPr>
              <w:spacing w:after="0"/>
              <w:rPr>
                <w:sz w:val="15"/>
                <w:szCs w:val="15"/>
                <w:color w:val="auto"/>
              </w:rPr>
            </w:pPr>
          </w:p>
        </w:tc>
        <w:tc>
          <w:tcPr>
            <w:tcW w:w="9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3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395</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433</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522</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494</w:t>
            </w: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340" w:type="dxa"/>
            <w:vAlign w:val="bottom"/>
          </w:tcPr>
          <w:p>
            <w:pPr>
              <w:spacing w:after="0"/>
              <w:rPr>
                <w:sz w:val="15"/>
                <w:szCs w:val="15"/>
                <w:color w:val="auto"/>
              </w:rPr>
            </w:pPr>
          </w:p>
        </w:tc>
        <w:tc>
          <w:tcPr>
            <w:tcW w:w="9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3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127</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Intersegment sales</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r>
      <w:tr>
        <w:trPr>
          <w:trHeight w:val="180"/>
        </w:trPr>
        <w:tc>
          <w:tcPr>
            <w:tcW w:w="5100" w:type="dxa"/>
            <w:vAlign w:val="bottom"/>
          </w:tcPr>
          <w:p>
            <w:pPr>
              <w:spacing w:after="0"/>
              <w:rPr>
                <w:sz w:val="15"/>
                <w:szCs w:val="15"/>
                <w:color w:val="auto"/>
              </w:rPr>
            </w:pP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1,275</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1,495</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1,523</w:t>
            </w:r>
          </w:p>
        </w:tc>
      </w:tr>
      <w:tr>
        <w:trPr>
          <w:trHeight w:val="180"/>
        </w:trPr>
        <w:tc>
          <w:tcPr>
            <w:tcW w:w="5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Selling, general and administrative expense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81</w:t>
            </w: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34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66</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510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i w:val="1"/>
                <w:iCs w:val="1"/>
                <w:color w:val="auto"/>
              </w:rPr>
              <w:t>Total operating segments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232</w:t>
            </w:r>
          </w:p>
        </w:tc>
        <w:tc>
          <w:tcPr>
            <w:tcW w:w="340" w:type="dxa"/>
            <w:vAlign w:val="bottom"/>
          </w:tcPr>
          <w:p>
            <w:pPr>
              <w:spacing w:after="0"/>
              <w:rPr>
                <w:sz w:val="15"/>
                <w:szCs w:val="15"/>
                <w:color w:val="auto"/>
              </w:rPr>
            </w:pPr>
          </w:p>
        </w:tc>
        <w:tc>
          <w:tcPr>
            <w:tcW w:w="9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252</w:t>
            </w:r>
          </w:p>
        </w:tc>
        <w:tc>
          <w:tcPr>
            <w:tcW w:w="3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243</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Unallocated and other</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122</w:t>
            </w:r>
          </w:p>
        </w:tc>
      </w:tr>
      <w:tr>
        <w:trPr>
          <w:trHeight w:val="180"/>
        </w:trPr>
        <w:tc>
          <w:tcPr>
            <w:tcW w:w="5100" w:type="dxa"/>
            <w:vAlign w:val="bottom"/>
          </w:tcPr>
          <w:p>
            <w:pPr>
              <w:spacing w:after="0"/>
              <w:rPr>
                <w:sz w:val="15"/>
                <w:szCs w:val="15"/>
                <w:color w:val="auto"/>
              </w:rPr>
            </w:pP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344</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404</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365</w:t>
            </w:r>
          </w:p>
        </w:tc>
      </w:tr>
      <w:tr>
        <w:trPr>
          <w:trHeight w:val="180"/>
        </w:trPr>
        <w:tc>
          <w:tcPr>
            <w:tcW w:w="5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Research and development expense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w:t>
            </w: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0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i w:val="1"/>
                <w:iCs w:val="1"/>
                <w:color w:val="auto"/>
              </w:rPr>
              <w:t>Total operating segments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34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3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49</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Unallocated and other</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5100" w:type="dxa"/>
            <w:vAlign w:val="bottom"/>
          </w:tcPr>
          <w:p>
            <w:pPr>
              <w:spacing w:after="0"/>
              <w:rPr>
                <w:sz w:val="15"/>
                <w:szCs w:val="15"/>
                <w:color w:val="auto"/>
              </w:rPr>
            </w:pP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r>
      <w:tr>
        <w:trPr>
          <w:trHeight w:val="180"/>
        </w:trPr>
        <w:tc>
          <w:tcPr>
            <w:tcW w:w="5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Amortization expense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w:t>
            </w:r>
          </w:p>
        </w:tc>
        <w:tc>
          <w:tcPr>
            <w:tcW w:w="34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00" w:type="dxa"/>
            <w:vAlign w:val="bottom"/>
          </w:tcPr>
          <w:p>
            <w:pPr>
              <w:spacing w:after="0"/>
              <w:rPr>
                <w:sz w:val="15"/>
                <w:szCs w:val="15"/>
                <w:color w:val="auto"/>
              </w:rPr>
            </w:pP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93</w:t>
            </w:r>
          </w:p>
        </w:tc>
      </w:tr>
      <w:tr>
        <w:trPr>
          <w:trHeight w:val="180"/>
        </w:trPr>
        <w:tc>
          <w:tcPr>
            <w:tcW w:w="5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Equity and other income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5"/>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Total operating segments</w:t>
            </w:r>
          </w:p>
        </w:tc>
        <w:tc>
          <w:tcPr>
            <w:tcW w:w="1980" w:type="dxa"/>
            <w:vAlign w:val="bottom"/>
          </w:tcPr>
          <w:p>
            <w:pPr>
              <w:spacing w:after="0"/>
              <w:rPr>
                <w:sz w:val="17"/>
                <w:szCs w:val="17"/>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r>
      <w:tr>
        <w:trPr>
          <w:trHeight w:val="143"/>
        </w:trPr>
        <w:tc>
          <w:tcPr>
            <w:tcW w:w="5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Unallocated and other</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5100" w:type="dxa"/>
            <w:vAlign w:val="bottom"/>
          </w:tcPr>
          <w:p>
            <w:pPr>
              <w:spacing w:after="0"/>
              <w:rPr>
                <w:sz w:val="15"/>
                <w:szCs w:val="15"/>
                <w:color w:val="auto"/>
              </w:rPr>
            </w:pP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5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w w:val="98"/>
              </w:rPr>
              <w:t>Goodwill impairment and (income) loss on acquisitions and divestitures, net</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1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375</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331</w:t>
            </w:r>
          </w:p>
        </w:tc>
        <w:tc>
          <w:tcPr>
            <w:tcW w:w="34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0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i w:val="1"/>
                <w:iCs w:val="1"/>
                <w:color w:val="auto"/>
              </w:rPr>
              <w:t>Total operating segments</w:t>
            </w:r>
          </w:p>
        </w:tc>
        <w:tc>
          <w:tcPr>
            <w:tcW w:w="1980" w:type="dxa"/>
            <w:vAlign w:val="bottom"/>
          </w:tcPr>
          <w:p>
            <w:pPr>
              <w:spacing w:after="0"/>
              <w:rPr>
                <w:sz w:val="15"/>
                <w:szCs w:val="15"/>
                <w:color w:val="auto"/>
              </w:rPr>
            </w:pPr>
          </w:p>
        </w:tc>
        <w:tc>
          <w:tcPr>
            <w:tcW w:w="9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34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Unallocated and other</w:t>
            </w:r>
          </w:p>
        </w:tc>
        <w:tc>
          <w:tcPr>
            <w:tcW w:w="19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203"/>
        </w:trPr>
        <w:tc>
          <w:tcPr>
            <w:tcW w:w="5100" w:type="dxa"/>
            <w:vAlign w:val="bottom"/>
          </w:tcPr>
          <w:p>
            <w:pPr>
              <w:spacing w:after="0"/>
              <w:rPr>
                <w:sz w:val="17"/>
                <w:szCs w:val="17"/>
                <w:color w:val="auto"/>
              </w:rPr>
            </w:pPr>
          </w:p>
        </w:tc>
        <w:tc>
          <w:tcPr>
            <w:tcW w:w="1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867</w:t>
            </w:r>
          </w:p>
        </w:tc>
        <w:tc>
          <w:tcPr>
            <w:tcW w:w="3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115</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695"/>
        </w:trPr>
        <w:tc>
          <w:tcPr>
            <w:tcW w:w="5100" w:type="dxa"/>
            <w:vAlign w:val="bottom"/>
          </w:tcPr>
          <w:p>
            <w:pPr>
              <w:spacing w:after="0"/>
              <w:rPr>
                <w:sz w:val="24"/>
                <w:szCs w:val="24"/>
                <w:color w:val="auto"/>
              </w:rPr>
            </w:pPr>
          </w:p>
        </w:tc>
        <w:tc>
          <w:tcPr>
            <w:tcW w:w="1980" w:type="dxa"/>
            <w:vAlign w:val="bottom"/>
          </w:tcPr>
          <w:p>
            <w:pPr>
              <w:jc w:val="right"/>
              <w:ind w:right="1562"/>
              <w:spacing w:after="0"/>
              <w:rPr>
                <w:sz w:val="20"/>
                <w:szCs w:val="20"/>
                <w:color w:val="auto"/>
              </w:rPr>
            </w:pPr>
            <w:r>
              <w:rPr>
                <w:rFonts w:ascii="Times New Roman" w:cs="Times New Roman" w:eastAsia="Times New Roman" w:hAnsi="Times New Roman"/>
                <w:sz w:val="16"/>
                <w:szCs w:val="16"/>
                <w:color w:val="auto"/>
              </w:rPr>
              <w:t>F-54</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510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income (loss)</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00"/>
              <w:spacing w:after="0" w:line="180" w:lineRule="exact"/>
              <w:rPr>
                <w:sz w:val="20"/>
                <w:szCs w:val="20"/>
                <w:color w:val="auto"/>
              </w:rPr>
            </w:pPr>
            <w:r>
              <w:rPr>
                <w:rFonts w:ascii="Times New Roman" w:cs="Times New Roman" w:eastAsia="Times New Roman" w:hAnsi="Times New Roman"/>
                <w:sz w:val="15"/>
                <w:szCs w:val="15"/>
                <w:i w:val="1"/>
                <w:iCs w:val="1"/>
                <w:color w:val="auto"/>
              </w:rPr>
              <w:t>Life Sciences</w:t>
            </w:r>
            <w:r>
              <w:rPr>
                <w:rFonts w:ascii="Times New Roman" w:cs="Times New Roman" w:eastAsia="Times New Roman" w:hAnsi="Times New Roman"/>
                <w:sz w:val="20"/>
                <w:szCs w:val="20"/>
                <w:i w:val="1"/>
                <w:iCs w:val="1"/>
                <w:color w:val="auto"/>
                <w:vertAlign w:val="superscript"/>
              </w:rPr>
              <w:t>(b)</w:t>
            </w:r>
          </w:p>
        </w:tc>
        <w:tc>
          <w:tcPr>
            <w:tcW w:w="24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38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5"/>
                <w:szCs w:val="15"/>
                <w:i w:val="1"/>
                <w:iCs w:val="1"/>
                <w:color w:val="auto"/>
              </w:rPr>
              <w:t>Personal Care</w:t>
            </w:r>
            <w:r>
              <w:rPr>
                <w:rFonts w:ascii="Times New Roman" w:cs="Times New Roman" w:eastAsia="Times New Roman" w:hAnsi="Times New Roman"/>
                <w:sz w:val="20"/>
                <w:szCs w:val="20"/>
                <w:i w:val="1"/>
                <w:iCs w:val="1"/>
                <w:color w:val="auto"/>
                <w:vertAlign w:val="superscript"/>
              </w:rPr>
              <w:t>(c)</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00"/>
              <w:spacing w:after="0" w:line="180" w:lineRule="exact"/>
              <w:rPr>
                <w:sz w:val="20"/>
                <w:szCs w:val="20"/>
                <w:color w:val="auto"/>
              </w:rPr>
            </w:pPr>
            <w:r>
              <w:rPr>
                <w:rFonts w:ascii="Times New Roman" w:cs="Times New Roman" w:eastAsia="Times New Roman" w:hAnsi="Times New Roman"/>
                <w:sz w:val="15"/>
                <w:szCs w:val="15"/>
                <w:i w:val="1"/>
                <w:iCs w:val="1"/>
                <w:color w:val="auto"/>
              </w:rPr>
              <w:t>Specialty Additives</w:t>
            </w:r>
            <w:r>
              <w:rPr>
                <w:rFonts w:ascii="Times New Roman" w:cs="Times New Roman" w:eastAsia="Times New Roman" w:hAnsi="Times New Roman"/>
                <w:sz w:val="20"/>
                <w:szCs w:val="20"/>
                <w:i w:val="1"/>
                <w:iCs w:val="1"/>
                <w:color w:val="auto"/>
                <w:vertAlign w:val="superscript"/>
              </w:rPr>
              <w:t>(d)</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Total operating segments</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5"/>
                <w:szCs w:val="15"/>
                <w:i w:val="1"/>
                <w:iCs w:val="1"/>
                <w:color w:val="auto"/>
              </w:rPr>
              <w:t>Unallocated and other</w:t>
            </w:r>
            <w:r>
              <w:rPr>
                <w:rFonts w:ascii="Times New Roman" w:cs="Times New Roman" w:eastAsia="Times New Roman" w:hAnsi="Times New Roman"/>
                <w:sz w:val="20"/>
                <w:szCs w:val="20"/>
                <w:i w:val="1"/>
                <w:iCs w:val="1"/>
                <w:color w:val="auto"/>
                <w:vertAlign w:val="superscript"/>
              </w:rPr>
              <w:t>(e)</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(264)</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Total operating income (loss)</w:t>
            </w:r>
          </w:p>
        </w:tc>
        <w:tc>
          <w:tcPr>
            <w:tcW w:w="24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(775)</w:t>
            </w:r>
          </w:p>
        </w:tc>
        <w:tc>
          <w:tcPr>
            <w:tcW w:w="38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interest and other expense (income)</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net periodic benefit loss</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(loss) from continuing operations before income taxes</w:t>
            </w:r>
          </w:p>
        </w:tc>
        <w:tc>
          <w:tcPr>
            <w:tcW w:w="246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(809)</w:t>
            </w:r>
          </w:p>
        </w:tc>
        <w:tc>
          <w:tcPr>
            <w:tcW w:w="38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00" w:type="dxa"/>
            <w:vAlign w:val="bottom"/>
            <w:tcBorders>
              <w:top w:val="single" w:sz="8" w:color="CFF0FC"/>
            </w:tcBorders>
          </w:tcPr>
          <w:p>
            <w:pPr>
              <w:spacing w:after="0"/>
              <w:rPr>
                <w:sz w:val="13"/>
                <w:szCs w:val="13"/>
                <w:color w:val="auto"/>
              </w:rPr>
            </w:pPr>
          </w:p>
        </w:tc>
        <w:tc>
          <w:tcPr>
            <w:tcW w:w="22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EBITDA</w:t>
            </w:r>
            <w:r>
              <w:rPr>
                <w:rFonts w:ascii="Times New Roman" w:cs="Times New Roman" w:eastAsia="Times New Roman" w:hAnsi="Times New Roman"/>
                <w:sz w:val="20"/>
                <w:szCs w:val="20"/>
                <w:b w:val="1"/>
                <w:bCs w:val="1"/>
                <w:color w:val="auto"/>
                <w:vertAlign w:val="superscript"/>
              </w:rPr>
              <w:t>(f)</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24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(187)</w:t>
            </w:r>
          </w:p>
        </w:tc>
        <w:tc>
          <w:tcPr>
            <w:tcW w:w="38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Total operating segments</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Unallocated and other</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(264)</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Total EBITDA</w:t>
            </w:r>
          </w:p>
        </w:tc>
        <w:tc>
          <w:tcPr>
            <w:tcW w:w="24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(538)</w:t>
            </w:r>
          </w:p>
        </w:tc>
        <w:tc>
          <w:tcPr>
            <w:tcW w:w="38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248</w:t>
            </w:r>
          </w:p>
        </w:tc>
        <w:tc>
          <w:tcPr>
            <w:tcW w:w="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Depreciation expense</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Amortization expense</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interest and other expense (income)</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net periodic benefit loss</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(loss) from continuing operations before income taxes</w:t>
            </w:r>
          </w:p>
        </w:tc>
        <w:tc>
          <w:tcPr>
            <w:tcW w:w="246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(809)</w:t>
            </w:r>
          </w:p>
        </w:tc>
        <w:tc>
          <w:tcPr>
            <w:tcW w:w="38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00" w:type="dxa"/>
            <w:vAlign w:val="bottom"/>
            <w:tcBorders>
              <w:top w:val="single" w:sz="8" w:color="CFF0FC"/>
            </w:tcBorders>
          </w:tcPr>
          <w:p>
            <w:pPr>
              <w:spacing w:after="0"/>
              <w:rPr>
                <w:sz w:val="13"/>
                <w:szCs w:val="13"/>
                <w:color w:val="auto"/>
              </w:rPr>
            </w:pPr>
          </w:p>
        </w:tc>
        <w:tc>
          <w:tcPr>
            <w:tcW w:w="22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Depreciation expense</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00"/>
              <w:spacing w:after="0" w:line="180" w:lineRule="exact"/>
              <w:rPr>
                <w:sz w:val="20"/>
                <w:szCs w:val="20"/>
                <w:color w:val="auto"/>
              </w:rPr>
            </w:pPr>
            <w:r>
              <w:rPr>
                <w:rFonts w:ascii="Times New Roman" w:cs="Times New Roman" w:eastAsia="Times New Roman" w:hAnsi="Times New Roman"/>
                <w:sz w:val="15"/>
                <w:szCs w:val="15"/>
                <w:i w:val="1"/>
                <w:iCs w:val="1"/>
                <w:color w:val="auto"/>
              </w:rPr>
              <w:t>Life Sciences</w:t>
            </w:r>
            <w:r>
              <w:rPr>
                <w:rFonts w:ascii="Times New Roman" w:cs="Times New Roman" w:eastAsia="Times New Roman" w:hAnsi="Times New Roman"/>
                <w:sz w:val="20"/>
                <w:szCs w:val="20"/>
                <w:i w:val="1"/>
                <w:iCs w:val="1"/>
                <w:color w:val="auto"/>
                <w:vertAlign w:val="superscript"/>
              </w:rPr>
              <w:t>(g)</w:t>
            </w:r>
          </w:p>
        </w:tc>
        <w:tc>
          <w:tcPr>
            <w:tcW w:w="24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38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5"/>
                <w:szCs w:val="15"/>
                <w:i w:val="1"/>
                <w:iCs w:val="1"/>
                <w:color w:val="auto"/>
              </w:rPr>
              <w:t>Personal Care</w:t>
            </w:r>
            <w:r>
              <w:rPr>
                <w:rFonts w:ascii="Times New Roman" w:cs="Times New Roman" w:eastAsia="Times New Roman" w:hAnsi="Times New Roman"/>
                <w:sz w:val="20"/>
                <w:szCs w:val="20"/>
                <w:i w:val="1"/>
                <w:iCs w:val="1"/>
                <w:color w:val="auto"/>
                <w:vertAlign w:val="superscript"/>
              </w:rPr>
              <w:t>(h)</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600" w:type="dxa"/>
            <w:vAlign w:val="bottom"/>
          </w:tcPr>
          <w:p>
            <w:pPr>
              <w:ind w:left="100"/>
              <w:spacing w:after="0" w:line="240" w:lineRule="exact"/>
              <w:rPr>
                <w:sz w:val="20"/>
                <w:szCs w:val="20"/>
                <w:color w:val="auto"/>
              </w:rPr>
            </w:pPr>
            <w:r>
              <w:rPr>
                <w:rFonts w:ascii="Times New Roman" w:cs="Times New Roman" w:eastAsia="Times New Roman" w:hAnsi="Times New Roman"/>
                <w:sz w:val="16"/>
                <w:szCs w:val="16"/>
                <w:i w:val="1"/>
                <w:iCs w:val="1"/>
                <w:color w:val="auto"/>
              </w:rPr>
              <w:t>Specialty Additives</w:t>
            </w:r>
            <w:r>
              <w:rPr>
                <w:rFonts w:ascii="Times New Roman" w:cs="Times New Roman" w:eastAsia="Times New Roman" w:hAnsi="Times New Roman"/>
                <w:sz w:val="21"/>
                <w:szCs w:val="21"/>
                <w:i w:val="1"/>
                <w:iCs w:val="1"/>
                <w:color w:val="auto"/>
                <w:vertAlign w:val="superscript"/>
              </w:rPr>
              <w:t>(i)</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38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6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Additions to property, plant and equipment</w:t>
            </w:r>
          </w:p>
        </w:tc>
        <w:tc>
          <w:tcPr>
            <w:tcW w:w="2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24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38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2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Unallocated and other</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3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694"/>
        </w:trPr>
        <w:tc>
          <w:tcPr>
            <w:tcW w:w="20" w:type="dxa"/>
            <w:vAlign w:val="bottom"/>
          </w:tcPr>
          <w:p>
            <w:pPr>
              <w:spacing w:after="0"/>
              <w:rPr>
                <w:sz w:val="24"/>
                <w:szCs w:val="24"/>
                <w:color w:val="auto"/>
              </w:rPr>
            </w:pPr>
          </w:p>
        </w:tc>
        <w:tc>
          <w:tcPr>
            <w:tcW w:w="460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6"/>
                <w:szCs w:val="16"/>
                <w:color w:val="auto"/>
              </w:rPr>
              <w:t>F-55</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4600" w:type="dxa"/>
            <w:vAlign w:val="bottom"/>
            <w:tcBorders>
              <w:bottom w:val="single" w:sz="8" w:color="EEEEEE"/>
            </w:tcBorders>
          </w:tcPr>
          <w:p>
            <w:pPr>
              <w:spacing w:after="0"/>
              <w:rPr>
                <w:sz w:val="24"/>
                <w:szCs w:val="24"/>
                <w:color w:val="auto"/>
              </w:rPr>
            </w:pPr>
          </w:p>
        </w:tc>
        <w:tc>
          <w:tcPr>
            <w:tcW w:w="22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93"/>
        </w:trPr>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104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20" w:type="dxa"/>
            <w:vAlign w:val="bottom"/>
          </w:tcPr>
          <w:p>
            <w:pPr>
              <w:spacing w:after="0"/>
              <w:rPr>
                <w:sz w:val="15"/>
                <w:szCs w:val="15"/>
                <w:color w:val="auto"/>
              </w:rPr>
            </w:pPr>
          </w:p>
        </w:tc>
        <w:tc>
          <w:tcPr>
            <w:tcW w:w="7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5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1,498</w:t>
            </w:r>
          </w:p>
        </w:tc>
        <w:tc>
          <w:tcPr>
            <w:tcW w:w="7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1,778</w:t>
            </w:r>
          </w:p>
        </w:tc>
      </w:tr>
      <w:tr>
        <w:trPr>
          <w:trHeight w:val="180"/>
        </w:trPr>
        <w:tc>
          <w:tcPr>
            <w:tcW w:w="20" w:type="dxa"/>
            <w:vAlign w:val="bottom"/>
          </w:tcPr>
          <w:p>
            <w:pPr>
              <w:spacing w:after="0"/>
              <w:rPr>
                <w:sz w:val="15"/>
                <w:szCs w:val="15"/>
                <w:color w:val="auto"/>
              </w:rPr>
            </w:pPr>
          </w:p>
        </w:tc>
        <w:tc>
          <w:tcPr>
            <w:tcW w:w="75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751</w:t>
            </w: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950</w:t>
            </w:r>
          </w:p>
        </w:tc>
      </w:tr>
      <w:tr>
        <w:trPr>
          <w:trHeight w:val="180"/>
        </w:trPr>
        <w:tc>
          <w:tcPr>
            <w:tcW w:w="20" w:type="dxa"/>
            <w:vAlign w:val="bottom"/>
          </w:tcPr>
          <w:p>
            <w:pPr>
              <w:spacing w:after="0"/>
              <w:rPr>
                <w:sz w:val="15"/>
                <w:szCs w:val="15"/>
                <w:color w:val="auto"/>
              </w:rPr>
            </w:pPr>
          </w:p>
        </w:tc>
        <w:tc>
          <w:tcPr>
            <w:tcW w:w="75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1,020</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1,516</w:t>
            </w:r>
          </w:p>
        </w:tc>
      </w:tr>
      <w:tr>
        <w:trPr>
          <w:trHeight w:val="180"/>
        </w:trPr>
        <w:tc>
          <w:tcPr>
            <w:tcW w:w="20" w:type="dxa"/>
            <w:vAlign w:val="bottom"/>
          </w:tcPr>
          <w:p>
            <w:pPr>
              <w:spacing w:after="0"/>
              <w:rPr>
                <w:sz w:val="15"/>
                <w:szCs w:val="15"/>
                <w:color w:val="auto"/>
              </w:rPr>
            </w:pPr>
          </w:p>
        </w:tc>
        <w:tc>
          <w:tcPr>
            <w:tcW w:w="75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127</w:t>
            </w:r>
          </w:p>
        </w:tc>
      </w:tr>
      <w:tr>
        <w:trPr>
          <w:trHeight w:val="180"/>
        </w:trPr>
        <w:tc>
          <w:tcPr>
            <w:tcW w:w="20" w:type="dxa"/>
            <w:vAlign w:val="bottom"/>
          </w:tcPr>
          <w:p>
            <w:pPr>
              <w:spacing w:after="0"/>
              <w:rPr>
                <w:sz w:val="15"/>
                <w:szCs w:val="15"/>
                <w:color w:val="auto"/>
              </w:rPr>
            </w:pPr>
          </w:p>
        </w:tc>
        <w:tc>
          <w:tcPr>
            <w:tcW w:w="75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Unallocated and other</w:t>
            </w:r>
          </w:p>
        </w:tc>
        <w:tc>
          <w:tcPr>
            <w:tcW w:w="260" w:type="dxa"/>
            <w:vAlign w:val="bottom"/>
          </w:tcPr>
          <w:p>
            <w:pPr>
              <w:spacing w:after="0"/>
              <w:rPr>
                <w:sz w:val="15"/>
                <w:szCs w:val="15"/>
                <w:color w:val="auto"/>
              </w:rPr>
            </w:pP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1,226</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1,274</w:t>
            </w:r>
          </w:p>
        </w:tc>
      </w:tr>
      <w:tr>
        <w:trPr>
          <w:trHeight w:val="220"/>
        </w:trPr>
        <w:tc>
          <w:tcPr>
            <w:tcW w:w="20" w:type="dxa"/>
            <w:vAlign w:val="bottom"/>
          </w:tcPr>
          <w:p>
            <w:pPr>
              <w:spacing w:after="0"/>
              <w:rPr>
                <w:sz w:val="19"/>
                <w:szCs w:val="19"/>
                <w:color w:val="auto"/>
              </w:rPr>
            </w:pPr>
          </w:p>
        </w:tc>
        <w:tc>
          <w:tcPr>
            <w:tcW w:w="75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4,611</w:t>
            </w:r>
          </w:p>
        </w:tc>
        <w:tc>
          <w:tcPr>
            <w:tcW w:w="7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5,645</w:t>
            </w:r>
          </w:p>
        </w:tc>
      </w:tr>
      <w:tr>
        <w:trPr>
          <w:trHeight w:val="156"/>
        </w:trPr>
        <w:tc>
          <w:tcPr>
            <w:tcW w:w="20" w:type="dxa"/>
            <w:vAlign w:val="bottom"/>
          </w:tcPr>
          <w:p>
            <w:pPr>
              <w:spacing w:after="0"/>
              <w:rPr>
                <w:sz w:val="13"/>
                <w:szCs w:val="13"/>
                <w:color w:val="auto"/>
              </w:rPr>
            </w:pPr>
          </w:p>
        </w:tc>
        <w:tc>
          <w:tcPr>
            <w:tcW w:w="75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Property, plant and equipment - net</w:t>
            </w: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5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Life Sciences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481</w:t>
            </w:r>
          </w:p>
        </w:tc>
        <w:tc>
          <w:tcPr>
            <w:tcW w:w="7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415</w:t>
            </w:r>
          </w:p>
        </w:tc>
      </w:tr>
      <w:tr>
        <w:trPr>
          <w:trHeight w:val="180"/>
        </w:trPr>
        <w:tc>
          <w:tcPr>
            <w:tcW w:w="20" w:type="dxa"/>
            <w:vAlign w:val="bottom"/>
          </w:tcPr>
          <w:p>
            <w:pPr>
              <w:spacing w:after="0"/>
              <w:rPr>
                <w:sz w:val="15"/>
                <w:szCs w:val="15"/>
                <w:color w:val="auto"/>
              </w:rPr>
            </w:pPr>
          </w:p>
        </w:tc>
        <w:tc>
          <w:tcPr>
            <w:tcW w:w="75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Personal Care</w:t>
            </w:r>
          </w:p>
        </w:tc>
        <w:tc>
          <w:tcPr>
            <w:tcW w:w="2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146</w:t>
            </w:r>
          </w:p>
        </w:tc>
      </w:tr>
      <w:tr>
        <w:trPr>
          <w:trHeight w:val="180"/>
        </w:trPr>
        <w:tc>
          <w:tcPr>
            <w:tcW w:w="20" w:type="dxa"/>
            <w:vAlign w:val="bottom"/>
          </w:tcPr>
          <w:p>
            <w:pPr>
              <w:spacing w:after="0"/>
              <w:rPr>
                <w:sz w:val="15"/>
                <w:szCs w:val="15"/>
                <w:color w:val="auto"/>
              </w:rPr>
            </w:pPr>
          </w:p>
        </w:tc>
        <w:tc>
          <w:tcPr>
            <w:tcW w:w="75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Specialty Additives</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484</w:t>
            </w: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603</w:t>
            </w:r>
          </w:p>
        </w:tc>
      </w:tr>
      <w:tr>
        <w:trPr>
          <w:trHeight w:val="180"/>
        </w:trPr>
        <w:tc>
          <w:tcPr>
            <w:tcW w:w="20" w:type="dxa"/>
            <w:vAlign w:val="bottom"/>
          </w:tcPr>
          <w:p>
            <w:pPr>
              <w:spacing w:after="0"/>
              <w:rPr>
                <w:sz w:val="15"/>
                <w:szCs w:val="15"/>
                <w:color w:val="auto"/>
              </w:rPr>
            </w:pPr>
          </w:p>
        </w:tc>
        <w:tc>
          <w:tcPr>
            <w:tcW w:w="75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Intermediates</w:t>
            </w:r>
          </w:p>
        </w:tc>
        <w:tc>
          <w:tcPr>
            <w:tcW w:w="2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38</w:t>
            </w:r>
          </w:p>
        </w:tc>
      </w:tr>
      <w:tr>
        <w:trPr>
          <w:trHeight w:val="180"/>
        </w:trPr>
        <w:tc>
          <w:tcPr>
            <w:tcW w:w="20" w:type="dxa"/>
            <w:vAlign w:val="bottom"/>
          </w:tcPr>
          <w:p>
            <w:pPr>
              <w:spacing w:after="0"/>
              <w:rPr>
                <w:sz w:val="15"/>
                <w:szCs w:val="15"/>
                <w:color w:val="auto"/>
              </w:rPr>
            </w:pPr>
          </w:p>
        </w:tc>
        <w:tc>
          <w:tcPr>
            <w:tcW w:w="75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Unallocated and other</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101</w:t>
            </w:r>
          </w:p>
        </w:tc>
      </w:tr>
      <w:tr>
        <w:trPr>
          <w:trHeight w:val="180"/>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1,201</w:t>
            </w:r>
          </w:p>
        </w:tc>
        <w:tc>
          <w:tcPr>
            <w:tcW w:w="7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1,303</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(a)Intersegment sales from Intermediates are accounted for at prices that approximate market value. All other intersegment sales are accounted for at cost.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(b)Includes goodwill impairment of $375 million for Life Sciences in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(c)Includes a capital project impairment charge of $11 million for Personal Care in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(d)Includes goodwill impairment of $331 million in 2025 and a $4 million impairment charge related to a facility in 2023 for Specialty Additives.</w:t>
      </w:r>
    </w:p>
    <w:p>
      <w:pPr>
        <w:spacing w:after="0" w:line="3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3"/>
          <w:szCs w:val="13"/>
          <w:color w:val="auto"/>
        </w:rPr>
        <w:t>(e)Includes a $8 million gain on sale and a $183 million impairment charge related to the divestiture of the Avoca business in 2025, and a $8 million loss on sale and a $99 million impairment charge related to the divestiture of the Nutraceuticals business in 2024 within the income (loss) on acquisitions and divestitures, net.</w:t>
      </w:r>
    </w:p>
    <w:p>
      <w:pPr>
        <w:spacing w:after="0" w:line="1"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3"/>
          <w:szCs w:val="13"/>
          <w:color w:val="auto"/>
        </w:rPr>
        <w:t>(f)Excludes income (loss) from discontinued operations, net of income taxes and other net periodic benefit loss. See the Statements of Consolidated Comprehensive Income (Loss) for applicable amounts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(g)Depreciation includes accelerated depreciation of $21 million for Life Sciences in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(h)Depreciation includes accelerated depreciation of $1 million and $2 million for Personal Care in 2025 and 2024,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(i)Depreciation includes accelerated depreciation of $19 million and $55 million for Specialty Additives in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This page intentionally left blank.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139" w:name="page140"/>
    <w:bookmarkEnd w:id="139"/>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434340</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2861945</wp:posOffset>
            </wp:positionH>
            <wp:positionV relativeFrom="page">
              <wp:posOffset>499110</wp:posOffset>
            </wp:positionV>
            <wp:extent cx="1829435" cy="6172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829435" cy="61722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10.65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UNIT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Ashland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2021 Omnibus Incentive Compensation Plan</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Restricted Stock Units (“Units”) Granted:</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Vesting 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Signature Required 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#QuantityGranted#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 By#</w:t>
      </w:r>
    </w:p>
    <w:p>
      <w:pPr>
        <w:spacing w:after="0" w:line="200" w:lineRule="exact"/>
        <w:rPr>
          <w:sz w:val="20"/>
          <w:szCs w:val="20"/>
          <w:color w:val="auto"/>
        </w:rPr>
      </w:pPr>
    </w:p>
    <w:p>
      <w:pPr>
        <w:sectPr>
          <w:pgSz w:w="11900" w:h="16840" w:orient="portrait"/>
          <w:cols w:equalWidth="0" w:num="2">
            <w:col w:w="6060" w:space="720"/>
            <w:col w:w="3780"/>
          </w:cols>
          <w:pgMar w:left="660" w:top="1440" w:right="680"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Grant</w:t>
      </w:r>
      <w:r>
        <w:rPr>
          <w:rFonts w:ascii="Times New Roman" w:cs="Times New Roman" w:eastAsia="Times New Roman" w:hAnsi="Times New Roman"/>
          <w:sz w:val="19"/>
          <w:szCs w:val="19"/>
          <w:color w:val="auto"/>
        </w:rPr>
        <w:t>. Ashland Inc. (“Ashland”) hereby grants to the above-named individual (the “Participant”) #QuantityGranted# Units (the “Award”) pursuant to and subject to the terms of the Ashland Inc. 2021 Omnibus Incentive Compensation Plan (the “Plan”) and this Stock-Settled Unit Agreement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49"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9"/>
          <w:szCs w:val="19"/>
          <w:color w:val="auto"/>
        </w:rPr>
        <w:t>. Each Unit represents a contingent right of the Participant to receive one (1) Share on the vesting date or dates set forth above (each such date, a “Vesting Date”). The number of Units granted hereunder has been determined by dividing the total dollar value intended to be delivered to the Participant under this Award by the Fair Market Value of one (1) Share of Ashland on the Grant Date, rounded down to the nearest whole number.</w:t>
      </w:r>
    </w:p>
    <w:p>
      <w:pPr>
        <w:spacing w:after="0" w:line="14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b w:val="1"/>
          <w:bCs w:val="1"/>
          <w:color w:val="auto"/>
        </w:rPr>
        <w:t>Vesting</w:t>
      </w:r>
      <w:r>
        <w:rPr>
          <w:rFonts w:ascii="Times New Roman" w:cs="Times New Roman" w:eastAsia="Times New Roman" w:hAnsi="Times New Roman"/>
          <w:sz w:val="19"/>
          <w:szCs w:val="19"/>
          <w:color w:val="auto"/>
        </w:rPr>
        <w:t>. On each vesting date set forth above (each such date, a “Vesting Date”) the corresponding number of RSUs for such Vesting Date (each, a “tranche”) shall vest into Shares, subject to the Participant’s continuous service as an officer, employee or consultant of Ashland or any of its Affiliates (“Continuous Service”) through each Vesting Date, except as otherwise provided in this Agreement. Reference your stock administrator account for specific details of your award vesting schedule.</w:t>
      </w:r>
    </w:p>
    <w:p>
      <w:pPr>
        <w:spacing w:after="0" w:line="14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color w:val="auto"/>
        </w:rPr>
        <w:t>Forfeiture</w:t>
      </w:r>
      <w:r>
        <w:rPr>
          <w:rFonts w:ascii="Times New Roman" w:cs="Times New Roman" w:eastAsia="Times New Roman" w:hAnsi="Times New Roman"/>
          <w:sz w:val="19"/>
          <w:szCs w:val="19"/>
          <w:color w:val="auto"/>
        </w:rPr>
        <w:t>. Except as otherwise provided in this Agreement or as otherwise determined by the Committee (but subject to Section 6(i) of the Plan), if Participant’s Continuous Service ends for any reason prior to the Vesting Date, all Units granted hereunder shall be forfeited. Notwithstanding the foregoing (but subject to Section 6(i) of the Plan), the Committee may, in its sole discretion, provide for accelerated vesting of the Award or any portion thereof at any time and for any reason.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650875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41" w:name="page142"/>
    <w:bookmarkEnd w:id="141"/>
    <w:p>
      <w:pPr>
        <w:spacing w:after="0" w:line="26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9"/>
          <w:szCs w:val="19"/>
          <w:b w:val="1"/>
          <w:bCs w:val="1"/>
          <w:color w:val="auto"/>
        </w:rPr>
        <w:t>Retirement</w:t>
      </w:r>
      <w:r>
        <w:rPr>
          <w:rFonts w:ascii="Times New Roman" w:cs="Times New Roman" w:eastAsia="Times New Roman" w:hAnsi="Times New Roman"/>
          <w:sz w:val="19"/>
          <w:szCs w:val="19"/>
          <w:color w:val="auto"/>
        </w:rPr>
        <w:t>. If the Participant’s Continuous Service ends due to Retirement after the fiscal year that includes the Grant Date set forth above, then all unvested Units under this Agreement shall be immediately accelerated and vest in full as of the date of such Retirement, and the Shares relating to the vesting of such Units shall be paid/delivered to the Participant as soon as administratively feasible, but in no event later than two and one half months following the calendar year in which such Units vested. If the Participant’s Retirement occurs before the end of the fiscal year that includes the Grant Date set forth above, all unvested Units granted hereunder shall be forfeited unless such Retirement is the result of Participant’s termination without Cause (as defined below), in which case Participant’s unvested Units shall be treated in accordance with Section 7, below. . For purposes of this Agreement, “Retirement” shall mean a termination of Participant’s employment for any reason other than death, Disability, or Cause (as defined below), that is a ”separation from service” within the meaning of Section 409A of the Code, after attaining age 55 and having at least ten (10) years of credited service, or after attaining age 60 and having at least five (5) years of credited service.</w:t>
      </w:r>
    </w:p>
    <w:p>
      <w:pPr>
        <w:spacing w:after="0" w:line="16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color w:val="auto"/>
        </w:rPr>
        <w:t>6.</w:t>
      </w:r>
      <w:r>
        <w:rPr>
          <w:rFonts w:ascii="Times New Roman" w:cs="Times New Roman" w:eastAsia="Times New Roman" w:hAnsi="Times New Roman"/>
          <w:sz w:val="19"/>
          <w:szCs w:val="19"/>
          <w:b w:val="1"/>
          <w:bCs w:val="1"/>
          <w:color w:val="auto"/>
        </w:rPr>
        <w:t>Death or Disability.</w:t>
      </w:r>
      <w:r>
        <w:rPr>
          <w:rFonts w:ascii="Times New Roman" w:cs="Times New Roman" w:eastAsia="Times New Roman" w:hAnsi="Times New Roman"/>
          <w:sz w:val="19"/>
          <w:szCs w:val="19"/>
          <w:color w:val="auto"/>
        </w:rPr>
        <w:t xml:space="preserve"> If the Participant’s Continuous Service ends due to death or Disability, all unvested Units under this Award will be immediately accelerated and will vest, on the date of such termination due to death or Disability. The termination date coincides with the last day of active service or protected leave of absence, prior to death or Disability. The Shares relating to the vesting of such Units shall be paid/delivered to the Participant as soon as administratively feasible, but in no event later than two and one half months following the calendar year in which such Units vested.</w:t>
      </w:r>
    </w:p>
    <w:p>
      <w:pPr>
        <w:spacing w:after="0" w:line="14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7.</w:t>
      </w:r>
      <w:r>
        <w:rPr>
          <w:rFonts w:ascii="Times New Roman" w:cs="Times New Roman" w:eastAsia="Times New Roman" w:hAnsi="Times New Roman"/>
          <w:sz w:val="19"/>
          <w:szCs w:val="19"/>
          <w:b w:val="1"/>
          <w:bCs w:val="1"/>
          <w:color w:val="auto"/>
        </w:rPr>
        <w:t>Termination without Cause</w:t>
      </w:r>
      <w:r>
        <w:rPr>
          <w:rFonts w:ascii="Times New Roman" w:cs="Times New Roman" w:eastAsia="Times New Roman" w:hAnsi="Times New Roman"/>
          <w:sz w:val="19"/>
          <w:szCs w:val="19"/>
          <w:color w:val="auto"/>
        </w:rPr>
        <w:t>. If the Participant is otherwise terminated by Ashland or any of its Affiliates for any reason other than death, Disability, or Cause prior to the earlier of the Vesting Date or Retirement, each remaining unvested tranche of Units will be pro-rated (with such proration being based on the number of days from the Grant Date through the date of such termination divided by the total number of days between the Grant Date and the Vesting Date applicable to such tranche). The pro-rated number of Units, if any, shall be delivered to and in the name of Participant in the form of the corresponding number of Shares as soon as administratively feasible following the Vesting Date, but in no event later than two and one half months following the calendar year in which such Units vested (the “Outside Date”), provided that the Participant has delivered to the Company and has allowed to become non- revocable a fully executed separation agreement and release (to the extent that a separation agreement and release has been requested from the Participant by the Company). For the avoidance of any doubt, if the Participant has failed to deliver and allow to become non-revocable a fully executed separation and release that has been requested from the Participant by the Company by the Outside Date, any such Units shall be forfeited. For purposes of this Agreement only, the term “Cause” shall mean (i) if the Participant has an employment agreement with the Company in which the term “Cause” is defined, the meaning which is provided for such term in such agreement, or (ii) otherwise, (x) the willful and continued failure of the Participant to substantially perform his or her duties with the Company (other than such failure resulting from the such individual’s incapacity due to physical or mental illness, death, or Disability), (y) any act by the Participant that would constitute a felony under the laws of the United States (or an act that would be treated substantially similarly to a felony under the laws of a jurisdiction other than the United States), or (z) any act or omission by such individual which reasonably constitutes dishonesty, disloyalty, fraud, deceit, gross negligence, willful misconduct or recklessness during the course of his or her duties, including, but not limited to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2" w:name="page143"/>
    <w:bookmarkEnd w:id="142"/>
    <w:p>
      <w:pPr>
        <w:spacing w:after="0" w:line="26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color w:val="auto"/>
        </w:rPr>
        <w:t>willful violation of the Company’s by-laws, Global Code of Conduct, or other policies and procedures of the Company’s governing the Participant’s conduct.</w:t>
      </w:r>
    </w:p>
    <w:p>
      <w:pPr>
        <w:spacing w:after="0" w:line="125" w:lineRule="exact"/>
        <w:rPr>
          <w:sz w:val="20"/>
          <w:szCs w:val="20"/>
          <w:color w:val="auto"/>
        </w:rPr>
      </w:pPr>
    </w:p>
    <w:p>
      <w:pPr>
        <w:ind w:right="520"/>
        <w:spacing w:after="0" w:line="263" w:lineRule="auto"/>
        <w:rPr>
          <w:sz w:val="20"/>
          <w:szCs w:val="20"/>
          <w:color w:val="auto"/>
        </w:rPr>
      </w:pPr>
      <w:r>
        <w:rPr>
          <w:rFonts w:ascii="Times New Roman" w:cs="Times New Roman" w:eastAsia="Times New Roman" w:hAnsi="Times New Roman"/>
          <w:sz w:val="19"/>
          <w:szCs w:val="19"/>
          <w:color w:val="auto"/>
        </w:rPr>
        <w:t>8.</w:t>
      </w:r>
      <w:r>
        <w:rPr>
          <w:rFonts w:ascii="Times New Roman" w:cs="Times New Roman" w:eastAsia="Times New Roman" w:hAnsi="Times New Roman"/>
          <w:sz w:val="19"/>
          <w:szCs w:val="19"/>
          <w:b w:val="1"/>
          <w:bCs w:val="1"/>
          <w:color w:val="auto"/>
        </w:rPr>
        <w:t>Time of Payment and Taxation</w:t>
      </w:r>
      <w:r>
        <w:rPr>
          <w:rFonts w:ascii="Times New Roman" w:cs="Times New Roman" w:eastAsia="Times New Roman" w:hAnsi="Times New Roman"/>
          <w:sz w:val="19"/>
          <w:szCs w:val="19"/>
          <w:color w:val="auto"/>
        </w:rPr>
        <w:t>. Unless alternative timing requirements for the payment/delivery of Shares are specified herein, Shares underlying any tranche of Units that vests in accordance with this Agreement be paid/delivered to and in the name of the Participant within thirty (30) days following the Vesting Date applicable to such tranche of Units, subject to tax deductions and withholding as set forth in Section 9(d) of the Plan.</w:t>
      </w:r>
    </w:p>
    <w:p>
      <w:pPr>
        <w:spacing w:after="0" w:line="147"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b w:val="1"/>
          <w:bCs w:val="1"/>
          <w:color w:val="auto"/>
        </w:rPr>
        <w:t>No Stockholder Rights</w:t>
      </w:r>
      <w:r>
        <w:rPr>
          <w:rFonts w:ascii="Times New Roman" w:cs="Times New Roman" w:eastAsia="Times New Roman" w:hAnsi="Times New Roman"/>
          <w:sz w:val="19"/>
          <w:szCs w:val="19"/>
          <w:color w:val="auto"/>
        </w:rPr>
        <w:t>. Unless and until such time as Shares are delivered in settlement of vested Units, Participant shall have no ownership of the Shares associated with any Units granted under this Award or to cast any vote with respect to such Shares.</w:t>
      </w:r>
    </w:p>
    <w:p>
      <w:pPr>
        <w:spacing w:after="0" w:line="12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b w:val="1"/>
          <w:bCs w:val="1"/>
          <w:color w:val="auto"/>
        </w:rPr>
        <w:t>Dividend Equivalents</w:t>
      </w:r>
      <w:r>
        <w:rPr>
          <w:rFonts w:ascii="Times New Roman" w:cs="Times New Roman" w:eastAsia="Times New Roman" w:hAnsi="Times New Roman"/>
          <w:sz w:val="19"/>
          <w:szCs w:val="19"/>
          <w:color w:val="auto"/>
        </w:rPr>
        <w:t>. While this Award is outstanding, on each date that cash dividends are paid by Ashland to holders of Shares, Ashland will increase the number of Units granted hereunder by (1) the product of the number of Units then held by the Participant as of the date of record for such dividend (inclusive of Units that have been added to the original number of Units pursuant to this Section 10) multiplied by the per Share cash dividend amount, divided by (2) the Fair Market Value of the Shares on the date of record for such dividend. Such additional Units issued in respect of cash dividends on the Shares will be subject to all the terms and conditions of this Award, this Agreement and the Plan and to the same vesting conditions and restrictions as the Units to which such additional Units relate.</w:t>
      </w:r>
    </w:p>
    <w:p>
      <w:pPr>
        <w:spacing w:after="0" w:line="3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b w:val="1"/>
          <w:bCs w:val="1"/>
          <w:color w:val="auto"/>
        </w:rPr>
        <w:t>Fractional Units</w:t>
      </w:r>
      <w:r>
        <w:rPr>
          <w:rFonts w:ascii="Times New Roman" w:cs="Times New Roman" w:eastAsia="Times New Roman" w:hAnsi="Times New Roman"/>
          <w:sz w:val="19"/>
          <w:szCs w:val="19"/>
          <w:color w:val="auto"/>
        </w:rPr>
        <w:t>. Notwithstanding any other provision of this Agreement or the Plan to the contrary, in the event the Participant is credited with any fractional Units as a result of the grant of any dividend equivalents under Section 10 of this Agreement prior to the final Vesting Date set forth above, such fractional Units shall be accumulated and rounded up to the nearest whole Unit and shall vest on the final Vesting Date set forth above..</w:t>
      </w:r>
    </w:p>
    <w:p>
      <w:pPr>
        <w:spacing w:after="0" w:line="147"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The Award shall be treated in accordance with Section 8 of the Plan in the event of a Change of Control prior to the final Vesting Date.</w:t>
      </w:r>
    </w:p>
    <w:p>
      <w:pPr>
        <w:spacing w:after="0" w:line="12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b w:val="1"/>
          <w:bCs w:val="1"/>
          <w:color w:val="auto"/>
        </w:rPr>
        <w:t>Compensation Recovery.</w:t>
      </w:r>
      <w:r>
        <w:rPr>
          <w:rFonts w:ascii="Times New Roman" w:cs="Times New Roman" w:eastAsia="Times New Roman" w:hAnsi="Times New Roman"/>
          <w:sz w:val="19"/>
          <w:szCs w:val="19"/>
          <w:color w:val="auto"/>
        </w:rPr>
        <w:t xml:space="preserve"> Notwithstanding anything in the Plan, this Agreement or any other agreement or declaration, 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w:t>
      </w: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3" w:name="page144"/>
    <w:bookmarkEnd w:id="143"/>
    <w:p>
      <w:pPr>
        <w:spacing w:after="0" w:line="26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regulations and/or 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42"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b w:val="1"/>
          <w:bCs w:val="1"/>
          <w:color w:val="303336"/>
        </w:rPr>
        <w:t>Non-transferability</w:t>
      </w:r>
      <w:r>
        <w:rPr>
          <w:rFonts w:ascii="Times New Roman" w:cs="Times New Roman" w:eastAsia="Times New Roman" w:hAnsi="Times New Roman"/>
          <w:sz w:val="19"/>
          <w:szCs w:val="19"/>
          <w:color w:val="auto"/>
        </w:rPr>
        <w:t>. The Participant may not sell, transfer, pledge, assign, attach or otherwise alienate or hypothecate the Units or any rights under this Agreement other than by will or by the 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14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b w:val="1"/>
          <w:bCs w:val="1"/>
          <w:color w:val="auto"/>
        </w:rPr>
        <w:t>No Right to Employment</w:t>
      </w:r>
      <w:r>
        <w:rPr>
          <w:rFonts w:ascii="Times New Roman" w:cs="Times New Roman" w:eastAsia="Times New Roman" w:hAnsi="Times New Roman"/>
          <w:sz w:val="19"/>
          <w:szCs w:val="19"/>
          <w:color w:val="auto"/>
        </w:rPr>
        <w:t>. Nothing contained in this Agreement or in the Plan shall confer upon the Participant any right to continue in the employment of, or remain in the service of, Ashland or any of its Affiliates.</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16.</w:t>
      </w:r>
      <w:r>
        <w:rPr>
          <w:rFonts w:ascii="Times New Roman" w:cs="Times New Roman" w:eastAsia="Times New Roman" w:hAnsi="Times New Roman"/>
          <w:sz w:val="19"/>
          <w:szCs w:val="19"/>
          <w:b w:val="1"/>
          <w:bCs w:val="1"/>
          <w:color w:val="auto"/>
        </w:rPr>
        <w:t>Data Privacy</w:t>
      </w:r>
      <w:r>
        <w:rPr>
          <w:rFonts w:ascii="Times New Roman" w:cs="Times New Roman" w:eastAsia="Times New Roman" w:hAnsi="Times New Roman"/>
          <w:sz w:val="19"/>
          <w:szCs w:val="19"/>
          <w:color w:val="auto"/>
        </w:rPr>
        <w:t>. Information about the Participant and the Participant’s participation in the Plan may be collected, recorded and held, used and disclosed by and among Ashland, its Affiliates and any third- party Plan administrators as necessary for the purpose of managing and administering the Plan. The Participant understands that such processing of this information may need to be carried out by Ashland, its Affiliates and by third-party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5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17.</w:t>
      </w:r>
      <w:r>
        <w:rPr>
          <w:rFonts w:ascii="Times New Roman" w:cs="Times New Roman" w:eastAsia="Times New Roman" w:hAnsi="Times New Roman"/>
          <w:sz w:val="19"/>
          <w:szCs w:val="19"/>
          <w:b w:val="1"/>
          <w:bCs w:val="1"/>
          <w:color w:val="auto"/>
        </w:rPr>
        <w:t>Electronic Delivery and Participation</w:t>
      </w:r>
      <w:r>
        <w:rPr>
          <w:rFonts w:ascii="Times New Roman" w:cs="Times New Roman" w:eastAsia="Times New Roman" w:hAnsi="Times New Roman"/>
          <w:sz w:val="19"/>
          <w:szCs w:val="19"/>
          <w:color w:val="auto"/>
        </w:rPr>
        <w:t>. Ashland and any Affiliate may, in its sole discretion,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Ashland, any Affiliate or a third party designated by Ashland.</w:t>
      </w:r>
    </w:p>
    <w:p>
      <w:pPr>
        <w:spacing w:after="0" w:line="1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18.</w:t>
      </w:r>
      <w:r>
        <w:rPr>
          <w:rFonts w:ascii="Times New Roman" w:cs="Times New Roman" w:eastAsia="Times New Roman" w:hAnsi="Times New Roman"/>
          <w:sz w:val="19"/>
          <w:szCs w:val="19"/>
          <w:b w:val="1"/>
          <w:bCs w:val="1"/>
          <w:color w:val="auto"/>
        </w:rPr>
        <w:t>Code Section 409A.</w:t>
      </w:r>
      <w:r>
        <w:rPr>
          <w:rFonts w:ascii="Times New Roman" w:cs="Times New Roman" w:eastAsia="Times New Roman" w:hAnsi="Times New Roman"/>
          <w:sz w:val="19"/>
          <w:szCs w:val="19"/>
          <w:color w:val="auto"/>
        </w:rPr>
        <w:t xml:space="preserve"> To the extent applicable, for purposes of this Agreement, a termination of employment will be determined consistent with the rules relating to a “separation from service” within the meaning of Code Section 409A and the regulations and other guidance promulgated thereunder (“Section 409A”). Notwithstanding anything provided herein to the contrary, to the extent of any payments provided under this Agreement in connection with the Participant’s termination of employment with Ashland and its Affiliates constitute “nonqualified deferred compensation” within the meaning of Section 409A that is not otherwise exempt from Section 409A, and the Participant is a “specified employee” within the meaning of Section 409A upon such termination of employment, then such payment shall not be made until the earlier of (i) the expiration of the six month period measured from the Participant’s employment termination date, or (ii) the date of the Participant’s death following such employment termination date. The Participant acknowledges that, regardless of any action taken by Ashland and its Affiliates, the liability for all taxes related to the Award and this Agreement are the sole responsibility of the Participant, and neither Ashland nor its Affiliates are liable to the Participant for any taxes, penalties and interest incurred by the Participant relating to the Award and this Agreement.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4" w:name="page145"/>
    <w:bookmarkEnd w:id="144"/>
    <w:p>
      <w:pPr>
        <w:spacing w:after="0" w:line="267" w:lineRule="exact"/>
        <w:rPr>
          <w:sz w:val="20"/>
          <w:szCs w:val="20"/>
          <w:color w:val="auto"/>
        </w:rPr>
      </w:pPr>
    </w:p>
    <w:p>
      <w:pPr>
        <w:jc w:val="both"/>
        <w:ind w:right="480"/>
        <w:spacing w:after="0" w:line="269" w:lineRule="auto"/>
        <w:rPr>
          <w:sz w:val="20"/>
          <w:szCs w:val="20"/>
          <w:color w:val="auto"/>
        </w:rPr>
      </w:pPr>
      <w:r>
        <w:rPr>
          <w:rFonts w:ascii="Times New Roman" w:cs="Times New Roman" w:eastAsia="Times New Roman" w:hAnsi="Times New Roman"/>
          <w:sz w:val="19"/>
          <w:szCs w:val="19"/>
          <w:color w:val="auto"/>
        </w:rPr>
        <w:t>19.</w:t>
      </w:r>
      <w:r>
        <w:rPr>
          <w:rFonts w:ascii="Times New Roman" w:cs="Times New Roman" w:eastAsia="Times New Roman" w:hAnsi="Times New Roman"/>
          <w:sz w:val="19"/>
          <w:szCs w:val="19"/>
          <w:b w:val="1"/>
          <w:bCs w:val="1"/>
          <w:color w:val="auto"/>
        </w:rPr>
        <w:t>Restrictive Covenants</w:t>
      </w:r>
      <w:r>
        <w:rPr>
          <w:rFonts w:ascii="Times New Roman" w:cs="Times New Roman" w:eastAsia="Times New Roman" w:hAnsi="Times New Roman"/>
          <w:sz w:val="19"/>
          <w:szCs w:val="19"/>
          <w:color w:val="auto"/>
        </w:rPr>
        <w:t>. In consideration of this Award, and to the extent permitted by applicable law, the Participant agrees that during the Participant’s employment and the twelve (12) month period following the Participant’s termination of employment with Ashland or its Affiliates for any reason (the “Covenant Period”), without the written consent of Ashland, the Participant will not:</w:t>
      </w:r>
    </w:p>
    <w:p>
      <w:pPr>
        <w:spacing w:after="0" w:line="144"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(a)engage directly or indirectly in any manner or capacity as principal, agent, partner, officer, director, employee or otherwise in any business or activity competitive with the business conducted by Ashland or any of its Affiliates; or</w:t>
      </w:r>
    </w:p>
    <w:p>
      <w:pPr>
        <w:spacing w:after="0" w:line="127"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(b)perform any act or engage in any activity that is detrimental to the best interests of Ashland or any of its Affiliates, including, without limitation:</w:t>
      </w:r>
    </w:p>
    <w:p>
      <w:pPr>
        <w:spacing w:after="0" w:line="127" w:lineRule="exact"/>
        <w:rPr>
          <w:sz w:val="20"/>
          <w:szCs w:val="20"/>
          <w:color w:val="auto"/>
        </w:rPr>
      </w:pPr>
    </w:p>
    <w:p>
      <w:pPr>
        <w:ind w:left="1600" w:right="240"/>
        <w:spacing w:after="0" w:line="268" w:lineRule="auto"/>
        <w:rPr>
          <w:sz w:val="20"/>
          <w:szCs w:val="20"/>
          <w:color w:val="auto"/>
        </w:rPr>
      </w:pPr>
      <w:r>
        <w:rPr>
          <w:rFonts w:ascii="Times New Roman" w:cs="Times New Roman" w:eastAsia="Times New Roman" w:hAnsi="Times New Roman"/>
          <w:sz w:val="19"/>
          <w:szCs w:val="19"/>
          <w:color w:val="auto"/>
        </w:rPr>
        <w:t>(i)solicit or encourage any existing or former employee, director, contractor, consultant, customer, or supplier of Ashland or any of its Affiliates to terminate his, her or its relationship with Ashland or any of its Affiliates for any reason;</w:t>
      </w:r>
    </w:p>
    <w:p>
      <w:pPr>
        <w:spacing w:after="0" w:line="144" w:lineRule="exact"/>
        <w:rPr>
          <w:sz w:val="20"/>
          <w:szCs w:val="20"/>
          <w:color w:val="auto"/>
        </w:rPr>
      </w:pPr>
    </w:p>
    <w:p>
      <w:pPr>
        <w:jc w:val="both"/>
        <w:ind w:left="1600" w:right="440"/>
        <w:spacing w:after="0" w:line="268" w:lineRule="auto"/>
        <w:rPr>
          <w:sz w:val="20"/>
          <w:szCs w:val="20"/>
          <w:color w:val="auto"/>
        </w:rPr>
      </w:pPr>
      <w:r>
        <w:rPr>
          <w:rFonts w:ascii="Times New Roman" w:cs="Times New Roman" w:eastAsia="Times New Roman" w:hAnsi="Times New Roman"/>
          <w:sz w:val="19"/>
          <w:szCs w:val="19"/>
          <w:color w:val="auto"/>
        </w:rPr>
        <w:t>(ii)hire (directly or through another person), any person (whether or not solicited) who was an employee of the Company or any of its Affiliates at any time within the one year period immediately preceding the Participant’s termination from employment; or</w:t>
      </w:r>
    </w:p>
    <w:p>
      <w:pPr>
        <w:spacing w:after="0" w:line="144" w:lineRule="exact"/>
        <w:rPr>
          <w:sz w:val="20"/>
          <w:szCs w:val="20"/>
          <w:color w:val="auto"/>
        </w:rPr>
      </w:pPr>
    </w:p>
    <w:p>
      <w:pPr>
        <w:ind w:left="1600" w:right="40"/>
        <w:spacing w:after="0" w:line="286" w:lineRule="auto"/>
        <w:rPr>
          <w:sz w:val="20"/>
          <w:szCs w:val="20"/>
          <w:color w:val="auto"/>
        </w:rPr>
      </w:pPr>
      <w:r>
        <w:rPr>
          <w:rFonts w:ascii="Times New Roman" w:cs="Times New Roman" w:eastAsia="Times New Roman" w:hAnsi="Times New Roman"/>
          <w:sz w:val="19"/>
          <w:szCs w:val="19"/>
          <w:color w:val="auto"/>
        </w:rPr>
        <w:t>(iii)disclose proprietary or confidential information of Ashland or any of its Affiliates to third parties or use any such proprietary or confidential information for the benefit of anyone other than Ashland and its Affiliates;</w:t>
      </w:r>
    </w:p>
    <w:p>
      <w:pPr>
        <w:spacing w:after="0" w:line="127" w:lineRule="exact"/>
        <w:rPr>
          <w:sz w:val="20"/>
          <w:szCs w:val="20"/>
          <w:color w:val="auto"/>
        </w:rPr>
      </w:pPr>
    </w:p>
    <w:p>
      <w:pPr>
        <w:ind w:left="700" w:right="20"/>
        <w:spacing w:after="0" w:line="253" w:lineRule="auto"/>
        <w:rPr>
          <w:sz w:val="20"/>
          <w:szCs w:val="20"/>
          <w:color w:val="auto"/>
        </w:rPr>
      </w:pPr>
      <w:r>
        <w:rPr>
          <w:rFonts w:ascii="Times New Roman" w:cs="Times New Roman" w:eastAsia="Times New Roman" w:hAnsi="Times New Roman"/>
          <w:sz w:val="19"/>
          <w:szCs w:val="19"/>
          <w:color w:val="auto"/>
        </w:rPr>
        <w:t>provided, however,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w:t>
      </w:r>
    </w:p>
    <w:p>
      <w:pPr>
        <w:spacing w:after="0" w:line="4" w:lineRule="exact"/>
        <w:rPr>
          <w:sz w:val="20"/>
          <w:szCs w:val="20"/>
          <w:color w:val="auto"/>
        </w:rPr>
      </w:pPr>
    </w:p>
    <w:p>
      <w:pPr>
        <w:ind w:left="700"/>
        <w:spacing w:after="0" w:line="250" w:lineRule="auto"/>
        <w:rPr>
          <w:sz w:val="20"/>
          <w:szCs w:val="20"/>
          <w:color w:val="auto"/>
        </w:rPr>
      </w:pPr>
      <w:r>
        <w:rPr>
          <w:rFonts w:ascii="Times New Roman" w:cs="Times New Roman" w:eastAsia="Times New Roman" w:hAnsi="Times New Roman"/>
          <w:sz w:val="19"/>
          <w:szCs w:val="19"/>
          <w:color w:val="auto"/>
        </w:rPr>
        <w:t>(18 U.S.C. Section 1833(b)) applies that is made (A) in confidence to a Federal, state or local government official, either directly or indirectly, or to an attorney, in each case, solely for the purpose of reporting or investigating a suspected violation of law; or</w:t>
      </w:r>
    </w:p>
    <w:p>
      <w:pPr>
        <w:spacing w:after="0" w:line="1" w:lineRule="exact"/>
        <w:rPr>
          <w:sz w:val="20"/>
          <w:szCs w:val="20"/>
          <w:color w:val="auto"/>
        </w:rPr>
      </w:pPr>
    </w:p>
    <w:p>
      <w:pPr>
        <w:ind w:left="700" w:right="80" w:firstLine="2"/>
        <w:spacing w:after="0" w:line="254" w:lineRule="auto"/>
        <w:tabs>
          <w:tab w:leader="none" w:pos="100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57" w:lineRule="exact"/>
        <w:rPr>
          <w:sz w:val="20"/>
          <w:szCs w:val="20"/>
          <w:color w:val="auto"/>
        </w:rPr>
      </w:pPr>
    </w:p>
    <w:p>
      <w:pPr>
        <w:ind w:left="700" w:right="420"/>
        <w:spacing w:after="0" w:line="286" w:lineRule="auto"/>
        <w:rPr>
          <w:sz w:val="20"/>
          <w:szCs w:val="20"/>
          <w:color w:val="auto"/>
        </w:rPr>
      </w:pPr>
      <w:r>
        <w:rPr>
          <w:rFonts w:ascii="Times New Roman" w:cs="Times New Roman" w:eastAsia="Times New Roman" w:hAnsi="Times New Roman"/>
          <w:sz w:val="19"/>
          <w:szCs w:val="19"/>
          <w:color w:val="auto"/>
        </w:rPr>
        <w:t>Notwithstanding any other provision of the Plan or this Agreement to the contrary, but subject to any applicable laws to the contrary, the Participant agrees that in the event the Participant fails to</w:t>
      </w: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5" w:name="page146"/>
    <w:bookmarkEnd w:id="145"/>
    <w:p>
      <w:pPr>
        <w:spacing w:after="0" w:line="269" w:lineRule="exact"/>
        <w:rPr>
          <w:sz w:val="20"/>
          <w:szCs w:val="20"/>
          <w:color w:val="auto"/>
        </w:rPr>
      </w:pPr>
    </w:p>
    <w:p>
      <w:pPr>
        <w:ind w:left="700" w:right="20"/>
        <w:spacing w:after="0" w:line="253" w:lineRule="auto"/>
        <w:rPr>
          <w:sz w:val="20"/>
          <w:szCs w:val="20"/>
          <w:color w:val="auto"/>
        </w:rPr>
      </w:pPr>
      <w:r>
        <w:rPr>
          <w:rFonts w:ascii="Times New Roman" w:cs="Times New Roman" w:eastAsia="Times New Roman" w:hAnsi="Times New Roman"/>
          <w:sz w:val="19"/>
          <w:szCs w:val="19"/>
          <w:color w:val="auto"/>
        </w:rPr>
        <w:t>comply or otherwise breaches any of the Participant Covenants either during the Participant’s employment with Ashland or any of its Affiliates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and such elimination or reduction would trigger Section 409A taxes,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provided that the actions described in clauses (x), (y) and (z) shall not be taken with respect to the Award at any time following the third anniversary of the vesting of the Award (or the applicable portion thereof). To the extent a longer Covenant Period is specified in another agreement between the Participant and Ashland or its Affiliates, the provisions of this section 13 shall be extended to apply to such longer period.</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20.</w:t>
      </w:r>
      <w:r>
        <w:rPr>
          <w:rFonts w:ascii="Times New Roman" w:cs="Times New Roman" w:eastAsia="Times New Roman" w:hAnsi="Times New Roman"/>
          <w:sz w:val="19"/>
          <w:szCs w:val="19"/>
          <w:b w:val="1"/>
          <w:bCs w:val="1"/>
          <w:color w:val="auto"/>
        </w:rPr>
        <w:t>Acceptance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Award of Units is subject to and expressly conditioned upon the Participant’s online acceptance of the terms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and conditions of the Plan, this Agreement, and the Award through the Fidelity website. The right to the Units shall expire if not accepted by #Accept By#.</w:t>
      </w:r>
    </w:p>
    <w:p>
      <w:pPr>
        <w:spacing w:after="0" w:line="144" w:lineRule="exact"/>
        <w:rPr>
          <w:sz w:val="20"/>
          <w:szCs w:val="20"/>
          <w:color w:val="auto"/>
        </w:rPr>
      </w:pPr>
    </w:p>
    <w:p>
      <w:pPr>
        <w:ind w:left="700"/>
        <w:spacing w:after="0" w:line="257" w:lineRule="auto"/>
        <w:rPr>
          <w:sz w:val="20"/>
          <w:szCs w:val="20"/>
          <w:color w:val="auto"/>
        </w:rPr>
      </w:pPr>
      <w:r>
        <w:rPr>
          <w:rFonts w:ascii="Times New Roman" w:cs="Times New Roman" w:eastAsia="Times New Roman" w:hAnsi="Times New Roman"/>
          <w:sz w:val="19"/>
          <w:szCs w:val="19"/>
          <w:color w:val="auto"/>
        </w:rPr>
        <w:t>By accepting the terms and conditions of this Agreement, the Participant acknowledges that the Participant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15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9"/>
          <w:szCs w:val="19"/>
          <w:color w:val="auto"/>
        </w:rPr>
        <w:t>IN WITNESS WHEREOF, Ashland Inc. has caused this instrument to be executed and delivered effective as of the Grant Date set forth above.</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#Signature#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#ParticipantName#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#AcceptanceDate#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520065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2861945</wp:posOffset>
            </wp:positionH>
            <wp:positionV relativeFrom="page">
              <wp:posOffset>727710</wp:posOffset>
            </wp:positionV>
            <wp:extent cx="1829435" cy="6172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829435" cy="6172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10.66</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CASH-SETTLED RESTRICTED STOCK EQUIVALENT AGREEMENT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NON-U.S. PARTICIPANTS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Ashland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2021 Omnibus Incentive Compensation Plan</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Restricted Stock Equivalent Units (“RSEs”) Granted:</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Vesting 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Signature Required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#QuantityGranted#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 By#</w:t>
      </w:r>
    </w:p>
    <w:p>
      <w:pPr>
        <w:spacing w:after="0" w:line="200" w:lineRule="exact"/>
        <w:rPr>
          <w:sz w:val="20"/>
          <w:szCs w:val="20"/>
          <w:color w:val="auto"/>
        </w:rPr>
      </w:pPr>
    </w:p>
    <w:p>
      <w:pPr>
        <w:sectPr>
          <w:pgSz w:w="11900" w:h="16840" w:orient="portrait"/>
          <w:cols w:equalWidth="0" w:num="2">
            <w:col w:w="6060" w:space="720"/>
            <w:col w:w="3780"/>
          </w:cols>
          <w:pgMar w:left="660" w:top="1440" w:right="680" w:bottom="1440" w:gutter="0" w:footer="0" w:header="0"/>
          <w:type w:val="continuous"/>
        </w:sectPr>
      </w:pPr>
    </w:p>
    <w:p>
      <w:pPr>
        <w:spacing w:after="0" w:line="13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Grant.</w:t>
      </w:r>
      <w:r>
        <w:rPr>
          <w:rFonts w:ascii="Times New Roman" w:cs="Times New Roman" w:eastAsia="Times New Roman" w:hAnsi="Times New Roman"/>
          <w:sz w:val="19"/>
          <w:szCs w:val="19"/>
          <w:color w:val="auto"/>
        </w:rPr>
        <w:t xml:space="preserve"> Ashland Inc. (“Ashland”) hereby grants to the above-named individual (the “Participant”) #QuantityGranted# RSEs (the “Award”) pursuant to and subject to the terms of the Ashland Inc. 2021 Omnibus Incentive Compensation Plan (the “Plan”) and this Cash-Settled Restricted Stock Equivalent Agreement for Non-U.S. Participants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4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9"/>
          <w:szCs w:val="19"/>
          <w:b w:val="1"/>
          <w:bCs w:val="1"/>
          <w:color w:val="auto"/>
        </w:rPr>
        <w:t>RSEs.</w:t>
      </w:r>
      <w:r>
        <w:rPr>
          <w:rFonts w:ascii="Times New Roman" w:cs="Times New Roman" w:eastAsia="Times New Roman" w:hAnsi="Times New Roman"/>
          <w:sz w:val="19"/>
          <w:szCs w:val="19"/>
          <w:color w:val="auto"/>
        </w:rPr>
        <w:t xml:space="preserve"> Each RSE represents a contingent right of the Participant to receive a cash payment in Participant’s local currency equal to the Fair Market Value of one (1) Share (the “Per RSE Value”) on the Vesting Date set forth above (such date, the “Vesting Date”). The number of RSEs granted hereunder has been determined by dividing the total dollar value intended to be delivered to the Participant under this Award by the Fair Market Value of one (1) Share of Ashland on the Grant Date, rounded down to the nearest whole number.</w:t>
      </w:r>
    </w:p>
    <w:p>
      <w:pPr>
        <w:spacing w:after="0" w:line="14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b w:val="1"/>
          <w:bCs w:val="1"/>
          <w:color w:val="auto"/>
        </w:rPr>
        <w:t>Vesting.</w:t>
      </w:r>
      <w:r>
        <w:rPr>
          <w:rFonts w:ascii="Times New Roman" w:cs="Times New Roman" w:eastAsia="Times New Roman" w:hAnsi="Times New Roman"/>
          <w:sz w:val="19"/>
          <w:szCs w:val="19"/>
          <w:color w:val="auto"/>
        </w:rPr>
        <w:t xml:space="preserve"> On each vesting date set forth above (each such date, a “Vesting Date”) the corresponding number of RSEs set forth above for such Vesting Date (each, a “tranche”) shall vest, subject to the Participant’s continuous service as an officer, employee or consultant of Ashland or any of its Affiliates (“Continuous Service”) through each Vesting Date, except as otherwise provided in this Agreement.</w:t>
      </w:r>
    </w:p>
    <w:p>
      <w:pPr>
        <w:spacing w:after="0" w:line="14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color w:val="auto"/>
        </w:rPr>
        <w:t>Forfeiture</w:t>
      </w:r>
      <w:r>
        <w:rPr>
          <w:rFonts w:ascii="Times New Roman" w:cs="Times New Roman" w:eastAsia="Times New Roman" w:hAnsi="Times New Roman"/>
          <w:sz w:val="19"/>
          <w:szCs w:val="19"/>
          <w:color w:val="auto"/>
        </w:rPr>
        <w:t>. Except as otherwise provided in this Agreement or as otherwise determined by the Committee (but subject to Section 6(i) of the Plan), if Participant’s Continuous Service ends for any reason prior to the Vesting Date, all RSEs granted hereunder shall be forfeited. Notwithstanding the foregoing (but subject to Section 6(i) of the Plan), the Committee may, in 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650240</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47" w:name="page148"/>
    <w:bookmarkEnd w:id="147"/>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sole discretion, provide for accelerated vesting of the Award or any portion thereof at any time and for any reason.</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9"/>
          <w:szCs w:val="19"/>
          <w:b w:val="1"/>
          <w:bCs w:val="1"/>
          <w:color w:val="auto"/>
        </w:rPr>
        <w:t>Retirement</w:t>
      </w:r>
      <w:r>
        <w:rPr>
          <w:rFonts w:ascii="Times New Roman" w:cs="Times New Roman" w:eastAsia="Times New Roman" w:hAnsi="Times New Roman"/>
          <w:sz w:val="19"/>
          <w:szCs w:val="19"/>
          <w:color w:val="auto"/>
        </w:rPr>
        <w:t>. If the Participant’s Continuous Service ends due to Retirement after the fiscal year that includes the Grant Date set forth above, then all unvested RSEs under this Agreement shall be immediately accelerated and vest in full as of the date of such Retirement, and the cash payments relating to the vesting of such RSEs shall be paid/delivered to the Participant as soon as administratively feasible, but in no event later than two and one half months following the calendar year in which such Units vested. . If the Participant’s Retirement occurs before the end of the fiscal year that includes the Grant Date set forth above, all unvested RSEs granted hereunder shall be forfeited unless such Retirement is the result of Participant’s termination without Cause (as defined below), in which case Participant’s unvested Units shall be treated in accordance with Section 7, below. For purposes of this Agreement, “Retirement” shall mean a termination of Participant’s employment for any reason other than death, Disability, or Cause (as defined below), that is a ”separation from service” within the meaning of Section 409A of the Internal Revenue Code of 1986, as amended, and the regulations and other guidance promulgated thereunder (“Section 409A”), after attaining age 55 and having at least ten (10) years of credited service, or after attaining age 60 and having at least five (5) years of credited service.</w:t>
      </w:r>
    </w:p>
    <w:p>
      <w:pPr>
        <w:spacing w:after="0" w:line="15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6.</w:t>
      </w:r>
      <w:r>
        <w:rPr>
          <w:rFonts w:ascii="Times New Roman" w:cs="Times New Roman" w:eastAsia="Times New Roman" w:hAnsi="Times New Roman"/>
          <w:sz w:val="19"/>
          <w:szCs w:val="19"/>
          <w:b w:val="1"/>
          <w:bCs w:val="1"/>
          <w:color w:val="auto"/>
        </w:rPr>
        <w:t>Death or Disability</w:t>
      </w:r>
      <w:r>
        <w:rPr>
          <w:rFonts w:ascii="Times New Roman" w:cs="Times New Roman" w:eastAsia="Times New Roman" w:hAnsi="Times New Roman"/>
          <w:sz w:val="19"/>
          <w:szCs w:val="19"/>
          <w:color w:val="auto"/>
        </w:rPr>
        <w:t>. If the Participant’s Continuous Service ends due to death or Disability, all unvested RSEs under this Award will be immediately accelerated and will vest in full on the date of such termination due to death or Disability. The termination date coincides with the last day of active service or protected leave of absence, prior to death or Disability. The Shares relating to the vesting of such Units shall be paid/delivered to the Participant as soon as administratively feasible, but in no event later than two and one half months following the calendar year in which such Units vested.</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7.</w:t>
      </w:r>
      <w:r>
        <w:rPr>
          <w:rFonts w:ascii="Times New Roman" w:cs="Times New Roman" w:eastAsia="Times New Roman" w:hAnsi="Times New Roman"/>
          <w:sz w:val="19"/>
          <w:szCs w:val="19"/>
          <w:b w:val="1"/>
          <w:bCs w:val="1"/>
          <w:color w:val="auto"/>
        </w:rPr>
        <w:t>Termination without Cause</w:t>
      </w:r>
      <w:r>
        <w:rPr>
          <w:rFonts w:ascii="Times New Roman" w:cs="Times New Roman" w:eastAsia="Times New Roman" w:hAnsi="Times New Roman"/>
          <w:sz w:val="19"/>
          <w:szCs w:val="19"/>
          <w:color w:val="auto"/>
        </w:rPr>
        <w:t>. If the Participant is otherwise terminated by Ashland or any of its Affiliates for any reason other than death, Disability, or Cause prior to the earlier of the Vesting Date or Retirement, each remaining unvested tranche of RSEs will be pro-rated (with such proration being based on the number of days from the Grant Date through the date of such termination divided by the total number of days between the Grant Date and the Vesting Date applicable to such tranche). Cash payments in respect of the pro-rated number of RSEs, if any shall be paid/delivered to and in the name of the Participant as soon as administratively feasible following the Vesting Date, but in no event later than two and one half months following the calendar year in which such Units vested (the “Outside Date”), provided that the Participant has delivered to the Company and has allowed to become non-revocable a fully executed separation agreement and release (to the extent that a separation agreement and release has been requested from the Participant by the Company). For the avoidance of any doubt, if the Participant has failed to deliver and allow to become non-revocable a fully executed separation and release that has been requested from the Participant by the Company by the Outside Date, any such Units shall be forfeited.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right="140"/>
        <w:spacing w:after="0" w:line="286" w:lineRule="auto"/>
        <w:rPr>
          <w:sz w:val="20"/>
          <w:szCs w:val="20"/>
          <w:color w:val="auto"/>
        </w:rPr>
      </w:pPr>
      <w:r>
        <w:rPr>
          <w:rFonts w:ascii="Times New Roman" w:cs="Times New Roman" w:eastAsia="Times New Roman" w:hAnsi="Times New Roman"/>
          <w:sz w:val="19"/>
          <w:szCs w:val="19"/>
          <w:color w:val="auto"/>
        </w:rPr>
        <w:t>For purposes of this Agreement only, the term “Cause” shall mean (i) if the Participant has an employment agreement with the Company in which the term “Cause” is defined, the meaning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8" w:name="page149"/>
    <w:bookmarkEnd w:id="148"/>
    <w:p>
      <w:pPr>
        <w:spacing w:after="0" w:line="269"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9"/>
          <w:szCs w:val="19"/>
          <w:color w:val="auto"/>
        </w:rPr>
        <w:t>which is provided for such term in such agreement, or (ii) otherwise, (x) the willful and continued failure of the Participant to substantially perform his or her duties with the Company (other than such failure resulting from the such individual’s incapacity due to physical or mental illness, death, or disability), (y) any act by the Participant that would constitute a felony under the laws of the United States (or an act that would be treated substantially similarly to a felony under the laws of a jurisdiction other than the United States), or (z) any act or omission by such individual which reasonably constitutes dishonesty, disloyalty, fraud, deceit, gross negligence, willful misconduct or recklessness during the course of his or her duties, including, but not limited to the willful violation of the Company’s by-laws, Global Code of Conduct, or other policies and procedures of the Company’s governing the Participant’s conduct.</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8.</w:t>
      </w:r>
      <w:r>
        <w:rPr>
          <w:rFonts w:ascii="Times New Roman" w:cs="Times New Roman" w:eastAsia="Times New Roman" w:hAnsi="Times New Roman"/>
          <w:sz w:val="19"/>
          <w:szCs w:val="19"/>
          <w:b w:val="1"/>
          <w:bCs w:val="1"/>
          <w:color w:val="auto"/>
        </w:rPr>
        <w:t>Dividend Equivalents</w:t>
      </w:r>
      <w:r>
        <w:rPr>
          <w:rFonts w:ascii="Times New Roman" w:cs="Times New Roman" w:eastAsia="Times New Roman" w:hAnsi="Times New Roman"/>
          <w:sz w:val="19"/>
          <w:szCs w:val="19"/>
          <w:color w:val="auto"/>
        </w:rPr>
        <w:t>. While this Award is outstanding, on each date that cash dividends are paid by Ashland to holders of Shares, Ashland will increase the number of target Units granted hereunder by (1) the product of the target number of Units then held by the Participant as of the date of record for such dividend (inclusive of Units that have been added to such target number of Units pursuant to this Section 8) multiplied by the per Share cash dividend amount, divided by (2) the Fair Market Value of the Shares on the date of record for such dividend. Such additional Units issued in respect of cash dividends on the Shares will be subject to all the terms and conditions of this Award, this Agreement and the Plan and to the same vesting conditions and restrictions as the Units to which such additional Units relate.</w:t>
      </w:r>
    </w:p>
    <w:p>
      <w:pPr>
        <w:spacing w:after="0" w:line="15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b w:val="1"/>
          <w:bCs w:val="1"/>
          <w:color w:val="auto"/>
        </w:rPr>
        <w:t>Fractional Units</w:t>
      </w:r>
      <w:r>
        <w:rPr>
          <w:rFonts w:ascii="Times New Roman" w:cs="Times New Roman" w:eastAsia="Times New Roman" w:hAnsi="Times New Roman"/>
          <w:sz w:val="19"/>
          <w:szCs w:val="19"/>
          <w:color w:val="auto"/>
        </w:rPr>
        <w:t>. Notwithstanding any other provision of this Agreement or the Plan to the contrary, in the event the Participant is credited with any fractional Units as a result of the grant of any dividend equivalents under Section 8of this Agreement prior to the final Vesting Date set forth above, such fractional Units shall be accumulated and rounded up to the nearest whole Unit and shall vest on the final Vesting Date set forth above.</w:t>
      </w:r>
    </w:p>
    <w:p>
      <w:pPr>
        <w:spacing w:after="0" w:line="14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b w:val="1"/>
          <w:bCs w:val="1"/>
          <w:color w:val="auto"/>
        </w:rPr>
        <w:t>Settlement</w:t>
      </w:r>
      <w:r>
        <w:rPr>
          <w:rFonts w:ascii="Times New Roman" w:cs="Times New Roman" w:eastAsia="Times New Roman" w:hAnsi="Times New Roman"/>
          <w:sz w:val="19"/>
          <w:szCs w:val="19"/>
          <w:color w:val="auto"/>
        </w:rPr>
        <w:t>. As soon as administratively practicable following the applicable Vesting Date for a tranche of RSEs, the Participant shall receive an aggregate cash payment equal to the Per RSE Value as of the Vesting Date multiplied by the applicable number of RSEs that have vested. Such amounts shall be paid in local currency (based upon Ashland’s applicable, then-current internal foreign exchange conversion rates) less applicable withholdings as may be required under Section 11 below.</w:t>
      </w:r>
    </w:p>
    <w:p>
      <w:pPr>
        <w:spacing w:after="0" w:line="149" w:lineRule="exact"/>
        <w:rPr>
          <w:sz w:val="20"/>
          <w:szCs w:val="20"/>
          <w:color w:val="auto"/>
        </w:rPr>
      </w:pPr>
    </w:p>
    <w:p>
      <w:pPr>
        <w:ind w:left="360" w:right="40"/>
        <w:spacing w:after="0" w:line="255" w:lineRule="auto"/>
        <w:rPr>
          <w:sz w:val="20"/>
          <w:szCs w:val="20"/>
          <w:color w:val="auto"/>
        </w:rPr>
      </w:pPr>
      <w:r>
        <w:rPr>
          <w:rFonts w:ascii="Times New Roman" w:cs="Times New Roman" w:eastAsia="Times New Roman" w:hAnsi="Times New Roman"/>
          <w:sz w:val="19"/>
          <w:szCs w:val="19"/>
          <w:color w:val="auto"/>
        </w:rPr>
        <w:t>As a condition to the grant of the Award, the Participant agrees to repatriate all payments made upon the vesting of the RSEs and any other amounts acquired under the Plan (to the extent such amounts are not paid locally) in accordance with local foreign exchange rules and regulations in the Participant’s country of residence (and country of employment, if different). In addition, the Participant agrees to take any and all actions, and consents to any and all actions taken by Ashland or any of its Affiliates, as may be required to allow Ashland or any of its Affiliates to comply with local laws, rules and regulations in the Participant’s country of residence (and country of employment, if different). Finally, the Participant agrees to take any and all actions as may be required to satisfy the Participant’s personal legal and tax obligations under local laws, rules and regulations in the Participant’s country of residence (and country of employment, if different).</w:t>
      </w:r>
    </w:p>
    <w:p>
      <w:pPr>
        <w:spacing w:after="0" w:line="15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b w:val="1"/>
          <w:bCs w:val="1"/>
          <w:color w:val="auto"/>
        </w:rPr>
        <w:t>Responsibility for Taxes</w:t>
      </w:r>
      <w:r>
        <w:rPr>
          <w:rFonts w:ascii="Times New Roman" w:cs="Times New Roman" w:eastAsia="Times New Roman" w:hAnsi="Times New Roman"/>
          <w:sz w:val="19"/>
          <w:szCs w:val="19"/>
          <w:color w:val="auto"/>
        </w:rPr>
        <w:t>. Regardless of any action Ashland or any of its Affiliates takes with respect to any or all income tax, social insurance, payroll tax, payment on account or other tax-related items related to the Award (“Tax-Related Items”), the Participant acknowledges that the ultimate liability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9" w:name="page150"/>
    <w:bookmarkEnd w:id="149"/>
    <w:p>
      <w:pPr>
        <w:spacing w:after="0" w:line="26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for all Tax-Related Items legally owed by the Participant are and remain the Participant’s responsibility and neither Ashland nor any of its Affiliates: (a) make any representations or undertakings regarding the treatment of any Tax-Related Items in connection with any aspect of the Award, including the grant of the RSEs, the vesting of the RSEs and any payments in settlement of any vested RSEs, and</w:t>
      </w:r>
    </w:p>
    <w:p>
      <w:pPr>
        <w:spacing w:after="0" w:line="2" w:lineRule="exact"/>
        <w:rPr>
          <w:sz w:val="20"/>
          <w:szCs w:val="20"/>
          <w:color w:val="auto"/>
        </w:rPr>
      </w:pPr>
    </w:p>
    <w:p>
      <w:pPr>
        <w:ind w:right="120" w:firstLine="6"/>
        <w:spacing w:after="0" w:line="262" w:lineRule="auto"/>
        <w:tabs>
          <w:tab w:leader="none" w:pos="272"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 to structure the terms of the grant or any aspect of the RSEs to reduce or eliminate the Participant’s liability for Tax-Related Items.</w:t>
      </w:r>
    </w:p>
    <w:p>
      <w:pPr>
        <w:spacing w:after="0" w:line="149" w:lineRule="exact"/>
        <w:rPr>
          <w:sz w:val="20"/>
          <w:szCs w:val="20"/>
          <w:color w:val="auto"/>
        </w:rPr>
      </w:pPr>
    </w:p>
    <w:p>
      <w:pPr>
        <w:ind w:left="360" w:right="20"/>
        <w:spacing w:after="0" w:line="255" w:lineRule="auto"/>
        <w:rPr>
          <w:sz w:val="20"/>
          <w:szCs w:val="20"/>
          <w:color w:val="auto"/>
        </w:rPr>
      </w:pPr>
      <w:r>
        <w:rPr>
          <w:rFonts w:ascii="Times New Roman" w:cs="Times New Roman" w:eastAsia="Times New Roman" w:hAnsi="Times New Roman"/>
          <w:sz w:val="19"/>
          <w:szCs w:val="19"/>
          <w:color w:val="auto"/>
        </w:rPr>
        <w:t>Prior to the delivery of any cash payment owed to the Participant upon the vesting of RSEs, if the Participant’s country of residence (and/or the country of employment, if different) requires the withholding of Tax-Related Items, the Employer shall withhold a portion of the cash payment sufficient to satisfy such obligations. Alternatively, the Employer may satisfy such obligations by withholding such amounts from the Participant’s regular salary, wages, or any other amounts payable to the Participant, to the extent not prohibited by applicable law. If, upon the vesting of RSEs, the amount of such withholding obligations exceed the amounts available through withholdings from such cash payment, or the Participant’s regular salary, wages, or other amounts payable to the Participant, then no cash payments in respect of the vested RSEs will be issued to the Participant unless and until satisfactory arrangements (as determined by the Committee in its sole discretion) have been made for the Participant to contribute funding to fully satisfy any such withholding obligations.</w:t>
      </w:r>
    </w:p>
    <w:p>
      <w:pPr>
        <w:spacing w:after="0" w:line="155" w:lineRule="exact"/>
        <w:rPr>
          <w:sz w:val="20"/>
          <w:szCs w:val="20"/>
          <w:color w:val="auto"/>
        </w:rPr>
      </w:pPr>
    </w:p>
    <w:p>
      <w:pPr>
        <w:ind w:left="360"/>
        <w:spacing w:after="0" w:line="257" w:lineRule="auto"/>
        <w:rPr>
          <w:sz w:val="20"/>
          <w:szCs w:val="20"/>
          <w:color w:val="auto"/>
        </w:rPr>
      </w:pPr>
      <w:r>
        <w:rPr>
          <w:rFonts w:ascii="Times New Roman" w:cs="Times New Roman" w:eastAsia="Times New Roman" w:hAnsi="Times New Roman"/>
          <w:sz w:val="19"/>
          <w:szCs w:val="19"/>
          <w:color w:val="auto"/>
        </w:rPr>
        <w:t>If the Participant relocates to another jurisdiction at any time prior to the final Vesting Date for the RSEs, the Participant shall be responsible for notifying Ashland of such relocation and shall be responsible for compliance with all applicable tax requirements. If the Participant is subject to taxation in more than one jurisdiction, the Participant acknowledges and agrees that Ashland or any of its Affiliates may be required to withhold or account for Tax-Related Items in more than one jurisdiction. By accepting this Award, the Participant expressly and explicitly consents to the withholding methods provided for hereunder. All other Tax-Related Items related to the RSEs shall be the Participant’s sole responsibility.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b w:val="1"/>
          <w:bCs w:val="1"/>
          <w:color w:val="auto"/>
        </w:rPr>
        <w:t>Acknowledgement and Waiver</w:t>
      </w:r>
      <w:r>
        <w:rPr>
          <w:rFonts w:ascii="Times New Roman" w:cs="Times New Roman" w:eastAsia="Times New Roman" w:hAnsi="Times New Roman"/>
          <w:sz w:val="19"/>
          <w:szCs w:val="19"/>
          <w:color w:val="auto"/>
        </w:rPr>
        <w:t>. By accepting this Award, the Participant acknowledges, understands and agrees that:</w:t>
      </w:r>
    </w:p>
    <w:p>
      <w:pPr>
        <w:spacing w:after="0" w:line="204" w:lineRule="exact"/>
        <w:rPr>
          <w:sz w:val="20"/>
          <w:szCs w:val="20"/>
          <w:color w:val="auto"/>
        </w:rPr>
      </w:pPr>
    </w:p>
    <w:p>
      <w:pPr>
        <w:ind w:left="700" w:right="140"/>
        <w:spacing w:after="0" w:line="286" w:lineRule="auto"/>
        <w:rPr>
          <w:sz w:val="20"/>
          <w:szCs w:val="20"/>
          <w:color w:val="auto"/>
        </w:rPr>
      </w:pPr>
      <w:r>
        <w:rPr>
          <w:rFonts w:ascii="Times New Roman" w:cs="Times New Roman" w:eastAsia="Times New Roman" w:hAnsi="Times New Roman"/>
          <w:sz w:val="19"/>
          <w:szCs w:val="19"/>
          <w:color w:val="auto"/>
        </w:rPr>
        <w:t>(a)the Plan is established voluntarily by Ashland, may be discretionary in nature or execution, and may be modified, amended, suspended or terminated by Ashland at any time;</w:t>
      </w:r>
    </w:p>
    <w:p>
      <w:pPr>
        <w:spacing w:after="0" w:line="127"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(b)the grant of RSEs is exceptional, voluntary and occasional and does not create any contractual or other right to receive future grants of RSEs, or benefits in lieu of RSEs, even if RSEs have been granted in the past;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(c)all decisions with respect to future grants, if any, will be at the sole discretion of Ashland;</w:t>
      </w:r>
    </w:p>
    <w:p>
      <w:pPr>
        <w:spacing w:after="0" w:line="202" w:lineRule="exact"/>
        <w:rPr>
          <w:sz w:val="20"/>
          <w:szCs w:val="20"/>
          <w:color w:val="auto"/>
        </w:rPr>
      </w:pPr>
    </w:p>
    <w:p>
      <w:pPr>
        <w:ind w:left="700" w:right="140"/>
        <w:spacing w:after="0" w:line="268" w:lineRule="auto"/>
        <w:rPr>
          <w:sz w:val="20"/>
          <w:szCs w:val="20"/>
          <w:color w:val="auto"/>
        </w:rPr>
      </w:pPr>
      <w:r>
        <w:rPr>
          <w:rFonts w:ascii="Times New Roman" w:cs="Times New Roman" w:eastAsia="Times New Roman" w:hAnsi="Times New Roman"/>
          <w:sz w:val="19"/>
          <w:szCs w:val="19"/>
          <w:color w:val="auto"/>
        </w:rPr>
        <w:t>(d)the Participant’s participation in the Plan shall not create a right to continued employment with Ashland or any of its Affiliates, as applicable, and shall not interfere with the ability of Ashland or any of its Affiliates to terminate the Participant’s employment relationship at any time as may be permitted under applicable law and/or any employment agreement;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(e)the Participant is participating voluntarily in the Plan;</w:t>
      </w:r>
    </w:p>
    <w:p>
      <w:pPr>
        <w:spacing w:after="0" w:line="20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0" w:name="page151"/>
    <w:bookmarkEnd w:id="150"/>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(f)this Award and any resulting benefits are not intended to replace any pension rights or compensation;</w:t>
      </w:r>
    </w:p>
    <w:p>
      <w:pPr>
        <w:spacing w:after="0" w:line="202" w:lineRule="exact"/>
        <w:rPr>
          <w:sz w:val="20"/>
          <w:szCs w:val="20"/>
          <w:color w:val="auto"/>
        </w:rPr>
      </w:pPr>
    </w:p>
    <w:p>
      <w:pPr>
        <w:ind w:left="700" w:right="20"/>
        <w:spacing w:after="0" w:line="262" w:lineRule="auto"/>
        <w:rPr>
          <w:sz w:val="20"/>
          <w:szCs w:val="20"/>
          <w:color w:val="auto"/>
        </w:rPr>
      </w:pPr>
      <w:r>
        <w:rPr>
          <w:rFonts w:ascii="Times New Roman" w:cs="Times New Roman" w:eastAsia="Times New Roman" w:hAnsi="Times New Roman"/>
          <w:sz w:val="19"/>
          <w:szCs w:val="19"/>
          <w:color w:val="auto"/>
        </w:rPr>
        <w:t>(g)this Award and any resulting benefits are not part of normal or expected compensation or salary for any purposes, including, but not limited to calculating any severance, resignation, termination, redundancy, dismissal, end -of-service payments, bonuses, holiday pay, long-service awards, pension or retirement or welfare benefits or similar mandatory payments and in no event should be considered as compensation for, or relating in any way to, past services for Ashland, its Affiliates or the Employer;</w:t>
      </w:r>
    </w:p>
    <w:p>
      <w:pPr>
        <w:spacing w:after="0" w:line="150" w:lineRule="exact"/>
        <w:rPr>
          <w:sz w:val="20"/>
          <w:szCs w:val="20"/>
          <w:color w:val="auto"/>
        </w:rPr>
      </w:pPr>
    </w:p>
    <w:p>
      <w:pPr>
        <w:ind w:left="700" w:right="120"/>
        <w:spacing w:after="0" w:line="286" w:lineRule="auto"/>
        <w:rPr>
          <w:sz w:val="20"/>
          <w:szCs w:val="20"/>
          <w:color w:val="auto"/>
        </w:rPr>
      </w:pPr>
      <w:r>
        <w:rPr>
          <w:rFonts w:ascii="Times New Roman" w:cs="Times New Roman" w:eastAsia="Times New Roman" w:hAnsi="Times New Roman"/>
          <w:sz w:val="19"/>
          <w:szCs w:val="19"/>
          <w:color w:val="auto"/>
        </w:rPr>
        <w:t>(h)unless otherwise agreed with Ashland, the RSEs and any income and value relating thereto, are not granted as consideration for, or in connection with, the service the Participant may provide as a director of any Affiliate;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(i)the future value of the Shares underlying the RSEs is unknown, indeterminable and cannot be predicted with certainty;</w:t>
      </w:r>
    </w:p>
    <w:p>
      <w:pPr>
        <w:spacing w:after="0" w:line="202" w:lineRule="exact"/>
        <w:rPr>
          <w:sz w:val="20"/>
          <w:szCs w:val="20"/>
          <w:color w:val="auto"/>
        </w:rPr>
      </w:pPr>
    </w:p>
    <w:p>
      <w:pPr>
        <w:ind w:left="700" w:right="120"/>
        <w:spacing w:after="0" w:line="286" w:lineRule="auto"/>
        <w:rPr>
          <w:sz w:val="20"/>
          <w:szCs w:val="20"/>
          <w:color w:val="auto"/>
        </w:rPr>
      </w:pPr>
      <w:r>
        <w:rPr>
          <w:rFonts w:ascii="Times New Roman" w:cs="Times New Roman" w:eastAsia="Times New Roman" w:hAnsi="Times New Roman"/>
          <w:sz w:val="19"/>
          <w:szCs w:val="19"/>
          <w:color w:val="auto"/>
        </w:rPr>
        <w:t>(j)no claim or entitlement to compensation or damages shall arise from forfeiture of the RSEs resulting from termination of the Participant’s employment (for any reason whatsoever and whether or not in breach of local labor laws); and</w:t>
      </w:r>
    </w:p>
    <w:p>
      <w:pPr>
        <w:spacing w:after="0" w:line="127" w:lineRule="exact"/>
        <w:rPr>
          <w:sz w:val="20"/>
          <w:szCs w:val="20"/>
          <w:color w:val="auto"/>
        </w:rPr>
      </w:pPr>
    </w:p>
    <w:p>
      <w:pPr>
        <w:ind w:left="700" w:right="300"/>
        <w:spacing w:after="0" w:line="268" w:lineRule="auto"/>
        <w:rPr>
          <w:sz w:val="20"/>
          <w:szCs w:val="20"/>
          <w:color w:val="auto"/>
        </w:rPr>
      </w:pPr>
      <w:r>
        <w:rPr>
          <w:rFonts w:ascii="Times New Roman" w:cs="Times New Roman" w:eastAsia="Times New Roman" w:hAnsi="Times New Roman"/>
          <w:sz w:val="19"/>
          <w:szCs w:val="19"/>
          <w:color w:val="auto"/>
        </w:rPr>
        <w:t>(k)neither Ashland, its Affiliates nor the Employer will be liable for any foreign exchange rate fluctuation between the Participant’s local currency and the United States dollar that may affect the value of the RSEs or any amounts payable to the Participant pursuant to the settlement of the RSEs.</w:t>
      </w:r>
    </w:p>
    <w:p>
      <w:pPr>
        <w:spacing w:after="0" w:line="14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color w:val="auto"/>
        </w:rPr>
        <w:t xml:space="preserve">13. </w:t>
      </w:r>
      <w:r>
        <w:rPr>
          <w:rFonts w:ascii="Times New Roman" w:cs="Times New Roman" w:eastAsia="Times New Roman" w:hAnsi="Times New Roman"/>
          <w:sz w:val="19"/>
          <w:szCs w:val="19"/>
          <w:b w:val="1"/>
          <w:bCs w:val="1"/>
          <w:color w:val="auto"/>
        </w:rPr>
        <w:t>Data Privacy</w:t>
      </w:r>
      <w:r>
        <w:rPr>
          <w:rFonts w:ascii="Times New Roman" w:cs="Times New Roman" w:eastAsia="Times New Roman" w:hAnsi="Times New Roman"/>
          <w:sz w:val="19"/>
          <w:szCs w:val="19"/>
          <w:color w:val="auto"/>
        </w:rPr>
        <w:t>. Ashland (or the “Company”) is located at 8145 Blazer Drive, Wilmington, DE 19808, U.S.A. and grants RSEs under the Plan and its ongoing administration of such RSEs, the Company is providing the following information about its data collection, processing and transfer practices (“Personal Data Activities”). In accepting the grant of RSEs, the Participant expressly and explicitly consents to the Personal Data Activities as described herein, except to the extent the following provisions are specifically modified by the Addendum to this Agreement.</w:t>
      </w:r>
    </w:p>
    <w:p>
      <w:pPr>
        <w:spacing w:after="0" w:line="151" w:lineRule="exact"/>
        <w:rPr>
          <w:sz w:val="20"/>
          <w:szCs w:val="20"/>
          <w:color w:val="auto"/>
        </w:rPr>
      </w:pPr>
    </w:p>
    <w:p>
      <w:pPr>
        <w:ind w:left="700" w:right="200"/>
        <w:spacing w:after="0" w:line="255" w:lineRule="auto"/>
        <w:rPr>
          <w:sz w:val="20"/>
          <w:szCs w:val="20"/>
          <w:color w:val="auto"/>
        </w:rPr>
      </w:pPr>
      <w:r>
        <w:rPr>
          <w:rFonts w:ascii="Times New Roman" w:cs="Times New Roman" w:eastAsia="Times New Roman" w:hAnsi="Times New Roman"/>
          <w:sz w:val="19"/>
          <w:szCs w:val="19"/>
          <w:color w:val="auto"/>
        </w:rPr>
        <w:t>(a)Data Collection, Processing and Usage. The Company processes the Participant’s personal data, including the Participant’s name, home address, email address, and telephone number, date of birth, social insurance number or other identification number, salary, citizenship, job title, any shares of stock or directorships held in the Company, and details of all RSEs or any other equity compensation awards granted, canceled, exercised, vested, or outstanding in the Participant’s favor, which the Company receives from the Participant or the Employer. In granting the RSEs under the Plan, the Company will process the Participant’s personal data for purposes of allocating the cash payment and implementing, administering and managing the Plan. The Company’s legal basis for the collection, processing and usage of the Participant’s personal data is the Participant’s consent.</w:t>
      </w:r>
    </w:p>
    <w:p>
      <w:pPr>
        <w:spacing w:after="0" w:line="160" w:lineRule="exact"/>
        <w:rPr>
          <w:sz w:val="20"/>
          <w:szCs w:val="20"/>
          <w:color w:val="auto"/>
        </w:rPr>
      </w:pPr>
    </w:p>
    <w:p>
      <w:pPr>
        <w:ind w:left="700" w:right="80"/>
        <w:spacing w:after="0" w:line="268" w:lineRule="auto"/>
        <w:rPr>
          <w:sz w:val="20"/>
          <w:szCs w:val="20"/>
          <w:color w:val="auto"/>
        </w:rPr>
      </w:pPr>
      <w:r>
        <w:rPr>
          <w:rFonts w:ascii="Times New Roman" w:cs="Times New Roman" w:eastAsia="Times New Roman" w:hAnsi="Times New Roman"/>
          <w:sz w:val="19"/>
          <w:szCs w:val="19"/>
          <w:color w:val="auto"/>
        </w:rPr>
        <w:t>(b)Stock Plan Administration Service Provider. The Company may transfer the Participant’s personal data to Fidelity Stock Plan Services LLC, an independent service provider based in the United States, which may assist the Company with the implementation, administration and management of the Plan (the “Stock Plan Administrator”). In the future, the Company may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1" w:name="page152"/>
    <w:bookmarkEnd w:id="151"/>
    <w:p>
      <w:pPr>
        <w:spacing w:after="0" w:line="269" w:lineRule="exact"/>
        <w:rPr>
          <w:sz w:val="20"/>
          <w:szCs w:val="20"/>
          <w:color w:val="auto"/>
        </w:rPr>
      </w:pPr>
    </w:p>
    <w:p>
      <w:pPr>
        <w:ind w:left="700" w:right="240"/>
        <w:spacing w:after="0" w:line="262" w:lineRule="auto"/>
        <w:rPr>
          <w:sz w:val="20"/>
          <w:szCs w:val="20"/>
          <w:color w:val="auto"/>
        </w:rPr>
      </w:pPr>
      <w:r>
        <w:rPr>
          <w:rFonts w:ascii="Times New Roman" w:cs="Times New Roman" w:eastAsia="Times New Roman" w:hAnsi="Times New Roman"/>
          <w:sz w:val="19"/>
          <w:szCs w:val="19"/>
          <w:color w:val="auto"/>
        </w:rPr>
        <w:t>select a different Stock Plan Administrator and share the Participant’s personal data with another company that serves in a similar manner. The Stock Plan Administrator may open an account for the Participant to receive any cash payment acquired under the Plan. The Participant will be asked to agree on separate terms and data processing practices with the Stock Plan Administrator, which is a condition to the Participant’s ability to participate in the Plan.</w:t>
      </w:r>
    </w:p>
    <w:p>
      <w:pPr>
        <w:spacing w:after="0" w:line="150" w:lineRule="exact"/>
        <w:rPr>
          <w:sz w:val="20"/>
          <w:szCs w:val="20"/>
          <w:color w:val="auto"/>
        </w:rPr>
      </w:pPr>
    </w:p>
    <w:p>
      <w:pPr>
        <w:ind w:left="700" w:right="60"/>
        <w:spacing w:after="0" w:line="262" w:lineRule="auto"/>
        <w:rPr>
          <w:sz w:val="20"/>
          <w:szCs w:val="20"/>
          <w:color w:val="auto"/>
        </w:rPr>
      </w:pPr>
      <w:r>
        <w:rPr>
          <w:rFonts w:ascii="Times New Roman" w:cs="Times New Roman" w:eastAsia="Times New Roman" w:hAnsi="Times New Roman"/>
          <w:sz w:val="19"/>
          <w:szCs w:val="19"/>
          <w:color w:val="auto"/>
        </w:rPr>
        <w:t>(c)International Data Transfers. The Company and the Stock Plan Administrator are based in the United States. The Participant should note that the Participant’s country of residence may have enacted data privacy laws that are different from the United States. The Company’s legal basis for the transfer of the Participant’s personal data to the United States is the Participant’s consent.</w:t>
      </w:r>
    </w:p>
    <w:p>
      <w:pPr>
        <w:spacing w:after="0" w:line="150" w:lineRule="exact"/>
        <w:rPr>
          <w:sz w:val="20"/>
          <w:szCs w:val="20"/>
          <w:color w:val="auto"/>
        </w:rPr>
      </w:pPr>
    </w:p>
    <w:p>
      <w:pPr>
        <w:ind w:left="700" w:right="120"/>
        <w:spacing w:after="0" w:line="259" w:lineRule="auto"/>
        <w:rPr>
          <w:sz w:val="20"/>
          <w:szCs w:val="20"/>
          <w:color w:val="auto"/>
        </w:rPr>
      </w:pPr>
      <w:r>
        <w:rPr>
          <w:rFonts w:ascii="Times New Roman" w:cs="Times New Roman" w:eastAsia="Times New Roman" w:hAnsi="Times New Roman"/>
          <w:sz w:val="19"/>
          <w:szCs w:val="19"/>
          <w:color w:val="auto"/>
        </w:rPr>
        <w:t>(d)Voluntariness and Consequences of Consent Denial or Withdrawal. The Participant’s participation in the Plan and grant of consent is purely voluntary. The Participant may deny or withdraw the Participant’s consent at any time. If the Participant does not consent, or if the Participant withdraws his or her consent, the Participant may be unable to participate in the Plan. This would not affect the Participant’s existing employment or salary; instead, the Participant merely may forfeit the opportunities associated with the Plan.</w:t>
      </w:r>
    </w:p>
    <w:p>
      <w:pPr>
        <w:spacing w:after="0" w:line="154"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9"/>
          <w:szCs w:val="19"/>
          <w:color w:val="auto"/>
        </w:rPr>
        <w:t>(e)Data Subjects Rights. The Participant may have a number of rights under the data privacy laws in the Participant’s country of residence. For example, the Participant’s rights may include the right to (i) request access or copies of personal data the Company processes, (ii) request rectification of incorrect data, (iii) request deletion of data, (iv) place restrictions on processing,</w:t>
      </w:r>
    </w:p>
    <w:p>
      <w:pPr>
        <w:spacing w:after="0" w:line="2" w:lineRule="exact"/>
        <w:rPr>
          <w:sz w:val="20"/>
          <w:szCs w:val="20"/>
          <w:color w:val="auto"/>
        </w:rPr>
      </w:pPr>
    </w:p>
    <w:p>
      <w:pPr>
        <w:ind w:left="700" w:firstLine="2"/>
        <w:spacing w:after="0" w:line="256" w:lineRule="auto"/>
        <w:tabs>
          <w:tab w:leader="none" w:pos="972"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lodge complaints with competent authorities in the Participant’s country of residence, and/or (vi) request a list with the names and addresses of any potential recipients of the Participant’s personal data. To receive clarification regarding the Participant’s rights or to exercise his or her rights, the Participant should contact his or her local human resources representative.</w:t>
      </w:r>
    </w:p>
    <w:p>
      <w:pPr>
        <w:spacing w:after="0" w:line="15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The Award shall be treated in accordance with Section 8 of the Plan in the event of a Change of Control prior to the final Vesting Date hereunder.</w:t>
      </w:r>
    </w:p>
    <w:p>
      <w:pPr>
        <w:spacing w:after="0" w:line="12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b w:val="1"/>
          <w:bCs w:val="1"/>
          <w:color w:val="auto"/>
        </w:rPr>
        <w:t>Compensation Recovery.</w:t>
      </w:r>
      <w:r>
        <w:rPr>
          <w:rFonts w:ascii="Times New Roman" w:cs="Times New Roman" w:eastAsia="Times New Roman" w:hAnsi="Times New Roman"/>
          <w:sz w:val="19"/>
          <w:szCs w:val="19"/>
          <w:color w:val="auto"/>
        </w:rPr>
        <w:t xml:space="preserve"> Notwithstanding anything in the Plan, this Agreement or any other agreement or declaration, 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2" w:name="page153"/>
    <w:bookmarkEnd w:id="152"/>
    <w:p>
      <w:pPr>
        <w:spacing w:after="0" w:line="269"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9"/>
          <w:szCs w:val="19"/>
          <w:color w:val="auto"/>
        </w:rPr>
        <w:t>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42"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9"/>
          <w:szCs w:val="19"/>
          <w:color w:val="auto"/>
        </w:rPr>
        <w:t>16.</w:t>
      </w:r>
      <w:r>
        <w:rPr>
          <w:rFonts w:ascii="Times New Roman" w:cs="Times New Roman" w:eastAsia="Times New Roman" w:hAnsi="Times New Roman"/>
          <w:sz w:val="19"/>
          <w:szCs w:val="19"/>
          <w:b w:val="1"/>
          <w:bCs w:val="1"/>
          <w:color w:val="auto"/>
        </w:rPr>
        <w:t>Non-transferability</w:t>
      </w:r>
      <w:r>
        <w:rPr>
          <w:rFonts w:ascii="Times New Roman" w:cs="Times New Roman" w:eastAsia="Times New Roman" w:hAnsi="Times New Roman"/>
          <w:sz w:val="19"/>
          <w:szCs w:val="19"/>
          <w:color w:val="auto"/>
        </w:rPr>
        <w:t>. The Participant may not sell, transfer, pledge, assign, attach or otherwise alienate or hypothecate the RSEs or any other rights under this Agreement other than by will or by the 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14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9"/>
          <w:szCs w:val="19"/>
          <w:color w:val="auto"/>
        </w:rPr>
        <w:t>17.</w:t>
      </w:r>
      <w:r>
        <w:rPr>
          <w:rFonts w:ascii="Times New Roman" w:cs="Times New Roman" w:eastAsia="Times New Roman" w:hAnsi="Times New Roman"/>
          <w:sz w:val="19"/>
          <w:szCs w:val="19"/>
          <w:b w:val="1"/>
          <w:bCs w:val="1"/>
          <w:color w:val="auto"/>
        </w:rPr>
        <w:t>Effect of Agreement</w:t>
      </w:r>
      <w:r>
        <w:rPr>
          <w:rFonts w:ascii="Times New Roman" w:cs="Times New Roman" w:eastAsia="Times New Roman" w:hAnsi="Times New Roman"/>
          <w:sz w:val="19"/>
          <w:szCs w:val="19"/>
          <w:color w:val="auto"/>
        </w:rPr>
        <w:t>. The Participant acknowledges receipt of a copy of the Plan and represents that he or she is familiar with the terms and provisions thereof (and has had an opportunity to consult counsel regarding the terms of the Award, and hereby accepts this Award and agrees to be bound by its contractual terms as set forth herein and in the Plan. The Participant hereby agrees to accept as binding, conclusive and final all decisions and interpretations of the Committee regarding any questions relating to this Award. In the event of a conflict between the terms and provisions of the Plan and the terms and provisions of this Agreement, the Plan terms and provisions shall prevail.</w:t>
      </w:r>
    </w:p>
    <w:p>
      <w:pPr>
        <w:spacing w:after="0" w:line="151" w:lineRule="exact"/>
        <w:rPr>
          <w:sz w:val="20"/>
          <w:szCs w:val="20"/>
          <w:color w:val="auto"/>
        </w:rPr>
      </w:pPr>
    </w:p>
    <w:p>
      <w:pPr>
        <w:jc w:val="both"/>
        <w:ind w:right="520"/>
        <w:spacing w:after="0" w:line="269" w:lineRule="auto"/>
        <w:rPr>
          <w:sz w:val="20"/>
          <w:szCs w:val="20"/>
          <w:color w:val="auto"/>
        </w:rPr>
      </w:pPr>
      <w:r>
        <w:rPr>
          <w:rFonts w:ascii="Times New Roman" w:cs="Times New Roman" w:eastAsia="Times New Roman" w:hAnsi="Times New Roman"/>
          <w:sz w:val="19"/>
          <w:szCs w:val="19"/>
          <w:color w:val="auto"/>
        </w:rPr>
        <w:t>18.</w:t>
      </w:r>
      <w:r>
        <w:rPr>
          <w:rFonts w:ascii="Times New Roman" w:cs="Times New Roman" w:eastAsia="Times New Roman" w:hAnsi="Times New Roman"/>
          <w:sz w:val="19"/>
          <w:szCs w:val="19"/>
          <w:b w:val="1"/>
          <w:bCs w:val="1"/>
          <w:color w:val="auto"/>
        </w:rPr>
        <w:t>Restrictive Covenants</w:t>
      </w:r>
      <w:r>
        <w:rPr>
          <w:rFonts w:ascii="Times New Roman" w:cs="Times New Roman" w:eastAsia="Times New Roman" w:hAnsi="Times New Roman"/>
          <w:sz w:val="19"/>
          <w:szCs w:val="19"/>
          <w:color w:val="auto"/>
        </w:rPr>
        <w:t>. In consideration of this Award, the Participant agrees that during the Participant’s employment and the twelve (12) month period following the Participant’s termination of employment with Ashland or its Affiliates for any reason (the “Covenant Period”), without the written consent of Ashland, the Participant will not:</w:t>
      </w:r>
    </w:p>
    <w:p>
      <w:pPr>
        <w:spacing w:after="0" w:line="144" w:lineRule="exact"/>
        <w:rPr>
          <w:sz w:val="20"/>
          <w:szCs w:val="20"/>
          <w:color w:val="auto"/>
        </w:rPr>
      </w:pPr>
    </w:p>
    <w:p>
      <w:pPr>
        <w:ind w:left="700"/>
        <w:spacing w:after="0" w:line="286" w:lineRule="auto"/>
        <w:rPr>
          <w:sz w:val="20"/>
          <w:szCs w:val="20"/>
          <w:color w:val="auto"/>
        </w:rPr>
      </w:pPr>
      <w:r>
        <w:rPr>
          <w:rFonts w:ascii="Times New Roman" w:cs="Times New Roman" w:eastAsia="Times New Roman" w:hAnsi="Times New Roman"/>
          <w:sz w:val="19"/>
          <w:szCs w:val="19"/>
          <w:color w:val="auto"/>
        </w:rPr>
        <w:t>(a)engage directly or indirectly in any manner or capacity as principal, agent, partner, officer, director, employee or otherwise in any business or activity competitive with the business conducted by Ashland or any of its Affiliates; or</w:t>
      </w:r>
    </w:p>
    <w:p>
      <w:pPr>
        <w:spacing w:after="0" w:line="127" w:lineRule="exact"/>
        <w:rPr>
          <w:sz w:val="20"/>
          <w:szCs w:val="20"/>
          <w:color w:val="auto"/>
        </w:rPr>
      </w:pPr>
    </w:p>
    <w:p>
      <w:pPr>
        <w:ind w:left="700"/>
        <w:spacing w:after="0" w:line="286" w:lineRule="auto"/>
        <w:rPr>
          <w:sz w:val="20"/>
          <w:szCs w:val="20"/>
          <w:color w:val="auto"/>
        </w:rPr>
      </w:pPr>
      <w:r>
        <w:rPr>
          <w:rFonts w:ascii="Times New Roman" w:cs="Times New Roman" w:eastAsia="Times New Roman" w:hAnsi="Times New Roman"/>
          <w:sz w:val="19"/>
          <w:szCs w:val="19"/>
          <w:color w:val="auto"/>
        </w:rPr>
        <w:t>(b)perform any act or engage in any activity that is detrimental to the best interests of Ashland or any of its Affiliates, including, without limitation:</w:t>
      </w:r>
    </w:p>
    <w:p>
      <w:pPr>
        <w:spacing w:after="0" w:line="127" w:lineRule="exact"/>
        <w:rPr>
          <w:sz w:val="20"/>
          <w:szCs w:val="20"/>
          <w:color w:val="auto"/>
        </w:rPr>
      </w:pPr>
    </w:p>
    <w:p>
      <w:pPr>
        <w:ind w:left="1600" w:right="60"/>
        <w:spacing w:after="0" w:line="268" w:lineRule="auto"/>
        <w:rPr>
          <w:sz w:val="20"/>
          <w:szCs w:val="20"/>
          <w:color w:val="auto"/>
        </w:rPr>
      </w:pPr>
      <w:r>
        <w:rPr>
          <w:rFonts w:ascii="Times New Roman" w:cs="Times New Roman" w:eastAsia="Times New Roman" w:hAnsi="Times New Roman"/>
          <w:sz w:val="19"/>
          <w:szCs w:val="19"/>
          <w:color w:val="auto"/>
        </w:rPr>
        <w:t>i.soliciting or encouraging any existing or former employee, director, contractor, consultant, customer or supplier of Ashland or any of its Affiliates to terminate his, her or its relationship with Ashland or any of its Affiliates for any reason; or</w:t>
      </w:r>
    </w:p>
    <w:p>
      <w:pPr>
        <w:spacing w:after="0" w:line="144" w:lineRule="exact"/>
        <w:rPr>
          <w:sz w:val="20"/>
          <w:szCs w:val="20"/>
          <w:color w:val="auto"/>
        </w:rPr>
      </w:pPr>
    </w:p>
    <w:p>
      <w:pPr>
        <w:ind w:left="1600" w:right="200"/>
        <w:spacing w:after="0" w:line="286" w:lineRule="auto"/>
        <w:rPr>
          <w:sz w:val="20"/>
          <w:szCs w:val="20"/>
          <w:color w:val="auto"/>
        </w:rPr>
      </w:pPr>
      <w:r>
        <w:rPr>
          <w:rFonts w:ascii="Times New Roman" w:cs="Times New Roman" w:eastAsia="Times New Roman" w:hAnsi="Times New Roman"/>
          <w:sz w:val="19"/>
          <w:szCs w:val="19"/>
          <w:color w:val="auto"/>
        </w:rPr>
        <w:t>ii.disclosing proprietary or confidential information of Ashland or any of its Affiliates to third parties or using any such proprietary or confidential information for the benefit of anyone other than Ashland or any of its Affiliates;</w:t>
      </w:r>
    </w:p>
    <w:p>
      <w:pPr>
        <w:spacing w:after="0" w:line="127"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9"/>
          <w:szCs w:val="19"/>
          <w:color w:val="auto"/>
        </w:rPr>
        <w:t>provided, however, that this Agreement shall not prohibit the Participant in any way from (1) filing and, as provided for under Section 21F of the Securities Exchange Act of 1934, maintaining the confidentiality of a claim with the United States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U.S. federal or state trade secret law for the disclosure of any proprietary or confidential information that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3" w:name="page154"/>
    <w:bookmarkEnd w:id="153"/>
    <w:p>
      <w:pPr>
        <w:spacing w:after="0" w:line="269" w:lineRule="exact"/>
        <w:rPr>
          <w:sz w:val="20"/>
          <w:szCs w:val="20"/>
          <w:color w:val="auto"/>
        </w:rPr>
      </w:pPr>
    </w:p>
    <w:p>
      <w:pPr>
        <w:ind w:left="700"/>
        <w:spacing w:after="0" w:line="256" w:lineRule="auto"/>
        <w:rPr>
          <w:sz w:val="20"/>
          <w:szCs w:val="20"/>
          <w:color w:val="auto"/>
        </w:rPr>
      </w:pPr>
      <w:r>
        <w:rPr>
          <w:rFonts w:ascii="Times New Roman" w:cs="Times New Roman" w:eastAsia="Times New Roman" w:hAnsi="Times New Roman"/>
          <w:sz w:val="19"/>
          <w:szCs w:val="19"/>
          <w:color w:val="auto"/>
        </w:rPr>
        <w:t>constitutes a trade secret to which the Defend Trade Secrets Act (18 U.S.C. Section 1833(b)) applies that is made (A) in confidence to a U.S.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57" w:lineRule="exact"/>
        <w:rPr>
          <w:sz w:val="20"/>
          <w:szCs w:val="20"/>
          <w:color w:val="auto"/>
        </w:rPr>
      </w:pPr>
    </w:p>
    <w:p>
      <w:pPr>
        <w:ind w:left="700" w:right="20"/>
        <w:spacing w:after="0" w:line="253" w:lineRule="auto"/>
        <w:rPr>
          <w:sz w:val="20"/>
          <w:szCs w:val="20"/>
          <w:color w:val="auto"/>
        </w:rPr>
      </w:pPr>
      <w:r>
        <w:rPr>
          <w:rFonts w:ascii="Times New Roman" w:cs="Times New Roman" w:eastAsia="Times New Roman" w:hAnsi="Times New Roman"/>
          <w:sz w:val="19"/>
          <w:szCs w:val="19"/>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and such elimination or reduction would trigger Section 409A taxes,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attorneys fees, and other costs and expenses incurred in connection therewith; provided that the actions described in clauses (x), (y) and (z) shall not be taken with respect to the Award at any time following the third (3rd) anniversary of the vesting of the Award (or the applicable portion thereof). To the extent a longer Covenant Period is specified in another agreement between the Participant and Ashland or its Affiliates, the provisions of this Section 18 shall be extended to apply to such longer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19.</w:t>
      </w: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color w:val="auto"/>
        </w:rPr>
        <w:t>Governing Law; Venue</w:t>
      </w:r>
      <w:r>
        <w:rPr>
          <w:rFonts w:ascii="Times New Roman" w:cs="Times New Roman" w:eastAsia="Times New Roman" w:hAnsi="Times New Roman"/>
          <w:sz w:val="19"/>
          <w:szCs w:val="19"/>
          <w:color w:val="auto"/>
        </w:rPr>
        <w:t>.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to and expressly consent to the sole and exclusive jurisdiction of the courts of the state of Delaware, or the Federal courts for the United States for the District of Delaware, and no other courts, where this grant is made and/or to be performed.</w:t>
      </w:r>
    </w:p>
    <w:p>
      <w:pPr>
        <w:spacing w:after="0" w:line="151" w:lineRule="exact"/>
        <w:rPr>
          <w:sz w:val="20"/>
          <w:szCs w:val="20"/>
          <w:color w:val="auto"/>
        </w:rPr>
      </w:pPr>
    </w:p>
    <w:p>
      <w:pPr>
        <w:ind w:left="700" w:right="60"/>
        <w:spacing w:after="0" w:line="260"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Entire Agreement; Enforcement of Rights</w:t>
      </w:r>
      <w:r>
        <w:rPr>
          <w:rFonts w:ascii="Times New Roman" w:cs="Times New Roman" w:eastAsia="Times New Roman" w:hAnsi="Times New Roman"/>
          <w:sz w:val="19"/>
          <w:szCs w:val="19"/>
          <w:color w:val="auto"/>
        </w:rPr>
        <w:t>. This Agreement and the Plan set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4" w:name="page155"/>
    <w:bookmarkEnd w:id="154"/>
    <w:p>
      <w:pPr>
        <w:spacing w:after="0" w:line="26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9"/>
          <w:szCs w:val="19"/>
          <w:b w:val="1"/>
          <w:bCs w:val="1"/>
          <w:color w:val="auto"/>
        </w:rPr>
        <w:t>No Advice Regarding Grant</w:t>
      </w:r>
      <w:r>
        <w:rPr>
          <w:rFonts w:ascii="Times New Roman" w:cs="Times New Roman" w:eastAsia="Times New Roman" w:hAnsi="Times New Roman"/>
          <w:sz w:val="19"/>
          <w:szCs w:val="19"/>
          <w:color w:val="auto"/>
        </w:rPr>
        <w:t>. Neither Ashland nor any of its Affiliates are providing any tax, legal or financial advice, nor is Ashland or any of its Affiliates making any recommendations regarding the Participant’s participation in the Plan. The Participant should consult with his or her own personal tax, legal and financial advisors regarding his or her participation in the Plan before taking any action related to the Plan.</w:t>
      </w:r>
    </w:p>
    <w:p>
      <w:pPr>
        <w:spacing w:after="0" w:line="1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Compliance with Law</w:t>
      </w:r>
      <w:r>
        <w:rPr>
          <w:rFonts w:ascii="Times New Roman" w:cs="Times New Roman" w:eastAsia="Times New Roman" w:hAnsi="Times New Roman"/>
          <w:sz w:val="19"/>
          <w:szCs w:val="19"/>
          <w:color w:val="auto"/>
        </w:rPr>
        <w:t>. Notwithstanding any other provision of the Plan or this Agreement, unless there is an exemption from any registration, qualification or other legal requirement applicable to the Shares, Ashland shall not be required to deliver any Shares issuable upon settlement of the RSEs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Ashland shall, in its absolute discretion, deem necessary or advisable. The Participant understands that Ashland is under no obligation to register or qualify the Shares with the SEC or any state or foreign securities commission or to seek approval or clearance from any governmental authority for the issuance or sale of the Shares. Further, the Participant agrees that Ashland shall have unilateral authority to amend the Agreement without his or her consent to the extent necessary to comply with securities or other laws applicable to issuance of Shares.</w:t>
      </w:r>
    </w:p>
    <w:p>
      <w:pPr>
        <w:spacing w:after="0" w:line="162"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9"/>
          <w:szCs w:val="19"/>
          <w:color w:val="auto"/>
        </w:rPr>
        <w:t>If the Participant is employed and/or resident in a country that is a member of the European Union, the Award and this Agreement are intended to comply with the age discrimination provisions of the EU Equal Treatment Framework Directive, as implemented into local law (the “Age Discrimination Rules”). To the extent that a court or tribunal of competent jurisdiction determines that any provision of the Award and this Agreement are invalid or unenforceable, in whole or in part, under the Age Discrimination Rules, Ashland, in its sole discretion, shall have the power and authority to revise or strike such provision to the minimum extent necessary to make it valid and enforceable to the full extent permitted under local law.</w:t>
      </w:r>
    </w:p>
    <w:p>
      <w:pPr>
        <w:spacing w:after="0" w:line="38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9"/>
          <w:szCs w:val="19"/>
          <w:b w:val="1"/>
          <w:bCs w:val="1"/>
          <w:color w:val="auto"/>
        </w:rPr>
        <w:t>Electronic Delivery and Participation</w:t>
      </w:r>
      <w:r>
        <w:rPr>
          <w:rFonts w:ascii="Times New Roman" w:cs="Times New Roman" w:eastAsia="Times New Roman" w:hAnsi="Times New Roman"/>
          <w:sz w:val="19"/>
          <w:szCs w:val="19"/>
          <w:color w:val="auto"/>
        </w:rPr>
        <w:t>. Ashland may, in its sole discretion,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Ashland or a third party designated by Ashland.</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(f)</w:t>
      </w:r>
      <w:r>
        <w:rPr>
          <w:rFonts w:ascii="Times New Roman" w:cs="Times New Roman" w:eastAsia="Times New Roman" w:hAnsi="Times New Roman"/>
          <w:sz w:val="19"/>
          <w:szCs w:val="19"/>
          <w:b w:val="1"/>
          <w:bCs w:val="1"/>
          <w:color w:val="auto"/>
        </w:rPr>
        <w:t>Language</w:t>
      </w:r>
      <w:r>
        <w:rPr>
          <w:rFonts w:ascii="Times New Roman" w:cs="Times New Roman" w:eastAsia="Times New Roman" w:hAnsi="Times New Roman"/>
          <w:sz w:val="19"/>
          <w:szCs w:val="19"/>
          <w:color w:val="auto"/>
        </w:rPr>
        <w:t>. By participating in the Plan, the Participant acknowledges that he or she is sufficiently proficient in English or has consulted with an advisor who is sufficiently proficient in English so as to allow the Participant to understand the terms and conditions of the Agreement. The Participant has received the terms and conditions of the RSEs and any other related communication and the Participant consents to receiving these documents in English. If the Participant has received this Agreement, or any other document related to the Award and/or the Plan translated into a language other than English and if the meaning of the translated version is different from the English version, the English version will control.</w:t>
      </w:r>
    </w:p>
    <w:p>
      <w:pPr>
        <w:spacing w:after="0" w:line="15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one or more provisions of this Agreement are held to be unenforceable, the parties agree to renegotiate such provision in good faith. In the event that the parties cannot</w:t>
      </w:r>
    </w:p>
    <w:p>
      <w:pPr>
        <w:spacing w:after="0" w:line="12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514985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55" w:name="page156"/>
    <w:bookmarkEnd w:id="155"/>
    <w:p>
      <w:pPr>
        <w:spacing w:after="0" w:line="26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9"/>
          <w:szCs w:val="19"/>
          <w:color w:val="auto"/>
        </w:rPr>
        <w:t>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4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(h)</w:t>
      </w:r>
      <w:r>
        <w:rPr>
          <w:rFonts w:ascii="Times New Roman" w:cs="Times New Roman" w:eastAsia="Times New Roman" w:hAnsi="Times New Roman"/>
          <w:sz w:val="19"/>
          <w:szCs w:val="19"/>
          <w:b w:val="1"/>
          <w:bCs w:val="1"/>
          <w:color w:val="auto"/>
        </w:rPr>
        <w:t>Waiver by Ashland</w:t>
      </w:r>
      <w:r>
        <w:rPr>
          <w:rFonts w:ascii="Times New Roman" w:cs="Times New Roman" w:eastAsia="Times New Roman" w:hAnsi="Times New Roman"/>
          <w:sz w:val="19"/>
          <w:szCs w:val="19"/>
          <w:color w:val="auto"/>
        </w:rPr>
        <w:t>. The Participant acknowledges that a waiver by Ashland of breach of any provision of this Agreement shall not operate or be construed as a waiver of any other provision of this Agreement, or of any subsequent breach by the Participant or any other participant.</w:t>
      </w:r>
    </w:p>
    <w:p>
      <w:pPr>
        <w:spacing w:after="0" w:line="14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Any notice required or permitted by this Agreement shall be in writing and shall be deemed sufficient when delivered personally or at time of transmission if sent by telegram or fax or forty-eight (48) hours after being deposited in the U.S. mail, as certified or registered mail, with postage prepaid, or forty-eight (48) hours after being deposited with an express courier, or at the time an electronic confirmation of receipt is received if delivery is by email, and addressed to the party to be notified at such party’s address as set forth below or as subsequently modified by written notice.</w:t>
      </w:r>
    </w:p>
    <w:p>
      <w:pPr>
        <w:spacing w:after="0" w:line="14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(j)</w:t>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19"/>
          <w:szCs w:val="19"/>
          <w:color w:val="auto"/>
        </w:rPr>
        <w:t>. This Agreement may be executed in two (2) or more counterparts, each of which shall be deemed an original and all of which together shall constitute one (1) instrument.</w:t>
      </w:r>
    </w:p>
    <w:p>
      <w:pPr>
        <w:spacing w:after="0" w:line="12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(k)</w:t>
      </w:r>
      <w:r>
        <w:rPr>
          <w:rFonts w:ascii="Times New Roman" w:cs="Times New Roman" w:eastAsia="Times New Roman" w:hAnsi="Times New Roman"/>
          <w:sz w:val="19"/>
          <w:szCs w:val="19"/>
          <w:b w:val="1"/>
          <w:bCs w:val="1"/>
          <w:color w:val="auto"/>
        </w:rPr>
        <w:t>Private Placement</w:t>
      </w:r>
      <w:r>
        <w:rPr>
          <w:rFonts w:ascii="Times New Roman" w:cs="Times New Roman" w:eastAsia="Times New Roman" w:hAnsi="Times New Roman"/>
          <w:sz w:val="19"/>
          <w:szCs w:val="19"/>
          <w:color w:val="auto"/>
        </w:rPr>
        <w:t>. The grant of the RSEs is not intended to be a public offering of securities in the Participant’s country of residence (or country of employment, if different). Neither Ashland nor any of its Affiliates has submitted any registration statement, prospectus or other filings with local securities authorities (unless otherwise required under local law), and the grant of the RSEs is not subject to the supervision of the local securities authorities.</w:t>
      </w:r>
    </w:p>
    <w:p>
      <w:pPr>
        <w:spacing w:after="0" w:line="147" w:lineRule="exact"/>
        <w:rPr>
          <w:sz w:val="20"/>
          <w:szCs w:val="20"/>
          <w:color w:val="auto"/>
        </w:rPr>
      </w:pPr>
    </w:p>
    <w:p>
      <w:pPr>
        <w:jc w:val="both"/>
        <w:ind w:right="440"/>
        <w:spacing w:after="0" w:line="269" w:lineRule="auto"/>
        <w:rPr>
          <w:sz w:val="20"/>
          <w:szCs w:val="20"/>
          <w:color w:val="auto"/>
        </w:rPr>
      </w:pPr>
      <w:r>
        <w:rPr>
          <w:rFonts w:ascii="Times New Roman" w:cs="Times New Roman" w:eastAsia="Times New Roman" w:hAnsi="Times New Roman"/>
          <w:sz w:val="19"/>
          <w:szCs w:val="19"/>
          <w:color w:val="auto"/>
        </w:rPr>
        <w:t>(l)</w:t>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 The rights and benefits of this Agreement shall inure to the benefit of, and be enforceable by, Ashland’s successors and assigns. The rights and obligations of the Participant under this Agreement may not be assigned without the prior written consent of Ashland.</w:t>
      </w:r>
    </w:p>
    <w:p>
      <w:pPr>
        <w:spacing w:after="0" w:line="14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(m)</w:t>
      </w:r>
      <w:r>
        <w:rPr>
          <w:rFonts w:ascii="Times New Roman" w:cs="Times New Roman" w:eastAsia="Times New Roman" w:hAnsi="Times New Roman"/>
          <w:sz w:val="19"/>
          <w:szCs w:val="19"/>
          <w:b w:val="1"/>
          <w:bCs w:val="1"/>
          <w:color w:val="auto"/>
        </w:rPr>
        <w:t>Addendum to Agreement</w:t>
      </w:r>
      <w:r>
        <w:rPr>
          <w:rFonts w:ascii="Times New Roman" w:cs="Times New Roman" w:eastAsia="Times New Roman" w:hAnsi="Times New Roman"/>
          <w:sz w:val="19"/>
          <w:szCs w:val="19"/>
          <w:color w:val="auto"/>
        </w:rPr>
        <w:t>. Notwithstanding any provision of this Agreement to the contrary, the Award shall be subject to any special terms and conditions for the Participant’s country of residence (and country of employment, if different) as set forth in the addendum to the Agreement (the “Addendum”). Further, if the Participant transfers residency and/or employment to another country reflected in the Addendum, the special terms and conditions for such country will apply to the Participant to the extent Ashland determines, in its sole discretion, that the application of such terms and conditions is necessary or advisable to comply with local laws, rules and/or regulations or to facilitate the operation and administration of the Award, this Agreement, and the Plan (or Ashland may establish alternative terms and conditions as may be necessary or advisable to accommodate the Participant’s transfer). The Addendum shall constitute part of this Agreement.</w:t>
      </w:r>
    </w:p>
    <w:p>
      <w:pPr>
        <w:spacing w:after="0" w:line="16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9"/>
          <w:szCs w:val="19"/>
          <w:color w:val="auto"/>
        </w:rPr>
        <w:t>(n)</w:t>
      </w:r>
      <w:r>
        <w:rPr>
          <w:rFonts w:ascii="Times New Roman" w:cs="Times New Roman" w:eastAsia="Times New Roman" w:hAnsi="Times New Roman"/>
          <w:sz w:val="19"/>
          <w:szCs w:val="19"/>
          <w:b w:val="1"/>
          <w:bCs w:val="1"/>
          <w:color w:val="auto"/>
        </w:rPr>
        <w:t>Additional Requirements</w:t>
      </w:r>
      <w:r>
        <w:rPr>
          <w:rFonts w:ascii="Times New Roman" w:cs="Times New Roman" w:eastAsia="Times New Roman" w:hAnsi="Times New Roman"/>
          <w:sz w:val="19"/>
          <w:szCs w:val="19"/>
          <w:color w:val="auto"/>
        </w:rPr>
        <w:t>. Ashland reserves the right to impose other requirements on the Award and the Participant’s participation in the Plan to the extent Ashland determines, in its sole discretion, that such other requirements are necessary or advisable in order to comply with</w:t>
      </w:r>
    </w:p>
    <w:p>
      <w:pPr>
        <w:spacing w:after="0" w:line="14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514985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156" w:name="page157"/>
    <w:bookmarkEnd w:id="156"/>
    <w:p>
      <w:pPr>
        <w:spacing w:after="0" w:line="269" w:lineRule="exact"/>
        <w:rPr>
          <w:sz w:val="20"/>
          <w:szCs w:val="20"/>
          <w:color w:val="auto"/>
        </w:rPr>
      </w:pPr>
    </w:p>
    <w:p>
      <w:pPr>
        <w:ind w:left="700" w:right="40"/>
        <w:spacing w:after="0" w:line="268" w:lineRule="auto"/>
        <w:rPr>
          <w:sz w:val="20"/>
          <w:szCs w:val="20"/>
          <w:color w:val="auto"/>
        </w:rPr>
      </w:pPr>
      <w:r>
        <w:rPr>
          <w:rFonts w:ascii="Times New Roman" w:cs="Times New Roman" w:eastAsia="Times New Roman" w:hAnsi="Times New Roman"/>
          <w:sz w:val="19"/>
          <w:szCs w:val="19"/>
          <w:color w:val="auto"/>
        </w:rPr>
        <w:t>local laws,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spacing w:after="0" w:line="142" w:lineRule="exact"/>
        <w:rPr>
          <w:sz w:val="20"/>
          <w:szCs w:val="20"/>
          <w:color w:val="auto"/>
        </w:rPr>
      </w:pPr>
    </w:p>
    <w:p>
      <w:pPr>
        <w:ind w:left="700" w:right="80"/>
        <w:spacing w:after="0" w:line="254" w:lineRule="auto"/>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19"/>
          <w:szCs w:val="19"/>
          <w:b w:val="1"/>
          <w:bCs w:val="1"/>
          <w:color w:val="auto"/>
        </w:rPr>
        <w:t>Code Section 409A.</w:t>
      </w:r>
      <w:r>
        <w:rPr>
          <w:rFonts w:ascii="Times New Roman" w:cs="Times New Roman" w:eastAsia="Times New Roman" w:hAnsi="Times New Roman"/>
          <w:sz w:val="19"/>
          <w:szCs w:val="19"/>
          <w:color w:val="auto"/>
        </w:rPr>
        <w:t xml:space="preserve"> To the extent applicable, for purposes of this Agreement, a termination of employment will be determined consistent with the rules relating to a “separation from service” within the meaning of Section 409A. Notwithstanding anything provided herein to the contrary, to the extent of any payments provided under this Agreement in connection with the Participant’s termination of employment with Ashland and its Affiliates constitute “nonqualified deferred compensation” within the meaning of Section 409A that is not otherwise exempt from Section 409A, and the Participant is a “specified employee” within the meaning of Section 409A upon such termination of employment, then such payment shall not be made until the earlier of (i) the expiration of the six month period measured from the Participant’s employment termination date, or (ii) the date of the Participant’s death following such employment termination date. The Participant acknowledges that, regardless of any action taken by Ashland and its Affiliates, the liability for all taxes related to the Award and this Agreement are the sole responsibility of the Participant, and neither Ashland nor its Affiliates are liable to the Participant for any taxes, penalties and interest incurred by the Participant relating to the Award and this Agreement.</w:t>
      </w:r>
    </w:p>
    <w:p>
      <w:pPr>
        <w:spacing w:after="0" w:line="15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20.</w:t>
      </w:r>
      <w:r>
        <w:rPr>
          <w:rFonts w:ascii="Times New Roman" w:cs="Times New Roman" w:eastAsia="Times New Roman" w:hAnsi="Times New Roman"/>
          <w:sz w:val="19"/>
          <w:szCs w:val="19"/>
          <w:b w:val="1"/>
          <w:bCs w:val="1"/>
          <w:color w:val="auto"/>
        </w:rPr>
        <w:t>Acceptance. This Award of RSEs is subject to and expressly conditioned upon the Participant’s online acceptance of the terms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and conditions of the Plan, this Agreement, and the Award through the Fidelity website. The right to the RSEs shall expire if not accepted by #Accept By#.</w:t>
      </w:r>
    </w:p>
    <w:p>
      <w:pPr>
        <w:spacing w:after="0" w:line="144" w:lineRule="exact"/>
        <w:rPr>
          <w:sz w:val="20"/>
          <w:szCs w:val="20"/>
          <w:color w:val="auto"/>
        </w:rPr>
      </w:pPr>
    </w:p>
    <w:p>
      <w:pPr>
        <w:ind w:left="700"/>
        <w:spacing w:after="0" w:line="257" w:lineRule="auto"/>
        <w:rPr>
          <w:sz w:val="20"/>
          <w:szCs w:val="20"/>
          <w:color w:val="auto"/>
        </w:rPr>
      </w:pPr>
      <w:r>
        <w:rPr>
          <w:rFonts w:ascii="Times New Roman" w:cs="Times New Roman" w:eastAsia="Times New Roman" w:hAnsi="Times New Roman"/>
          <w:sz w:val="19"/>
          <w:szCs w:val="19"/>
          <w:color w:val="auto"/>
        </w:rPr>
        <w:t>By accepting the terms and conditions of this Agreement, the Participant acknowledges that the participant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15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9"/>
          <w:szCs w:val="19"/>
          <w:color w:val="auto"/>
        </w:rPr>
        <w:t>IN WITNESS WHEREOF, Ashland Inc. has caused this instrument to be executed and delivered effective as of the Grant Date set forth above.</w:t>
      </w:r>
    </w:p>
    <w:p>
      <w:pPr>
        <w:spacing w:after="0" w:line="1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Ashland Inc.</w:t>
      </w:r>
    </w:p>
    <w:p>
      <w:pPr>
        <w:spacing w:after="0" w:line="20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Eileen Drury</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Senior Vice President and</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Chief Human Resources Officer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#Signature#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#ParticipantName#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529590</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7" w:name="page158"/>
    <w:bookmarkEnd w:id="157"/>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#AcceptanceDate#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8" w:name="page159"/>
    <w:bookmarkEnd w:id="158"/>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ASHLAND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2021 OMNIBUS INCENTIVE COMPENSATION PLAN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ADDENDUM TO CASH-SETTLED RESTRICTED STOCK EQUIVALENT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AWARD AGREEMENT FOR NON-U.S. PARTICIPANTS</w:t>
      </w:r>
    </w:p>
    <w:p>
      <w:pPr>
        <w:spacing w:after="0" w:line="2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In addition to the provisions of the Plan and the Agreement, the RSEs are subject to the following additional terms and conditions as set forth in this Addendum to the extent the Participant resides and/or is employed in one of the countries addressed herein. All capitalized terms used, but undefined, in this Addendum shall have the same meaning as set forth in the Plan and the Agreement. To the extent the Participant transfers residence and/or employment to another country, the special terms and conditions for such country as reflected in this Addendum (if any) will apply to the Participant to the extent Ashland determines, in its sole discretion, that the application of such terms and conditions is necessary or advisable in order to comply with local laws, rules and regulations, or to facilitate the operation and administration of the RSEs and the Plan (or Ashland may establish alternative terms and conditions as may be necessary or advisable to accommodate the Participant’s transfer).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EUROPEAN UNION (“EU”) / EUROPEAN ECONOMIC UNION (“EEA”) / SWITZERLAND / THE UNITED KINGDOM</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1.Data Privacy. See Section 12 above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AUSTRALIA</w:t>
      </w:r>
    </w:p>
    <w:p>
      <w:pPr>
        <w:spacing w:after="0" w:line="240" w:lineRule="exact"/>
        <w:rPr>
          <w:sz w:val="20"/>
          <w:szCs w:val="20"/>
          <w:color w:val="auto"/>
        </w:rPr>
      </w:pPr>
    </w:p>
    <w:p>
      <w:pPr>
        <w:ind w:right="20" w:firstLine="702"/>
        <w:spacing w:after="0" w:line="268" w:lineRule="auto"/>
        <w:tabs>
          <w:tab w:leader="none" w:pos="888"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Law Notice. The grant of RSEs is intended to comply with the provisions of the Corporations Act 2001, Australian Securities and Investments Commission (“ASIC”) Regulatory Guide 49 and ASIC Class Order 14/1000. Additional details are set forth in the offer document for the grant of RSEs to Australian residents, distributed to the Participant with the Plan documentation.</w:t>
      </w:r>
    </w:p>
    <w:p>
      <w:pPr>
        <w:spacing w:after="0" w:line="180" w:lineRule="exact"/>
        <w:rPr>
          <w:rFonts w:ascii="Times New Roman" w:cs="Times New Roman" w:eastAsia="Times New Roman" w:hAnsi="Times New Roman"/>
          <w:sz w:val="19"/>
          <w:szCs w:val="19"/>
          <w:color w:val="auto"/>
        </w:rPr>
      </w:pPr>
    </w:p>
    <w:p>
      <w:pPr>
        <w:ind w:right="60" w:firstLine="702"/>
        <w:spacing w:after="0" w:line="259" w:lineRule="auto"/>
        <w:tabs>
          <w:tab w:leader="none" w:pos="888"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RSEs Conditioned on Satisfaction of Regulatory Obligations. If the Participant is (a) a director of an affiliate or subsidiary incorporated in Australia, or (b) a person who is a management-level executive of an affiliate or subsidiary incorporated in Australia and who also is a director of an affiliate or subsidiary incorporated outside of the Australia, the grant of the RSEs is conditioned upon satisfaction of the shareholder approval provisions of section 200B of the Corporations Act 2001 (Cth) and the Corporations Amendment (Improving Accountability on Termination Payments) Act in Australia.</w:t>
      </w:r>
    </w:p>
    <w:p>
      <w:pPr>
        <w:spacing w:after="0" w:line="189" w:lineRule="exact"/>
        <w:rPr>
          <w:rFonts w:ascii="Times New Roman" w:cs="Times New Roman" w:eastAsia="Times New Roman" w:hAnsi="Times New Roman"/>
          <w:sz w:val="19"/>
          <w:szCs w:val="19"/>
          <w:color w:val="auto"/>
        </w:rPr>
      </w:pPr>
    </w:p>
    <w:p>
      <w:pPr>
        <w:ind w:right="280" w:firstLine="702"/>
        <w:spacing w:after="0" w:line="286" w:lineRule="auto"/>
        <w:tabs>
          <w:tab w:leader="none" w:pos="888"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 Information. The Plan is a program to which Subdivision 83A-C of the Income Tax Assessment Act 1997 (the “Act”) applies (subject to the conditions in that 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BRAZIL</w:t>
      </w:r>
    </w:p>
    <w:p>
      <w:pPr>
        <w:spacing w:after="0" w:line="240" w:lineRule="exact"/>
        <w:rPr>
          <w:sz w:val="20"/>
          <w:szCs w:val="20"/>
          <w:color w:val="auto"/>
        </w:rPr>
      </w:pPr>
    </w:p>
    <w:p>
      <w:pPr>
        <w:ind w:right="20" w:firstLine="702"/>
        <w:spacing w:after="0" w:line="256" w:lineRule="auto"/>
        <w:tabs>
          <w:tab w:leader="none" w:pos="888"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Relationship. The Participant expressly acknowledges and agrees that the Participant’s participation in the Plan and Ashland’s grant of the RSEs does not constitute an employment relationship between the Participant and Ashland. The Participant has been granted the RSEs as a consequence of the commercial relationship between Ashland and such Affiliate of Ashland that employs Participant (the “Employer”), and the Employer is the Participant’s sole employer. Based on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9" w:name="page160"/>
    <w:bookmarkEnd w:id="159"/>
    <w:p>
      <w:pPr>
        <w:spacing w:after="0" w:line="26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foregoing, the Participant expressly recognizes that (a) the Plan and the benefits the Participant may derive from participation in the Plan do not establish any rights between the Participant and the Employer, (b) the Plan and the benefits the Participant may derive from participation in the Plan are not part of the employment conditions and/or benefits provided by the Employer, and (c) any modifications or amendments of the Plan by Ashland, or a termination of the Plan by Ashland, shall not constitute a change or impairment of the terms and conditions of the Participant’s employment with the Employer.</w:t>
      </w:r>
    </w:p>
    <w:p>
      <w:pPr>
        <w:spacing w:after="0" w:line="190" w:lineRule="exact"/>
        <w:rPr>
          <w:sz w:val="20"/>
          <w:szCs w:val="20"/>
          <w:color w:val="auto"/>
        </w:rPr>
      </w:pPr>
    </w:p>
    <w:p>
      <w:pPr>
        <w:ind w:right="20" w:firstLine="702"/>
        <w:spacing w:after="0" w:line="255" w:lineRule="auto"/>
        <w:tabs>
          <w:tab w:leader="none" w:pos="888"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Extraordinary Item of Compensation. The Participant expressly acknowledges and agrees that the Participant’s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RSEs is an extraordinary item of compensation outside the scope of the Participant’s employment contract, if any. The RSEs are not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FRANCE</w:t>
      </w:r>
    </w:p>
    <w:p>
      <w:pPr>
        <w:spacing w:after="0" w:line="240" w:lineRule="exact"/>
        <w:rPr>
          <w:sz w:val="20"/>
          <w:szCs w:val="20"/>
          <w:color w:val="auto"/>
        </w:rPr>
      </w:pPr>
    </w:p>
    <w:p>
      <w:pPr>
        <w:ind w:right="140" w:firstLine="702"/>
        <w:spacing w:after="0" w:line="268" w:lineRule="auto"/>
        <w:tabs>
          <w:tab w:leader="none" w:pos="88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of English Language. By accepting the Award, the Participant acknowledges and agrees that it is the Participant’s wish that the Agreement, this Addendum, as well as all other documents, notices and legal proceedings entered into, given or instituted pursuant to the Award, either directly or indirectly, be drawn up in English.</w:t>
      </w:r>
    </w:p>
    <w:p>
      <w:pPr>
        <w:spacing w:after="0" w:line="48"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Utilisation de l’anglais. En acceptant l'Attribution, le Participant reconnaît et accepte avoir expressément souhaité la rédaction en anglais du Contrat, de la présente Annexe, ainsi que de tous documents exécutés, avis donnés et procédures judiciaires intentées, directement ou indirectement, en vertu de l'Attribution</w:t>
      </w:r>
      <w:r>
        <w:rPr>
          <w:rFonts w:ascii="Times New Roman" w:cs="Times New Roman" w:eastAsia="Times New Roman" w:hAnsi="Times New Roman"/>
          <w:sz w:val="19"/>
          <w:szCs w:val="19"/>
          <w:color w:val="222222"/>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INDIA</w:t>
      </w:r>
    </w:p>
    <w:p>
      <w:pPr>
        <w:spacing w:after="0" w:line="240" w:lineRule="exact"/>
        <w:rPr>
          <w:sz w:val="20"/>
          <w:szCs w:val="20"/>
          <w:color w:val="auto"/>
        </w:rPr>
      </w:pPr>
    </w:p>
    <w:p>
      <w:pPr>
        <w:ind w:right="400" w:firstLine="798"/>
        <w:spacing w:after="0" w:line="286" w:lineRule="auto"/>
        <w:tabs>
          <w:tab w:leader="none" w:pos="984"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Labor Law Acknowledgement. The RSEs and any amount paid pursuant to the Award received under the Plan, and the income and value of same, are extraordinary items that are not part of your annual gross salary.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ITALY</w:t>
      </w:r>
    </w:p>
    <w:p>
      <w:pPr>
        <w:spacing w:after="0" w:line="240" w:lineRule="exact"/>
        <w:rPr>
          <w:sz w:val="20"/>
          <w:szCs w:val="20"/>
          <w:color w:val="auto"/>
        </w:rPr>
      </w:pPr>
    </w:p>
    <w:p>
      <w:pPr>
        <w:ind w:firstLine="798"/>
        <w:spacing w:after="0" w:line="268" w:lineRule="auto"/>
        <w:tabs>
          <w:tab w:leader="none" w:pos="984"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Plan Document Acknowledgment. In accepting the RSEs, the Participant acknowledges that he or she received a copy of the Plan and the Agreement and reviewed the Plan and the Agreement, including this Addendum, in their entirety and fully understands and accepts all provisions of the Plan and the Agreement, including this Addendum.</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0" w:name="page161"/>
    <w:bookmarkEnd w:id="160"/>
    <w:p>
      <w:pPr>
        <w:spacing w:after="0" w:line="269" w:lineRule="exact"/>
        <w:rPr>
          <w:sz w:val="20"/>
          <w:szCs w:val="20"/>
          <w:color w:val="auto"/>
        </w:rPr>
      </w:pPr>
    </w:p>
    <w:p>
      <w:pPr>
        <w:ind w:right="80" w:firstLine="792"/>
        <w:spacing w:after="0" w:line="262" w:lineRule="auto"/>
        <w:rPr>
          <w:sz w:val="20"/>
          <w:szCs w:val="20"/>
          <w:color w:val="auto"/>
        </w:rPr>
      </w:pPr>
      <w:r>
        <w:rPr>
          <w:rFonts w:ascii="Times New Roman" w:cs="Times New Roman" w:eastAsia="Times New Roman" w:hAnsi="Times New Roman"/>
          <w:sz w:val="19"/>
          <w:szCs w:val="19"/>
          <w:color w:val="auto"/>
        </w:rPr>
        <w:t>More specifically, the Participant acknowledges that he or she has read and specifically and expressly approves the following provisions of the Agreement: Section 1 (Grant); Section 3 (Vesting); Section 9 (Responsibility for Taxes); Section 10 (Acknowledgment and Waiver); Section 11 (Data Privacy); Section 16(a) (Governing Law; Venue); Section 16(e) (Electronic Delivery and Participation); Section 16(f) (Language); and Section 16(m) (Addendum to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MEXICO</w:t>
      </w:r>
    </w:p>
    <w:p>
      <w:pPr>
        <w:spacing w:after="0" w:line="336" w:lineRule="exact"/>
        <w:rPr>
          <w:sz w:val="20"/>
          <w:szCs w:val="20"/>
          <w:color w:val="auto"/>
        </w:rPr>
      </w:pPr>
    </w:p>
    <w:p>
      <w:pPr>
        <w:ind w:right="60" w:firstLine="702"/>
        <w:spacing w:after="0" w:line="255" w:lineRule="auto"/>
        <w:tabs>
          <w:tab w:leader="none" w:pos="888"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Labor Law Policy and Acknowledgment. The Participant expressly recognizes that participation in the Plan and Ashland's grant of the RSEs does not constitute an employment relationship between the Participant and Ashland. The Participant has been granted the RSEs as a consequence of the commercial relationship between Ashland and such Affiliate of Ashland that employs Participant in Mexico (the “Employer”), and the Employer in Mexico is the Participant’s sole employer. Based on the foregoing, the Participant expressly recognizes that (a) the Plan and the benefits derived from participation in the Plan do not establish any rights between the Participant and the Employer, (b) the Plan and the benefits derived from participation in the Plan are not part of the employment conditions and/or benefits provided by the Employer in Mexico, and (c) any modifications or amendments of the Plan by Ashland, or a termination of the Plan by Ashland, shall not constitute a change or impairment of the terms and conditions of the Participant’s employment with the Employer in Mexico.</w:t>
      </w:r>
    </w:p>
    <w:p>
      <w:pPr>
        <w:spacing w:after="0" w:line="191" w:lineRule="exact"/>
        <w:rPr>
          <w:rFonts w:ascii="Times New Roman" w:cs="Times New Roman" w:eastAsia="Times New Roman" w:hAnsi="Times New Roman"/>
          <w:sz w:val="19"/>
          <w:szCs w:val="19"/>
          <w:color w:val="auto"/>
        </w:rPr>
      </w:pPr>
    </w:p>
    <w:p>
      <w:pPr>
        <w:ind w:firstLine="702"/>
        <w:spacing w:after="0" w:line="255" w:lineRule="auto"/>
        <w:tabs>
          <w:tab w:leader="none" w:pos="888"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Extraordinary Item of Compensation. The Participant expressly recognizes and acknowledges that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RSEs is an extraordinary item of compensation outside the scope of the employment contract, if any. The RSEs are not a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1" w:name="page162"/>
    <w:bookmarkEnd w:id="161"/>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NETHERLANDS</w:t>
      </w:r>
    </w:p>
    <w:p>
      <w:pPr>
        <w:spacing w:after="0" w:line="336" w:lineRule="exact"/>
        <w:rPr>
          <w:sz w:val="20"/>
          <w:szCs w:val="20"/>
          <w:color w:val="auto"/>
        </w:rPr>
      </w:pPr>
    </w:p>
    <w:p>
      <w:pPr>
        <w:ind w:right="220" w:firstLine="702"/>
        <w:spacing w:after="0" w:line="262" w:lineRule="auto"/>
        <w:tabs>
          <w:tab w:leader="none" w:pos="88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Waiver of Termination Rights. As a condition to the grant of the RSEs, the Participant hereby waives any and all rights to compensation or damages as a result of a termination of employment for any reason whatsoever, insofar as those rights result or may result from (a) the loss or diminution in value of such rights or entitlements under the Plan, or (b) the Participant ceasing to have rights under, or ceasing to be entitled to any awards under the Plan as a result of such termination.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SPAIN</w:t>
      </w:r>
    </w:p>
    <w:p>
      <w:pPr>
        <w:spacing w:after="0" w:line="240" w:lineRule="exact"/>
        <w:rPr>
          <w:sz w:val="20"/>
          <w:szCs w:val="20"/>
          <w:color w:val="auto"/>
        </w:rPr>
      </w:pPr>
    </w:p>
    <w:p>
      <w:pPr>
        <w:ind w:right="40" w:firstLine="702"/>
        <w:spacing w:after="0" w:line="254" w:lineRule="auto"/>
        <w:tabs>
          <w:tab w:leader="none" w:pos="88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Acknowledgement of Discretionary Nature of the Plan; No Vested Rights. By accepting the RSEs, the Participant consents to participation in the Plan and acknowledges receipt of a copy of the Plan. The Participant understands that Ashland has unilaterally, gratuitously and in its sole discretion granted the RSEs under the Plan to individuals who may be employees of Ashland or its Affiliates throughout the world. The decision is a limited decision that is entered into upon the express assumption and condition that any grant will not economically or otherwise bind Ashland or any of its Affiliates on an ongoing basis. Consequently, the Participant understands that the RSEs are granted on the assumption and condition that the RSEs and the cash payment in settlement of the RSEs shall not become a part of any employment contract (either with Ashland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RSEs shall be null and void.</w:t>
      </w:r>
    </w:p>
    <w:p>
      <w:pPr>
        <w:spacing w:after="0" w:line="19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The Participant understands and agrees that, as a condition of the RSEs, unless otherwise provided in the Agreement, any unvested RSEs as of the date the Participant ceases employment will be forfeited without further entitlement or any amount of indemnification in the event of termination of employment. The Participant acknowledges that the Participant has read and specifically accepts the terms and conditions referred to in the Agreement regarding the impact of a termination of employment on the RSEs.</w:t>
      </w:r>
    </w:p>
    <w:p>
      <w:pPr>
        <w:spacing w:after="0" w:line="54" w:lineRule="exact"/>
        <w:rPr>
          <w:sz w:val="20"/>
          <w:szCs w:val="20"/>
          <w:color w:val="auto"/>
        </w:rPr>
      </w:pPr>
    </w:p>
    <w:p>
      <w:pPr>
        <w:ind w:right="120" w:firstLine="702"/>
        <w:spacing w:after="0" w:line="268" w:lineRule="auto"/>
        <w:tabs>
          <w:tab w:leader="none" w:pos="93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for Cause. Notwithstanding anything to the contrary in the Plan or the Agreement, “Cause” shall be defined as set forth in the Agreement, regardless of whether the termination is considered a fair termination (i.e., “despido procedente”) under Spanish legislation.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SWITZERLAND</w:t>
      </w:r>
    </w:p>
    <w:p>
      <w:pPr>
        <w:spacing w:after="0" w:line="240" w:lineRule="exact"/>
        <w:rPr>
          <w:sz w:val="20"/>
          <w:szCs w:val="20"/>
          <w:color w:val="auto"/>
        </w:rPr>
      </w:pPr>
    </w:p>
    <w:p>
      <w:pPr>
        <w:ind w:firstLine="702"/>
        <w:spacing w:after="0" w:line="259" w:lineRule="auto"/>
        <w:tabs>
          <w:tab w:leader="none" w:pos="88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Law Acknowledgment. Neither the Agreement, the Addendum nor any other materials relating to the RSEs (a) constitutes a prospectus according to articles 35 et seq. of the Swiss Federal Act on Financial Services (“FinSA”), (b) may be publicly distributed nor otherwise made publicly available in Switzerland to any person other than an employee of Ashland and its Affiliates or (c) has been or will be filed with, approved or supervised by any Swiss reviewing body according to article 51 of FinSA or any Swiss regulatory authority, including the Swiss Financial Market Supervisory Authority (“FINMA”).</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2" w:name="page163"/>
    <w:bookmarkEnd w:id="162"/>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UNITED KINGDOM</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1. Responsibility for Taxes. The following supplements Section 4 of the Agreement:</w:t>
      </w:r>
    </w:p>
    <w:p>
      <w:pPr>
        <w:spacing w:after="0" w:line="238" w:lineRule="exact"/>
        <w:rPr>
          <w:sz w:val="20"/>
          <w:szCs w:val="20"/>
          <w:color w:val="auto"/>
        </w:rPr>
      </w:pPr>
    </w:p>
    <w:p>
      <w:pPr>
        <w:ind w:right="300" w:firstLine="696"/>
        <w:spacing w:after="0" w:line="257" w:lineRule="auto"/>
        <w:rPr>
          <w:sz w:val="20"/>
          <w:szCs w:val="20"/>
          <w:color w:val="auto"/>
        </w:rPr>
      </w:pPr>
      <w:r>
        <w:rPr>
          <w:rFonts w:ascii="Times New Roman" w:cs="Times New Roman" w:eastAsia="Times New Roman" w:hAnsi="Times New Roman"/>
          <w:sz w:val="19"/>
          <w:szCs w:val="19"/>
          <w:color w:val="auto"/>
        </w:rPr>
        <w:t>Without limitation to Section 4 of the Agreement, the Participant agrees that he or she is liable for all Tax-Related Items and hereby covenants to pay all such Tax-Related Items as and when requested by Ashland, such Affiliate of Ashland that employs Participant (the “Employer”) or by Her Majesty’s Revenue and Customs (“HMRC”) (or any other tax authority or any other relevant authority). The Participant also agrees to indemnify and keep indemnified Ashland and the Employer against any taxes that they are required to pay or withhold or have paid or will pay to HMRC (or any other tax authority or any other relevant authority) on the Participant’s behalf.</w:t>
      </w:r>
    </w:p>
    <w:p>
      <w:pPr>
        <w:spacing w:after="0" w:line="61" w:lineRule="exact"/>
        <w:rPr>
          <w:sz w:val="20"/>
          <w:szCs w:val="20"/>
          <w:color w:val="auto"/>
        </w:rPr>
      </w:pPr>
    </w:p>
    <w:p>
      <w:pPr>
        <w:ind w:right="20" w:firstLine="696"/>
        <w:spacing w:after="0" w:line="254" w:lineRule="auto"/>
        <w:rPr>
          <w:sz w:val="20"/>
          <w:szCs w:val="20"/>
          <w:color w:val="auto"/>
        </w:rPr>
      </w:pPr>
      <w:r>
        <w:rPr>
          <w:rFonts w:ascii="Times New Roman" w:cs="Times New Roman" w:eastAsia="Times New Roman" w:hAnsi="Times New Roman"/>
          <w:sz w:val="19"/>
          <w:szCs w:val="19"/>
          <w:color w:val="auto"/>
        </w:rPr>
        <w:t>Notwithstanding the foregoing, if the Participant is an executive officer or director (as within the meaning of Section 13(k) of the Exchange Act), the Participant understands that the terms of the immediately foregoing provision will not apply. In the event that the Participant is a director or an executive officer and income tax due is not collected from or paid by the Participant within 90 days after the end of the U.K. tax year in which the event giving rise to the income tax occurs (or such other period specified in U.K. law), the amount of any uncollected income tax may constitute a benefit to the Participant on which additional income tax and National Insurance Contributions (“NICs”) may be payable. The Participant acknowledges that, ultimately, the Participant is responsible for reporting and paying any income tax due on this additional benefit directly to HMRC under the self-assessment regime and for paying Ashland or the Employer (as applicable) the amount of any employee NICs due on this additional benefit. The Participant further acknowledges that Ashland or the Employer (as applicable) may recover such amounts from the Participant by any of the means referred to in Section 4 of the Agreement.</w:t>
      </w:r>
    </w:p>
    <w:p>
      <w:pPr>
        <w:spacing w:after="0" w:line="196" w:lineRule="exact"/>
        <w:rPr>
          <w:sz w:val="20"/>
          <w:szCs w:val="20"/>
          <w:color w:val="auto"/>
        </w:rPr>
      </w:pPr>
    </w:p>
    <w:p>
      <w:pPr>
        <w:ind w:right="80" w:firstLine="54"/>
        <w:spacing w:after="0" w:line="255" w:lineRule="auto"/>
        <w:tabs>
          <w:tab w:leader="none" w:pos="24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Exclusion of Claim. The Participant acknowledges and agrees that the Participant shall have no entitlement to compensation or damages insofar as such entitlement arises or may arise from the Participant’s ceasing to have rights under or to be entitled to vest in the RSEs, whether or not as a result of such termination (whether the termination is in breach of contract or otherwise), or from the loss or diminution in value of the RSEs. Upon the grant of the RSEs, the Participant shall be deemed irrevocably to have waived any such entitlement.</w:t>
      </w:r>
    </w:p>
    <w:p>
      <w:pPr>
        <w:spacing w:after="0" w:line="1" w:lineRule="exact"/>
        <w:rPr>
          <w:rFonts w:ascii="Times New Roman" w:cs="Times New Roman" w:eastAsia="Times New Roman" w:hAnsi="Times New Roman"/>
          <w:sz w:val="19"/>
          <w:szCs w:val="19"/>
          <w:color w:val="auto"/>
        </w:rPr>
      </w:pP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[End of Addendum]</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514985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2861945</wp:posOffset>
            </wp:positionH>
            <wp:positionV relativeFrom="page">
              <wp:posOffset>643890</wp:posOffset>
            </wp:positionV>
            <wp:extent cx="1829435" cy="6172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829435" cy="617220"/>
                    </a:xfrm>
                    <a:prstGeom prst="rect">
                      <a:avLst/>
                    </a:prstGeom>
                    <a:noFill/>
                  </pic:spPr>
                </pic:pic>
              </a:graphicData>
            </a:graphic>
          </wp:anchor>
        </w:drawing>
      </w:r>
    </w:p>
    <w:p>
      <w:pPr>
        <w:spacing w:after="0" w:line="333"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EXHIBIT 10.67</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STOCK-SETTLED PERFORMANCE UNIT AGREEMENT</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Ashland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2021 Omnibus Incentive Compensation Plan</w:t>
      </w:r>
    </w:p>
    <w:p>
      <w:pPr>
        <w:sectPr>
          <w:pgSz w:w="11900" w:h="16840" w:orient="portrait"/>
          <w:cols w:equalWidth="0" w:num="1">
            <w:col w:w="10620"/>
          </w:cols>
          <w:pgMar w:left="660" w:top="1440" w:right="62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#ParticipantName#</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Performance Units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#QuantityGranted#</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Times New Roman" w:cs="Times New Roman" w:eastAsia="Times New Roman" w:hAnsi="Times New Roman"/>
          <w:sz w:val="17"/>
          <w:szCs w:val="17"/>
          <w:color w:val="auto"/>
        </w:rPr>
        <w:t>#GrantDate#</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October 1, 2025 to September 30, 2028</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Vesting Date:</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Times New Roman" w:cs="Times New Roman" w:eastAsia="Times New Roman" w:hAnsi="Times New Roman"/>
          <w:sz w:val="17"/>
          <w:szCs w:val="17"/>
          <w:color w:val="auto"/>
        </w:rPr>
        <w:t>#CliffVest#</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Performance Goals: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7"/>
          <w:szCs w:val="17"/>
          <w:color w:val="auto"/>
        </w:rPr>
        <w:t>(see appendix)</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Signature Required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#Accept By#</w:t>
      </w:r>
    </w:p>
    <w:p>
      <w:pPr>
        <w:spacing w:after="0" w:line="200"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spacing w:after="0" w:line="2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Grant</w:t>
      </w:r>
      <w:r>
        <w:rPr>
          <w:rFonts w:ascii="Times New Roman" w:cs="Times New Roman" w:eastAsia="Times New Roman" w:hAnsi="Times New Roman"/>
          <w:sz w:val="19"/>
          <w:szCs w:val="19"/>
          <w:color w:val="auto"/>
        </w:rPr>
        <w:t>. Ashland Inc. (“Ashland”) hereby grants to the above-named individual (the “Participant”) #QuantityGranted# Units (the “Award”) pursuant to and subject to the terms of the Ashland Inc. 2021 Omnibus Incentive Compensation Plan (the “Plan”) and this Stock- Settled Performance Unit Agreement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4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9"/>
          <w:szCs w:val="19"/>
          <w:color w:val="auto"/>
        </w:rPr>
        <w:t>. Each Unit represents a contingent right of the Participant to receive one (1) Share on the vesting date set forth above (such date, the “Vesting Date”). The number of Units granted hereunder has been determined by dividing the total dollar value intended to be delivered to the Participant under this Award by the Fair Market Value of one (1) Share of Ashland on the Grant Date, rounded down to the nearest whole number.</w:t>
      </w:r>
    </w:p>
    <w:p>
      <w:pPr>
        <w:spacing w:after="0" w:line="14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b w:val="1"/>
          <w:bCs w:val="1"/>
          <w:color w:val="auto"/>
        </w:rPr>
        <w:t>Vesting</w:t>
      </w:r>
      <w:r>
        <w:rPr>
          <w:rFonts w:ascii="Times New Roman" w:cs="Times New Roman" w:eastAsia="Times New Roman" w:hAnsi="Times New Roman"/>
          <w:sz w:val="19"/>
          <w:szCs w:val="19"/>
          <w:color w:val="auto"/>
        </w:rPr>
        <w:t>. The number of Units that the Committee certifies as having been earned by the Participant as a result of actual achievement against the Performance Goals set forth in the Appendix during the Performance Period shall vest on the Vesting Date, subject to the Participant’s continuous service as an officer, employee or consultant of Ashland or any of its Affiliates (“Continuous Service”) through such Vesting Date, except as otherwise provided in this Agreement. The Committee will certify the number of Units that have been earned by the Participant within 90 days following the close of the Performance Period.</w:t>
      </w:r>
    </w:p>
    <w:p>
      <w:pPr>
        <w:spacing w:after="0" w:line="14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color w:val="auto"/>
        </w:rPr>
        <w:t>Forfeiture</w:t>
      </w:r>
      <w:r>
        <w:rPr>
          <w:rFonts w:ascii="Times New Roman" w:cs="Times New Roman" w:eastAsia="Times New Roman" w:hAnsi="Times New Roman"/>
          <w:sz w:val="19"/>
          <w:szCs w:val="19"/>
          <w:color w:val="auto"/>
        </w:rPr>
        <w:t>. Except as otherwise provided in this Agreement or as otherwise determined by the Committee (but subject to Section 6(i) of the Plan), if Participant’s Continuous Service ends for any reason prior to the Vesting Date, all Units granted hereunder shall be forfeited. Notwithstanding the foregoing (but subject to Section 6(i) of the Plan), the Committee may, in its sole discretion, provide for accelerated vesting of the Award or any portion thereof at any time and for any reason.</w:t>
      </w:r>
    </w:p>
    <w:p>
      <w:pPr>
        <w:spacing w:after="0" w:line="1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658495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type w:val="continuous"/>
        </w:sectPr>
      </w:pPr>
    </w:p>
    <w:bookmarkStart w:id="164" w:name="page165"/>
    <w:bookmarkEnd w:id="164"/>
    <w:p>
      <w:pPr>
        <w:spacing w:after="0" w:line="2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9"/>
          <w:szCs w:val="19"/>
          <w:b w:val="1"/>
          <w:bCs w:val="1"/>
          <w:color w:val="auto"/>
        </w:rPr>
        <w:t>Retirement</w:t>
      </w:r>
      <w:r>
        <w:rPr>
          <w:rFonts w:ascii="Times New Roman" w:cs="Times New Roman" w:eastAsia="Times New Roman" w:hAnsi="Times New Roman"/>
          <w:sz w:val="19"/>
          <w:szCs w:val="19"/>
          <w:color w:val="auto"/>
        </w:rPr>
        <w:t>. If the Participant’s Continuous Service ends due to Retirement after the [fiscal year that includes the Grant Date] set forth above, then all unvested Units under this Agreement shall continue to be permitted to vest, in accordance with the terms of this Agreement, into that number of Units that shall have been certified by the Committee as having been earned due to the actual achievement of the Performance Goals as measured at the end of the Performance Period. If the Participant’s Retirement occurs before the end of the fiscal year that includes the Grant Date set forth above, all unvested Units granted hereunder shall be forfeited unless such Retirement is the result of Participant’s termination without Cause (as defined below), in which case Participant’s unvested Units shall be treated in accordance with Section 7, below. For purposes of this Agreement, “Retirement” shall mean a termination of Participant’s employment for any reason other than death, Disability, or Cause (as defined below), that is a ”separation from service” within the meaning of Section 409A of the Code, after attaining age 55 and having at least ten (10) years of credited service, or after attaining age 60 and having at least five (5) years of credited service.</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6.</w:t>
      </w:r>
      <w:r>
        <w:rPr>
          <w:rFonts w:ascii="Times New Roman" w:cs="Times New Roman" w:eastAsia="Times New Roman" w:hAnsi="Times New Roman"/>
          <w:sz w:val="19"/>
          <w:szCs w:val="19"/>
          <w:b w:val="1"/>
          <w:bCs w:val="1"/>
          <w:color w:val="auto"/>
        </w:rPr>
        <w:t>Death or Disability.</w:t>
      </w:r>
      <w:r>
        <w:rPr>
          <w:rFonts w:ascii="Times New Roman" w:cs="Times New Roman" w:eastAsia="Times New Roman" w:hAnsi="Times New Roman"/>
          <w:sz w:val="19"/>
          <w:szCs w:val="19"/>
          <w:color w:val="auto"/>
        </w:rPr>
        <w:t xml:space="preserve"> If the Participant’s Continuous Service ends due to death or Disability, all Units under this Award will be </w:t>
      </w:r>
      <w:r>
        <w:rPr>
          <w:rFonts w:ascii="Times New Roman" w:cs="Times New Roman" w:eastAsia="Times New Roman" w:hAnsi="Times New Roman"/>
          <w:sz w:val="19"/>
          <w:szCs w:val="19"/>
          <w:color w:val="auto"/>
          <w:strike w:val="1"/>
        </w:rPr>
        <w:t>immediately</w:t>
      </w:r>
      <w:r>
        <w:rPr>
          <w:rFonts w:ascii="Times New Roman" w:cs="Times New Roman" w:eastAsia="Times New Roman" w:hAnsi="Times New Roman"/>
          <w:sz w:val="19"/>
          <w:szCs w:val="19"/>
          <w:color w:val="auto"/>
        </w:rPr>
        <w:t xml:space="preserve"> accelerated and will vest, at 100% achievement (i.e., “target” achievement) regardless of actual achievement of any Performance Goals on the date of such termination due to death or Disability. The termination date coincides with the last day of active service or protected leave of absence, prior to death or Disability. The Shares relating to the vesting of such Units shall be paid/delivered to the Participant as soon as administratively feasible, but in no event later than two and one half months following the calendar year in which such Units vested.</w:t>
      </w:r>
    </w:p>
    <w:p>
      <w:pPr>
        <w:spacing w:after="0" w:line="1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7.</w:t>
      </w:r>
      <w:r>
        <w:rPr>
          <w:rFonts w:ascii="Times New Roman" w:cs="Times New Roman" w:eastAsia="Times New Roman" w:hAnsi="Times New Roman"/>
          <w:sz w:val="19"/>
          <w:szCs w:val="19"/>
          <w:b w:val="1"/>
          <w:bCs w:val="1"/>
          <w:color w:val="auto"/>
        </w:rPr>
        <w:t>Termination without Cause</w:t>
      </w:r>
      <w:r>
        <w:rPr>
          <w:rFonts w:ascii="Times New Roman" w:cs="Times New Roman" w:eastAsia="Times New Roman" w:hAnsi="Times New Roman"/>
          <w:sz w:val="19"/>
          <w:szCs w:val="19"/>
          <w:color w:val="auto"/>
        </w:rPr>
        <w:t>. If the Participant is otherwise terminated by Ashland or any of its Affiliates for any reason other than death, Disability, or Cause prior to the earlier of the Vesting Date or Retirement, then the Participant shall continue to be permitted to vest, in accordance with the terms of this Agreement, into that number of Units that shall have been certified by the Committee as having been earned due to the actual achievement of the Performance Goals as measured at the end of the Performance Period, provided that the number of earned Units scheduled to vest, if any, shall be pro-rated (with such pro-ration being based on the number of days from the Grant Date through the date of such termination divided by the total number of days in the Performance Period). The number of Shares corresponding to the pro- rated earned Units, if any, shall be paid/delivered to and in the name of Participant in the form of the corresponding number of Shares as soon as administratively feasible following the Vesting Date, but in no event later than two and one half months following the calendar year in which such Units vested, provided that the Participant has delivered to the Company and has allowed to become non-revocable a fully executed separation agreement and release (to the extent that a separation agreement and release has been requested from the Participant by the Company). For the avoidance of any doubt, if the Participant has failed to deliver and allow to become non -revocable a fully executed separation and release that has been requested from the Participant by the Company by the Outside Date, any such Units shall be forfeited. For purposes of this Agreement only, the term “Cause” shall mean (i) if the Participant has an employment agreement with the Company in which the term “Cause” is defined, the meaning which is provided for such term in such agreement, or (ii) otherwise, (x) the willful and continued failure of the Participant to substantially perform his or her duties with the Company (other than such failure resulting from the such individual’s incapacity due to physical or mental illness, death, or disability), (y) any act by the Participant that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414655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5" w:name="page166"/>
    <w:bookmarkEnd w:id="165"/>
    <w:p>
      <w:pPr>
        <w:spacing w:after="0" w:line="2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would constitute a felony under the laws of the United States (or an act that would be treated substantially similarly to a felony under the laws of a jurisdiction other than the United States), or (z) any act or omission by such individual which reasonably constitutes dishonesty, disloyalty, fraud, deceit, gross negligence, willful misconduct or recklessness during the course of his or her duties, including, but not limited to the willful violation of the Company’s by-laws, Global Code of Conduct, or other policies and procedures of the Company’s governing the Participant’s conduct. Any shares earned during the performance period will be released on the original award distribution date.</w:t>
      </w:r>
    </w:p>
    <w:p>
      <w:pPr>
        <w:spacing w:after="0" w:line="155" w:lineRule="exact"/>
        <w:rPr>
          <w:sz w:val="20"/>
          <w:szCs w:val="20"/>
          <w:color w:val="auto"/>
        </w:rPr>
      </w:pPr>
    </w:p>
    <w:p>
      <w:pPr>
        <w:jc w:val="both"/>
        <w:ind w:right="420"/>
        <w:spacing w:after="0" w:line="269" w:lineRule="auto"/>
        <w:rPr>
          <w:sz w:val="20"/>
          <w:szCs w:val="20"/>
          <w:color w:val="auto"/>
        </w:rPr>
      </w:pPr>
      <w:r>
        <w:rPr>
          <w:rFonts w:ascii="Times New Roman" w:cs="Times New Roman" w:eastAsia="Times New Roman" w:hAnsi="Times New Roman"/>
          <w:sz w:val="19"/>
          <w:szCs w:val="19"/>
          <w:color w:val="auto"/>
        </w:rPr>
        <w:t>8.</w:t>
      </w:r>
      <w:r>
        <w:rPr>
          <w:rFonts w:ascii="Times New Roman" w:cs="Times New Roman" w:eastAsia="Times New Roman" w:hAnsi="Times New Roman"/>
          <w:sz w:val="19"/>
          <w:szCs w:val="19"/>
          <w:b w:val="1"/>
          <w:bCs w:val="1"/>
          <w:color w:val="auto"/>
        </w:rPr>
        <w:t>Time of Payment and Taxation</w:t>
      </w:r>
      <w:r>
        <w:rPr>
          <w:rFonts w:ascii="Times New Roman" w:cs="Times New Roman" w:eastAsia="Times New Roman" w:hAnsi="Times New Roman"/>
          <w:sz w:val="19"/>
          <w:szCs w:val="19"/>
          <w:color w:val="auto"/>
        </w:rPr>
        <w:t>. Unless alternative timing requirements for the payment/delivery of Shares are specified herein, , Shares equal to the amount of the vested Units will be paid/delivered to the Participant within (30) days following the Vesting Date, subject to tax deductions and withholding as set forth in Section 9(d) of the Plan.</w:t>
      </w:r>
    </w:p>
    <w:p>
      <w:pPr>
        <w:spacing w:after="0" w:line="142"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b w:val="1"/>
          <w:bCs w:val="1"/>
          <w:color w:val="auto"/>
        </w:rPr>
        <w:t>No Stockholder Rights</w:t>
      </w:r>
      <w:r>
        <w:rPr>
          <w:rFonts w:ascii="Times New Roman" w:cs="Times New Roman" w:eastAsia="Times New Roman" w:hAnsi="Times New Roman"/>
          <w:sz w:val="19"/>
          <w:szCs w:val="19"/>
          <w:color w:val="auto"/>
        </w:rPr>
        <w:t>. Unless and until such time as Shares are delivered in settlement of earned Units, Participant shall have no ownership of the Shares associated with any Units granted under this Award or to cast any vote with respect to such Shares.</w:t>
      </w:r>
    </w:p>
    <w:p>
      <w:pPr>
        <w:spacing w:after="0" w:line="12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b w:val="1"/>
          <w:bCs w:val="1"/>
          <w:color w:val="auto"/>
        </w:rPr>
        <w:t>Dividend Equivalents</w:t>
      </w:r>
      <w:r>
        <w:rPr>
          <w:rFonts w:ascii="Times New Roman" w:cs="Times New Roman" w:eastAsia="Times New Roman" w:hAnsi="Times New Roman"/>
          <w:sz w:val="19"/>
          <w:szCs w:val="19"/>
          <w:color w:val="auto"/>
        </w:rPr>
        <w:t>. While this Award is outstanding, on each date that cash dividends are paid by Ashland to holders of Shares, Ashland will increase the number of target Units granted hereunder by (1) the product of the target number of Units then held by the Participant as of the date of record for such dividend (inclusive of Units that have been added to such target number of Units pursuant to this Section 10) multiplied by the per Share cash dividend amount, divided by (2) the Fair Market Value of the Shares on the date of record for such dividend. Such additional Units issued in respect of cash dividends on the Shares will be subject to all the terms and conditions of this Award, this Agreement and the Plan and to the same vesting conditions and restrictions as the Units to which such additional Units relate.</w:t>
      </w:r>
    </w:p>
    <w:p>
      <w:pPr>
        <w:spacing w:after="0" w:line="15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b w:val="1"/>
          <w:bCs w:val="1"/>
          <w:color w:val="auto"/>
        </w:rPr>
        <w:t>Fractional Units</w:t>
      </w:r>
      <w:r>
        <w:rPr>
          <w:rFonts w:ascii="Times New Roman" w:cs="Times New Roman" w:eastAsia="Times New Roman" w:hAnsi="Times New Roman"/>
          <w:sz w:val="19"/>
          <w:szCs w:val="19"/>
          <w:color w:val="auto"/>
        </w:rPr>
        <w:t>. Notwithstanding any other provision of this Agreement or the Plan to the contrary, in the event the Participant is credited with any fractional Units as a result of the grant of any dividend equivalents under Section 10 of this Agreement prior to the Vesting Date, such fractional Units shall be rounded up to the nearest whole Unit and shall otherwise vest in accordance with the terms of this Agreement.</w:t>
      </w:r>
    </w:p>
    <w:p>
      <w:pPr>
        <w:spacing w:after="0" w:line="147"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The Award shall be treated in accordance with Section 8 of the Plan in the event of a Change of Control prior to the Vesting Date.</w:t>
      </w:r>
    </w:p>
    <w:p>
      <w:pPr>
        <w:spacing w:after="0" w:line="12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b w:val="1"/>
          <w:bCs w:val="1"/>
          <w:color w:val="auto"/>
        </w:rPr>
        <w:t>Compensation Recovery.</w:t>
      </w:r>
      <w:r>
        <w:rPr>
          <w:rFonts w:ascii="Times New Roman" w:cs="Times New Roman" w:eastAsia="Times New Roman" w:hAnsi="Times New Roman"/>
          <w:sz w:val="19"/>
          <w:szCs w:val="19"/>
          <w:color w:val="auto"/>
        </w:rPr>
        <w:t xml:space="preserve"> Notwithstanding anything in the Plan, this Agreement or any other agreement or declaration, 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414655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66" w:name="page167"/>
    <w:bookmarkEnd w:id="166"/>
    <w:p>
      <w:pPr>
        <w:spacing w:after="0" w:line="2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 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5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b w:val="1"/>
          <w:bCs w:val="1"/>
          <w:color w:val="303336"/>
        </w:rPr>
        <w:t>Non-transferability</w:t>
      </w:r>
      <w:r>
        <w:rPr>
          <w:rFonts w:ascii="Times New Roman" w:cs="Times New Roman" w:eastAsia="Times New Roman" w:hAnsi="Times New Roman"/>
          <w:sz w:val="19"/>
          <w:szCs w:val="19"/>
          <w:color w:val="auto"/>
        </w:rPr>
        <w:t>. The Participant may not sell, transfer, pledge, assign, attach or otherwise alienate or hypothecate the Units or any rights under this Agreement other than by will or by the 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14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b w:val="1"/>
          <w:bCs w:val="1"/>
          <w:color w:val="auto"/>
        </w:rPr>
        <w:t>No Right to Employment</w:t>
      </w:r>
      <w:r>
        <w:rPr>
          <w:rFonts w:ascii="Times New Roman" w:cs="Times New Roman" w:eastAsia="Times New Roman" w:hAnsi="Times New Roman"/>
          <w:sz w:val="19"/>
          <w:szCs w:val="19"/>
          <w:color w:val="auto"/>
        </w:rPr>
        <w:t>. Nothing contained in this Agreement or in the Plan shall confer upon the Participant any right to continue in the employment of, or remain in the service of, Ashland or any of its Affiliates.</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16.</w:t>
      </w:r>
      <w:r>
        <w:rPr>
          <w:rFonts w:ascii="Times New Roman" w:cs="Times New Roman" w:eastAsia="Times New Roman" w:hAnsi="Times New Roman"/>
          <w:sz w:val="19"/>
          <w:szCs w:val="19"/>
          <w:b w:val="1"/>
          <w:bCs w:val="1"/>
          <w:color w:val="auto"/>
        </w:rPr>
        <w:t>Data Privacy</w:t>
      </w:r>
      <w:r>
        <w:rPr>
          <w:rFonts w:ascii="Times New Roman" w:cs="Times New Roman" w:eastAsia="Times New Roman" w:hAnsi="Times New Roman"/>
          <w:sz w:val="19"/>
          <w:szCs w:val="19"/>
          <w:color w:val="auto"/>
        </w:rPr>
        <w:t>. Information about the Participant and the Participant’s participation in the Plan may be collected, recorded and held, used and disclosed by and among Ashland, its Affiliates and any third- party Plan administrators as necessary for the purpose of managing and administering the Plan. The Participant understands that such processing of this information may need to be carried out by Ashland, its Affiliates and by third-party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5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17.</w:t>
      </w:r>
      <w:r>
        <w:rPr>
          <w:rFonts w:ascii="Times New Roman" w:cs="Times New Roman" w:eastAsia="Times New Roman" w:hAnsi="Times New Roman"/>
          <w:sz w:val="19"/>
          <w:szCs w:val="19"/>
          <w:b w:val="1"/>
          <w:bCs w:val="1"/>
          <w:color w:val="auto"/>
        </w:rPr>
        <w:t>Electronic Delivery and Participation</w:t>
      </w:r>
      <w:r>
        <w:rPr>
          <w:rFonts w:ascii="Times New Roman" w:cs="Times New Roman" w:eastAsia="Times New Roman" w:hAnsi="Times New Roman"/>
          <w:sz w:val="19"/>
          <w:szCs w:val="19"/>
          <w:color w:val="auto"/>
        </w:rPr>
        <w:t>. Ashland and any Affiliate may, in its sole discretion,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Ashland, any Affiliate or a third party designated by Ashland.</w:t>
      </w:r>
    </w:p>
    <w:p>
      <w:pPr>
        <w:spacing w:after="0" w:line="1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18.</w:t>
      </w:r>
      <w:r>
        <w:rPr>
          <w:rFonts w:ascii="Times New Roman" w:cs="Times New Roman" w:eastAsia="Times New Roman" w:hAnsi="Times New Roman"/>
          <w:sz w:val="19"/>
          <w:szCs w:val="19"/>
          <w:b w:val="1"/>
          <w:bCs w:val="1"/>
          <w:color w:val="auto"/>
        </w:rPr>
        <w:t>Code Section 409A.</w:t>
      </w:r>
      <w:r>
        <w:rPr>
          <w:rFonts w:ascii="Times New Roman" w:cs="Times New Roman" w:eastAsia="Times New Roman" w:hAnsi="Times New Roman"/>
          <w:sz w:val="19"/>
          <w:szCs w:val="19"/>
          <w:color w:val="auto"/>
        </w:rPr>
        <w:t xml:space="preserve"> To the extent applicable, for purposes of this Agreement, a termination of employment will be determined consistent with the rules relating to a “separation from service” within the meaning of Code Section 409A and the regulations and other guidance promulgated thereunder (“Section 409A”). Notwithstanding anything provided herein to the contrary, to the extent of any payments provided under this Agreement in connection with the Participant’s termination of employment with Ashland and its Affiliates constitute “nonqualified deferred compensation” within the meaning of Section 409A, and the Participant is a “specified employee” within the meaning of Section 409A upon such termination of employment, then such payment shall not be made until the earlier of (i) the expiration of the six month period measured from the Participant’s employment termination date, or (ii) the date of the Participant’s death following such employment termination date. The Participant acknowledges that, regardless of any action taken by Ashland and its Affiliates, the liability for all taxes related to the Award and this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414655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7" w:name="page168"/>
    <w:bookmarkEnd w:id="167"/>
    <w:p>
      <w:pPr>
        <w:spacing w:after="0" w:line="26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color w:val="auto"/>
        </w:rPr>
        <w:t>Agreement are the sole responsibility of the Participant, and neither Ashland nor its Affiliates are liable to the Participant for any taxes, penalties and interest incurred by the Participant relating to the Award and this Agreement.</w:t>
      </w:r>
    </w:p>
    <w:p>
      <w:pPr>
        <w:spacing w:after="0" w:line="125" w:lineRule="exact"/>
        <w:rPr>
          <w:sz w:val="20"/>
          <w:szCs w:val="20"/>
          <w:color w:val="auto"/>
        </w:rPr>
      </w:pPr>
    </w:p>
    <w:p>
      <w:pPr>
        <w:jc w:val="both"/>
        <w:ind w:right="480"/>
        <w:spacing w:after="0" w:line="269" w:lineRule="auto"/>
        <w:rPr>
          <w:sz w:val="20"/>
          <w:szCs w:val="20"/>
          <w:color w:val="auto"/>
        </w:rPr>
      </w:pPr>
      <w:r>
        <w:rPr>
          <w:rFonts w:ascii="Times New Roman" w:cs="Times New Roman" w:eastAsia="Times New Roman" w:hAnsi="Times New Roman"/>
          <w:sz w:val="19"/>
          <w:szCs w:val="19"/>
          <w:color w:val="auto"/>
        </w:rPr>
        <w:t>19.</w:t>
      </w:r>
      <w:r>
        <w:rPr>
          <w:rFonts w:ascii="Times New Roman" w:cs="Times New Roman" w:eastAsia="Times New Roman" w:hAnsi="Times New Roman"/>
          <w:sz w:val="19"/>
          <w:szCs w:val="19"/>
          <w:b w:val="1"/>
          <w:bCs w:val="1"/>
          <w:color w:val="auto"/>
        </w:rPr>
        <w:t>Restrictive Covenants</w:t>
      </w:r>
      <w:r>
        <w:rPr>
          <w:rFonts w:ascii="Times New Roman" w:cs="Times New Roman" w:eastAsia="Times New Roman" w:hAnsi="Times New Roman"/>
          <w:sz w:val="19"/>
          <w:szCs w:val="19"/>
          <w:color w:val="auto"/>
        </w:rPr>
        <w:t>. In consideration of this Award, and to the extent permitted by applicable law, the Participant agrees that during the Participant’s employment and the twelve (12) month period following the Participant’s termination of employment with Ashland or its Affiliates for any reason (the “Covenant Period”), without the written consent of Ashland, the Participant will not:</w:t>
      </w:r>
    </w:p>
    <w:p>
      <w:pPr>
        <w:spacing w:after="0" w:line="144"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(a)engage directly or indirectly in any manner or capacity as principal, agent, partner, officer, director, employee or otherwise in any business or activity competitive with the business conducted by Ashland or any of its Affiliates; or</w:t>
      </w:r>
    </w:p>
    <w:p>
      <w:pPr>
        <w:spacing w:after="0" w:line="127"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(b)perform any act or engage in any activity that is detrimental to the best interests of Ashland or any of its Affiliates, including, without limitation:</w:t>
      </w:r>
    </w:p>
    <w:p>
      <w:pPr>
        <w:spacing w:after="0" w:line="127" w:lineRule="exact"/>
        <w:rPr>
          <w:sz w:val="20"/>
          <w:szCs w:val="20"/>
          <w:color w:val="auto"/>
        </w:rPr>
      </w:pPr>
    </w:p>
    <w:p>
      <w:pPr>
        <w:ind w:left="1760" w:right="140"/>
        <w:spacing w:after="0" w:line="286" w:lineRule="auto"/>
        <w:rPr>
          <w:sz w:val="20"/>
          <w:szCs w:val="20"/>
          <w:color w:val="auto"/>
        </w:rPr>
      </w:pPr>
      <w:r>
        <w:rPr>
          <w:rFonts w:ascii="Times New Roman" w:cs="Times New Roman" w:eastAsia="Times New Roman" w:hAnsi="Times New Roman"/>
          <w:sz w:val="19"/>
          <w:szCs w:val="19"/>
          <w:color w:val="auto"/>
        </w:rPr>
        <w:t>(i)solicit or encourage any existing employee, director, contractor, consultant, customer or supplier of Ashland or any of its Affiliates to terminate his, her or its relationship with Ashland or any of its Affiliates for any reason;</w:t>
      </w:r>
    </w:p>
    <w:p>
      <w:pPr>
        <w:spacing w:after="0" w:line="127" w:lineRule="exact"/>
        <w:rPr>
          <w:sz w:val="20"/>
          <w:szCs w:val="20"/>
          <w:color w:val="auto"/>
        </w:rPr>
      </w:pPr>
    </w:p>
    <w:p>
      <w:pPr>
        <w:jc w:val="both"/>
        <w:ind w:left="1760" w:right="280"/>
        <w:spacing w:after="0" w:line="268" w:lineRule="auto"/>
        <w:rPr>
          <w:sz w:val="20"/>
          <w:szCs w:val="20"/>
          <w:color w:val="auto"/>
        </w:rPr>
      </w:pPr>
      <w:r>
        <w:rPr>
          <w:rFonts w:ascii="Times New Roman" w:cs="Times New Roman" w:eastAsia="Times New Roman" w:hAnsi="Times New Roman"/>
          <w:sz w:val="19"/>
          <w:szCs w:val="19"/>
          <w:color w:val="auto"/>
        </w:rPr>
        <w:t>(ii)hire (directly or through another person), any person (whether or not solicited) who was an employee of the Company or any of its Affiliates at any time within the one year period immediately preceding the Participant’s termination from employment; or</w:t>
      </w:r>
    </w:p>
    <w:p>
      <w:pPr>
        <w:spacing w:after="0" w:line="144" w:lineRule="exact"/>
        <w:rPr>
          <w:sz w:val="20"/>
          <w:szCs w:val="20"/>
          <w:color w:val="auto"/>
        </w:rPr>
      </w:pPr>
    </w:p>
    <w:p>
      <w:pPr>
        <w:jc w:val="both"/>
        <w:ind w:left="1760" w:right="260"/>
        <w:spacing w:after="0" w:line="286" w:lineRule="auto"/>
        <w:rPr>
          <w:sz w:val="20"/>
          <w:szCs w:val="20"/>
          <w:color w:val="auto"/>
        </w:rPr>
      </w:pPr>
      <w:r>
        <w:rPr>
          <w:rFonts w:ascii="Times New Roman" w:cs="Times New Roman" w:eastAsia="Times New Roman" w:hAnsi="Times New Roman"/>
          <w:sz w:val="19"/>
          <w:szCs w:val="19"/>
          <w:color w:val="auto"/>
        </w:rPr>
        <w:t>(iii)disclose proprietary or confidential information of Ashland or any of its Affiliates to third parties or use any such proprietary or confidential information for the benefit of anyone other than Ashland and its Affiliates;</w:t>
      </w:r>
    </w:p>
    <w:p>
      <w:pPr>
        <w:spacing w:after="0" w:line="127" w:lineRule="exact"/>
        <w:rPr>
          <w:sz w:val="20"/>
          <w:szCs w:val="20"/>
          <w:color w:val="auto"/>
        </w:rPr>
      </w:pPr>
    </w:p>
    <w:p>
      <w:pPr>
        <w:ind w:left="700" w:right="20"/>
        <w:spacing w:after="0" w:line="253" w:lineRule="auto"/>
        <w:rPr>
          <w:sz w:val="20"/>
          <w:szCs w:val="20"/>
          <w:color w:val="auto"/>
        </w:rPr>
      </w:pPr>
      <w:r>
        <w:rPr>
          <w:rFonts w:ascii="Times New Roman" w:cs="Times New Roman" w:eastAsia="Times New Roman" w:hAnsi="Times New Roman"/>
          <w:sz w:val="19"/>
          <w:szCs w:val="19"/>
          <w:color w:val="auto"/>
        </w:rPr>
        <w:t>provided, however,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w:t>
      </w:r>
    </w:p>
    <w:p>
      <w:pPr>
        <w:spacing w:after="0" w:line="4" w:lineRule="exact"/>
        <w:rPr>
          <w:sz w:val="20"/>
          <w:szCs w:val="20"/>
          <w:color w:val="auto"/>
        </w:rPr>
      </w:pPr>
    </w:p>
    <w:p>
      <w:pPr>
        <w:ind w:left="700"/>
        <w:spacing w:after="0" w:line="250" w:lineRule="auto"/>
        <w:rPr>
          <w:sz w:val="20"/>
          <w:szCs w:val="20"/>
          <w:color w:val="auto"/>
        </w:rPr>
      </w:pPr>
      <w:r>
        <w:rPr>
          <w:rFonts w:ascii="Times New Roman" w:cs="Times New Roman" w:eastAsia="Times New Roman" w:hAnsi="Times New Roman"/>
          <w:sz w:val="19"/>
          <w:szCs w:val="19"/>
          <w:color w:val="auto"/>
        </w:rPr>
        <w:t>(18 U.S.C. Section 1833(b)) applies that is made (A) in confidence to a Federal, state or local government official, either directly or indirectly, or to an attorney, in each case, solely for the purpose of reporting or investigating a suspected violation of law; or</w:t>
      </w:r>
    </w:p>
    <w:p>
      <w:pPr>
        <w:spacing w:after="0" w:line="1" w:lineRule="exact"/>
        <w:rPr>
          <w:sz w:val="20"/>
          <w:szCs w:val="20"/>
          <w:color w:val="auto"/>
        </w:rPr>
      </w:pPr>
    </w:p>
    <w:p>
      <w:pPr>
        <w:ind w:left="700" w:right="80" w:firstLine="2"/>
        <w:spacing w:after="0" w:line="256" w:lineRule="auto"/>
        <w:tabs>
          <w:tab w:leader="none" w:pos="1004"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 complaint or other document filed in a lawsuit or proceeding, if such filings are made under seal. The Participant understands that if he or she makes a disclosure of proprietary or confidential information that is covered above, he or she is not required to inform</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414655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68" w:name="page169"/>
    <w:bookmarkEnd w:id="168"/>
    <w:p>
      <w:pPr>
        <w:spacing w:after="0" w:line="269" w:lineRule="exact"/>
        <w:rPr>
          <w:sz w:val="20"/>
          <w:szCs w:val="20"/>
          <w:color w:val="auto"/>
        </w:rPr>
      </w:pPr>
    </w:p>
    <w:p>
      <w:pPr>
        <w:ind w:left="700"/>
        <w:spacing w:after="0" w:line="286" w:lineRule="auto"/>
        <w:rPr>
          <w:sz w:val="20"/>
          <w:szCs w:val="20"/>
          <w:color w:val="auto"/>
        </w:rPr>
      </w:pPr>
      <w:r>
        <w:rPr>
          <w:rFonts w:ascii="Times New Roman" w:cs="Times New Roman" w:eastAsia="Times New Roman" w:hAnsi="Times New Roman"/>
          <w:sz w:val="19"/>
          <w:szCs w:val="19"/>
          <w:color w:val="auto"/>
        </w:rPr>
        <w:t>Ashland, in advance or otherwise, that such disclosure(s) has been made. The restrictions in this paragraph are referred to herein as the “Participant Covenants”.</w:t>
      </w:r>
    </w:p>
    <w:p>
      <w:pPr>
        <w:spacing w:after="0" w:line="127"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9"/>
          <w:szCs w:val="19"/>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with Ashland or any of its Affiliates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and such elimination or reduction would trigger Section 409A taxes,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provided that the actions described in clauses (x), (y) and (z) shall not be taken with respect to the Award at any time following the third anniversary of the vesting of the Award (or the applicable portion thereof). To the extent a longer Covenant Period is specified in another agreement between the Participant and Ashland or its Affiliates, the provisions of this Section 19 shall be extended to apply to such longer period.</w:t>
      </w:r>
    </w:p>
    <w:p>
      <w:pPr>
        <w:spacing w:after="0" w:line="15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20.</w:t>
      </w:r>
      <w:r>
        <w:rPr>
          <w:rFonts w:ascii="Times New Roman" w:cs="Times New Roman" w:eastAsia="Times New Roman" w:hAnsi="Times New Roman"/>
          <w:sz w:val="19"/>
          <w:szCs w:val="19"/>
          <w:b w:val="1"/>
          <w:bCs w:val="1"/>
          <w:color w:val="auto"/>
        </w:rPr>
        <w:t>Acceptance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Award of Units is subject to and expressly conditioned upon the Participant’s online acceptance of the terms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and conditions of the Plan, this Agreement, and the Award through the Fidelity website. The right to the Units shall expire if not accepted by #Accept By#.</w:t>
      </w:r>
    </w:p>
    <w:p>
      <w:pPr>
        <w:spacing w:after="0" w:line="144" w:lineRule="exact"/>
        <w:rPr>
          <w:sz w:val="20"/>
          <w:szCs w:val="20"/>
          <w:color w:val="auto"/>
        </w:rPr>
      </w:pPr>
    </w:p>
    <w:p>
      <w:pPr>
        <w:ind w:left="700"/>
        <w:spacing w:after="0" w:line="257" w:lineRule="auto"/>
        <w:rPr>
          <w:sz w:val="20"/>
          <w:szCs w:val="20"/>
          <w:color w:val="auto"/>
        </w:rPr>
      </w:pPr>
      <w:r>
        <w:rPr>
          <w:rFonts w:ascii="Times New Roman" w:cs="Times New Roman" w:eastAsia="Times New Roman" w:hAnsi="Times New Roman"/>
          <w:sz w:val="19"/>
          <w:szCs w:val="19"/>
          <w:color w:val="auto"/>
        </w:rPr>
        <w:t>By accepting the terms and conditions of this Agreement, the Participant acknowledges that the Participant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157" w:lineRule="exact"/>
        <w:rPr>
          <w:sz w:val="20"/>
          <w:szCs w:val="20"/>
          <w:color w:val="auto"/>
        </w:rPr>
      </w:pPr>
    </w:p>
    <w:p>
      <w:pPr>
        <w:ind w:left="360" w:right="180"/>
        <w:spacing w:after="0" w:line="286" w:lineRule="auto"/>
        <w:rPr>
          <w:sz w:val="20"/>
          <w:szCs w:val="20"/>
          <w:color w:val="auto"/>
        </w:rPr>
      </w:pPr>
      <w:r>
        <w:rPr>
          <w:rFonts w:ascii="Times New Roman" w:cs="Times New Roman" w:eastAsia="Times New Roman" w:hAnsi="Times New Roman"/>
          <w:sz w:val="19"/>
          <w:szCs w:val="19"/>
          <w:color w:val="auto"/>
        </w:rPr>
        <w:t>IN WITNESS WHEREOF, Ashland Inc. has caused this instrument to be executed and delivered effective as of the Grant Date set forth above.</w:t>
      </w:r>
    </w:p>
    <w:p>
      <w:pPr>
        <w:spacing w:after="0" w:line="1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Ashland Inc.</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436245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9" w:name="page170"/>
    <w:bookmarkEnd w:id="169"/>
    <w:p>
      <w:pPr>
        <w:spacing w:after="0" w:line="26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Eileen Drury</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Senior Vice President and</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Chief Human Resources Officer</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#Signature#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#ParticipantName#</w:t>
      </w:r>
      <w:r>
        <w:rPr>
          <w:rFonts w:ascii="Arial" w:cs="Arial" w:eastAsia="Arial" w:hAnsi="Arial"/>
          <w:sz w:val="19"/>
          <w:szCs w:val="19"/>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#AcceptanceDate#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414655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0" w:name="page171"/>
    <w:bookmarkEnd w:id="170"/>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Appendix</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Fiscal Years 2026 – 2028</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Goals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November 2025</w:t>
      </w:r>
    </w:p>
    <w:p>
      <w:pPr>
        <w:spacing w:after="0" w:line="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w:t>
      </w:r>
    </w:p>
    <w:p>
      <w:pPr>
        <w:spacing w:after="0" w:line="206"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9"/>
          <w:szCs w:val="19"/>
          <w:color w:val="auto"/>
        </w:rPr>
        <w:t>As a key leader for Ashland and its Affiliates, you have been granted Performance Units under the Plan. The objective of the Performance Units grant is to drive and reward sustainable performance and long-term success, provide a link with shareholder value creation, maintain meaningful focus on overall corporate results and provide a retention vehicle for our key leaders.</w:t>
      </w:r>
    </w:p>
    <w:p>
      <w:pPr>
        <w:spacing w:after="0" w:line="1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color w:val="auto"/>
        </w:rPr>
        <w:t>Your Units will be earned if certain Performance Goals (as described below) adopted by the Compensation Committee of the Board of Directors of Ashland (the “Committee”) are met during the performance period beginning October 1, 2025 and ending September 30, 2028 (the “Performance Period”) and you remain in Continuous Service with Ashland or any of its Affiliates through the Vesting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measure performance, we will use three metrics: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•Return on Net Assets (“RONA”), Earnings Per Share (“EPS”), and Relative Total Shareholder Return (“RTSR).</w:t>
      </w:r>
    </w:p>
    <w:p>
      <w:pPr>
        <w:spacing w:after="0" w:line="1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9"/>
          <w:szCs w:val="19"/>
          <w:color w:val="auto"/>
        </w:rPr>
        <w:t>oRONA is defined as Net Operating Profit After Tax (“NOPAT”) divided by (Current Assets – Cash – (Current Liabilities</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 Short Term Debt) + PP&amp;E).</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oEarnings Per Share(EPS) is defined as Adjusted Earnings Per Share less Amortization</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oRelative Total Shareholder Return (RTSR) is defined as Ashland share performance versus the S&amp;P400.</w:t>
      </w:r>
    </w:p>
    <w:p>
      <w:pPr>
        <w:sectPr>
          <w:pgSz w:w="11900" w:h="16840" w:orient="portrait"/>
          <w:cols w:equalWidth="0" w:num="1">
            <w:col w:w="10560"/>
          </w:cols>
          <w:pgMar w:left="660" w:top="1440" w:right="680" w:bottom="1440" w:gutter="0" w:footer="0" w:header="0"/>
        </w:sectPr>
      </w:pPr>
    </w:p>
    <w:p>
      <w:pPr>
        <w:spacing w:after="0" w:line="238" w:lineRule="exact"/>
        <w:rPr>
          <w:sz w:val="20"/>
          <w:szCs w:val="20"/>
          <w:color w:val="auto"/>
        </w:rPr>
      </w:pPr>
    </w:p>
    <w:p>
      <w:pPr>
        <w:ind w:left="100"/>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twenty percent (20%) </w:t>
      </w:r>
      <w:r>
        <w:rPr>
          <w:rFonts w:ascii="Times New Roman" w:cs="Times New Roman" w:eastAsia="Times New Roman" w:hAnsi="Times New Roman"/>
          <w:sz w:val="19"/>
          <w:szCs w:val="19"/>
          <w:color w:val="auto"/>
        </w:rPr>
        <w:t>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Performance Units will be earned based on the three-year </w:t>
      </w:r>
      <w:r>
        <w:rPr>
          <w:rFonts w:ascii="Times New Roman" w:cs="Times New Roman" w:eastAsia="Times New Roman" w:hAnsi="Times New Roman"/>
          <w:sz w:val="19"/>
          <w:szCs w:val="19"/>
          <w:b w:val="1"/>
          <w:bCs w:val="1"/>
          <w:color w:val="auto"/>
        </w:rPr>
        <w:t>average RONA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performance </w:t>
      </w:r>
      <w:r>
        <w:rPr>
          <w:rFonts w:ascii="Times New Roman" w:cs="Times New Roman" w:eastAsia="Times New Roman" w:hAnsi="Times New Roman"/>
          <w:sz w:val="19"/>
          <w:szCs w:val="19"/>
          <w:color w:val="auto"/>
        </w:rPr>
        <w:t>calculated at the end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fiscal year during the Performance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twenty percent (20%) </w:t>
      </w:r>
      <w:r>
        <w:rPr>
          <w:rFonts w:ascii="Times New Roman" w:cs="Times New Roman" w:eastAsia="Times New Roman" w:hAnsi="Times New Roman"/>
          <w:sz w:val="19"/>
          <w:szCs w:val="19"/>
          <w:color w:val="auto"/>
        </w:rPr>
        <w:t>of the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Units will be earned based on </w:t>
      </w:r>
      <w:r>
        <w:rPr>
          <w:rFonts w:ascii="Times New Roman" w:cs="Times New Roman" w:eastAsia="Times New Roman" w:hAnsi="Times New Roman"/>
          <w:sz w:val="19"/>
          <w:szCs w:val="19"/>
          <w:b w:val="1"/>
          <w:bCs w:val="1"/>
          <w:color w:val="auto"/>
        </w:rPr>
        <w:t>three-year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average adjusted EPS less amortization </w:t>
      </w:r>
      <w:r>
        <w:rPr>
          <w:rFonts w:ascii="Times New Roman" w:cs="Times New Roman" w:eastAsia="Times New Roman" w:hAnsi="Times New Roman"/>
          <w:sz w:val="19"/>
          <w:szCs w:val="19"/>
          <w:color w:val="auto"/>
        </w:rPr>
        <w:t>as calculated using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closing price at the end of each fiscal year during the Performance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sixty percent (60%) </w:t>
      </w:r>
      <w:r>
        <w:rPr>
          <w:rFonts w:ascii="Times New Roman" w:cs="Times New Roman" w:eastAsia="Times New Roman" w:hAnsi="Times New Roman"/>
          <w:sz w:val="19"/>
          <w:szCs w:val="19"/>
          <w:color w:val="auto"/>
        </w:rPr>
        <w:t>of the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Units will be earned based on Ashland </w:t>
      </w:r>
      <w:r>
        <w:rPr>
          <w:rFonts w:ascii="Times New Roman" w:cs="Times New Roman" w:eastAsia="Times New Roman" w:hAnsi="Times New Roman"/>
          <w:sz w:val="19"/>
          <w:szCs w:val="19"/>
          <w:b w:val="1"/>
          <w:bCs w:val="1"/>
          <w:color w:val="auto"/>
        </w:rPr>
        <w:t>TSR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performance </w:t>
      </w:r>
      <w:r>
        <w:rPr>
          <w:rFonts w:ascii="Times New Roman" w:cs="Times New Roman" w:eastAsia="Times New Roman" w:hAnsi="Times New Roman"/>
          <w:sz w:val="19"/>
          <w:szCs w:val="19"/>
          <w:color w:val="auto"/>
        </w:rPr>
        <w:t>versus the S&amp;P400 calculated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using 20-day average closing price at beginning and at the end of the Performance Period.</w:t>
      </w:r>
    </w:p>
    <w:p>
      <w:pPr>
        <w:spacing w:after="0" w:line="200" w:lineRule="exact"/>
        <w:rPr>
          <w:sz w:val="20"/>
          <w:szCs w:val="20"/>
          <w:color w:val="auto"/>
        </w:rPr>
      </w:pPr>
    </w:p>
    <w:p>
      <w:pPr>
        <w:sectPr>
          <w:pgSz w:w="11900" w:h="16840" w:orient="portrait"/>
          <w:cols w:equalWidth="0" w:num="3">
            <w:col w:w="3160" w:space="320"/>
            <w:col w:w="3300" w:space="260"/>
            <w:col w:w="3520"/>
          </w:cols>
          <w:pgMar w:left="660" w:top="1440" w:right="6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231"/>
        </w:trPr>
        <w:tc>
          <w:tcPr>
            <w:tcW w:w="1680" w:type="dxa"/>
            <w:vAlign w:val="bottom"/>
          </w:tcPr>
          <w:p>
            <w:pPr>
              <w:spacing w:after="0"/>
              <w:rPr>
                <w:sz w:val="20"/>
                <w:szCs w:val="20"/>
                <w:color w:val="auto"/>
              </w:rPr>
            </w:pPr>
          </w:p>
        </w:tc>
        <w:tc>
          <w:tcPr>
            <w:tcW w:w="19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rPr>
              <w:t>RONA results on</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EPS 3-yr avg</w:t>
            </w:r>
          </w:p>
        </w:tc>
        <w:tc>
          <w:tcPr>
            <w:tcW w:w="1580" w:type="dxa"/>
            <w:vAlign w:val="bottom"/>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w w:val="99"/>
              </w:rPr>
              <w:t>% of Award</w:t>
            </w:r>
          </w:p>
        </w:tc>
        <w:tc>
          <w:tcPr>
            <w:tcW w:w="2300" w:type="dxa"/>
            <w:vAlign w:val="bottom"/>
          </w:tcPr>
          <w:p>
            <w:pPr>
              <w:ind w:left="320"/>
              <w:spacing w:after="0"/>
              <w:rPr>
                <w:sz w:val="20"/>
                <w:szCs w:val="20"/>
                <w:color w:val="auto"/>
              </w:rPr>
            </w:pPr>
            <w:r>
              <w:rPr>
                <w:rFonts w:ascii="Times New Roman" w:cs="Times New Roman" w:eastAsia="Times New Roman" w:hAnsi="Times New Roman"/>
                <w:sz w:val="19"/>
                <w:szCs w:val="19"/>
                <w:b w:val="1"/>
                <w:bCs w:val="1"/>
                <w:color w:val="auto"/>
              </w:rPr>
              <w:t>TSR performance</w:t>
            </w:r>
          </w:p>
        </w:tc>
        <w:tc>
          <w:tcPr>
            <w:tcW w:w="1300" w:type="dxa"/>
            <w:vAlign w:val="bottom"/>
          </w:tcPr>
          <w:p>
            <w:pPr>
              <w:jc w:val="center"/>
              <w:ind w:left="184"/>
              <w:spacing w:after="0"/>
              <w:rPr>
                <w:sz w:val="20"/>
                <w:szCs w:val="20"/>
                <w:color w:val="auto"/>
              </w:rPr>
            </w:pPr>
            <w:r>
              <w:rPr>
                <w:rFonts w:ascii="Times New Roman" w:cs="Times New Roman" w:eastAsia="Times New Roman" w:hAnsi="Times New Roman"/>
                <w:sz w:val="19"/>
                <w:szCs w:val="19"/>
                <w:b w:val="1"/>
                <w:bCs w:val="1"/>
                <w:color w:val="auto"/>
              </w:rPr>
              <w:t>% of Award</w:t>
            </w:r>
          </w:p>
        </w:tc>
      </w:tr>
      <w:tr>
        <w:trPr>
          <w:trHeight w:val="335"/>
        </w:trPr>
        <w:tc>
          <w:tcPr>
            <w:tcW w:w="1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Performance</w:t>
            </w:r>
          </w:p>
        </w:tc>
        <w:tc>
          <w:tcPr>
            <w:tcW w:w="1960" w:type="dxa"/>
            <w:vAlign w:val="bottom"/>
          </w:tcPr>
          <w:p>
            <w:pPr>
              <w:jc w:val="center"/>
              <w:ind w:left="104"/>
              <w:spacing w:after="0"/>
              <w:rPr>
                <w:sz w:val="20"/>
                <w:szCs w:val="20"/>
                <w:color w:val="auto"/>
              </w:rPr>
            </w:pPr>
            <w:r>
              <w:rPr>
                <w:rFonts w:ascii="Times New Roman" w:cs="Times New Roman" w:eastAsia="Times New Roman" w:hAnsi="Times New Roman"/>
                <w:sz w:val="19"/>
                <w:szCs w:val="19"/>
                <w:b w:val="1"/>
                <w:bCs w:val="1"/>
                <w:color w:val="auto"/>
              </w:rPr>
              <w:t>Sept 30, 2028</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results</w:t>
            </w:r>
          </w:p>
        </w:tc>
        <w:tc>
          <w:tcPr>
            <w:tcW w:w="1580" w:type="dxa"/>
            <w:vAlign w:val="bottom"/>
          </w:tcPr>
          <w:p>
            <w:pPr>
              <w:jc w:val="center"/>
              <w:ind w:right="24"/>
              <w:spacing w:after="0"/>
              <w:rPr>
                <w:sz w:val="20"/>
                <w:szCs w:val="20"/>
                <w:color w:val="auto"/>
              </w:rPr>
            </w:pPr>
            <w:r>
              <w:rPr>
                <w:rFonts w:ascii="Times New Roman" w:cs="Times New Roman" w:eastAsia="Times New Roman" w:hAnsi="Times New Roman"/>
                <w:sz w:val="19"/>
                <w:szCs w:val="19"/>
                <w:b w:val="1"/>
                <w:bCs w:val="1"/>
                <w:color w:val="auto"/>
                <w:w w:val="96"/>
              </w:rPr>
              <w:t xml:space="preserve">Earned </w:t>
            </w:r>
            <w:r>
              <w:rPr>
                <w:rFonts w:ascii="Times New Roman" w:cs="Times New Roman" w:eastAsia="Times New Roman" w:hAnsi="Times New Roman"/>
                <w:sz w:val="26"/>
                <w:szCs w:val="26"/>
                <w:b w:val="1"/>
                <w:bCs w:val="1"/>
                <w:color w:val="auto"/>
                <w:w w:val="96"/>
                <w:vertAlign w:val="superscript"/>
              </w:rPr>
              <w:t>(1)</w:t>
            </w:r>
          </w:p>
        </w:tc>
        <w:tc>
          <w:tcPr>
            <w:tcW w:w="2300" w:type="dxa"/>
            <w:vAlign w:val="bottom"/>
          </w:tcPr>
          <w:p>
            <w:pPr>
              <w:ind w:left="320"/>
              <w:spacing w:after="0"/>
              <w:rPr>
                <w:sz w:val="20"/>
                <w:szCs w:val="20"/>
                <w:color w:val="auto"/>
              </w:rPr>
            </w:pPr>
            <w:r>
              <w:rPr>
                <w:rFonts w:ascii="Times New Roman" w:cs="Times New Roman" w:eastAsia="Times New Roman" w:hAnsi="Times New Roman"/>
                <w:sz w:val="19"/>
                <w:szCs w:val="19"/>
                <w:b w:val="1"/>
                <w:bCs w:val="1"/>
                <w:color w:val="auto"/>
              </w:rPr>
              <w:t>relative to S&amp;P400</w:t>
            </w:r>
            <w:r>
              <w:rPr>
                <w:rFonts w:ascii="Times New Roman" w:cs="Times New Roman" w:eastAsia="Times New Roman" w:hAnsi="Times New Roman"/>
                <w:sz w:val="26"/>
                <w:szCs w:val="26"/>
                <w:b w:val="1"/>
                <w:bCs w:val="1"/>
                <w:color w:val="auto"/>
                <w:vertAlign w:val="superscript"/>
              </w:rPr>
              <w:t>(2)</w:t>
            </w:r>
          </w:p>
        </w:tc>
        <w:tc>
          <w:tcPr>
            <w:tcW w:w="1300" w:type="dxa"/>
            <w:vAlign w:val="bottom"/>
          </w:tcPr>
          <w:p>
            <w:pPr>
              <w:jc w:val="center"/>
              <w:ind w:left="184"/>
              <w:spacing w:after="0"/>
              <w:rPr>
                <w:sz w:val="20"/>
                <w:szCs w:val="20"/>
                <w:color w:val="auto"/>
              </w:rPr>
            </w:pPr>
            <w:r>
              <w:rPr>
                <w:rFonts w:ascii="Times New Roman" w:cs="Times New Roman" w:eastAsia="Times New Roman" w:hAnsi="Times New Roman"/>
                <w:sz w:val="19"/>
                <w:szCs w:val="19"/>
                <w:b w:val="1"/>
                <w:bCs w:val="1"/>
                <w:color w:val="auto"/>
                <w:w w:val="96"/>
              </w:rPr>
              <w:t xml:space="preserve">Earned </w:t>
            </w:r>
            <w:r>
              <w:rPr>
                <w:rFonts w:ascii="Times New Roman" w:cs="Times New Roman" w:eastAsia="Times New Roman" w:hAnsi="Times New Roman"/>
                <w:sz w:val="26"/>
                <w:szCs w:val="26"/>
                <w:b w:val="1"/>
                <w:bCs w:val="1"/>
                <w:color w:val="auto"/>
                <w:w w:val="96"/>
                <w:vertAlign w:val="superscript"/>
              </w:rPr>
              <w:t>(1)</w:t>
            </w:r>
          </w:p>
        </w:tc>
      </w:tr>
      <w:tr>
        <w:trPr>
          <w:trHeight w:val="275"/>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Below Threshold</w:t>
            </w:r>
          </w:p>
        </w:tc>
        <w:tc>
          <w:tcPr>
            <w:tcW w:w="196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58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4"/>
              </w:rPr>
              <w:t>0%</w:t>
            </w:r>
          </w:p>
        </w:tc>
        <w:tc>
          <w:tcPr>
            <w:tcW w:w="23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center"/>
              <w:ind w:left="184"/>
              <w:spacing w:after="0"/>
              <w:rPr>
                <w:sz w:val="20"/>
                <w:szCs w:val="20"/>
                <w:color w:val="auto"/>
              </w:rPr>
            </w:pPr>
            <w:r>
              <w:rPr>
                <w:rFonts w:ascii="Times New Roman" w:cs="Times New Roman" w:eastAsia="Times New Roman" w:hAnsi="Times New Roman"/>
                <w:sz w:val="19"/>
                <w:szCs w:val="19"/>
                <w:color w:val="auto"/>
              </w:rPr>
              <w:t>0%</w:t>
            </w: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Threshold</w:t>
            </w:r>
          </w:p>
        </w:tc>
        <w:tc>
          <w:tcPr>
            <w:tcW w:w="196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58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rPr>
              <w:t>50%</w:t>
            </w:r>
          </w:p>
        </w:tc>
        <w:tc>
          <w:tcPr>
            <w:tcW w:w="23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center"/>
              <w:ind w:left="184"/>
              <w:spacing w:after="0"/>
              <w:rPr>
                <w:sz w:val="20"/>
                <w:szCs w:val="20"/>
                <w:color w:val="auto"/>
              </w:rPr>
            </w:pPr>
            <w:r>
              <w:rPr>
                <w:rFonts w:ascii="Times New Roman" w:cs="Times New Roman" w:eastAsia="Times New Roman" w:hAnsi="Times New Roman"/>
                <w:sz w:val="19"/>
                <w:szCs w:val="19"/>
                <w:color w:val="auto"/>
                <w:w w:val="97"/>
              </w:rPr>
              <w:t>50%</w:t>
            </w:r>
          </w:p>
        </w:tc>
      </w:tr>
      <w:tr>
        <w:trPr>
          <w:trHeight w:val="241"/>
        </w:trPr>
        <w:tc>
          <w:tcPr>
            <w:tcW w:w="1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Target</w:t>
            </w:r>
          </w:p>
        </w:tc>
        <w:tc>
          <w:tcPr>
            <w:tcW w:w="196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580" w:type="dxa"/>
            <w:vAlign w:val="bottom"/>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100%</w:t>
            </w:r>
          </w:p>
        </w:tc>
        <w:tc>
          <w:tcPr>
            <w:tcW w:w="23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center"/>
              <w:ind w:left="164"/>
              <w:spacing w:after="0"/>
              <w:rPr>
                <w:sz w:val="20"/>
                <w:szCs w:val="20"/>
                <w:color w:val="auto"/>
              </w:rPr>
            </w:pPr>
            <w:r>
              <w:rPr>
                <w:rFonts w:ascii="Times New Roman" w:cs="Times New Roman" w:eastAsia="Times New Roman" w:hAnsi="Times New Roman"/>
                <w:sz w:val="19"/>
                <w:szCs w:val="19"/>
                <w:b w:val="1"/>
                <w:bCs w:val="1"/>
                <w:color w:val="auto"/>
              </w:rPr>
              <w:t>100%</w:t>
            </w:r>
          </w:p>
        </w:tc>
      </w:tr>
      <w:tr>
        <w:trPr>
          <w:trHeight w:val="251"/>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Maximum</w:t>
            </w:r>
          </w:p>
        </w:tc>
        <w:tc>
          <w:tcPr>
            <w:tcW w:w="196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w w:val="9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58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9"/>
              </w:rPr>
              <w:t>200%</w:t>
            </w:r>
          </w:p>
        </w:tc>
        <w:tc>
          <w:tcPr>
            <w:tcW w:w="23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center"/>
              <w:ind w:left="184"/>
              <w:spacing w:after="0"/>
              <w:rPr>
                <w:sz w:val="20"/>
                <w:szCs w:val="20"/>
                <w:color w:val="auto"/>
              </w:rPr>
            </w:pPr>
            <w:r>
              <w:rPr>
                <w:rFonts w:ascii="Times New Roman" w:cs="Times New Roman" w:eastAsia="Times New Roman" w:hAnsi="Times New Roman"/>
                <w:sz w:val="19"/>
                <w:szCs w:val="19"/>
                <w:color w:val="auto"/>
              </w:rPr>
              <w:t>200%</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414655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71" w:name="page172"/>
    <w:bookmarkEnd w:id="171"/>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Awards between levels will be paid linearly straight line between points.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Payout is capped at 100% if overall performance is negative.</w:t>
      </w:r>
    </w:p>
    <w:p>
      <w:pPr>
        <w:spacing w:after="0" w:line="35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color w:val="auto"/>
        </w:rPr>
        <w:t>The Committee shall have the discretion to later revise the Performance Goals and the amount to be paid out upon the attainment of the Performance Goals for any reason including the reflection of transfers or other changes in a Participant's employment, so long as such changes are consistent with the Performance Goals established for other participants in the same or similar positions.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414655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2861945</wp:posOffset>
            </wp:positionH>
            <wp:positionV relativeFrom="page">
              <wp:posOffset>727710</wp:posOffset>
            </wp:positionV>
            <wp:extent cx="1829435" cy="6172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1829435" cy="6172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EXHIBIT 10.68</w:t>
      </w:r>
    </w:p>
    <w:p>
      <w:pPr>
        <w:spacing w:after="0" w:line="2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CASH-SETTLED PERFORMANCE UNIT AGREEMENT</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FOR NON-U.S. PARTICIPANTS</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Ashland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2021 Omnibus Incentive Compensation Plan</w:t>
      </w:r>
    </w:p>
    <w:p>
      <w:pPr>
        <w:sectPr>
          <w:pgSz w:w="11900" w:h="16840" w:orient="portrait"/>
          <w:cols w:equalWidth="0" w:num="1">
            <w:col w:w="10620"/>
          </w:cols>
          <w:pgMar w:left="660" w:top="1440" w:right="62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#ParticipantName#</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Performance Units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#QuantityGranted#</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Times New Roman" w:cs="Times New Roman" w:eastAsia="Times New Roman" w:hAnsi="Times New Roman"/>
          <w:sz w:val="17"/>
          <w:szCs w:val="17"/>
          <w:color w:val="auto"/>
        </w:rPr>
        <w:t>#GrantDate#</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October 1, 2025 to September 30, 2028</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Vesting Date:</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Times New Roman" w:cs="Times New Roman" w:eastAsia="Times New Roman" w:hAnsi="Times New Roman"/>
          <w:sz w:val="17"/>
          <w:szCs w:val="17"/>
          <w:color w:val="auto"/>
        </w:rPr>
        <w:t>#CliffVest#</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Performance Goals: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7"/>
          <w:szCs w:val="17"/>
          <w:color w:val="auto"/>
        </w:rPr>
        <w:t>(see appendix)</w:t>
      </w:r>
    </w:p>
    <w:p>
      <w:pPr>
        <w:spacing w:after="0" w:line="113"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Signature Required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#Accept By#</w:t>
      </w:r>
    </w:p>
    <w:p>
      <w:pPr>
        <w:spacing w:after="0" w:line="200" w:lineRule="exact"/>
        <w:rPr>
          <w:sz w:val="20"/>
          <w:szCs w:val="20"/>
          <w:color w:val="auto"/>
        </w:rPr>
      </w:pPr>
    </w:p>
    <w:p>
      <w:pPr>
        <w:sectPr>
          <w:pgSz w:w="11900" w:h="16840" w:orient="portrait"/>
          <w:cols w:equalWidth="0" w:num="2">
            <w:col w:w="4800" w:space="720"/>
            <w:col w:w="5100"/>
          </w:cols>
          <w:pgMar w:left="660" w:top="1440" w:right="620" w:bottom="1440" w:gutter="0" w:footer="0" w:header="0"/>
          <w:type w:val="continuous"/>
        </w:sectPr>
      </w:pPr>
    </w:p>
    <w:p>
      <w:pPr>
        <w:spacing w:after="0" w:line="2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Grant</w:t>
      </w:r>
      <w:r>
        <w:rPr>
          <w:rFonts w:ascii="Times New Roman" w:cs="Times New Roman" w:eastAsia="Times New Roman" w:hAnsi="Times New Roman"/>
          <w:sz w:val="19"/>
          <w:szCs w:val="19"/>
          <w:color w:val="auto"/>
        </w:rPr>
        <w:t>. Ashland Inc. (“Ashland”) hereby grants to the above-named individual (the “Participant”) #QuantityGranted# Units (the “Award”) pursuant to and subject to the terms of the Ashland Inc. 2021 Omnibus Incentive Compensation Plan (the “Plan”) and this Cash-Settled Performance Unit Agreement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4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9"/>
          <w:szCs w:val="19"/>
          <w:color w:val="auto"/>
        </w:rPr>
        <w:t>. Each Unit represents a contingent right of the Participant to receive a cash payment at vesting in Participant’s local currency (based upon the exchange rate used by Ashland, or Ashland's stock administrator, on the date of the transaction) equal to the Fair Market Value of one (1) Share (the “Per Unit Value”) on the vesting date set forth above (such date, the “Vesting Date”). The number of Units granted hereunder has been determined by dividing the total dollar value intended to be delivered to the Participant under this Award by the Fair Market Value of one (1) Share of Ashland on the Grant Date, rounded down to the nearest whole number.</w:t>
      </w:r>
    </w:p>
    <w:p>
      <w:pPr>
        <w:spacing w:after="0" w:line="149" w:lineRule="exact"/>
        <w:rPr>
          <w:sz w:val="20"/>
          <w:szCs w:val="20"/>
          <w:color w:val="auto"/>
        </w:rPr>
      </w:pPr>
    </w:p>
    <w:p>
      <w:pPr>
        <w:ind w:left="700" w:right="60"/>
        <w:spacing w:after="0" w:line="260" w:lineRule="auto"/>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b w:val="1"/>
          <w:bCs w:val="1"/>
          <w:color w:val="auto"/>
        </w:rPr>
        <w:t>Vesting</w:t>
      </w:r>
      <w:r>
        <w:rPr>
          <w:rFonts w:ascii="Times New Roman" w:cs="Times New Roman" w:eastAsia="Times New Roman" w:hAnsi="Times New Roman"/>
          <w:sz w:val="19"/>
          <w:szCs w:val="19"/>
          <w:color w:val="auto"/>
        </w:rPr>
        <w:t>. The number of Units that the Committee certifies as having been earned by the Participant as a result of actual achievement against the Performance Goals set forth in the Appendix during the Performance Period shall vest on the Vesting Date, subject to the Participant’s continuous service as an officer, employee or consultant of Ashland or any of its Affiliates (“Continuous Service”) through such Vesting Date, except as otherwise provided in this Agreement. The Committee will certify the number of Units that have been earned by the Participant within 90 days following the close of the Performance Period.</w:t>
      </w: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650240</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type w:val="continuous"/>
        </w:sectPr>
      </w:pPr>
    </w:p>
    <w:bookmarkStart w:id="173" w:name="page174"/>
    <w:bookmarkEnd w:id="173"/>
    <w:p>
      <w:pPr>
        <w:spacing w:after="0" w:line="26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color w:val="auto"/>
        </w:rPr>
        <w:t>Forfeiture.</w:t>
      </w:r>
      <w:r>
        <w:rPr>
          <w:rFonts w:ascii="Times New Roman" w:cs="Times New Roman" w:eastAsia="Times New Roman" w:hAnsi="Times New Roman"/>
          <w:sz w:val="19"/>
          <w:szCs w:val="19"/>
          <w:color w:val="auto"/>
        </w:rPr>
        <w:t xml:space="preserve"> Except as otherwise provided in this Agreement or as otherwise determined by the Committee (but subject to Section 6(i) of the Plan), if Participant’s Continuous Service ends for any reason prior to the Vesting Date, all Units granted hereunder shall be forfeited. Notwithstanding the foregoing (but subject to Section 6(i) of the Plan), the Committee may, in its sole discretion, provide for accelerated vesting of the Award or any portion thereof at any time and for any reason.</w:t>
      </w:r>
    </w:p>
    <w:p>
      <w:pPr>
        <w:spacing w:after="0" w:line="14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9"/>
          <w:szCs w:val="19"/>
          <w:b w:val="1"/>
          <w:bCs w:val="1"/>
          <w:color w:val="auto"/>
        </w:rPr>
        <w:t>Retirement</w:t>
      </w:r>
      <w:r>
        <w:rPr>
          <w:rFonts w:ascii="Times New Roman" w:cs="Times New Roman" w:eastAsia="Times New Roman" w:hAnsi="Times New Roman"/>
          <w:sz w:val="19"/>
          <w:szCs w:val="19"/>
          <w:color w:val="auto"/>
        </w:rPr>
        <w:t>. If the Participant’s Continuous Service ends due to Retirement after the fiscal year that includes the Grant Date set forth above, then all unvested Units under this Agreement shall continue to be permitted to vest, in accordance with the terms of this Agreement, into that number of Units that shall have been certified by the Committee as having been earned due to the actual achievement of the Performance Goals as measured at the end of the Performance Period. If the Participant’s Retirement occurs before the end of the fiscal year that includes the Grant Date set forth above, all unvested Units granted hereunder shall be forfeited unless such Retirement is the result of Participant’s termination without Cause (as defined below), in which case Participant’s unvested Units shall be treated in accordance with Section 7, below. For purposes of this Agreement, “Retirement” shall mean a termination of Participant’s employment for any reason other than death, Disability, or Cause (as defined below), that is a ”separation from service” within the meaning of Section 409A of the Internal Revenue Code of 1986, as amended, and the regulations and other guidance promulgated thereunder (“Section 409A”), after attaining age 55 and having at least ten (10) years of credited service, or after attaining age 60 and having at least five (5) years of credited service..</w:t>
      </w:r>
    </w:p>
    <w:p>
      <w:pPr>
        <w:spacing w:after="0" w:line="15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6.</w:t>
      </w:r>
      <w:r>
        <w:rPr>
          <w:rFonts w:ascii="Times New Roman" w:cs="Times New Roman" w:eastAsia="Times New Roman" w:hAnsi="Times New Roman"/>
          <w:sz w:val="19"/>
          <w:szCs w:val="19"/>
          <w:b w:val="1"/>
          <w:bCs w:val="1"/>
          <w:color w:val="auto"/>
        </w:rPr>
        <w:t>Death or Disability.</w:t>
      </w:r>
      <w:r>
        <w:rPr>
          <w:rFonts w:ascii="Times New Roman" w:cs="Times New Roman" w:eastAsia="Times New Roman" w:hAnsi="Times New Roman"/>
          <w:sz w:val="19"/>
          <w:szCs w:val="19"/>
          <w:color w:val="auto"/>
        </w:rPr>
        <w:t xml:space="preserve"> If the Participant’s Continuous Service ends due to death or Disability, all Units under this Award will be accelerated and will vest at 100% achievement (i.e., “target” achievement) regardless of actual achievement of any the Performance Goals, on the date of such termination due to death or Disability. The termination date coincides with the last day of active service, prior to Death or Disability. Any cash payments relating to the vesting of such Units shall be paid/delivered to the Participant as soon as administratively feasible, but in no event later than two and one half months following the calendar year in which such Units vested.</w:t>
      </w:r>
    </w:p>
    <w:p>
      <w:pPr>
        <w:spacing w:after="0" w:line="200" w:lineRule="exact"/>
        <w:rPr>
          <w:sz w:val="20"/>
          <w:szCs w:val="20"/>
          <w:color w:val="auto"/>
        </w:rPr>
      </w:pPr>
    </w:p>
    <w:p>
      <w:pPr>
        <w:spacing w:after="0" w:line="3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7.</w:t>
      </w:r>
      <w:r>
        <w:rPr>
          <w:rFonts w:ascii="Times New Roman" w:cs="Times New Roman" w:eastAsia="Times New Roman" w:hAnsi="Times New Roman"/>
          <w:sz w:val="19"/>
          <w:szCs w:val="19"/>
          <w:b w:val="1"/>
          <w:bCs w:val="1"/>
          <w:color w:val="auto"/>
        </w:rPr>
        <w:t>Termination without Cause</w:t>
      </w:r>
      <w:r>
        <w:rPr>
          <w:rFonts w:ascii="Times New Roman" w:cs="Times New Roman" w:eastAsia="Times New Roman" w:hAnsi="Times New Roman"/>
          <w:sz w:val="19"/>
          <w:szCs w:val="19"/>
          <w:color w:val="auto"/>
        </w:rPr>
        <w:t>. If the Participant is otherwise terminated by Ashland or any of its Affiliates for any reason other than death, Disability, or Cause prior to the earlier of the Vesting Date or Retirement, then the Participant shall continue to be permitted to vest, in accordance with the terms of this Agreement, into that number of Units that shall have been certified by the Committee as having been earned due to the actual achievement of the Performance Goals as measured at the end of the Performance Period, provided that the number of earned Units scheduled to vest, if any, shall be pro-rated (with such pro-ration being based on the number of days from the Grant Date through the date of such termination divided by the total number of days in the Performance Period). The number of pro-rated earned Units, if any, shall be paid/delivered to and in the name of the Participant in the form of cash as soon as administratively feasible following the Vesting Date, but in no event later than two and one half months following the calendar year in which such Units vested, provided that the Participant has delivered to the Company and has allowed to become non-revocable a fully executed separation agreement and release (to the extent that a separation agreement and release has been requested from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4" w:name="page175"/>
    <w:bookmarkEnd w:id="174"/>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Participant by the Company). For the avoidance of any doubt, if the Participant has failed to deliver and allow to become non-revocable a fully executed separation and release that has been requested from the Participant by the Company by the Outside Date, any such Units shall be forfeited.</w:t>
      </w:r>
    </w:p>
    <w:p>
      <w:pPr>
        <w:spacing w:after="0" w:line="144"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9"/>
          <w:szCs w:val="19"/>
          <w:color w:val="auto"/>
        </w:rPr>
        <w:t>For purposes of this Agreement only, the term “Cause” shall mean (i) if the Participant has an employment agreement with the Company in which the term “Cause” is defined, the meaning which is provided for such term in such agreement, or (ii) otherwise, (x) the willful and continued failure of the Participant to substantially perform his or her duties with the Company (other than such failure resulting from the such individual’s incapacity due to physical or mental illness, death, or disability), (y) any act by the Participant that would constitute a felony under the laws of the United States (or an act that would be treated substantially similarly to a felony under the laws of a jurisdiction other than the United States), or (z) any act or omission by such individual which reasonably constitutes dishonesty, disloyalty, fraud, deceit, gross negligence, willful misconduct or recklessness during the course of his or her duties, including, but not limited to the willful violation of the Company’s by-laws, Global Code of Conduct, or other policies and procedures of the Company’s governing the Participant’s conduct.</w:t>
      </w:r>
    </w:p>
    <w:p>
      <w:pPr>
        <w:spacing w:after="0" w:line="153"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9"/>
          <w:szCs w:val="19"/>
          <w:color w:val="auto"/>
        </w:rPr>
        <w:t>8.</w:t>
      </w:r>
      <w:r>
        <w:rPr>
          <w:rFonts w:ascii="Times New Roman" w:cs="Times New Roman" w:eastAsia="Times New Roman" w:hAnsi="Times New Roman"/>
          <w:sz w:val="19"/>
          <w:szCs w:val="19"/>
          <w:b w:val="1"/>
          <w:bCs w:val="1"/>
          <w:color w:val="auto"/>
        </w:rPr>
        <w:t>Settlement</w:t>
      </w:r>
      <w:r>
        <w:rPr>
          <w:rFonts w:ascii="Times New Roman" w:cs="Times New Roman" w:eastAsia="Times New Roman" w:hAnsi="Times New Roman"/>
          <w:sz w:val="19"/>
          <w:szCs w:val="19"/>
          <w:color w:val="auto"/>
        </w:rPr>
        <w:t>. As soon as administratively practicable following the Vesting Date, the Participant shall receive an aggregate cash payment equal to the Per Unit Value as of the Vesting Date multiplied by the number of Units that have been earned due achievement against the Performance Goals. Such amounts shall be paid in local currency (based upon Ashland’s applicable, then-current internal foreign exchange conversion rates) less any applicable withholdings as may be required under Section 9 below.</w:t>
      </w:r>
    </w:p>
    <w:p>
      <w:pPr>
        <w:spacing w:after="0" w:line="149"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9"/>
          <w:szCs w:val="19"/>
          <w:color w:val="auto"/>
        </w:rPr>
        <w:t>As a condition to the grant of the Award, the Participant agrees to repatriate all payments made in respect of the vesting of earned Units and any other amounts acquired under the Plan (to the extent such amounts are not paid locally) in accordance with local foreign exchange rules and regulations in the Participant’s country of residence (and country of employment, if different) . In addition, the Participant agrees to take any and all actions, and consents to any and all actions taken by Ashland or any of its Affiliates, as may be required to allow Ashland or any of its Affiliates to comply with local laws, rules and regulations in the Participant’s country of residence (and country of employment, if different). Finally, the Participant agrees to take any and all actions as may be required to satisfy the Participant’s personal legal and tax obligations under local laws, rules and regulations in the Participant’s country of residence (and country of employment, if different).</w:t>
      </w:r>
    </w:p>
    <w:p>
      <w:pPr>
        <w:spacing w:after="0" w:line="15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b w:val="1"/>
          <w:bCs w:val="1"/>
          <w:color w:val="auto"/>
        </w:rPr>
        <w:t>Responsibility for Taxes</w:t>
      </w:r>
      <w:r>
        <w:rPr>
          <w:rFonts w:ascii="Times New Roman" w:cs="Times New Roman" w:eastAsia="Times New Roman" w:hAnsi="Times New Roman"/>
          <w:sz w:val="19"/>
          <w:szCs w:val="19"/>
          <w:color w:val="auto"/>
        </w:rPr>
        <w:t>. Regardless of any action Ashland or any of its Affiliates takes with respect to any or all income tax, social insurance, payroll tax, payment on account or other tax-related items related to the Award (“Tax- Related Items”), the Participant acknowledges that the ultimate liability for all Tax-Related Items legally owed by the Participant are and remain the Participant’s responsibility and neither Ashland nor any of its Affiliates: (a) make any representations or undertakings regarding the treatment of any Tax-Related Items in connection with any aspect of the Award, including the grant of the Units, the vesting of the Units and any payments in settlement of any vested Units, and (b) commit to structure the terms of the grant or any aspect of the Units to reduce or eliminate the Participant’s liability for Tax-Related Items.</w:t>
      </w:r>
    </w:p>
    <w:p>
      <w:pPr>
        <w:spacing w:after="0" w:line="159" w:lineRule="exact"/>
        <w:rPr>
          <w:sz w:val="20"/>
          <w:szCs w:val="20"/>
          <w:color w:val="auto"/>
        </w:rPr>
      </w:pPr>
    </w:p>
    <w:p>
      <w:pPr>
        <w:ind w:left="700" w:right="180"/>
        <w:spacing w:after="0" w:line="286" w:lineRule="auto"/>
        <w:rPr>
          <w:sz w:val="20"/>
          <w:szCs w:val="20"/>
          <w:color w:val="auto"/>
        </w:rPr>
      </w:pPr>
      <w:r>
        <w:rPr>
          <w:rFonts w:ascii="Times New Roman" w:cs="Times New Roman" w:eastAsia="Times New Roman" w:hAnsi="Times New Roman"/>
          <w:sz w:val="19"/>
          <w:szCs w:val="19"/>
          <w:color w:val="auto"/>
        </w:rPr>
        <w:t>Prior to the delivery of any cash payment owed to the Participant upon the vesting of earned Units, if the Participant’s country of residence (and/or the country of employment, if different) requires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5" w:name="page176"/>
    <w:bookmarkEnd w:id="175"/>
    <w:p>
      <w:pPr>
        <w:spacing w:after="0" w:line="269"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9"/>
          <w:szCs w:val="19"/>
          <w:color w:val="auto"/>
        </w:rPr>
        <w:t>the withholding of Tax-Related Items, the Employer shall withhold a portion of the cash payment sufficient to satisfy such obligations. Alternatively, the Employer may satisfy such obligations by withholding such amounts from the Participant’s regular salary, wages, or any other amounts payable to the Participant, to the extent not prohibited by applicable law. If, upon the vesting of earned Units, the amount of such withholding obligations exceed the amounts available through withholding from such cash payment, or the Participant’s regular salary, wages, or other amounts payable to the Participant, then no cash payments in respect of the vested earned Units will be issued to the Participant unless and until satisfactory arrangements (as determined by the Committee in its sole discretion) have been made for the Participant to contribute funding to fully satisfy any such withholding obligations.</w:t>
      </w:r>
    </w:p>
    <w:p>
      <w:pPr>
        <w:spacing w:after="0" w:line="160" w:lineRule="exact"/>
        <w:rPr>
          <w:sz w:val="20"/>
          <w:szCs w:val="20"/>
          <w:color w:val="auto"/>
        </w:rPr>
      </w:pPr>
    </w:p>
    <w:p>
      <w:pPr>
        <w:ind w:left="700" w:right="20"/>
        <w:spacing w:after="0" w:line="257" w:lineRule="auto"/>
        <w:rPr>
          <w:sz w:val="20"/>
          <w:szCs w:val="20"/>
          <w:color w:val="auto"/>
        </w:rPr>
      </w:pPr>
      <w:r>
        <w:rPr>
          <w:rFonts w:ascii="Times New Roman" w:cs="Times New Roman" w:eastAsia="Times New Roman" w:hAnsi="Times New Roman"/>
          <w:sz w:val="19"/>
          <w:szCs w:val="19"/>
          <w:color w:val="auto"/>
        </w:rPr>
        <w:t>If the Participant relocates to another jurisdiction at any time prior to the Vesting Date for the Units, the Participant shall be responsible for notifying Ashland of such relocation and shall be responsible for compliance with all applicable tax requirements. If the Participant is subject to taxation in more than one jurisdiction, the Participant acknowledges and agrees that Ashland or any of its Affiliates may be required to withhold or account for Tax-Related Items in more than one jurisdiction. By accepting this Award, the Participant expressly and explicitly consents to the withholding methods as provided for hereunder. All other Tax-Related Items related to the Units shall be the Participant’s sole responsibility.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b w:val="1"/>
          <w:bCs w:val="1"/>
          <w:color w:val="auto"/>
        </w:rPr>
        <w:t>Acknowledgement and Waiver</w:t>
      </w:r>
      <w:r>
        <w:rPr>
          <w:rFonts w:ascii="Times New Roman" w:cs="Times New Roman" w:eastAsia="Times New Roman" w:hAnsi="Times New Roman"/>
          <w:sz w:val="19"/>
          <w:szCs w:val="19"/>
          <w:color w:val="auto"/>
        </w:rPr>
        <w:t>. By accepting this Award, the Participant acknowledges, understands and agrees that:</w:t>
      </w:r>
    </w:p>
    <w:p>
      <w:pPr>
        <w:spacing w:after="0" w:line="204" w:lineRule="exact"/>
        <w:rPr>
          <w:sz w:val="20"/>
          <w:szCs w:val="20"/>
          <w:color w:val="auto"/>
        </w:rPr>
      </w:pPr>
    </w:p>
    <w:p>
      <w:pPr>
        <w:ind w:left="700" w:right="200"/>
        <w:spacing w:after="0" w:line="286" w:lineRule="auto"/>
        <w:rPr>
          <w:sz w:val="20"/>
          <w:szCs w:val="20"/>
          <w:color w:val="auto"/>
        </w:rPr>
      </w:pPr>
      <w:r>
        <w:rPr>
          <w:rFonts w:ascii="Times New Roman" w:cs="Times New Roman" w:eastAsia="Times New Roman" w:hAnsi="Times New Roman"/>
          <w:sz w:val="19"/>
          <w:szCs w:val="19"/>
          <w:color w:val="auto"/>
        </w:rPr>
        <w:t>(a)the Plan is established voluntarily by Ashland, may be discretionary in nature or execution and may be modified, amended, suspended or terminated by Ashland at any time;</w:t>
      </w:r>
    </w:p>
    <w:p>
      <w:pPr>
        <w:spacing w:after="0" w:line="127" w:lineRule="exact"/>
        <w:rPr>
          <w:sz w:val="20"/>
          <w:szCs w:val="20"/>
          <w:color w:val="auto"/>
        </w:rPr>
      </w:pPr>
    </w:p>
    <w:p>
      <w:pPr>
        <w:ind w:left="700" w:right="60"/>
        <w:spacing w:after="0" w:line="286" w:lineRule="auto"/>
        <w:rPr>
          <w:sz w:val="20"/>
          <w:szCs w:val="20"/>
          <w:color w:val="auto"/>
        </w:rPr>
      </w:pPr>
      <w:r>
        <w:rPr>
          <w:rFonts w:ascii="Times New Roman" w:cs="Times New Roman" w:eastAsia="Times New Roman" w:hAnsi="Times New Roman"/>
          <w:sz w:val="19"/>
          <w:szCs w:val="19"/>
          <w:color w:val="auto"/>
        </w:rPr>
        <w:t>(b)the grant of Units is exceptional, voluntary and occasional and does not create any contractual or other right to receive future grants of Units, or benefits in lieu of Units, even if Units have been granted in the past;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(c)all decisions with respect to future grants, if any, will be at the sole discretion of Ashland;</w:t>
      </w:r>
    </w:p>
    <w:p>
      <w:pPr>
        <w:spacing w:after="0" w:line="202" w:lineRule="exact"/>
        <w:rPr>
          <w:sz w:val="20"/>
          <w:szCs w:val="20"/>
          <w:color w:val="auto"/>
        </w:rPr>
      </w:pPr>
    </w:p>
    <w:p>
      <w:pPr>
        <w:ind w:left="700" w:right="20"/>
        <w:spacing w:after="0" w:line="268" w:lineRule="auto"/>
        <w:rPr>
          <w:sz w:val="20"/>
          <w:szCs w:val="20"/>
          <w:color w:val="auto"/>
        </w:rPr>
      </w:pPr>
      <w:r>
        <w:rPr>
          <w:rFonts w:ascii="Times New Roman" w:cs="Times New Roman" w:eastAsia="Times New Roman" w:hAnsi="Times New Roman"/>
          <w:sz w:val="19"/>
          <w:szCs w:val="19"/>
          <w:color w:val="auto"/>
        </w:rPr>
        <w:t>(d)the Participant’s participation in the Plan shall not create a right to continued employment with Ashland or any of its Affiliates, as applicable, and shall not interfere with the ability of Ashland or any of its Affiliates, as applicable, to terminate the Participant’s employment relationship at any time as may be permitted under applicable law and/or any employment agreement;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(e)the Participant is participating voluntarily in the Plan;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(f)this Award and any resulting benefits are not intended to replace any pension rights or compensation;</w:t>
      </w:r>
    </w:p>
    <w:p>
      <w:pPr>
        <w:spacing w:after="0" w:line="202" w:lineRule="exact"/>
        <w:rPr>
          <w:sz w:val="20"/>
          <w:szCs w:val="20"/>
          <w:color w:val="auto"/>
        </w:rPr>
      </w:pPr>
    </w:p>
    <w:p>
      <w:pPr>
        <w:jc w:val="both"/>
        <w:ind w:left="700"/>
        <w:spacing w:after="0" w:line="268" w:lineRule="auto"/>
        <w:rPr>
          <w:sz w:val="20"/>
          <w:szCs w:val="20"/>
          <w:color w:val="auto"/>
        </w:rPr>
      </w:pPr>
      <w:r>
        <w:rPr>
          <w:rFonts w:ascii="Times New Roman" w:cs="Times New Roman" w:eastAsia="Times New Roman" w:hAnsi="Times New Roman"/>
          <w:sz w:val="19"/>
          <w:szCs w:val="19"/>
          <w:color w:val="auto"/>
        </w:rPr>
        <w:t>(g)this Award and any resulting benefits are not part of normal or expected compensation or salary for any purposes, including, but not limited to, calculating any severance, resignation, termination, redundancy, dismissal, end-of-service payments, bonuses, holiday pay, long-service awards, pension or retirement or welfare benefits or similar</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6" w:name="page177"/>
    <w:bookmarkEnd w:id="176"/>
    <w:p>
      <w:pPr>
        <w:spacing w:after="0" w:line="269" w:lineRule="exact"/>
        <w:rPr>
          <w:sz w:val="20"/>
          <w:szCs w:val="20"/>
          <w:color w:val="auto"/>
        </w:rPr>
      </w:pPr>
    </w:p>
    <w:p>
      <w:pPr>
        <w:ind w:left="700" w:right="440"/>
        <w:spacing w:after="0" w:line="286" w:lineRule="auto"/>
        <w:rPr>
          <w:sz w:val="20"/>
          <w:szCs w:val="20"/>
          <w:color w:val="auto"/>
        </w:rPr>
      </w:pPr>
      <w:r>
        <w:rPr>
          <w:rFonts w:ascii="Times New Roman" w:cs="Times New Roman" w:eastAsia="Times New Roman" w:hAnsi="Times New Roman"/>
          <w:sz w:val="19"/>
          <w:szCs w:val="19"/>
          <w:color w:val="auto"/>
        </w:rPr>
        <w:t>mandatory payments and in no event should be considered as compensation for, or relating in any way to, past services for Ashland, its Affiliates or the Employer;</w:t>
      </w:r>
    </w:p>
    <w:p>
      <w:pPr>
        <w:spacing w:after="0" w:line="127" w:lineRule="exact"/>
        <w:rPr>
          <w:sz w:val="20"/>
          <w:szCs w:val="20"/>
          <w:color w:val="auto"/>
        </w:rPr>
      </w:pPr>
    </w:p>
    <w:p>
      <w:pPr>
        <w:ind w:left="700" w:right="120"/>
        <w:spacing w:after="0" w:line="286" w:lineRule="auto"/>
        <w:rPr>
          <w:sz w:val="20"/>
          <w:szCs w:val="20"/>
          <w:color w:val="auto"/>
        </w:rPr>
      </w:pPr>
      <w:r>
        <w:rPr>
          <w:rFonts w:ascii="Times New Roman" w:cs="Times New Roman" w:eastAsia="Times New Roman" w:hAnsi="Times New Roman"/>
          <w:sz w:val="19"/>
          <w:szCs w:val="19"/>
          <w:color w:val="auto"/>
        </w:rPr>
        <w:t>(h)unless otherwise agreed with Ashland, the Units and any income and value relating thereto, are not granted as consideration for, or in connection with, the service the Participant may provide as a director of any Affiliate;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(i)the future value of the Shares underlying the Units is unknown, indeterminable and cannot be predicted with certainty;</w:t>
      </w:r>
    </w:p>
    <w:p>
      <w:pPr>
        <w:spacing w:after="0" w:line="202" w:lineRule="exact"/>
        <w:rPr>
          <w:sz w:val="20"/>
          <w:szCs w:val="20"/>
          <w:color w:val="auto"/>
        </w:rPr>
      </w:pPr>
    </w:p>
    <w:p>
      <w:pPr>
        <w:ind w:left="700" w:right="120"/>
        <w:spacing w:after="0" w:line="286" w:lineRule="auto"/>
        <w:rPr>
          <w:sz w:val="20"/>
          <w:szCs w:val="20"/>
          <w:color w:val="auto"/>
        </w:rPr>
      </w:pPr>
      <w:r>
        <w:rPr>
          <w:rFonts w:ascii="Times New Roman" w:cs="Times New Roman" w:eastAsia="Times New Roman" w:hAnsi="Times New Roman"/>
          <w:sz w:val="19"/>
          <w:szCs w:val="19"/>
          <w:color w:val="auto"/>
        </w:rPr>
        <w:t>(j)no claim or entitlement to compensation or damages shall arise from forfeiture of the Units resulting from termination of the Participant’s employment (for any reason whatsoever and whether or not in breach of local labor laws); and</w:t>
      </w:r>
    </w:p>
    <w:p>
      <w:pPr>
        <w:spacing w:after="0" w:line="127" w:lineRule="exact"/>
        <w:rPr>
          <w:sz w:val="20"/>
          <w:szCs w:val="20"/>
          <w:color w:val="auto"/>
        </w:rPr>
      </w:pPr>
    </w:p>
    <w:p>
      <w:pPr>
        <w:ind w:left="700" w:right="320"/>
        <w:spacing w:after="0" w:line="268" w:lineRule="auto"/>
        <w:rPr>
          <w:sz w:val="20"/>
          <w:szCs w:val="20"/>
          <w:color w:val="auto"/>
        </w:rPr>
      </w:pPr>
      <w:r>
        <w:rPr>
          <w:rFonts w:ascii="Times New Roman" w:cs="Times New Roman" w:eastAsia="Times New Roman" w:hAnsi="Times New Roman"/>
          <w:sz w:val="19"/>
          <w:szCs w:val="19"/>
          <w:color w:val="auto"/>
        </w:rPr>
        <w:t>(k)neither Ashland, its Affiliates nor the Employer, will be liable for any foreign exchange rate fluctuation between the Participant’s local currency and the United States dollar that may affect the value of the Units or any amounts payable to the Participant pursuant to the settlement of the Units.</w:t>
      </w:r>
    </w:p>
    <w:p>
      <w:pPr>
        <w:spacing w:after="0" w:line="14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b w:val="1"/>
          <w:bCs w:val="1"/>
          <w:color w:val="auto"/>
        </w:rPr>
        <w:t>Data Privacy</w:t>
      </w:r>
      <w:r>
        <w:rPr>
          <w:rFonts w:ascii="Times New Roman" w:cs="Times New Roman" w:eastAsia="Times New Roman" w:hAnsi="Times New Roman"/>
          <w:sz w:val="19"/>
          <w:szCs w:val="19"/>
          <w:color w:val="auto"/>
        </w:rPr>
        <w:t>. Ashland (or the “Company”) is located at 8145 Blazer Drive, Wilmington, DE 19808, U.S.A. and grants Units under the Plan and its ongoing administration of such awards, the Company is providing the following information about its data collection, processing and transfer practices (“Personal Data Activities”). In accepting the grant of Units, the Participant expressly and explicitly consents to the Personal Data Activities as described herein, except to the extent the following provisions are specifically modified by the Addendum to this Agreement.</w:t>
      </w:r>
    </w:p>
    <w:p>
      <w:pPr>
        <w:spacing w:after="0" w:line="151" w:lineRule="exact"/>
        <w:rPr>
          <w:sz w:val="20"/>
          <w:szCs w:val="20"/>
          <w:color w:val="auto"/>
        </w:rPr>
      </w:pPr>
    </w:p>
    <w:p>
      <w:pPr>
        <w:ind w:left="700" w:right="200"/>
        <w:spacing w:after="0" w:line="255" w:lineRule="auto"/>
        <w:rPr>
          <w:sz w:val="20"/>
          <w:szCs w:val="20"/>
          <w:color w:val="auto"/>
        </w:rPr>
      </w:pPr>
      <w:r>
        <w:rPr>
          <w:rFonts w:ascii="Times New Roman" w:cs="Times New Roman" w:eastAsia="Times New Roman" w:hAnsi="Times New Roman"/>
          <w:sz w:val="19"/>
          <w:szCs w:val="19"/>
          <w:color w:val="auto"/>
        </w:rPr>
        <w:t>(a)Data Collection, Processing and Usage. The Company processes the Participant’s personal data, including the Participant’s name, home address, email address, and telephone number, date of birth, social insurance number or other identification number, salary, citizenship, job title, any shares of stock or directorships held in the Company, and details of all Units or any other equity compensation awards granted, canceled, exercised, vested, or outstanding in the Participant’s favor, which the Company receives from the Participant or the Employer. In granting the Units under the Plan, the Company will process the Participant’s personal data for purposes of allocating the cash payment and implementing, administering, and managing the Plan. The Company’s legal basis for the collection, processing and usage of the Participant’s personal data is the Participant’s consent.</w:t>
      </w:r>
    </w:p>
    <w:p>
      <w:pPr>
        <w:spacing w:after="0" w:line="160" w:lineRule="exact"/>
        <w:rPr>
          <w:sz w:val="20"/>
          <w:szCs w:val="20"/>
          <w:color w:val="auto"/>
        </w:rPr>
      </w:pPr>
    </w:p>
    <w:p>
      <w:pPr>
        <w:ind w:left="700" w:right="40"/>
        <w:spacing w:after="0" w:line="256" w:lineRule="auto"/>
        <w:rPr>
          <w:sz w:val="20"/>
          <w:szCs w:val="20"/>
          <w:color w:val="auto"/>
        </w:rPr>
      </w:pPr>
      <w:r>
        <w:rPr>
          <w:rFonts w:ascii="Times New Roman" w:cs="Times New Roman" w:eastAsia="Times New Roman" w:hAnsi="Times New Roman"/>
          <w:sz w:val="19"/>
          <w:szCs w:val="19"/>
          <w:color w:val="auto"/>
        </w:rPr>
        <w:t>(b)Stock Plan Administration Service Provider. The Company may transfer the Participant’s personal data to Fidelity Stock Plan Services LLC, an independent service provider based in the United States, which may assist the Company with the implementation, administration, and management of the Plan (the “Stock Plan Administrator”). In the future, the Company may select a different Stock Plan Administrator and share the Participant’s personal data with another company that serves in a similar manner. The Stock Plan Administrator may open an account for the Participant to receive any cash payment acquired under the Plan. The Participant will be asked to agree on separate terms and data processing practices with the Stock Plan Administrator, which is a condition to the Participant’s ability to participate in the Plan.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7" w:name="page178"/>
    <w:bookmarkEnd w:id="177"/>
    <w:p>
      <w:pPr>
        <w:spacing w:after="0" w:line="269" w:lineRule="exact"/>
        <w:rPr>
          <w:sz w:val="20"/>
          <w:szCs w:val="20"/>
          <w:color w:val="auto"/>
        </w:rPr>
      </w:pPr>
    </w:p>
    <w:p>
      <w:pPr>
        <w:ind w:left="700" w:right="60"/>
        <w:spacing w:after="0" w:line="262" w:lineRule="auto"/>
        <w:rPr>
          <w:sz w:val="20"/>
          <w:szCs w:val="20"/>
          <w:color w:val="auto"/>
        </w:rPr>
      </w:pPr>
      <w:r>
        <w:rPr>
          <w:rFonts w:ascii="Times New Roman" w:cs="Times New Roman" w:eastAsia="Times New Roman" w:hAnsi="Times New Roman"/>
          <w:sz w:val="19"/>
          <w:szCs w:val="19"/>
          <w:color w:val="auto"/>
        </w:rPr>
        <w:t>(c)International Data Transfers. The Company and the Stock Plan Administrator are based in the United States. The Participant should note that the Participant’s country of residence may have enacted data privacy laws that are different from the United States. The Company’s legal basis for the transfer of the Participant’s personal data to the United States is the Participant’s consent.</w:t>
      </w:r>
    </w:p>
    <w:p>
      <w:pPr>
        <w:spacing w:after="0" w:line="150" w:lineRule="exact"/>
        <w:rPr>
          <w:sz w:val="20"/>
          <w:szCs w:val="20"/>
          <w:color w:val="auto"/>
        </w:rPr>
      </w:pPr>
    </w:p>
    <w:p>
      <w:pPr>
        <w:ind w:left="700" w:right="120"/>
        <w:spacing w:after="0" w:line="259" w:lineRule="auto"/>
        <w:rPr>
          <w:sz w:val="20"/>
          <w:szCs w:val="20"/>
          <w:color w:val="auto"/>
        </w:rPr>
      </w:pPr>
      <w:r>
        <w:rPr>
          <w:rFonts w:ascii="Times New Roman" w:cs="Times New Roman" w:eastAsia="Times New Roman" w:hAnsi="Times New Roman"/>
          <w:sz w:val="19"/>
          <w:szCs w:val="19"/>
          <w:color w:val="auto"/>
        </w:rPr>
        <w:t>(d)Voluntariness and Consequences of Consent Denial or Withdrawal. The Participant’s participation in the Plan and grant of consent is purely voluntary. The Participant may deny or withdraw the Participant’s consent at any time. If the Participant does not consent, or if the Participant withdraws his or her consent, the Participant may be unable to participate in the Plan. This would not affect the Participant’s existing employment or salary; instead, the Participant merely may forfeit the opportunities associated with the Plan.</w:t>
      </w:r>
    </w:p>
    <w:p>
      <w:pPr>
        <w:spacing w:after="0" w:line="154"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9"/>
          <w:szCs w:val="19"/>
          <w:color w:val="auto"/>
        </w:rPr>
        <w:t>(e)Data Subjects Rights. The Participant may have a number of rights under the data privacy laws in the Participant’s country of residence. For example, the Participant’s rights may include the right to (i) request access or copies of personal data the Company processes, (ii) request rectification of incorrect data, (iii) request deletion of data, (iv) place restrictions on processing,</w:t>
      </w:r>
    </w:p>
    <w:p>
      <w:pPr>
        <w:spacing w:after="0" w:line="2" w:lineRule="exact"/>
        <w:rPr>
          <w:sz w:val="20"/>
          <w:szCs w:val="20"/>
          <w:color w:val="auto"/>
        </w:rPr>
      </w:pPr>
    </w:p>
    <w:p>
      <w:pPr>
        <w:ind w:left="700" w:firstLine="2"/>
        <w:spacing w:after="0" w:line="256" w:lineRule="auto"/>
        <w:tabs>
          <w:tab w:leader="none" w:pos="97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lodge complaints with competent authorities in the Participant’s country of residence, and/or (vi) request a list with the names and addresses of any potential recipients of the Participant’s personal data. To receive clarification regarding the Participant’s rights or to exercise his or her rights, the Participant should contact his or her local human resources representative.</w:t>
      </w:r>
    </w:p>
    <w:p>
      <w:pPr>
        <w:spacing w:after="0" w:line="15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xml:space="preserve"> The Award shall be treated in accordance with Section 8 of the Plan in the event of a Change of Control prior to the Vesting Date.</w:t>
      </w:r>
    </w:p>
    <w:p>
      <w:pPr>
        <w:spacing w:after="0" w:line="1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b w:val="1"/>
          <w:bCs w:val="1"/>
          <w:color w:val="auto"/>
        </w:rPr>
        <w:t>Compensation Recovery.</w:t>
      </w:r>
      <w:r>
        <w:rPr>
          <w:rFonts w:ascii="Times New Roman" w:cs="Times New Roman" w:eastAsia="Times New Roman" w:hAnsi="Times New Roman"/>
          <w:sz w:val="19"/>
          <w:szCs w:val="19"/>
          <w:color w:val="auto"/>
        </w:rPr>
        <w:t xml:space="preserve"> Notwithstanding anything in the Plan, this Agreement or any other agreement or declaration, 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 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63"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b w:val="1"/>
          <w:bCs w:val="1"/>
          <w:color w:val="auto"/>
        </w:rPr>
        <w:t>Non-transferability</w:t>
      </w:r>
      <w:r>
        <w:rPr>
          <w:rFonts w:ascii="Times New Roman" w:cs="Times New Roman" w:eastAsia="Times New Roman" w:hAnsi="Times New Roman"/>
          <w:sz w:val="19"/>
          <w:szCs w:val="19"/>
          <w:color w:val="auto"/>
        </w:rPr>
        <w:t>. The Participant may not sell, transfer, pledge, assign, attach or otherwise alienate or hypothecate the Units or any other rights under this Agreement other than by will or by</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8" w:name="page179"/>
    <w:bookmarkEnd w:id="178"/>
    <w:p>
      <w:pPr>
        <w:spacing w:after="0" w:line="26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9"/>
          <w:szCs w:val="19"/>
          <w:color w:val="auto"/>
        </w:rPr>
        <w:t>the 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1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b w:val="1"/>
          <w:bCs w:val="1"/>
          <w:color w:val="auto"/>
        </w:rPr>
        <w:t>Effect of Agreement</w:t>
      </w:r>
      <w:r>
        <w:rPr>
          <w:rFonts w:ascii="Times New Roman" w:cs="Times New Roman" w:eastAsia="Times New Roman" w:hAnsi="Times New Roman"/>
          <w:sz w:val="19"/>
          <w:szCs w:val="19"/>
          <w:color w:val="auto"/>
        </w:rPr>
        <w:t>. The Participant acknowledges receipt of a copy of the Plan and represents that he or she is familiar with the terms and provisions thereof (and has had an opportunity to consult counsel regarding the terms of the Award), and hereby accepts this Award and agrees to be bound by its contractual terms as set forth herein and in the Plan. The Participant hereby agrees to accept as binding, conclusive and final all decisions and interpretations of the Committee regarding any questions relating to this Award. In the event of a conflict between the terms and provisions of the Plan and the terms and provisions of this Agreement, the Plan terms and provisions shall prevail.</w:t>
      </w:r>
    </w:p>
    <w:p>
      <w:pPr>
        <w:spacing w:after="0" w:line="151"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19"/>
          <w:szCs w:val="19"/>
          <w:color w:val="auto"/>
        </w:rPr>
        <w:t>16.</w:t>
      </w:r>
      <w:r>
        <w:rPr>
          <w:rFonts w:ascii="Times New Roman" w:cs="Times New Roman" w:eastAsia="Times New Roman" w:hAnsi="Times New Roman"/>
          <w:sz w:val="19"/>
          <w:szCs w:val="19"/>
          <w:b w:val="1"/>
          <w:bCs w:val="1"/>
          <w:color w:val="auto"/>
        </w:rPr>
        <w:t>Restrictive Covenants</w:t>
      </w:r>
      <w:r>
        <w:rPr>
          <w:rFonts w:ascii="Times New Roman" w:cs="Times New Roman" w:eastAsia="Times New Roman" w:hAnsi="Times New Roman"/>
          <w:sz w:val="19"/>
          <w:szCs w:val="19"/>
          <w:color w:val="auto"/>
        </w:rPr>
        <w:t>. In consideration of this Award, the Participant agrees that during the Participant’s employment and the twelve (12) month period following the Participant’s termination of employment with Ashland or its Affiliates for any reason (the “Covenant Period”), without the written consent of Ashland, the Participant will not:</w:t>
      </w:r>
    </w:p>
    <w:p>
      <w:pPr>
        <w:spacing w:after="0" w:line="144"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(a)engage directly or indirectly in any manner or capacity as principal, agent, partner, officer, director, employee or otherwise in any business or activity competitive with the business conducted by Ashland or any of its Affiliates; or</w:t>
      </w:r>
    </w:p>
    <w:p>
      <w:pPr>
        <w:spacing w:after="0" w:line="127"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(b)perform any act or engage in any activity that is detrimental to the best interests of Ashland or any of its Affiliates, including, without limitation:</w:t>
      </w:r>
    </w:p>
    <w:p>
      <w:pPr>
        <w:spacing w:after="0" w:line="127" w:lineRule="exact"/>
        <w:rPr>
          <w:sz w:val="20"/>
          <w:szCs w:val="20"/>
          <w:color w:val="auto"/>
        </w:rPr>
      </w:pPr>
    </w:p>
    <w:p>
      <w:pPr>
        <w:ind w:left="1160" w:right="60"/>
        <w:spacing w:after="0" w:line="268" w:lineRule="auto"/>
        <w:rPr>
          <w:sz w:val="20"/>
          <w:szCs w:val="20"/>
          <w:color w:val="auto"/>
        </w:rPr>
      </w:pPr>
      <w:r>
        <w:rPr>
          <w:rFonts w:ascii="Times New Roman" w:cs="Times New Roman" w:eastAsia="Times New Roman" w:hAnsi="Times New Roman"/>
          <w:sz w:val="19"/>
          <w:szCs w:val="19"/>
          <w:color w:val="auto"/>
        </w:rPr>
        <w:t>i.soliciting or encouraging any existing or former employee, director, contractor, consultant, customer or supplier of Ashland or any of its Affiliates to terminate his, her or its relationship with Ashland or any of its Affiliates for any reason; or</w:t>
      </w:r>
    </w:p>
    <w:p>
      <w:pPr>
        <w:spacing w:after="0" w:line="144" w:lineRule="exact"/>
        <w:rPr>
          <w:sz w:val="20"/>
          <w:szCs w:val="20"/>
          <w:color w:val="auto"/>
        </w:rPr>
      </w:pPr>
    </w:p>
    <w:p>
      <w:pPr>
        <w:ind w:left="1160" w:right="280"/>
        <w:spacing w:after="0" w:line="286" w:lineRule="auto"/>
        <w:rPr>
          <w:sz w:val="20"/>
          <w:szCs w:val="20"/>
          <w:color w:val="auto"/>
        </w:rPr>
      </w:pPr>
      <w:r>
        <w:rPr>
          <w:rFonts w:ascii="Times New Roman" w:cs="Times New Roman" w:eastAsia="Times New Roman" w:hAnsi="Times New Roman"/>
          <w:sz w:val="19"/>
          <w:szCs w:val="19"/>
          <w:color w:val="auto"/>
        </w:rPr>
        <w:t>ii.disclosing proprietary or confidential information of Ashland or any of its Affiliates to third parties or using any such proprietary or confidential information for the benefit of anyone other than Ashland or any of its Affiliates;</w:t>
      </w:r>
    </w:p>
    <w:p>
      <w:pPr>
        <w:spacing w:after="0" w:line="127" w:lineRule="exact"/>
        <w:rPr>
          <w:sz w:val="20"/>
          <w:szCs w:val="20"/>
          <w:color w:val="auto"/>
        </w:rPr>
      </w:pPr>
    </w:p>
    <w:p>
      <w:pPr>
        <w:ind w:left="700"/>
        <w:spacing w:after="0" w:line="254" w:lineRule="auto"/>
        <w:rPr>
          <w:sz w:val="20"/>
          <w:szCs w:val="20"/>
          <w:color w:val="auto"/>
        </w:rPr>
      </w:pPr>
      <w:r>
        <w:rPr>
          <w:rFonts w:ascii="Times New Roman" w:cs="Times New Roman" w:eastAsia="Times New Roman" w:hAnsi="Times New Roman"/>
          <w:sz w:val="19"/>
          <w:szCs w:val="19"/>
          <w:color w:val="auto"/>
        </w:rPr>
        <w:t>provided, however, that this Agreement shall not prohibit the Participant in any way from (1) filing and, as provided for under Section 21F of the Securities Exchange Act of 1934, maintaining the confidentiality of a claim with the United States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U.S. federal or state trade secret law for the disclosure of any proprietary or confidential information that constitutes a trade secret to which the Defend Trade Secrets Act (18 U.S.C. Section 1833(b)) applies that is made (A) in confidence to a U.S. federal, state or local government official, either directly or indirectly, or to an attorney, in each case, solely for the purpose of reporting or investigating a suspected violation of law; or (B) in a complaint or other document filed in a lawsuit</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79" w:name="page180"/>
    <w:bookmarkEnd w:id="179"/>
    <w:p>
      <w:pPr>
        <w:spacing w:after="0" w:line="269" w:lineRule="exact"/>
        <w:rPr>
          <w:sz w:val="20"/>
          <w:szCs w:val="20"/>
          <w:color w:val="auto"/>
        </w:rPr>
      </w:pPr>
    </w:p>
    <w:p>
      <w:pPr>
        <w:ind w:left="700" w:right="320"/>
        <w:spacing w:after="0" w:line="262" w:lineRule="auto"/>
        <w:rPr>
          <w:sz w:val="20"/>
          <w:szCs w:val="20"/>
          <w:color w:val="auto"/>
        </w:rPr>
      </w:pPr>
      <w:r>
        <w:rPr>
          <w:rFonts w:ascii="Times New Roman" w:cs="Times New Roman" w:eastAsia="Times New Roman" w:hAnsi="Times New Roman"/>
          <w:sz w:val="19"/>
          <w:szCs w:val="19"/>
          <w:color w:val="auto"/>
        </w:rPr>
        <w:t>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50" w:lineRule="exact"/>
        <w:rPr>
          <w:sz w:val="20"/>
          <w:szCs w:val="20"/>
          <w:color w:val="auto"/>
        </w:rPr>
      </w:pPr>
    </w:p>
    <w:p>
      <w:pPr>
        <w:ind w:left="700" w:right="20"/>
        <w:spacing w:after="0" w:line="253" w:lineRule="auto"/>
        <w:rPr>
          <w:sz w:val="20"/>
          <w:szCs w:val="20"/>
          <w:color w:val="auto"/>
        </w:rPr>
      </w:pPr>
      <w:r>
        <w:rPr>
          <w:rFonts w:ascii="Times New Roman" w:cs="Times New Roman" w:eastAsia="Times New Roman" w:hAnsi="Times New Roman"/>
          <w:sz w:val="19"/>
          <w:szCs w:val="19"/>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and such elimination or reduction would trigger a tax or penalty under Section 409A,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attorneys fees, and other costs and expenses incurred in connection therewith; provided that the actions described in clauses (x), (y) and (z) shall not be taken with respect to the Award at any time following the third (3rd) anniversary of the vesting of the Award (or the applicable portion thereof). To the extent a longer Covenant Period is specified in another agreement between the Participant and Ashland or its Affiliates, the provisions of this Section 16 shall be extended to apply to such longer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w:t>
      </w: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color w:val="auto"/>
        </w:rPr>
        <w:t>Governing Law; Venue</w:t>
      </w:r>
      <w:r>
        <w:rPr>
          <w:rFonts w:ascii="Times New Roman" w:cs="Times New Roman" w:eastAsia="Times New Roman" w:hAnsi="Times New Roman"/>
          <w:sz w:val="19"/>
          <w:szCs w:val="19"/>
          <w:color w:val="auto"/>
        </w:rPr>
        <w:t>.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to and expressly consent to the sole and exclusive jurisdiction of the courts of the state of Delaware, or the Federal courts for the United States for the District of Delaware, and no other courts, where this grant is made and/or to be performed.</w:t>
      </w:r>
    </w:p>
    <w:p>
      <w:pPr>
        <w:spacing w:after="0" w:line="151" w:lineRule="exact"/>
        <w:rPr>
          <w:sz w:val="20"/>
          <w:szCs w:val="20"/>
          <w:color w:val="auto"/>
        </w:rPr>
      </w:pPr>
    </w:p>
    <w:p>
      <w:pPr>
        <w:ind w:left="700" w:right="100"/>
        <w:spacing w:after="0" w:line="260"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Entire Agreement; Enforcement of Rights</w:t>
      </w:r>
      <w:r>
        <w:rPr>
          <w:rFonts w:ascii="Times New Roman" w:cs="Times New Roman" w:eastAsia="Times New Roman" w:hAnsi="Times New Roman"/>
          <w:sz w:val="19"/>
          <w:szCs w:val="19"/>
          <w:color w:val="auto"/>
        </w:rPr>
        <w:t>. This Agreement and the Plan set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49" w:lineRule="exact"/>
        <w:rPr>
          <w:sz w:val="20"/>
          <w:szCs w:val="20"/>
          <w:color w:val="auto"/>
        </w:rPr>
      </w:pPr>
    </w:p>
    <w:p>
      <w:pPr>
        <w:ind w:left="700" w:right="100"/>
        <w:spacing w:after="0" w:line="269"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9"/>
          <w:szCs w:val="19"/>
          <w:b w:val="1"/>
          <w:bCs w:val="1"/>
          <w:color w:val="auto"/>
        </w:rPr>
        <w:t>No Advice Regarding Grant</w:t>
      </w:r>
      <w:r>
        <w:rPr>
          <w:rFonts w:ascii="Times New Roman" w:cs="Times New Roman" w:eastAsia="Times New Roman" w:hAnsi="Times New Roman"/>
          <w:sz w:val="19"/>
          <w:szCs w:val="19"/>
          <w:color w:val="auto"/>
        </w:rPr>
        <w:t>. Neither Ashland nor any of its Affiliates are providing any tax, legal or financial advice, nor is Ashland or any of its Affiliates making any recommendations regarding the Participant’s participation in the Plan. The Participant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0" w:name="page181"/>
    <w:bookmarkEnd w:id="180"/>
    <w:p>
      <w:pPr>
        <w:spacing w:after="0" w:line="26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should consult with his or her own personal tax, legal and financial advisors regarding his or her participation in the Plan before taking any action related to the Plan.</w:t>
      </w:r>
    </w:p>
    <w:p>
      <w:pPr>
        <w:spacing w:after="0" w:line="1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Compliance with Law.</w:t>
      </w:r>
      <w:r>
        <w:rPr>
          <w:rFonts w:ascii="Times New Roman" w:cs="Times New Roman" w:eastAsia="Times New Roman" w:hAnsi="Times New Roman"/>
          <w:sz w:val="19"/>
          <w:szCs w:val="19"/>
          <w:color w:val="auto"/>
        </w:rPr>
        <w:t xml:space="preserve"> Notwithstanding any other provision of the Plan or this Agreement, unless there is an exemption from any registration, qualification or other legal requirement applicable to the Shares, Ashland shall not be required to deliver any Shares issuable upon settlement of the Units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Ashland shall, in its absolute discretion, deem necessary or advisable. The Participant understands that Ashland is under no obligation to register or qualify the Shares with the SEC or any state or foreign securities commission or to seek approval or clearance from any governmental authority for the issuance or sale of the Shares. Further, the Participant agrees that Ashland shall have unilateral authority to amend the Agreement without his or her consent to the extent necessary to comply with securities or other laws applicable to issuance of Shares.</w:t>
      </w:r>
    </w:p>
    <w:p>
      <w:pPr>
        <w:spacing w:after="0" w:line="162" w:lineRule="exact"/>
        <w:rPr>
          <w:sz w:val="20"/>
          <w:szCs w:val="20"/>
          <w:color w:val="auto"/>
        </w:rPr>
      </w:pPr>
    </w:p>
    <w:p>
      <w:pPr>
        <w:ind w:left="720" w:right="20"/>
        <w:spacing w:after="0" w:line="256" w:lineRule="auto"/>
        <w:rPr>
          <w:sz w:val="20"/>
          <w:szCs w:val="20"/>
          <w:color w:val="auto"/>
        </w:rPr>
      </w:pPr>
      <w:r>
        <w:rPr>
          <w:rFonts w:ascii="Times New Roman" w:cs="Times New Roman" w:eastAsia="Times New Roman" w:hAnsi="Times New Roman"/>
          <w:sz w:val="19"/>
          <w:szCs w:val="19"/>
          <w:color w:val="auto"/>
        </w:rPr>
        <w:t>If the Participant is employed and/or resident in a country that is a member of the European Union, the Award and this Agreement are intended to comply with the age discrimination provisions of the EU Equal Treatment Framework Directive, as implemented into local law (the “Age Discrimination Rules”). To the extent that a court or tribunal of competent jurisdiction determines that any provision of the Award and this Agreement are invalid or unenforceable, in whole or in part, under the Age Discrimination Rules, Ashland, in its sole discretion, shall have the power and authority to revise or strike such provision to the minimum extent necessary to make it valid and enforceable to the full extent permitted under local law.</w:t>
      </w:r>
    </w:p>
    <w:p>
      <w:pPr>
        <w:spacing w:after="0" w:line="15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9"/>
          <w:szCs w:val="19"/>
          <w:b w:val="1"/>
          <w:bCs w:val="1"/>
          <w:color w:val="auto"/>
        </w:rPr>
        <w:t>Electronic Delivery and Participation</w:t>
      </w:r>
      <w:r>
        <w:rPr>
          <w:rFonts w:ascii="Times New Roman" w:cs="Times New Roman" w:eastAsia="Times New Roman" w:hAnsi="Times New Roman"/>
          <w:sz w:val="19"/>
          <w:szCs w:val="19"/>
          <w:color w:val="auto"/>
        </w:rPr>
        <w:t>. Ashland may, in its sole discretion,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Ashland or a third party designated by Ashland.</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(f)</w:t>
      </w:r>
      <w:r>
        <w:rPr>
          <w:rFonts w:ascii="Times New Roman" w:cs="Times New Roman" w:eastAsia="Times New Roman" w:hAnsi="Times New Roman"/>
          <w:sz w:val="19"/>
          <w:szCs w:val="19"/>
          <w:b w:val="1"/>
          <w:bCs w:val="1"/>
          <w:color w:val="auto"/>
        </w:rPr>
        <w:t>Language</w:t>
      </w:r>
      <w:r>
        <w:rPr>
          <w:rFonts w:ascii="Times New Roman" w:cs="Times New Roman" w:eastAsia="Times New Roman" w:hAnsi="Times New Roman"/>
          <w:sz w:val="19"/>
          <w:szCs w:val="19"/>
          <w:color w:val="auto"/>
        </w:rPr>
        <w:t>. By participating in the Plan, the Participant acknowledges that he or she is sufficiently proficient in English or has consulted with an advisor who is sufficiently proficient in English so as to allow the Participant to understand the terms and conditions of the Agreement. The Participant has received the terms and conditions of the Award and any other related communication, and the Participant consents to receiving these documents in English. If the Participant has received this Agreement, or any other document related to the Award and/or the Plan translated into a language other than English and if the meaning of the translated version is different from the English version, the English version will control.</w:t>
      </w:r>
    </w:p>
    <w:p>
      <w:pPr>
        <w:spacing w:after="0" w:line="15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one or more provisions of this Agreement are held to be unenforceable, the parties agree to renegotiate such provision in good faith. In the event that the parties</w:t>
      </w:r>
    </w:p>
    <w:p>
      <w:pPr>
        <w:spacing w:after="0" w:line="12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498475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181" w:name="page182"/>
    <w:bookmarkEnd w:id="181"/>
    <w:p>
      <w:pPr>
        <w:spacing w:after="0" w:line="26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auto"/>
        </w:rPr>
        <w:t>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4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(h)</w:t>
      </w:r>
      <w:r>
        <w:rPr>
          <w:rFonts w:ascii="Times New Roman" w:cs="Times New Roman" w:eastAsia="Times New Roman" w:hAnsi="Times New Roman"/>
          <w:sz w:val="19"/>
          <w:szCs w:val="19"/>
          <w:b w:val="1"/>
          <w:bCs w:val="1"/>
          <w:color w:val="auto"/>
        </w:rPr>
        <w:t>Waiver by Ashland</w:t>
      </w:r>
      <w:r>
        <w:rPr>
          <w:rFonts w:ascii="Times New Roman" w:cs="Times New Roman" w:eastAsia="Times New Roman" w:hAnsi="Times New Roman"/>
          <w:sz w:val="19"/>
          <w:szCs w:val="19"/>
          <w:color w:val="auto"/>
        </w:rPr>
        <w:t>. The Participant acknowledges that a waiver by Ashland of breach of any provision of this Agreement shall not operate or be construed as a waiver of any other provision of this Agreement, or of any subsequent breach by the Participant or any other participant.</w:t>
      </w:r>
    </w:p>
    <w:p>
      <w:pPr>
        <w:spacing w:after="0" w:line="14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Any notice required or permitted by this Agreement shall be in writing and shall be deemed sufficient when delivered personally or at time of transmission if sent by telegram or fax or forty-eight (48) hours after being deposited in the U.S. mail, as certified or registered mail, with postage prepaid, or forty-eight (48) hours after being deposited with an express courier, or at the time an electronic confirmation of receipt is received if delivery is by email, and addressed to the party to be notified at such party’s address as set forth below or as subsequently modified by written notice.</w:t>
      </w:r>
    </w:p>
    <w:p>
      <w:pPr>
        <w:spacing w:after="0" w:line="14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(j)</w:t>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19"/>
          <w:szCs w:val="19"/>
          <w:color w:val="auto"/>
        </w:rPr>
        <w:t>. This Agreement may be executed in two (2) or more counterparts, each of which shall be deemed an original and all of which together shall constitute one (1) instrument.</w:t>
      </w:r>
    </w:p>
    <w:p>
      <w:pPr>
        <w:spacing w:after="0" w:line="12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(k)</w:t>
      </w:r>
      <w:r>
        <w:rPr>
          <w:rFonts w:ascii="Times New Roman" w:cs="Times New Roman" w:eastAsia="Times New Roman" w:hAnsi="Times New Roman"/>
          <w:sz w:val="19"/>
          <w:szCs w:val="19"/>
          <w:b w:val="1"/>
          <w:bCs w:val="1"/>
          <w:color w:val="auto"/>
        </w:rPr>
        <w:t>Private Placement</w:t>
      </w:r>
      <w:r>
        <w:rPr>
          <w:rFonts w:ascii="Times New Roman" w:cs="Times New Roman" w:eastAsia="Times New Roman" w:hAnsi="Times New Roman"/>
          <w:sz w:val="19"/>
          <w:szCs w:val="19"/>
          <w:color w:val="auto"/>
        </w:rPr>
        <w:t>. The grant of the Units is not intended to be a public offering of securities in the Participant’s country of residence (or country of employment, if different). Neither Ashland nor any of its Affiliates has submitted any registration statement, prospectus or other filings with local securities authorities (unless otherwise required under local law), and the grant of the Units is not subject to the supervision of the local securities authorities.</w:t>
      </w:r>
    </w:p>
    <w:p>
      <w:pPr>
        <w:spacing w:after="0" w:line="147" w:lineRule="exact"/>
        <w:rPr>
          <w:sz w:val="20"/>
          <w:szCs w:val="20"/>
          <w:color w:val="auto"/>
        </w:rPr>
      </w:pPr>
    </w:p>
    <w:p>
      <w:pPr>
        <w:jc w:val="both"/>
        <w:ind w:right="480"/>
        <w:spacing w:after="0" w:line="269" w:lineRule="auto"/>
        <w:rPr>
          <w:sz w:val="20"/>
          <w:szCs w:val="20"/>
          <w:color w:val="auto"/>
        </w:rPr>
      </w:pPr>
      <w:r>
        <w:rPr>
          <w:rFonts w:ascii="Times New Roman" w:cs="Times New Roman" w:eastAsia="Times New Roman" w:hAnsi="Times New Roman"/>
          <w:sz w:val="19"/>
          <w:szCs w:val="19"/>
          <w:color w:val="auto"/>
        </w:rPr>
        <w:t>(l)</w:t>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 The rights and benefits of this Agreement shall inure to the benefit of, and be enforceable by, Ashland’s successors and assigns. The rights and obligations of the Participant under this Agreement may not be assigned without the prior written consent of Ashland.</w:t>
      </w:r>
    </w:p>
    <w:p>
      <w:pPr>
        <w:spacing w:after="0" w:line="14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(m)</w:t>
      </w:r>
      <w:r>
        <w:rPr>
          <w:rFonts w:ascii="Times New Roman" w:cs="Times New Roman" w:eastAsia="Times New Roman" w:hAnsi="Times New Roman"/>
          <w:sz w:val="19"/>
          <w:szCs w:val="19"/>
          <w:b w:val="1"/>
          <w:bCs w:val="1"/>
          <w:color w:val="auto"/>
        </w:rPr>
        <w:t>Addendum to Agreement</w:t>
      </w:r>
      <w:r>
        <w:rPr>
          <w:rFonts w:ascii="Times New Roman" w:cs="Times New Roman" w:eastAsia="Times New Roman" w:hAnsi="Times New Roman"/>
          <w:sz w:val="19"/>
          <w:szCs w:val="19"/>
          <w:color w:val="auto"/>
        </w:rPr>
        <w:t>. Notwithstanding any provision of this Agreement to the contrary, the Award shall be subject to any special terms and conditions for the Participant’s country of residence (and country of employment, if different) as set forth in the addendum to the Agreement (the “Addendum”). Further, if the Participant transfers residency and/or employment to another country reflected in the Addendum, the special terms and conditions for such country will apply to the Participant to the extent Ashland determines, in its sole discretion, that the application of such terms and conditions is necessary or advisable to comply with local laws, rules and/or regulations or to facilitate the operation and administration of the Award, this Agreement, and the Plan (or Ashland may establish alternative terms and conditions as may be necessary or advisable to accommodate the Participant’s transfer). The Addendum shall constitute part of this Agreement.</w:t>
      </w:r>
    </w:p>
    <w:p>
      <w:pPr>
        <w:spacing w:after="0" w:line="16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498475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182" w:name="page183"/>
    <w:bookmarkEnd w:id="182"/>
    <w:p>
      <w:pPr>
        <w:spacing w:after="0" w:line="267" w:lineRule="exact"/>
        <w:rPr>
          <w:sz w:val="20"/>
          <w:szCs w:val="20"/>
          <w:color w:val="auto"/>
        </w:rPr>
      </w:pPr>
    </w:p>
    <w:p>
      <w:pPr>
        <w:ind w:left="700"/>
        <w:spacing w:after="0" w:line="260" w:lineRule="auto"/>
        <w:rPr>
          <w:sz w:val="20"/>
          <w:szCs w:val="20"/>
          <w:color w:val="auto"/>
        </w:rPr>
      </w:pPr>
      <w:r>
        <w:rPr>
          <w:rFonts w:ascii="Times New Roman" w:cs="Times New Roman" w:eastAsia="Times New Roman" w:hAnsi="Times New Roman"/>
          <w:sz w:val="19"/>
          <w:szCs w:val="19"/>
          <w:color w:val="auto"/>
        </w:rPr>
        <w:t>(n)</w:t>
      </w:r>
      <w:r>
        <w:rPr>
          <w:rFonts w:ascii="Times New Roman" w:cs="Times New Roman" w:eastAsia="Times New Roman" w:hAnsi="Times New Roman"/>
          <w:sz w:val="19"/>
          <w:szCs w:val="19"/>
          <w:b w:val="1"/>
          <w:bCs w:val="1"/>
          <w:color w:val="auto"/>
        </w:rPr>
        <w:t>Additional Requirements</w:t>
      </w:r>
      <w:r>
        <w:rPr>
          <w:rFonts w:ascii="Times New Roman" w:cs="Times New Roman" w:eastAsia="Times New Roman" w:hAnsi="Times New Roman"/>
          <w:sz w:val="19"/>
          <w:szCs w:val="19"/>
          <w:color w:val="auto"/>
        </w:rPr>
        <w:t>. Ashland reserves the right to impose other requirements on the Award and the Participant’s participation in the Plan to the extent Ashland determines, in its sole discretion, that such other requirements are necessary or advisable in order to comply with local laws,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spacing w:after="0" w:line="149" w:lineRule="exact"/>
        <w:rPr>
          <w:sz w:val="20"/>
          <w:szCs w:val="20"/>
          <w:color w:val="auto"/>
        </w:rPr>
      </w:pPr>
    </w:p>
    <w:p>
      <w:pPr>
        <w:ind w:left="700" w:right="100"/>
        <w:spacing w:after="0" w:line="254" w:lineRule="auto"/>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19"/>
          <w:szCs w:val="19"/>
          <w:b w:val="1"/>
          <w:bCs w:val="1"/>
          <w:color w:val="auto"/>
        </w:rPr>
        <w:t>Code Section 409A.</w:t>
      </w:r>
      <w:r>
        <w:rPr>
          <w:rFonts w:ascii="Times New Roman" w:cs="Times New Roman" w:eastAsia="Times New Roman" w:hAnsi="Times New Roman"/>
          <w:sz w:val="19"/>
          <w:szCs w:val="19"/>
          <w:color w:val="auto"/>
        </w:rPr>
        <w:t xml:space="preserve"> To the extent applicable, for purposes of this Agreement, a termination of employment will be determined consistent with the rules relating to a “separation from service” within the meaning of Section 409A. Notwithstanding anything provided herein to the contrary, to the extent of any payments provided under this Agreement in connection with the Participant’s termination of employment with Ashland and its Affiliates constitute “nonqualified deferred compensation” within the meaning of Section 409A that is not otherwise exempt from Section 409A, and the Participant is a “specified employee” within the meaning of Section 409A upon such termination of employment, then such payment shall not be made until the earlier of (i) the expiration of the six month period measured from the Participant’s employment termination date, or (ii) the date of the Participant’s death following such employment termination date. The Participant acknowledges that, regardless of any action taken by Ashland and its Affiliates, the liability for all taxes related to the Award and this Agreement are the sole responsibility of the Participant, and nether Ashland nor its Affiliates are liable to the Participant for any taxes, penalties and interest incurred by the Participant relating to the Award and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w:t>
      </w:r>
    </w:p>
    <w:p>
      <w:pPr>
        <w:spacing w:after="0" w:line="200"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9"/>
          <w:szCs w:val="19"/>
          <w:color w:val="auto"/>
        </w:rPr>
        <w:t>19.</w:t>
      </w:r>
      <w:r>
        <w:rPr>
          <w:rFonts w:ascii="Times New Roman" w:cs="Times New Roman" w:eastAsia="Times New Roman" w:hAnsi="Times New Roman"/>
          <w:sz w:val="19"/>
          <w:szCs w:val="19"/>
          <w:b w:val="1"/>
          <w:bCs w:val="1"/>
          <w:color w:val="auto"/>
        </w:rPr>
        <w:t>Acceptance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Award of Units is subject to and expressly conditioned upon the Participant’s online acceptance of the terms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and conditions of the Plan, this Agreement, and the Award through the Fidelity website. The right to the Units shall expire if not accepted by #Accept By#.</w:t>
      </w:r>
    </w:p>
    <w:p>
      <w:pPr>
        <w:spacing w:after="0" w:line="144" w:lineRule="exact"/>
        <w:rPr>
          <w:sz w:val="20"/>
          <w:szCs w:val="20"/>
          <w:color w:val="auto"/>
        </w:rPr>
      </w:pPr>
    </w:p>
    <w:p>
      <w:pPr>
        <w:ind w:left="700" w:right="20"/>
        <w:spacing w:after="0" w:line="257" w:lineRule="auto"/>
        <w:rPr>
          <w:sz w:val="20"/>
          <w:szCs w:val="20"/>
          <w:color w:val="auto"/>
        </w:rPr>
      </w:pPr>
      <w:r>
        <w:rPr>
          <w:rFonts w:ascii="Times New Roman" w:cs="Times New Roman" w:eastAsia="Times New Roman" w:hAnsi="Times New Roman"/>
          <w:sz w:val="19"/>
          <w:szCs w:val="19"/>
          <w:color w:val="auto"/>
        </w:rPr>
        <w:t>By accepting the terms and conditions of this Agreement, the Participant acknowledges that the participant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157" w:lineRule="exact"/>
        <w:rPr>
          <w:sz w:val="20"/>
          <w:szCs w:val="20"/>
          <w:color w:val="auto"/>
        </w:rPr>
      </w:pPr>
    </w:p>
    <w:p>
      <w:pPr>
        <w:ind w:left="360" w:right="200"/>
        <w:spacing w:after="0" w:line="286" w:lineRule="auto"/>
        <w:rPr>
          <w:sz w:val="20"/>
          <w:szCs w:val="20"/>
          <w:color w:val="auto"/>
        </w:rPr>
      </w:pPr>
      <w:r>
        <w:rPr>
          <w:rFonts w:ascii="Times New Roman" w:cs="Times New Roman" w:eastAsia="Times New Roman" w:hAnsi="Times New Roman"/>
          <w:sz w:val="19"/>
          <w:szCs w:val="19"/>
          <w:color w:val="auto"/>
        </w:rPr>
        <w:t>IN WITNESS WHEREOF, Ashland Inc. has caused this instrument to be executed and delivered effective as of the Grant Date set forth above.</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9"/>
          <w:szCs w:val="19"/>
          <w:color w:val="auto"/>
        </w:rPr>
        <w:t>Ashland Inc.</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3" w:name="page184"/>
    <w:bookmarkEnd w:id="183"/>
    <w:p>
      <w:pPr>
        <w:spacing w:after="0" w:line="26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Eileen Drury</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Senior Vice President and</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Chief Human Resources Officer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#Signature#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#ParticipantName#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#AcceptanceDate#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4" w:name="page185"/>
    <w:bookmarkEnd w:id="184"/>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ASHLAND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2021 OMNIBUS INCENTIVE COMPENSATION PLAN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ADDENDUM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CASH-SETTLED PERFORMANCE UNIT AWARD AGREEMENT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NON-U.S. PARTICIPANTS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In addition to the provisions of the Plan and Agreement, the Units are subject to the following additional terms and conditions as set forth in this Addendum to the extent the Participant resides and/or is employed in one of the countries addressed herein. All defined terms as contained in this Addendum shall have the same meaning as set forth in the Plan and the Agreement. To the extent the Participant transfers residence and/or employment to another country, the special terms and conditions for such country as reflected in this Addendum (if any) will apply to the Participant to the extent Ashland determines, in its sole discretion, that the application of such terms and conditions is necessary or advisable in order to comply with local laws, rules and regulations, or to facilitate the operation and administration of the Units and the Plan (or Ashland may establish alternative terms and conditions as may be necessary or advisable to accommodate the Participant’s transfer).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EUROPEAN UNION (“EU”) / EUROPEAN ECONOMIC UNION (“EEA”) / SWITZERLAND / THE UNITED KINGDOM</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9"/>
          <w:szCs w:val="19"/>
          <w:color w:val="auto"/>
        </w:rPr>
        <w:t>Data Privacy. See Section 12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AUSTRALIA</w:t>
      </w:r>
    </w:p>
    <w:p>
      <w:pPr>
        <w:spacing w:after="0" w:line="240" w:lineRule="exact"/>
        <w:rPr>
          <w:sz w:val="20"/>
          <w:szCs w:val="20"/>
          <w:color w:val="auto"/>
        </w:rPr>
      </w:pPr>
    </w:p>
    <w:p>
      <w:pPr>
        <w:ind w:right="40" w:firstLine="702"/>
        <w:spacing w:after="0" w:line="268" w:lineRule="auto"/>
        <w:tabs>
          <w:tab w:leader="none" w:pos="888"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Law Notice. The grant of Units is intended to comply with the provisions of the Corporations Act 2001, Australian Securities and Investments Commission (“ASIC”) Regulatory Guide 49 and ASIC Class Order 14/1000. Additional details are set forth in the offer document for the grant of Units to Australian residents, distributed to the Participant with the Plan documentation.</w:t>
      </w:r>
    </w:p>
    <w:p>
      <w:pPr>
        <w:spacing w:after="0" w:line="180" w:lineRule="exact"/>
        <w:rPr>
          <w:rFonts w:ascii="Times New Roman" w:cs="Times New Roman" w:eastAsia="Times New Roman" w:hAnsi="Times New Roman"/>
          <w:sz w:val="19"/>
          <w:szCs w:val="19"/>
          <w:color w:val="auto"/>
        </w:rPr>
      </w:pPr>
    </w:p>
    <w:p>
      <w:pPr>
        <w:ind w:right="60" w:firstLine="702"/>
        <w:spacing w:after="0" w:line="259" w:lineRule="auto"/>
        <w:tabs>
          <w:tab w:leader="none" w:pos="888"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Units Conditioned on Satisfaction of Regulatory Obligations. If the Participant is (a) a director of an affiliate or subsidiary incorporated in Australia, or (b) a person who is a management-level executive of an affiliate or subsidiary incorporated in Australia and who also is a director of an affiliate or subsidiary incorporated outside of the Australia, the grant of the Units is conditioned upon satisfaction of the shareholder approval provisions of section 200B of the Corporations Act 2001 (Cth) and the Corporations Amendment (Improving Accountability on Termination Payments) Act in Australia.</w:t>
      </w:r>
    </w:p>
    <w:p>
      <w:pPr>
        <w:spacing w:after="0" w:line="189" w:lineRule="exact"/>
        <w:rPr>
          <w:rFonts w:ascii="Times New Roman" w:cs="Times New Roman" w:eastAsia="Times New Roman" w:hAnsi="Times New Roman"/>
          <w:sz w:val="19"/>
          <w:szCs w:val="19"/>
          <w:color w:val="auto"/>
        </w:rPr>
      </w:pPr>
    </w:p>
    <w:p>
      <w:pPr>
        <w:ind w:right="400" w:firstLine="702"/>
        <w:spacing w:after="0" w:line="286" w:lineRule="auto"/>
        <w:tabs>
          <w:tab w:leader="none" w:pos="888"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 Information. The Plan is a program to which Subdivision 83A-C of the Income Tax Assessment Act 1997 (Cth) (the “Act”) applies (subject to the conditions in that 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BRAZIL</w:t>
      </w:r>
    </w:p>
    <w:p>
      <w:pPr>
        <w:spacing w:after="0" w:line="240" w:lineRule="exact"/>
        <w:rPr>
          <w:sz w:val="20"/>
          <w:szCs w:val="20"/>
          <w:color w:val="auto"/>
        </w:rPr>
      </w:pPr>
    </w:p>
    <w:p>
      <w:pPr>
        <w:ind w:right="20" w:firstLine="702"/>
        <w:spacing w:after="0" w:line="258" w:lineRule="auto"/>
        <w:tabs>
          <w:tab w:leader="none" w:pos="88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Relationship. The Participant expressly acknowledges and agrees that the Participant’s participation in the Plan and Ashland’s grant of the Units does not constitute an employment relationship between the Participant and Ashland. The Participant has been granted the Units as a consequence of the commercial relationship between Ashland and such Affiliate of Ashland that employs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5" w:name="page186"/>
    <w:bookmarkEnd w:id="185"/>
    <w:p>
      <w:pPr>
        <w:spacing w:after="0" w:line="26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auto"/>
        </w:rPr>
        <w:t>Participant (the “Employer”), and such Affiliate is the Participant’s sole employer. Based on the foregoing, the Participant expressly recognizes that (a) the Plan and the benefits the Participant may derive from participation in the Plan do not establish any rights between the Participant and the Employer, (b) the Plan and the benefits the Participant may derive from participation in the Plan are not part of the employment conditions and/or benefits provided by the Employer, and (c) any modifications or amendments of the Plan by Ashland, or a termination of the Plan by Ashland, shall not constitute a change or impairment of the terms and conditions of the Participant’s employment with the Employer.</w:t>
      </w:r>
    </w:p>
    <w:p>
      <w:pPr>
        <w:spacing w:after="0" w:line="193" w:lineRule="exact"/>
        <w:rPr>
          <w:sz w:val="20"/>
          <w:szCs w:val="20"/>
          <w:color w:val="auto"/>
        </w:rPr>
      </w:pPr>
    </w:p>
    <w:p>
      <w:pPr>
        <w:ind w:right="20" w:firstLine="702"/>
        <w:spacing w:after="0" w:line="255" w:lineRule="auto"/>
        <w:tabs>
          <w:tab w:leader="none" w:pos="88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Extraordinary Item of Compensation. The Participant expressly acknowledges and agrees that the Participant’s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Units is an extraordinary item of compensation outside the scope of the Participant’s employment contract, if any. The Units are not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FRANCE</w:t>
      </w:r>
    </w:p>
    <w:p>
      <w:pPr>
        <w:spacing w:after="0" w:line="240" w:lineRule="exact"/>
        <w:rPr>
          <w:sz w:val="20"/>
          <w:szCs w:val="20"/>
          <w:color w:val="auto"/>
        </w:rPr>
      </w:pPr>
    </w:p>
    <w:p>
      <w:pPr>
        <w:ind w:right="140" w:firstLine="702"/>
        <w:spacing w:after="0" w:line="268" w:lineRule="auto"/>
        <w:tabs>
          <w:tab w:leader="none" w:pos="88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of English Language. By accepting the Award, the Participant acknowledges and agrees that it is the Participant’s wish that the Agreement, this Addendum, as well as all other documents, notices and legal proceedings entered into, given or instituted pursuant to the Award, either directly or indirectly, be drawn up in English.</w:t>
      </w:r>
    </w:p>
    <w:p>
      <w:pPr>
        <w:spacing w:after="0" w:line="48"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Utilisation de l’anglais. En acceptant l'Attribution, le Participant reconnaît et accepte avoir expressément souhaité la rédaction en anglais du Contrat, de la présente Annexe, ainsi que de tous documents exécutés, avis donnés et procédures judiciaires intentées, directement ou indirectement, en vertu de l'Attribution</w:t>
      </w:r>
      <w:r>
        <w:rPr>
          <w:rFonts w:ascii="Times New Roman" w:cs="Times New Roman" w:eastAsia="Times New Roman" w:hAnsi="Times New Roman"/>
          <w:sz w:val="19"/>
          <w:szCs w:val="19"/>
          <w:color w:val="222222"/>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INDIA</w:t>
      </w:r>
    </w:p>
    <w:p>
      <w:pPr>
        <w:spacing w:after="0" w:line="240" w:lineRule="exact"/>
        <w:rPr>
          <w:sz w:val="20"/>
          <w:szCs w:val="20"/>
          <w:color w:val="auto"/>
        </w:rPr>
      </w:pPr>
    </w:p>
    <w:p>
      <w:pPr>
        <w:ind w:right="540" w:firstLine="696"/>
        <w:spacing w:after="0" w:line="286" w:lineRule="auto"/>
        <w:rPr>
          <w:sz w:val="20"/>
          <w:szCs w:val="20"/>
          <w:color w:val="auto"/>
        </w:rPr>
      </w:pPr>
      <w:r>
        <w:rPr>
          <w:rFonts w:ascii="Times New Roman" w:cs="Times New Roman" w:eastAsia="Times New Roman" w:hAnsi="Times New Roman"/>
          <w:sz w:val="19"/>
          <w:szCs w:val="19"/>
          <w:color w:val="auto"/>
        </w:rPr>
        <w:t>1.Labor Law Acknowledgement. The Units and any amount paid pursuant to the Award received under the Plan, and the income and value of same, are extraordinary items that are not part of your annual gross salary.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ITALY</w:t>
      </w:r>
    </w:p>
    <w:p>
      <w:pPr>
        <w:spacing w:after="0" w:line="240" w:lineRule="exact"/>
        <w:rPr>
          <w:sz w:val="20"/>
          <w:szCs w:val="20"/>
          <w:color w:val="auto"/>
        </w:rPr>
      </w:pPr>
    </w:p>
    <w:p>
      <w:pPr>
        <w:ind w:right="140" w:firstLine="798"/>
        <w:spacing w:after="0" w:line="268" w:lineRule="auto"/>
        <w:tabs>
          <w:tab w:leader="none" w:pos="984"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Plan Document Acknowledgment. In accepting the Units, the Participant acknowledges that he or she received a copy of the Plan and the Agreement and reviewed the Plan and the Agreement, including this Addendum, in their entirety and fully understands and accepts all provisions of the Plan and the Agreement, including this Addendum.</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6" w:name="page187"/>
    <w:bookmarkEnd w:id="186"/>
    <w:p>
      <w:pPr>
        <w:spacing w:after="0" w:line="269" w:lineRule="exact"/>
        <w:rPr>
          <w:sz w:val="20"/>
          <w:szCs w:val="20"/>
          <w:color w:val="auto"/>
        </w:rPr>
      </w:pPr>
    </w:p>
    <w:p>
      <w:pPr>
        <w:ind w:right="80" w:firstLine="792"/>
        <w:spacing w:after="0" w:line="262" w:lineRule="auto"/>
        <w:rPr>
          <w:sz w:val="20"/>
          <w:szCs w:val="20"/>
          <w:color w:val="auto"/>
        </w:rPr>
      </w:pPr>
      <w:r>
        <w:rPr>
          <w:rFonts w:ascii="Times New Roman" w:cs="Times New Roman" w:eastAsia="Times New Roman" w:hAnsi="Times New Roman"/>
          <w:sz w:val="19"/>
          <w:szCs w:val="19"/>
          <w:color w:val="auto"/>
        </w:rPr>
        <w:t>More specifically, the Participant acknowledges that he or she has read and specifically and expressly approves the following provisions of the Agreement: Section 1 (Grant); Section 3 (Vesting); Section 9 (Responsibility for Taxes); Section 10 (Acknowledgment and Waiver); Section 11 (Data Privacy); Section 16(a) (Governing Law; Venue); Section 16(e) (Electronic Delivery and Participation); Section 16(f) (Language); and Section 16(m) (Addendum to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MEXICO</w:t>
      </w:r>
    </w:p>
    <w:p>
      <w:pPr>
        <w:spacing w:after="0" w:line="336" w:lineRule="exact"/>
        <w:rPr>
          <w:sz w:val="20"/>
          <w:szCs w:val="20"/>
          <w:color w:val="auto"/>
        </w:rPr>
      </w:pPr>
    </w:p>
    <w:p>
      <w:pPr>
        <w:ind w:right="60" w:firstLine="702"/>
        <w:spacing w:after="0" w:line="255" w:lineRule="auto"/>
        <w:tabs>
          <w:tab w:leader="none" w:pos="88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Labor Law Policy and Acknowledgment. The Participant expressly recognizes that participation in the Plan and Ashland's grant of the Units does not constitute an employment relationship between the Participant and Ashland. The Participant has been granted the Units as a consequence of the commercial relationship between Ashland and such Affiliate of Ashland that employs Participant in Mexico (the “Employer”), and the Employer is the Participant’s sole employer. Based on the foregoing, the Participant expressly recognizes that (a) the Plan and the benefits derived from participation in the Plan do not establish any rights between the Participant and the Employer, (b) the Plan and the benefits derived from participation in the Plan are not part of the employment conditions and/or benefits provided by the Employer, and (c) any modifications or amendments of the Plan by Ashland, or a termination of the Plan by Ashland, shall not constitute a change or impairment of the terms and conditions of the Participant’s employment with the Employer in Mexico.</w:t>
      </w:r>
    </w:p>
    <w:p>
      <w:pPr>
        <w:spacing w:after="0" w:line="191" w:lineRule="exact"/>
        <w:rPr>
          <w:rFonts w:ascii="Times New Roman" w:cs="Times New Roman" w:eastAsia="Times New Roman" w:hAnsi="Times New Roman"/>
          <w:sz w:val="19"/>
          <w:szCs w:val="19"/>
          <w:color w:val="auto"/>
        </w:rPr>
      </w:pPr>
    </w:p>
    <w:p>
      <w:pPr>
        <w:ind w:firstLine="702"/>
        <w:spacing w:after="0" w:line="255" w:lineRule="auto"/>
        <w:tabs>
          <w:tab w:leader="none" w:pos="88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Extraordinary Item of Compensation. The Participant expressly recognizes and acknowledges that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Units is an extraordinary item of compensation outside the scope of the employment contract, if any. The Units are not a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NETHERLANDS</w:t>
      </w:r>
    </w:p>
    <w:p>
      <w:pPr>
        <w:spacing w:after="0" w:line="336" w:lineRule="exact"/>
        <w:rPr>
          <w:sz w:val="20"/>
          <w:szCs w:val="20"/>
          <w:color w:val="auto"/>
        </w:rPr>
      </w:pPr>
    </w:p>
    <w:p>
      <w:pPr>
        <w:ind w:right="220" w:firstLine="702"/>
        <w:spacing w:after="0" w:line="262" w:lineRule="auto"/>
        <w:tabs>
          <w:tab w:leader="none" w:pos="88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Waiver of Termination Rights. As a condition to the grant of the Units, the Participant hereby waives any and all rights to compensation or damages as a result of a termination of employment for any reason whatsoever, insofar as those rights result or may result from (a) the loss or diminution in value of such rights or entitlements under the Plan, or (b) the Participant ceasing to have rights under, or ceasing to be entitled to any awards under the Plan as a result of such termination.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SPAIN</w:t>
      </w:r>
    </w:p>
    <w:p>
      <w:pPr>
        <w:spacing w:after="0" w:line="240" w:lineRule="exact"/>
        <w:rPr>
          <w:sz w:val="20"/>
          <w:szCs w:val="20"/>
          <w:color w:val="auto"/>
        </w:rPr>
      </w:pPr>
    </w:p>
    <w:p>
      <w:pPr>
        <w:ind w:right="60" w:firstLine="702"/>
        <w:spacing w:after="0" w:line="262" w:lineRule="auto"/>
        <w:tabs>
          <w:tab w:leader="none" w:pos="88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Acknowledgement of Discretionary Nature of the Plan; No Vested Rights. By accepting the Units, the Participant consents to participation in the Plan and acknowledges receipt of a copy of the Plan. The Participant understands that Ashland has unilaterally, gratuitously and in its sole discretion granted the Units under the Plan to individuals who may be employees of Ashland or its Affiliates throughout the world. The decision is a limited decision that is entered into upon the express assumption</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7" w:name="page188"/>
    <w:bookmarkEnd w:id="187"/>
    <w:p>
      <w:pPr>
        <w:spacing w:after="0" w:line="2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and condition that any grant will not economically or otherwise bind Ashland or any of its Affiliates on an ongoing basis. Consequently, the Participant understands that the Units are granted on the assumption and condition that the Units and the cash payment in settlement of the Units shall not become a part of any employment contract (either with Ashland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Units shall be null and void.</w:t>
      </w:r>
    </w:p>
    <w:p>
      <w:pPr>
        <w:spacing w:after="0" w:line="6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The Participant understands and agrees that, as a condition of the Units, unless otherwise provided in the Agreement, any unvested Units as of the date the Participant ceases employment will be forfeited without further entitlement or any amount of indemnification in the event of termination of employment. The Participant acknowledges that the Participant has read and specifically accepts the terms and conditions referred to in the Agreement regarding the impact of a termination of employment on the Units.</w:t>
      </w:r>
    </w:p>
    <w:p>
      <w:pPr>
        <w:spacing w:after="0" w:line="54" w:lineRule="exact"/>
        <w:rPr>
          <w:sz w:val="20"/>
          <w:szCs w:val="20"/>
          <w:color w:val="auto"/>
        </w:rPr>
      </w:pPr>
    </w:p>
    <w:p>
      <w:pPr>
        <w:ind w:right="160" w:firstLine="702"/>
        <w:spacing w:after="0" w:line="258" w:lineRule="auto"/>
        <w:tabs>
          <w:tab w:leader="none" w:pos="88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for Cause. Notwithstanding anything to the contrary in the Plan or the Agreement, “Cause” shall be defined as set forth in the Agreement, regardless of whether the termination is considered a fair termination (i.e., “despido procedente”) under Spanish legislation.</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SWITZERLAND</w:t>
      </w:r>
    </w:p>
    <w:p>
      <w:pPr>
        <w:spacing w:after="0" w:line="216" w:lineRule="exact"/>
        <w:rPr>
          <w:sz w:val="20"/>
          <w:szCs w:val="20"/>
          <w:color w:val="auto"/>
        </w:rPr>
      </w:pPr>
    </w:p>
    <w:p>
      <w:pPr>
        <w:ind w:firstLine="702"/>
        <w:spacing w:after="0" w:line="259" w:lineRule="auto"/>
        <w:tabs>
          <w:tab w:leader="none" w:pos="888"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Law Acknowledgment. Neither the Agreement, the Addendum nor any other materials relating to the Units (a) constitutes a prospectus according to articles 35 et seq. of the Swiss Federal Act on Financial Services (“FinSA”), (b) may be publicly distributed nor otherwise made publicly available in Switzerland to any person other than an employee of Ashland and its Affiliates or (c) has been or will be filed with, approved or supervised by any Swiss reviewing body according to article 51 of FinSA or any Swiss regulatory authority, including the Swiss Financial Market Supervisory Authority (“FINMA”).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UNITED KINGDOM</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1. Responsibility for Taxes. The following supplements Section 4 of the Agreement:</w:t>
      </w:r>
    </w:p>
    <w:p>
      <w:pPr>
        <w:spacing w:after="0" w:line="238" w:lineRule="exact"/>
        <w:rPr>
          <w:sz w:val="20"/>
          <w:szCs w:val="20"/>
          <w:color w:val="auto"/>
        </w:rPr>
      </w:pPr>
    </w:p>
    <w:p>
      <w:pPr>
        <w:ind w:right="320" w:firstLine="696"/>
        <w:spacing w:after="0" w:line="257" w:lineRule="auto"/>
        <w:rPr>
          <w:sz w:val="20"/>
          <w:szCs w:val="20"/>
          <w:color w:val="auto"/>
        </w:rPr>
      </w:pPr>
      <w:r>
        <w:rPr>
          <w:rFonts w:ascii="Times New Roman" w:cs="Times New Roman" w:eastAsia="Times New Roman" w:hAnsi="Times New Roman"/>
          <w:sz w:val="19"/>
          <w:szCs w:val="19"/>
          <w:color w:val="auto"/>
        </w:rPr>
        <w:t>Without limitation to Section 4 of the Agreement, the Participant agrees that he or she is liable for all Tax-Related Items and hereby covenants to pay all such Tax-Related Items as and when requested by Ashland, such Affiliate of Ashland that employs Participant (the “Employer”) or by Her Majesty’s Revenue and Customs (“HMRC”) (or any other tax authority or any other relevant authority). The Participant also agrees to indemnify and keep indemnified Ashland and the Employer against any taxes that they are required to pay or withhold or have paid or will pay to HMRC (or any other tax authority or any other relevant authority) on the Participant’s behalf.</w:t>
      </w:r>
    </w:p>
    <w:p>
      <w:pPr>
        <w:spacing w:after="0" w:line="61"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color w:val="auto"/>
        </w:rPr>
        <w:t>Notwithstanding the foregoing, if the Participant is an executive officer or director (as within the meaning of Section 13(k) of the Exchange Act), the Participant understands that the terms of the immediately foregoing provision will not apply. In the event that the Participant is a director or an executive officer and income tax due is not collected from or paid by the Participant within 90 days after the end of the U.K. tax year in which the event giving rise to the income tax occurs (or such other period specified in U.K. law), the amount of any uncollected income tax may constitute a benefit to the Participant on which additional income tax and National Insurance Contributions (“NICs”) may be payable. The</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10"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8" w:name="page189"/>
    <w:bookmarkEnd w:id="188"/>
    <w:p>
      <w:pPr>
        <w:spacing w:after="0" w:line="26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9"/>
          <w:szCs w:val="19"/>
          <w:color w:val="auto"/>
        </w:rPr>
        <w:t>Participant acknowledges that, ultimately, the Participant is responsible for reporting and paying any income tax due on this additional benefit directly to HMRC under the self-assessment regime and for paying Ashland or the Employer (as applicable) the amount of any employee NICs due on this additional benefit. The Participant further acknowledges that Ashland or the Employer (as applicable) may recover such amounts from the Participant by any of the means referred to in Section 4 of the Agreement.</w:t>
      </w:r>
    </w:p>
    <w:p>
      <w:pPr>
        <w:spacing w:after="0" w:line="186" w:lineRule="exact"/>
        <w:rPr>
          <w:sz w:val="20"/>
          <w:szCs w:val="20"/>
          <w:color w:val="auto"/>
        </w:rPr>
      </w:pPr>
    </w:p>
    <w:p>
      <w:pPr>
        <w:ind w:right="80" w:firstLine="702"/>
        <w:spacing w:after="0" w:line="255" w:lineRule="auto"/>
        <w:tabs>
          <w:tab w:leader="none" w:pos="888"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Exclusion of Claim. The Participant acknowledges and agrees that the Participant shall have no entitlement to compensation or damages insofar as such entitlement arises or may arise from the Participant’s ceasing to have rights under or to be entitled to vest in the Units, whether or not as a result of such termination (whether the termination is in breach of contract or otherwise), or from the loss or diminution in value of the Units. Upon the grant of the Units, the Participant shall be deemed irrevocably to have waived any such entitlement.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9" w:name="page190"/>
    <w:bookmarkEnd w:id="189"/>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Appendix</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Fiscal Years 2026 – 2028</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Goals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November 2025</w:t>
      </w:r>
    </w:p>
    <w:p>
      <w:pPr>
        <w:spacing w:after="0" w:line="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w:t>
      </w:r>
    </w:p>
    <w:p>
      <w:pPr>
        <w:spacing w:after="0" w:line="206"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9"/>
          <w:szCs w:val="19"/>
          <w:color w:val="auto"/>
        </w:rPr>
        <w:t>As a key leader for Ashland and its Affiliates, you have been granted Performance Units under the Plan. The objective of the Performance Units grant is to drive and reward sustainable performance and long-term success, provide a link with shareholder value creation, maintain meaningful focus on overall corporate results and provide a retention vehicle for our key leaders.</w:t>
      </w:r>
    </w:p>
    <w:p>
      <w:pPr>
        <w:spacing w:after="0" w:line="1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color w:val="auto"/>
        </w:rPr>
        <w:t>Your Units will be earned if certain Performance Goals (as described below) adopted by the Compensation Committee of the Board of Directors of Ashland (the “Committee”) are met during the performance period beginning October 1, 2025 and ending September 30, 2028 (the “Performance Period”) and you remain in Continuous Service with Ashland or any of its Affiliates through the Vesting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measure performance, we will use three metrics: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Return on Net Assets (“RONA”), Earnings Per Share (“EPS”), and Relative Total Shareholder Return (“RTSR).</w:t>
      </w:r>
    </w:p>
    <w:p>
      <w:pPr>
        <w:spacing w:after="0" w:line="10" w:lineRule="exact"/>
        <w:rPr>
          <w:sz w:val="20"/>
          <w:szCs w:val="20"/>
          <w:color w:val="auto"/>
        </w:rPr>
      </w:pPr>
    </w:p>
    <w:p>
      <w:pPr>
        <w:ind w:left="1060" w:right="40"/>
        <w:spacing w:after="0" w:line="250" w:lineRule="auto"/>
        <w:rPr>
          <w:sz w:val="20"/>
          <w:szCs w:val="20"/>
          <w:color w:val="auto"/>
        </w:rPr>
      </w:pPr>
      <w:r>
        <w:rPr>
          <w:rFonts w:ascii="Times New Roman" w:cs="Times New Roman" w:eastAsia="Times New Roman" w:hAnsi="Times New Roman"/>
          <w:sz w:val="19"/>
          <w:szCs w:val="19"/>
          <w:color w:val="auto"/>
        </w:rPr>
        <w:t>RONA is defined as Net Operating Profit After Tax (“NOPAT”) divided by (Current Assets – Cash – (Current Liabilities – Short Term Debt) + PP&amp;E).</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Earnings Per Share(EPS) is defined as Adjusted Earnings Per Share less Amortization</w:t>
      </w:r>
    </w:p>
    <w:p>
      <w:pPr>
        <w:spacing w:after="0" w:line="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Relative Total Shareholder Return (RTSR) is defined as Ashland share performance versus the S&amp;P400.</w:t>
      </w:r>
    </w:p>
    <w:p>
      <w:pPr>
        <w:sectPr>
          <w:pgSz w:w="11900" w:h="16840" w:orient="portrait"/>
          <w:cols w:equalWidth="0" w:num="1">
            <w:col w:w="10560"/>
          </w:cols>
          <w:pgMar w:left="660" w:top="1440" w:right="680" w:bottom="1440" w:gutter="0" w:footer="0" w:header="0"/>
        </w:sectPr>
      </w:pPr>
    </w:p>
    <w:p>
      <w:pPr>
        <w:spacing w:after="0" w:line="238" w:lineRule="exact"/>
        <w:rPr>
          <w:sz w:val="20"/>
          <w:szCs w:val="20"/>
          <w:color w:val="auto"/>
        </w:rPr>
      </w:pPr>
    </w:p>
    <w:p>
      <w:pPr>
        <w:ind w:left="100"/>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twenty percent (20%) </w:t>
      </w:r>
      <w:r>
        <w:rPr>
          <w:rFonts w:ascii="Times New Roman" w:cs="Times New Roman" w:eastAsia="Times New Roman" w:hAnsi="Times New Roman"/>
          <w:sz w:val="19"/>
          <w:szCs w:val="19"/>
          <w:color w:val="auto"/>
        </w:rPr>
        <w:t>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Performance Units will be earned based on the three-year average RONA performance calculated at the end of each fiscal year during the Performance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twenty percent (20%) </w:t>
      </w:r>
      <w:r>
        <w:rPr>
          <w:rFonts w:ascii="Times New Roman" w:cs="Times New Roman" w:eastAsia="Times New Roman" w:hAnsi="Times New Roman"/>
          <w:sz w:val="19"/>
          <w:szCs w:val="19"/>
          <w:color w:val="auto"/>
        </w:rPr>
        <w:t>of the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Units will be earned based on three-year average adjusted EPS less amortization as calculated using the closing price at the end of each fiscal year during the Performance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sixty percent (60%) </w:t>
      </w:r>
      <w:r>
        <w:rPr>
          <w:rFonts w:ascii="Times New Roman" w:cs="Times New Roman" w:eastAsia="Times New Roman" w:hAnsi="Times New Roman"/>
          <w:sz w:val="19"/>
          <w:szCs w:val="19"/>
          <w:color w:val="auto"/>
        </w:rPr>
        <w:t>of the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Units will be earned based on Ashland TSR performance versus the S&amp;P400 calculated using 20-day average closing price at beginning and at the end of the Performance Period.</w:t>
      </w:r>
    </w:p>
    <w:p>
      <w:pPr>
        <w:spacing w:after="0" w:line="200" w:lineRule="exact"/>
        <w:rPr>
          <w:sz w:val="20"/>
          <w:szCs w:val="20"/>
          <w:color w:val="auto"/>
        </w:rPr>
      </w:pPr>
    </w:p>
    <w:p>
      <w:pPr>
        <w:sectPr>
          <w:pgSz w:w="11900" w:h="16840" w:orient="portrait"/>
          <w:cols w:equalWidth="0" w:num="3">
            <w:col w:w="3160" w:space="320"/>
            <w:col w:w="3360" w:space="200"/>
            <w:col w:w="3520"/>
          </w:cols>
          <w:pgMar w:left="660" w:top="1440" w:right="6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231"/>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It</w:t>
            </w:r>
          </w:p>
        </w:tc>
        <w:tc>
          <w:tcPr>
            <w:tcW w:w="19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rPr>
              <w:t>RONA results on</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EPS 3-yr avg</w:t>
            </w:r>
          </w:p>
        </w:tc>
        <w:tc>
          <w:tcPr>
            <w:tcW w:w="1580" w:type="dxa"/>
            <w:vAlign w:val="bottom"/>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w w:val="99"/>
              </w:rPr>
              <w:t>% of Award</w:t>
            </w:r>
          </w:p>
        </w:tc>
        <w:tc>
          <w:tcPr>
            <w:tcW w:w="2300" w:type="dxa"/>
            <w:vAlign w:val="bottom"/>
          </w:tcPr>
          <w:p>
            <w:pPr>
              <w:ind w:left="320"/>
              <w:spacing w:after="0"/>
              <w:rPr>
                <w:sz w:val="20"/>
                <w:szCs w:val="20"/>
                <w:color w:val="auto"/>
              </w:rPr>
            </w:pPr>
            <w:r>
              <w:rPr>
                <w:rFonts w:ascii="Times New Roman" w:cs="Times New Roman" w:eastAsia="Times New Roman" w:hAnsi="Times New Roman"/>
                <w:sz w:val="19"/>
                <w:szCs w:val="19"/>
                <w:b w:val="1"/>
                <w:bCs w:val="1"/>
                <w:color w:val="auto"/>
              </w:rPr>
              <w:t>TSR performance</w:t>
            </w:r>
          </w:p>
        </w:tc>
        <w:tc>
          <w:tcPr>
            <w:tcW w:w="1300" w:type="dxa"/>
            <w:vAlign w:val="bottom"/>
          </w:tcPr>
          <w:p>
            <w:pPr>
              <w:jc w:val="center"/>
              <w:ind w:left="184"/>
              <w:spacing w:after="0"/>
              <w:rPr>
                <w:sz w:val="20"/>
                <w:szCs w:val="20"/>
                <w:color w:val="auto"/>
              </w:rPr>
            </w:pPr>
            <w:r>
              <w:rPr>
                <w:rFonts w:ascii="Times New Roman" w:cs="Times New Roman" w:eastAsia="Times New Roman" w:hAnsi="Times New Roman"/>
                <w:sz w:val="19"/>
                <w:szCs w:val="19"/>
                <w:b w:val="1"/>
                <w:bCs w:val="1"/>
                <w:color w:val="auto"/>
              </w:rPr>
              <w:t>% of Award</w:t>
            </w:r>
          </w:p>
        </w:tc>
      </w:tr>
      <w:tr>
        <w:trPr>
          <w:trHeight w:val="336"/>
        </w:trPr>
        <w:tc>
          <w:tcPr>
            <w:tcW w:w="1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Performance</w:t>
            </w:r>
          </w:p>
        </w:tc>
        <w:tc>
          <w:tcPr>
            <w:tcW w:w="1960" w:type="dxa"/>
            <w:vAlign w:val="bottom"/>
          </w:tcPr>
          <w:p>
            <w:pPr>
              <w:jc w:val="center"/>
              <w:ind w:left="104"/>
              <w:spacing w:after="0"/>
              <w:rPr>
                <w:sz w:val="20"/>
                <w:szCs w:val="20"/>
                <w:color w:val="auto"/>
              </w:rPr>
            </w:pPr>
            <w:r>
              <w:rPr>
                <w:rFonts w:ascii="Times New Roman" w:cs="Times New Roman" w:eastAsia="Times New Roman" w:hAnsi="Times New Roman"/>
                <w:sz w:val="19"/>
                <w:szCs w:val="19"/>
                <w:b w:val="1"/>
                <w:bCs w:val="1"/>
                <w:color w:val="auto"/>
              </w:rPr>
              <w:t>Sept 30, 2028</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results</w:t>
            </w:r>
          </w:p>
        </w:tc>
        <w:tc>
          <w:tcPr>
            <w:tcW w:w="1580" w:type="dxa"/>
            <w:vAlign w:val="bottom"/>
          </w:tcPr>
          <w:p>
            <w:pPr>
              <w:jc w:val="center"/>
              <w:ind w:right="24"/>
              <w:spacing w:after="0"/>
              <w:rPr>
                <w:sz w:val="20"/>
                <w:szCs w:val="20"/>
                <w:color w:val="auto"/>
              </w:rPr>
            </w:pPr>
            <w:r>
              <w:rPr>
                <w:rFonts w:ascii="Times New Roman" w:cs="Times New Roman" w:eastAsia="Times New Roman" w:hAnsi="Times New Roman"/>
                <w:sz w:val="19"/>
                <w:szCs w:val="19"/>
                <w:b w:val="1"/>
                <w:bCs w:val="1"/>
                <w:color w:val="auto"/>
                <w:w w:val="96"/>
              </w:rPr>
              <w:t xml:space="preserve">Earned </w:t>
            </w:r>
            <w:r>
              <w:rPr>
                <w:rFonts w:ascii="Times New Roman" w:cs="Times New Roman" w:eastAsia="Times New Roman" w:hAnsi="Times New Roman"/>
                <w:sz w:val="26"/>
                <w:szCs w:val="26"/>
                <w:b w:val="1"/>
                <w:bCs w:val="1"/>
                <w:color w:val="auto"/>
                <w:w w:val="96"/>
                <w:vertAlign w:val="superscript"/>
              </w:rPr>
              <w:t>(1)</w:t>
            </w:r>
          </w:p>
        </w:tc>
        <w:tc>
          <w:tcPr>
            <w:tcW w:w="2300" w:type="dxa"/>
            <w:vAlign w:val="bottom"/>
          </w:tcPr>
          <w:p>
            <w:pPr>
              <w:ind w:left="320"/>
              <w:spacing w:after="0"/>
              <w:rPr>
                <w:sz w:val="20"/>
                <w:szCs w:val="20"/>
                <w:color w:val="auto"/>
              </w:rPr>
            </w:pPr>
            <w:r>
              <w:rPr>
                <w:rFonts w:ascii="Times New Roman" w:cs="Times New Roman" w:eastAsia="Times New Roman" w:hAnsi="Times New Roman"/>
                <w:sz w:val="19"/>
                <w:szCs w:val="19"/>
                <w:b w:val="1"/>
                <w:bCs w:val="1"/>
                <w:color w:val="auto"/>
              </w:rPr>
              <w:t>relative to S&amp;P400</w:t>
            </w:r>
            <w:r>
              <w:rPr>
                <w:rFonts w:ascii="Times New Roman" w:cs="Times New Roman" w:eastAsia="Times New Roman" w:hAnsi="Times New Roman"/>
                <w:sz w:val="26"/>
                <w:szCs w:val="26"/>
                <w:b w:val="1"/>
                <w:bCs w:val="1"/>
                <w:color w:val="auto"/>
                <w:vertAlign w:val="superscript"/>
              </w:rPr>
              <w:t>(2)</w:t>
            </w:r>
          </w:p>
        </w:tc>
        <w:tc>
          <w:tcPr>
            <w:tcW w:w="1300" w:type="dxa"/>
            <w:vAlign w:val="bottom"/>
          </w:tcPr>
          <w:p>
            <w:pPr>
              <w:jc w:val="center"/>
              <w:ind w:left="184"/>
              <w:spacing w:after="0"/>
              <w:rPr>
                <w:sz w:val="20"/>
                <w:szCs w:val="20"/>
                <w:color w:val="auto"/>
              </w:rPr>
            </w:pPr>
            <w:r>
              <w:rPr>
                <w:rFonts w:ascii="Times New Roman" w:cs="Times New Roman" w:eastAsia="Times New Roman" w:hAnsi="Times New Roman"/>
                <w:sz w:val="19"/>
                <w:szCs w:val="19"/>
                <w:b w:val="1"/>
                <w:bCs w:val="1"/>
                <w:color w:val="auto"/>
                <w:w w:val="96"/>
              </w:rPr>
              <w:t xml:space="preserve">Earned </w:t>
            </w:r>
            <w:r>
              <w:rPr>
                <w:rFonts w:ascii="Times New Roman" w:cs="Times New Roman" w:eastAsia="Times New Roman" w:hAnsi="Times New Roman"/>
                <w:sz w:val="26"/>
                <w:szCs w:val="26"/>
                <w:b w:val="1"/>
                <w:bCs w:val="1"/>
                <w:color w:val="auto"/>
                <w:w w:val="96"/>
                <w:vertAlign w:val="superscript"/>
              </w:rPr>
              <w:t>(1)</w:t>
            </w:r>
          </w:p>
        </w:tc>
      </w:tr>
      <w:tr>
        <w:trPr>
          <w:trHeight w:val="312"/>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Below Threshold</w:t>
            </w:r>
          </w:p>
        </w:tc>
        <w:tc>
          <w:tcPr>
            <w:tcW w:w="196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rPr>
              <w:t>&lt;11.3</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&lt;4.57</w:t>
            </w:r>
          </w:p>
        </w:tc>
        <w:tc>
          <w:tcPr>
            <w:tcW w:w="158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4"/>
              </w:rPr>
              <w:t>0%</w:t>
            </w:r>
          </w:p>
        </w:tc>
        <w:tc>
          <w:tcPr>
            <w:tcW w:w="230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Below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percentile</w:t>
            </w:r>
          </w:p>
        </w:tc>
        <w:tc>
          <w:tcPr>
            <w:tcW w:w="1300" w:type="dxa"/>
            <w:vAlign w:val="bottom"/>
          </w:tcPr>
          <w:p>
            <w:pPr>
              <w:jc w:val="center"/>
              <w:ind w:left="184"/>
              <w:spacing w:after="0"/>
              <w:rPr>
                <w:sz w:val="20"/>
                <w:szCs w:val="20"/>
                <w:color w:val="auto"/>
              </w:rPr>
            </w:pPr>
            <w:r>
              <w:rPr>
                <w:rFonts w:ascii="Times New Roman" w:cs="Times New Roman" w:eastAsia="Times New Roman" w:hAnsi="Times New Roman"/>
                <w:sz w:val="19"/>
                <w:szCs w:val="19"/>
                <w:color w:val="auto"/>
              </w:rPr>
              <w:t>0%</w:t>
            </w:r>
          </w:p>
        </w:tc>
      </w:tr>
      <w:tr>
        <w:trPr>
          <w:trHeight w:val="262"/>
        </w:trPr>
        <w:tc>
          <w:tcPr>
            <w:tcW w:w="1680" w:type="dxa"/>
            <w:vAlign w:val="bottom"/>
          </w:tcPr>
          <w:p>
            <w:pPr>
              <w:spacing w:after="0"/>
              <w:rPr>
                <w:sz w:val="20"/>
                <w:szCs w:val="20"/>
                <w:color w:val="auto"/>
              </w:rPr>
            </w:pPr>
            <w:r>
              <w:rPr>
                <w:rFonts w:ascii="Times New Roman" w:cs="Times New Roman" w:eastAsia="Times New Roman" w:hAnsi="Times New Roman"/>
                <w:sz w:val="19"/>
                <w:szCs w:val="19"/>
                <w:color w:val="auto"/>
              </w:rPr>
              <w:t>Threshold</w:t>
            </w:r>
          </w:p>
        </w:tc>
        <w:tc>
          <w:tcPr>
            <w:tcW w:w="196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rPr>
              <w:t>11.3</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4.57</w:t>
            </w:r>
          </w:p>
        </w:tc>
        <w:tc>
          <w:tcPr>
            <w:tcW w:w="158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rPr>
              <w:t>50%</w:t>
            </w:r>
          </w:p>
        </w:tc>
        <w:tc>
          <w:tcPr>
            <w:tcW w:w="2300" w:type="dxa"/>
            <w:vAlign w:val="bottom"/>
          </w:tcPr>
          <w:p>
            <w:pPr>
              <w:ind w:left="320"/>
              <w:spacing w:after="0" w:line="262" w:lineRule="exact"/>
              <w:rPr>
                <w:sz w:val="20"/>
                <w:szCs w:val="20"/>
                <w:color w:val="auto"/>
              </w:rPr>
            </w:pPr>
            <w:r>
              <w:rPr>
                <w:rFonts w:ascii="Times New Roman" w:cs="Times New Roman" w:eastAsia="Times New Roman" w:hAnsi="Times New Roman"/>
                <w:sz w:val="19"/>
                <w:szCs w:val="19"/>
                <w:color w:val="auto"/>
              </w:rPr>
              <w:t>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percentile</w:t>
            </w:r>
          </w:p>
        </w:tc>
        <w:tc>
          <w:tcPr>
            <w:tcW w:w="1300" w:type="dxa"/>
            <w:vAlign w:val="bottom"/>
          </w:tcPr>
          <w:p>
            <w:pPr>
              <w:jc w:val="center"/>
              <w:ind w:left="184"/>
              <w:spacing w:after="0"/>
              <w:rPr>
                <w:sz w:val="20"/>
                <w:szCs w:val="20"/>
                <w:color w:val="auto"/>
              </w:rPr>
            </w:pPr>
            <w:r>
              <w:rPr>
                <w:rFonts w:ascii="Times New Roman" w:cs="Times New Roman" w:eastAsia="Times New Roman" w:hAnsi="Times New Roman"/>
                <w:sz w:val="19"/>
                <w:szCs w:val="19"/>
                <w:color w:val="auto"/>
                <w:w w:val="97"/>
              </w:rPr>
              <w:t>50%</w:t>
            </w:r>
          </w:p>
        </w:tc>
      </w:tr>
      <w:tr>
        <w:trPr>
          <w:trHeight w:val="251"/>
        </w:trPr>
        <w:tc>
          <w:tcPr>
            <w:tcW w:w="1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Target</w:t>
            </w:r>
          </w:p>
        </w:tc>
        <w:tc>
          <w:tcPr>
            <w:tcW w:w="1960" w:type="dxa"/>
            <w:vAlign w:val="bottom"/>
          </w:tcPr>
          <w:p>
            <w:pPr>
              <w:jc w:val="center"/>
              <w:ind w:left="84"/>
              <w:spacing w:after="0"/>
              <w:rPr>
                <w:sz w:val="20"/>
                <w:szCs w:val="20"/>
                <w:color w:val="auto"/>
              </w:rPr>
            </w:pPr>
            <w:r>
              <w:rPr>
                <w:rFonts w:ascii="Times New Roman" w:cs="Times New Roman" w:eastAsia="Times New Roman" w:hAnsi="Times New Roman"/>
                <w:sz w:val="19"/>
                <w:szCs w:val="19"/>
                <w:color w:val="auto"/>
              </w:rPr>
              <w:t>14.2</w:t>
            </w:r>
          </w:p>
        </w:tc>
        <w:tc>
          <w:tcPr>
            <w:tcW w:w="15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5.71</w:t>
            </w:r>
          </w:p>
        </w:tc>
        <w:tc>
          <w:tcPr>
            <w:tcW w:w="1580" w:type="dxa"/>
            <w:vAlign w:val="bottom"/>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100%</w:t>
            </w:r>
          </w:p>
        </w:tc>
        <w:tc>
          <w:tcPr>
            <w:tcW w:w="2300" w:type="dxa"/>
            <w:vAlign w:val="bottom"/>
          </w:tcPr>
          <w:p>
            <w:pPr>
              <w:ind w:left="320"/>
              <w:spacing w:after="0" w:line="251" w:lineRule="exact"/>
              <w:rPr>
                <w:sz w:val="20"/>
                <w:szCs w:val="20"/>
                <w:color w:val="auto"/>
              </w:rPr>
            </w:pPr>
            <w:r>
              <w:rPr>
                <w:rFonts w:ascii="Times New Roman" w:cs="Times New Roman" w:eastAsia="Times New Roman" w:hAnsi="Times New Roman"/>
                <w:sz w:val="19"/>
                <w:szCs w:val="19"/>
                <w:b w:val="1"/>
                <w:bCs w:val="1"/>
                <w:color w:val="auto"/>
              </w:rPr>
              <w:t>50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9"/>
                <w:szCs w:val="19"/>
                <w:b w:val="1"/>
                <w:bCs w:val="1"/>
                <w:color w:val="auto"/>
              </w:rPr>
              <w:t xml:space="preserve"> percentile</w:t>
            </w:r>
          </w:p>
        </w:tc>
        <w:tc>
          <w:tcPr>
            <w:tcW w:w="1300" w:type="dxa"/>
            <w:vAlign w:val="bottom"/>
          </w:tcPr>
          <w:p>
            <w:pPr>
              <w:jc w:val="center"/>
              <w:ind w:left="164"/>
              <w:spacing w:after="0"/>
              <w:rPr>
                <w:sz w:val="20"/>
                <w:szCs w:val="20"/>
                <w:color w:val="auto"/>
              </w:rPr>
            </w:pPr>
            <w:r>
              <w:rPr>
                <w:rFonts w:ascii="Times New Roman" w:cs="Times New Roman" w:eastAsia="Times New Roman" w:hAnsi="Times New Roman"/>
                <w:sz w:val="19"/>
                <w:szCs w:val="19"/>
                <w:b w:val="1"/>
                <w:bCs w:val="1"/>
                <w:color w:val="auto"/>
              </w:rPr>
              <w:t>100%</w:t>
            </w:r>
          </w:p>
        </w:tc>
      </w:tr>
      <w:tr>
        <w:trPr>
          <w:trHeight w:val="252"/>
        </w:trPr>
        <w:tc>
          <w:tcPr>
            <w:tcW w:w="16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80" w:type="dxa"/>
            <w:vAlign w:val="bottom"/>
            <w:gridSpan w:val="2"/>
          </w:tcPr>
          <w:p>
            <w:pPr>
              <w:ind w:left="48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tc>
        <w:tc>
          <w:tcPr>
            <w:tcW w:w="23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jc w:val="right"/>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90" w:name="page191"/>
    <w:bookmarkEnd w:id="190"/>
    <w:p>
      <w:pPr>
        <w:spacing w:after="0" w:line="249" w:lineRule="exact"/>
        <w:rPr>
          <w:sz w:val="20"/>
          <w:szCs w:val="20"/>
          <w:color w:val="auto"/>
        </w:rPr>
      </w:pPr>
    </w:p>
    <w:p>
      <w:pPr>
        <w:ind w:left="100"/>
        <w:spacing w:after="0"/>
        <w:tabs>
          <w:tab w:leader="none" w:pos="2600" w:val="left"/>
          <w:tab w:leader="none" w:pos="4220" w:val="left"/>
          <w:tab w:leader="none" w:pos="5740" w:val="left"/>
          <w:tab w:leader="none" w:pos="7120" w:val="left"/>
          <w:tab w:leader="none" w:pos="9660" w:val="left"/>
        </w:tabs>
        <w:rPr>
          <w:sz w:val="20"/>
          <w:szCs w:val="20"/>
          <w:color w:val="auto"/>
        </w:rPr>
      </w:pPr>
      <w:r>
        <w:rPr>
          <w:rFonts w:ascii="Times New Roman" w:cs="Times New Roman" w:eastAsia="Times New Roman" w:hAnsi="Times New Roman"/>
          <w:sz w:val="19"/>
          <w:szCs w:val="19"/>
          <w:color w:val="auto"/>
        </w:rPr>
        <w:t>Maximum</w:t>
      </w:r>
      <w:r>
        <w:rPr>
          <w:sz w:val="20"/>
          <w:szCs w:val="20"/>
          <w:color w:val="auto"/>
        </w:rPr>
        <w:tab/>
      </w:r>
      <w:r>
        <w:rPr>
          <w:rFonts w:ascii="Times New Roman" w:cs="Times New Roman" w:eastAsia="Times New Roman" w:hAnsi="Times New Roman"/>
          <w:sz w:val="19"/>
          <w:szCs w:val="19"/>
          <w:color w:val="auto"/>
        </w:rPr>
        <w:t>&gt;17.0</w:t>
      </w:r>
      <w:r>
        <w:rPr>
          <w:sz w:val="20"/>
          <w:szCs w:val="20"/>
          <w:color w:val="auto"/>
        </w:rPr>
        <w:tab/>
      </w:r>
      <w:r>
        <w:rPr>
          <w:rFonts w:ascii="Times New Roman" w:cs="Times New Roman" w:eastAsia="Times New Roman" w:hAnsi="Times New Roman"/>
          <w:sz w:val="19"/>
          <w:szCs w:val="19"/>
          <w:color w:val="auto"/>
        </w:rPr>
        <w:t>&gt;6.85</w:t>
      </w:r>
      <w:r>
        <w:rPr>
          <w:sz w:val="20"/>
          <w:szCs w:val="20"/>
          <w:color w:val="auto"/>
        </w:rPr>
        <w:tab/>
      </w:r>
      <w:r>
        <w:rPr>
          <w:rFonts w:ascii="Times New Roman" w:cs="Times New Roman" w:eastAsia="Times New Roman" w:hAnsi="Times New Roman"/>
          <w:sz w:val="19"/>
          <w:szCs w:val="19"/>
          <w:color w:val="auto"/>
        </w:rPr>
        <w:t>200%</w:t>
      </w:r>
      <w:r>
        <w:rPr>
          <w:sz w:val="20"/>
          <w:szCs w:val="20"/>
          <w:color w:val="auto"/>
        </w:rPr>
        <w:tab/>
      </w:r>
      <w:r>
        <w:rPr>
          <w:rFonts w:ascii="Times New Roman" w:cs="Times New Roman" w:eastAsia="Times New Roman" w:hAnsi="Times New Roman"/>
          <w:sz w:val="19"/>
          <w:szCs w:val="19"/>
          <w:color w:val="auto"/>
        </w:rPr>
        <w:t>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percentile or above</w:t>
      </w:r>
      <w:r>
        <w:rPr>
          <w:sz w:val="20"/>
          <w:szCs w:val="20"/>
          <w:color w:val="auto"/>
        </w:rPr>
        <w:tab/>
      </w:r>
      <w:r>
        <w:rPr>
          <w:rFonts w:ascii="Times New Roman" w:cs="Times New Roman" w:eastAsia="Times New Roman" w:hAnsi="Times New Roman"/>
          <w:sz w:val="19"/>
          <w:szCs w:val="19"/>
          <w:color w:val="auto"/>
        </w:rPr>
        <w:t>200%</w:t>
      </w: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Awards between levels will be paid linearly straight line) between points.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Payout is capped at 100% if overall performance is negative.</w:t>
      </w:r>
    </w:p>
    <w:p>
      <w:pPr>
        <w:spacing w:after="0" w:line="35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color w:val="auto"/>
        </w:rPr>
        <w:t>The Committee shall have the discretion to later revise the Performance Goals and the amount to be paid out upon the attainment of the Performance Goals for any reason including the reflection of transfers or other changes in a Participant's employment, so long as such changes are consistent with the Performance Goals established for other participants in the same or similar positions.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2861945</wp:posOffset>
            </wp:positionH>
            <wp:positionV relativeFrom="page">
              <wp:posOffset>499110</wp:posOffset>
            </wp:positionV>
            <wp:extent cx="1829435" cy="6172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1829435" cy="61722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10.69</w:t>
      </w:r>
    </w:p>
    <w:p>
      <w:pPr>
        <w:spacing w:after="0" w:line="20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b w:val="1"/>
          <w:bCs w:val="1"/>
          <w:color w:val="auto"/>
        </w:rPr>
        <w:t>RESTRICTED STOCK UNIT AGREEMENT (NON-EMPLOYEE DIRECTORS)</w:t>
      </w:r>
    </w:p>
    <w:p>
      <w:pPr>
        <w:spacing w:after="0" w:line="20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Ashland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2021 Omnibus Incentive Compensation Plan</w:t>
      </w:r>
    </w:p>
    <w:p>
      <w:pPr>
        <w:spacing w:after="0" w:line="178" w:lineRule="exact"/>
        <w:rPr>
          <w:sz w:val="20"/>
          <w:szCs w:val="20"/>
          <w:color w:val="auto"/>
        </w:rPr>
      </w:pPr>
    </w:p>
    <w:p>
      <w:pPr>
        <w:ind w:left="360"/>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Director:</w:t>
      </w:r>
      <w:r>
        <w:rPr>
          <w:sz w:val="20"/>
          <w:szCs w:val="20"/>
          <w:color w:val="auto"/>
        </w:rPr>
        <w:tab/>
      </w:r>
      <w:r>
        <w:rPr>
          <w:rFonts w:ascii="Times New Roman" w:cs="Times New Roman" w:eastAsia="Times New Roman" w:hAnsi="Times New Roman"/>
          <w:sz w:val="19"/>
          <w:szCs w:val="19"/>
          <w:color w:val="auto"/>
        </w:rPr>
        <w:t>Director Name</w:t>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Restricted Stock Units (“RSUs”)</w:t>
      </w:r>
    </w:p>
    <w:p>
      <w:pPr>
        <w:spacing w:after="0" w:line="34" w:lineRule="exact"/>
        <w:rPr>
          <w:sz w:val="20"/>
          <w:szCs w:val="20"/>
          <w:color w:val="auto"/>
        </w:rPr>
      </w:pPr>
    </w:p>
    <w:p>
      <w:pPr>
        <w:ind w:left="360"/>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Granted:</w:t>
      </w:r>
      <w:r>
        <w:rPr>
          <w:sz w:val="20"/>
          <w:szCs w:val="20"/>
          <w:color w:val="auto"/>
        </w:rPr>
        <w:tab/>
      </w:r>
      <w:r>
        <w:rPr>
          <w:rFonts w:ascii="Times New Roman" w:cs="Times New Roman" w:eastAsia="Times New Roman" w:hAnsi="Times New Roman"/>
          <w:sz w:val="19"/>
          <w:szCs w:val="19"/>
          <w:color w:val="auto"/>
        </w:rPr>
        <w:t>Number of Awards Granted</w:t>
      </w:r>
    </w:p>
    <w:p>
      <w:pPr>
        <w:spacing w:after="0" w:line="82"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b w:val="1"/>
          <w:bCs w:val="1"/>
          <w:color w:val="auto"/>
        </w:rPr>
        <w:t>Grant Date:</w:t>
      </w:r>
      <w:r>
        <w:rPr>
          <w:sz w:val="20"/>
          <w:szCs w:val="20"/>
          <w:color w:val="auto"/>
        </w:rPr>
        <w:tab/>
      </w:r>
      <w:r>
        <w:rPr>
          <w:rFonts w:ascii="Times New Roman" w:cs="Times New Roman" w:eastAsia="Times New Roman" w:hAnsi="Times New Roman"/>
          <w:sz w:val="19"/>
          <w:szCs w:val="19"/>
          <w:color w:val="auto"/>
        </w:rPr>
        <w:t>Grant Date</w:t>
      </w:r>
    </w:p>
    <w:p>
      <w:pPr>
        <w:spacing w:after="0" w:line="200" w:lineRule="exact"/>
        <w:rPr>
          <w:sz w:val="20"/>
          <w:szCs w:val="20"/>
          <w:color w:val="auto"/>
        </w:rPr>
      </w:pPr>
    </w:p>
    <w:p>
      <w:pPr>
        <w:spacing w:after="0" w:line="23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Grant</w:t>
      </w:r>
      <w:r>
        <w:rPr>
          <w:rFonts w:ascii="Times New Roman" w:cs="Times New Roman" w:eastAsia="Times New Roman" w:hAnsi="Times New Roman"/>
          <w:sz w:val="19"/>
          <w:szCs w:val="19"/>
          <w:color w:val="auto"/>
        </w:rPr>
        <w:t>. Ashland Inc. (“Ashland”) hereby grants to the above-named individual (the “Director”) #QuantityGranted# Units (the “Award”) pursuant to and subject to the terms of the Ashland Inc. 2021 Omnibus Incentive Compensation Plan (the “Plan”) and this Restricted Stock Unit Agreement (“Agreement”), in order to provide the Director with an additional incentive to continue his or her service as a member of the Ashland board of directors (the “Board”) in the best interests of Ashland, its Affiliates, and its stockholders. Capitalized terms used but not defined in this Agreement shall have the meanings given to such terms in the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9"/>
          <w:szCs w:val="19"/>
          <w:b w:val="1"/>
          <w:bCs w:val="1"/>
          <w:color w:val="auto"/>
        </w:rPr>
        <w:t>RSUs</w:t>
      </w:r>
      <w:r>
        <w:rPr>
          <w:rFonts w:ascii="Times New Roman" w:cs="Times New Roman" w:eastAsia="Times New Roman" w:hAnsi="Times New Roman"/>
          <w:sz w:val="19"/>
          <w:szCs w:val="19"/>
          <w:color w:val="auto"/>
        </w:rPr>
        <w:t>. Each RSU represents a contingent right of the Director to receive one (1) Share at the applicable Vesting Date for such RSU.</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number of RSUs granted hereunder has been determined by dividing the total dollar value intended to be delivered to the Director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under this Award by the Fair Market Value of one (1) Share of Ashland on the Grant Date, rounded down to the nearest whole number.</w:t>
      </w:r>
    </w:p>
    <w:p>
      <w:pPr>
        <w:spacing w:after="0" w:line="178"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b w:val="1"/>
          <w:bCs w:val="1"/>
          <w:color w:val="auto"/>
        </w:rPr>
        <w:t>Vesting</w:t>
      </w:r>
      <w:r>
        <w:rPr>
          <w:rFonts w:ascii="Times New Roman" w:cs="Times New Roman" w:eastAsia="Times New Roman" w:hAnsi="Times New Roman"/>
          <w:sz w:val="19"/>
          <w:szCs w:val="19"/>
          <w:color w:val="auto"/>
        </w:rPr>
        <w:t>. The RSUs set forth above shall vest into Shares on the one (1) year anniversary of the Grant Date, provided, however, that if the Director does not seek re-election to the Board, the Shares shall vest on the date of the Board meeting that immediately precedes the one (1) year anniversary of the Grant Date if the Director is a non-employee member of the Board on such date (such date, as applicable, the Grant Date).</w:t>
      </w:r>
    </w:p>
    <w:p>
      <w:pPr>
        <w:spacing w:after="0" w:line="14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color w:val="auto"/>
        </w:rPr>
        <w:t>Forfeiture</w:t>
      </w:r>
      <w:r>
        <w:rPr>
          <w:rFonts w:ascii="Times New Roman" w:cs="Times New Roman" w:eastAsia="Times New Roman" w:hAnsi="Times New Roman"/>
          <w:sz w:val="19"/>
          <w:szCs w:val="19"/>
          <w:color w:val="auto"/>
        </w:rPr>
        <w:t>. Except as otherwise provided in this Agreement or as otherwise determined by the Committee (but subject to Section 6(i) of the Plan), if Director’s service on the Board ends for any reason other than a decision not to seek re-election to the Board in accordance with Section 3 above prior to a Vesting Date, all RSUs granted hereunder shall be forfeited. Notwithstanding the foregoing (but subject to Section 6(i) of the Plan), the Committee may, in its sole discretion, provide for accelerated vesting of the Award or any portion thereof at any time and for any reason.</w:t>
      </w:r>
    </w:p>
    <w:p>
      <w:pPr>
        <w:spacing w:after="0" w:line="14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9"/>
          <w:szCs w:val="19"/>
          <w:b w:val="1"/>
          <w:bCs w:val="1"/>
          <w:color w:val="auto"/>
        </w:rPr>
        <w:t>Death or Disability.</w:t>
      </w:r>
      <w:r>
        <w:rPr>
          <w:rFonts w:ascii="Times New Roman" w:cs="Times New Roman" w:eastAsia="Times New Roman" w:hAnsi="Times New Roman"/>
          <w:sz w:val="19"/>
          <w:szCs w:val="19"/>
          <w:color w:val="auto"/>
        </w:rPr>
        <w:t xml:space="preserve"> If the Director’s service on the Board ends due to the Director’s death or Disability, all unvested RSUs under this Award will be immediately accelerated and will vest into Shares on the date of such cessation of service due to Death or Disability within thirty (30) days of the Vesting Date.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650875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2" w:name="page193"/>
    <w:bookmarkEnd w:id="192"/>
    <w:p>
      <w:pPr>
        <w:spacing w:after="0" w:line="26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6.</w:t>
      </w:r>
      <w:r>
        <w:rPr>
          <w:rFonts w:ascii="Times New Roman" w:cs="Times New Roman" w:eastAsia="Times New Roman" w:hAnsi="Times New Roman"/>
          <w:sz w:val="19"/>
          <w:szCs w:val="19"/>
          <w:b w:val="1"/>
          <w:bCs w:val="1"/>
          <w:color w:val="auto"/>
        </w:rPr>
        <w:t>Time of Payment and Taxation</w:t>
      </w:r>
      <w:r>
        <w:rPr>
          <w:rFonts w:ascii="Times New Roman" w:cs="Times New Roman" w:eastAsia="Times New Roman" w:hAnsi="Times New Roman"/>
          <w:sz w:val="19"/>
          <w:szCs w:val="19"/>
          <w:color w:val="auto"/>
        </w:rPr>
        <w:t>. Except as otherwise provided under the Ashland Inc. Independent Director Deferred Compensation Program, the Shares underlying any RSUs that vest in accordance with this Agreement will be paid/delivered to and in the name of the Director within thirty (30) days after the Vesting Date for such tranche of RSUs, subject to tax deductions and withholding (to the extent applicable) as set forth in Section 9(d) of the Plan.</w:t>
      </w:r>
    </w:p>
    <w:p>
      <w:pPr>
        <w:spacing w:after="0" w:line="147"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9"/>
          <w:szCs w:val="19"/>
          <w:color w:val="auto"/>
        </w:rPr>
        <w:t>7.</w:t>
      </w:r>
      <w:r>
        <w:rPr>
          <w:rFonts w:ascii="Times New Roman" w:cs="Times New Roman" w:eastAsia="Times New Roman" w:hAnsi="Times New Roman"/>
          <w:sz w:val="19"/>
          <w:szCs w:val="19"/>
          <w:b w:val="1"/>
          <w:bCs w:val="1"/>
          <w:color w:val="auto"/>
        </w:rPr>
        <w:t>No Stockholder Rights</w:t>
      </w:r>
      <w:r>
        <w:rPr>
          <w:rFonts w:ascii="Times New Roman" w:cs="Times New Roman" w:eastAsia="Times New Roman" w:hAnsi="Times New Roman"/>
          <w:sz w:val="19"/>
          <w:szCs w:val="19"/>
          <w:color w:val="auto"/>
        </w:rPr>
        <w:t>. Unless and until such time as Shares are delivered in settlement of vested RSUs, Director shall have no ownership of the Shares underlying any RSUs granted under this Award or to cast any vote with respect to such Shares.</w:t>
      </w:r>
    </w:p>
    <w:p>
      <w:pPr>
        <w:spacing w:after="0" w:line="12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9"/>
          <w:szCs w:val="19"/>
          <w:color w:val="auto"/>
        </w:rPr>
        <w:t>8.</w:t>
      </w:r>
      <w:r>
        <w:rPr>
          <w:rFonts w:ascii="Times New Roman" w:cs="Times New Roman" w:eastAsia="Times New Roman" w:hAnsi="Times New Roman"/>
          <w:sz w:val="19"/>
          <w:szCs w:val="19"/>
          <w:b w:val="1"/>
          <w:bCs w:val="1"/>
          <w:color w:val="auto"/>
        </w:rPr>
        <w:t>Dividend Equivalents</w:t>
      </w:r>
      <w:r>
        <w:rPr>
          <w:rFonts w:ascii="Times New Roman" w:cs="Times New Roman" w:eastAsia="Times New Roman" w:hAnsi="Times New Roman"/>
          <w:sz w:val="19"/>
          <w:szCs w:val="19"/>
          <w:color w:val="auto"/>
        </w:rPr>
        <w:t>. While this Award is outstanding, on each date that cash dividends are paid by Ashland to holders of Shares, Ashland will increase the number of RSUs granted hereunder by (1) the product of the number of RSUs held by the Director as of the date of record for such dividend (inclusive of RSUs that have been added to the original number of RSUs pursuant to this Section 8) multiplied by the per Share cash dividend amount, divided by (2) the Fair Market Value of the Shares on the date of record for such dividend. Such additional RSUs issued in respect of cash dividends on the Shares will be subject to all the terms and conditions of this Award, this Agreement and the Plan and to the same vesting conditions and restrictions as the RSUs to which such additional RSUs relate.</w:t>
      </w:r>
    </w:p>
    <w:p>
      <w:pPr>
        <w:spacing w:after="0" w:line="15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b w:val="1"/>
          <w:bCs w:val="1"/>
          <w:color w:val="auto"/>
        </w:rPr>
        <w:t>Fractional RSUs</w:t>
      </w:r>
      <w:r>
        <w:rPr>
          <w:rFonts w:ascii="Times New Roman" w:cs="Times New Roman" w:eastAsia="Times New Roman" w:hAnsi="Times New Roman"/>
          <w:sz w:val="19"/>
          <w:szCs w:val="19"/>
          <w:color w:val="auto"/>
        </w:rPr>
        <w:t>. Notwithstanding any other provision of this Agreement or the Plan to the contrary, in the event the Director is credited with any fractional RSUs as a result of the grant of any dividend equivalents under Section 8 of this Agreement prior to the Vesting Date, such fractional RSUs shall be rounded up to the nearest whole RSU and shall otherwise vest in accordance with the terms of this Agreement.</w:t>
      </w:r>
    </w:p>
    <w:p>
      <w:pPr>
        <w:spacing w:after="0" w:line="147"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9"/>
          <w:szCs w:val="19"/>
          <w:color w:val="auto"/>
        </w:rPr>
        <w:t xml:space="preserve">10. </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The Award shall be treated in accordance with Section 8 of the Plan in the event of a Change of Control prior to the final Vesting Date.</w:t>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b w:val="1"/>
          <w:bCs w:val="1"/>
          <w:color w:val="auto"/>
        </w:rPr>
        <w:t>Compensation Recovery.</w:t>
      </w:r>
      <w:r>
        <w:rPr>
          <w:rFonts w:ascii="Times New Roman" w:cs="Times New Roman" w:eastAsia="Times New Roman" w:hAnsi="Times New Roman"/>
          <w:sz w:val="19"/>
          <w:szCs w:val="19"/>
          <w:color w:val="auto"/>
        </w:rPr>
        <w:t xml:space="preserve"> Notwithstanding anything in the Plan, this Agreement or any other agreement or declaration, 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the Director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the Director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 exchange listing requirements and any other policies). The provisions in this paragraph are not exclusive and are in addition to every other right or remedy at law or in equity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3" w:name="page194"/>
    <w:bookmarkEnd w:id="193"/>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that may be available to Ashland, including under the Plan and any other plan or agreements with the Director.</w:t>
      </w:r>
    </w:p>
    <w:p>
      <w:pPr>
        <w:spacing w:after="0" w:line="20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b w:val="1"/>
          <w:bCs w:val="1"/>
          <w:color w:val="303336"/>
        </w:rPr>
        <w:t>Non-transferability</w:t>
      </w:r>
      <w:r>
        <w:rPr>
          <w:rFonts w:ascii="Times New Roman" w:cs="Times New Roman" w:eastAsia="Times New Roman" w:hAnsi="Times New Roman"/>
          <w:sz w:val="19"/>
          <w:szCs w:val="19"/>
          <w:color w:val="auto"/>
        </w:rPr>
        <w:t>. The Director may not sell, transfer, pledge, assign, attach or otherwise alienate or hypothecate the RSUs or any rights under this Agreement other than by will or by the laws of descent or distribution and may be exercised during the lifetime of the Director only by him or her. The terms of this Agreement and Award shall be binding upon the executors, administrators, heirs, successors and assigns of the Director.</w:t>
      </w:r>
    </w:p>
    <w:p>
      <w:pPr>
        <w:spacing w:after="0" w:line="147" w:lineRule="exact"/>
        <w:rPr>
          <w:sz w:val="20"/>
          <w:szCs w:val="20"/>
          <w:color w:val="auto"/>
        </w:rPr>
      </w:pPr>
    </w:p>
    <w:p>
      <w:pPr>
        <w:ind w:right="960"/>
        <w:spacing w:after="0" w:line="288"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b w:val="1"/>
          <w:bCs w:val="1"/>
          <w:color w:val="auto"/>
        </w:rPr>
        <w:t>No Right to Employment</w:t>
      </w:r>
      <w:r>
        <w:rPr>
          <w:rFonts w:ascii="Times New Roman" w:cs="Times New Roman" w:eastAsia="Times New Roman" w:hAnsi="Times New Roman"/>
          <w:sz w:val="19"/>
          <w:szCs w:val="19"/>
          <w:color w:val="auto"/>
        </w:rPr>
        <w:t>. Nothing contained in this Agreement or in the Plan shall confer upon the Director any right to employment by, or to remain in the service of, Ashland or any of its Affiliates.</w:t>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b w:val="1"/>
          <w:bCs w:val="1"/>
          <w:color w:val="auto"/>
        </w:rPr>
        <w:t>Data Privacy</w:t>
      </w:r>
      <w:r>
        <w:rPr>
          <w:rFonts w:ascii="Times New Roman" w:cs="Times New Roman" w:eastAsia="Times New Roman" w:hAnsi="Times New Roman"/>
          <w:sz w:val="19"/>
          <w:szCs w:val="19"/>
          <w:color w:val="auto"/>
        </w:rPr>
        <w:t>. Information about the Director and the Director’s participation in the Plan may be collected, recorded and held, used and disclosed by and among Ashland, its Affiliates and any third-party Plan administrators as necessary for the purpose of managing and administering the Plan. The Director understands that such processing of this information may need to be carried out by Ashland and its Affiliates and by third party administrators whether such persons are located within the Director’s country or elsewhere, including the United States of America. By accepting this Award, the Director consents to the processing of information relating to the Director and the Director’s participation in the Plan in any one or more of the ways referred to above.</w:t>
      </w:r>
    </w:p>
    <w:p>
      <w:pPr>
        <w:spacing w:after="0" w:line="15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b w:val="1"/>
          <w:bCs w:val="1"/>
          <w:color w:val="auto"/>
        </w:rPr>
        <w:t>Electronic Delivery and Participation</w:t>
      </w:r>
      <w:r>
        <w:rPr>
          <w:rFonts w:ascii="Times New Roman" w:cs="Times New Roman" w:eastAsia="Times New Roman" w:hAnsi="Times New Roman"/>
          <w:sz w:val="19"/>
          <w:szCs w:val="19"/>
          <w:color w:val="auto"/>
        </w:rPr>
        <w:t>. Ashland and any Affiliate may, in its sole discretion, deliver any documents related to current or future participation in the Plan by electronic means. The Director hereby consents to receive such documents by electronic delivery and agrees to participate in the Plan through an online or electronic system established and maintained by Ashland, any Affiliate or a third party designated by Ashland.</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16.</w:t>
      </w:r>
      <w:r>
        <w:rPr>
          <w:rFonts w:ascii="Times New Roman" w:cs="Times New Roman" w:eastAsia="Times New Roman" w:hAnsi="Times New Roman"/>
          <w:sz w:val="19"/>
          <w:szCs w:val="19"/>
          <w:b w:val="1"/>
          <w:bCs w:val="1"/>
          <w:color w:val="auto"/>
        </w:rPr>
        <w:t>Code Section 409A.</w:t>
      </w:r>
      <w:r>
        <w:rPr>
          <w:rFonts w:ascii="Times New Roman" w:cs="Times New Roman" w:eastAsia="Times New Roman" w:hAnsi="Times New Roman"/>
          <w:sz w:val="19"/>
          <w:szCs w:val="19"/>
          <w:color w:val="auto"/>
        </w:rPr>
        <w:t xml:space="preserve"> To the extent applicable, for purposes of this Agreement, the Director’s separation from service will be determined consistent with the rules relating to a “separation from service” within the meaning of Code Section 409A and the regulations and other guidance promulgated thereunder (“Section 409A”). Notwithstanding anything provided herein to the contrary, to the extent of any payments provided under this Agreement in connection with the Director’s separation from service with Ashland and its Affiliates constitute “nonqualified deferred compensation” within the meaning of Section 409A, and the Director is a “specified employee” within the meaning of Section 409A upon such separation from service, then such payment shall not be made until the earlier of (i) the expiration of the six month period measured from the Director’s separation date, or (ii) the date of the Director’s death following such separation date. The Director acknowledges that, regardless of any action taken by Ashland and its Affiliates, the liability for all taxes related to the Award and this Agreement are the sole responsibility of the Director, and nether Ashland nor its Affiliates are liable to the Director for any taxes, penalties and interest incurred by the Director relating to the Award and this Agreement.</w:t>
      </w:r>
    </w:p>
    <w:p>
      <w:pPr>
        <w:spacing w:after="0" w:line="160"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9"/>
          <w:szCs w:val="19"/>
          <w:color w:val="auto"/>
        </w:rPr>
        <w:t>17.</w:t>
      </w:r>
      <w:r>
        <w:rPr>
          <w:rFonts w:ascii="Times New Roman" w:cs="Times New Roman" w:eastAsia="Times New Roman" w:hAnsi="Times New Roman"/>
          <w:sz w:val="19"/>
          <w:szCs w:val="19"/>
          <w:b w:val="1"/>
          <w:bCs w:val="1"/>
          <w:color w:val="auto"/>
        </w:rPr>
        <w:t>Acceptance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Award of RSUs is subject to and expressly conditioned upon the Director’s on-line acceptance of the terms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and conditions of the Plan, this Agreement, and the Award through the Karr Barth website.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4" w:name="page195"/>
    <w:bookmarkEnd w:id="194"/>
    <w:p>
      <w:pPr>
        <w:spacing w:after="0" w:line="269" w:lineRule="exact"/>
        <w:rPr>
          <w:sz w:val="20"/>
          <w:szCs w:val="20"/>
          <w:color w:val="auto"/>
        </w:rPr>
      </w:pPr>
    </w:p>
    <w:p>
      <w:pPr>
        <w:ind w:left="700"/>
        <w:spacing w:after="0" w:line="257" w:lineRule="auto"/>
        <w:rPr>
          <w:sz w:val="20"/>
          <w:szCs w:val="20"/>
          <w:color w:val="auto"/>
        </w:rPr>
      </w:pPr>
      <w:r>
        <w:rPr>
          <w:rFonts w:ascii="Times New Roman" w:cs="Times New Roman" w:eastAsia="Times New Roman" w:hAnsi="Times New Roman"/>
          <w:sz w:val="19"/>
          <w:szCs w:val="19"/>
          <w:color w:val="auto"/>
        </w:rPr>
        <w:t>By accepting the terms and conditions of this Agreement, the Director acknowledges that he or she has access to or the ability to request a copy of the Plan, Prospectus, and Ashland’s most recent Annual Report and Proxy Statement from the Karr Barth website, the SEC’s EDGAR filing website, or by contacting Ashland’s Chief Human Resources Officer. The terms and provisions of the Plan are incorporated herein by reference. The Director hereby accepts this Award on the terms and conditions set forth herein and, in the Plan, and acknowledges that he or she has had the opportunity to obtain independent legal advice at his or her expense prior to accepting this Award.</w:t>
      </w:r>
    </w:p>
    <w:p>
      <w:pPr>
        <w:spacing w:after="0" w:line="15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9"/>
          <w:szCs w:val="19"/>
          <w:color w:val="auto"/>
        </w:rPr>
        <w:t>IN WITNESS WHEREOF, Ashland Inc. has caused this instrument to be executed and delivered effective as of the Grant Date set forth above.</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#Signature#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#ParticipantName#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#AcceptanceDate#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2861945</wp:posOffset>
            </wp:positionH>
            <wp:positionV relativeFrom="page">
              <wp:posOffset>727710</wp:posOffset>
            </wp:positionV>
            <wp:extent cx="1829435" cy="6172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829435" cy="6172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9"/>
          <w:szCs w:val="19"/>
          <w:color w:val="auto"/>
        </w:rPr>
        <w:t>EXHIBIT 10.70</w:t>
      </w:r>
    </w:p>
    <w:p>
      <w:pPr>
        <w:spacing w:after="0" w:line="2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STOCK-SETTLED STOCK APPRECIATION RIGHTS AWARD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U.S. PARTICIPANTS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Ashland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2021 Omnibus Incentive Compensation Plan</w:t>
      </w:r>
    </w:p>
    <w:p>
      <w:pPr>
        <w:sectPr>
          <w:pgSz w:w="11900" w:h="16840" w:orient="portrait"/>
          <w:cols w:equalWidth="0" w:num="1">
            <w:col w:w="10580"/>
          </w:cols>
          <w:pgMar w:left="660" w:top="1440" w:right="660" w:bottom="1440" w:gutter="0" w:footer="0" w:header="0"/>
        </w:sectPr>
      </w:pP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Stock Appreciation Rights (“SARs”) Granted:</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Grant Price per Share:</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Vesting 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Signature Required By:</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#QuantityGranted#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 By#</w:t>
      </w:r>
    </w:p>
    <w:p>
      <w:pPr>
        <w:spacing w:after="0" w:line="200" w:lineRule="exact"/>
        <w:rPr>
          <w:sz w:val="20"/>
          <w:szCs w:val="20"/>
          <w:color w:val="auto"/>
        </w:rPr>
      </w:pPr>
    </w:p>
    <w:p>
      <w:pPr>
        <w:sectPr>
          <w:pgSz w:w="11900" w:h="16840" w:orient="portrait"/>
          <w:cols w:equalWidth="0" w:num="2">
            <w:col w:w="6060" w:space="720"/>
            <w:col w:w="3800"/>
          </w:cols>
          <w:pgMar w:left="660" w:top="1440" w:right="660" w:bottom="1440" w:gutter="0" w:footer="0" w:header="0"/>
          <w:type w:val="continuous"/>
        </w:sectPr>
      </w:pPr>
    </w:p>
    <w:p>
      <w:pPr>
        <w:spacing w:after="0" w:line="13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Grant.</w:t>
      </w:r>
      <w:r>
        <w:rPr>
          <w:rFonts w:ascii="Times New Roman" w:cs="Times New Roman" w:eastAsia="Times New Roman" w:hAnsi="Times New Roman"/>
          <w:sz w:val="19"/>
          <w:szCs w:val="19"/>
          <w:color w:val="auto"/>
        </w:rPr>
        <w:t xml:space="preserve"> Ashland Inc. (“Ashland”) hereby grants to the above-named individual (the “Participant”) #QuantityGranted# SARs (the “Award”) pursuant to and subject to the terms of the Ashland Inc. 2021 Omnibus Incentive Compensation Plan (the “Plan”) and this Stock-Settled Stock Appreciation Rights Award Agreement for U.S. Participants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4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9"/>
          <w:szCs w:val="19"/>
          <w:b w:val="1"/>
          <w:bCs w:val="1"/>
          <w:color w:val="auto"/>
        </w:rPr>
        <w:t>SARs.</w:t>
      </w:r>
      <w:r>
        <w:rPr>
          <w:rFonts w:ascii="Times New Roman" w:cs="Times New Roman" w:eastAsia="Times New Roman" w:hAnsi="Times New Roman"/>
          <w:sz w:val="19"/>
          <w:szCs w:val="19"/>
          <w:color w:val="auto"/>
        </w:rPr>
        <w:t xml:space="preserve"> Each SAR represents a contingent right of the Participant to receive a number of Shares with an aggregate Fair Market Value equal to the product of (i) the excess of the Fair Market Value of one (1) Share at the time a SAR is exercised over the grant price per Share of the SAR as set forth above (the “Per SAR Value”)), multiplied by (ii) the number of SARs exercised. [Fractional Shares relating to such exercise entitle the Participant to a cash payment in lieu of such fractional Share.]</w:t>
      </w:r>
    </w:p>
    <w:p>
      <w:pPr>
        <w:spacing w:after="0" w:line="1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b w:val="1"/>
          <w:bCs w:val="1"/>
          <w:color w:val="auto"/>
        </w:rPr>
        <w:t>Vesting.</w:t>
      </w:r>
      <w:r>
        <w:rPr>
          <w:rFonts w:ascii="Times New Roman" w:cs="Times New Roman" w:eastAsia="Times New Roman" w:hAnsi="Times New Roman"/>
          <w:sz w:val="19"/>
          <w:szCs w:val="19"/>
          <w:color w:val="auto"/>
        </w:rPr>
        <w:t xml:space="preserve"> On each vesting date set forth above (each such date, a “Vesting Date”) the corresponding number of SARs set forth above for such Vesting Date (each, a “tranche”) shall vest, subject to the Participant’s continuous service as an officer, employee or consultant of Ashland or any of its Affiliates (“Continuous Service”) through each Vesting Date, except as otherwise provided in this Agreement. To the extent vested, SARs may be exercised by the Participant, as provided in the Plan and this Agreement, until the Expiration Date or such earlier date that the Award expires pursuant to the Plan or in accordance with this Agreement.</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579120</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96" w:name="page197"/>
    <w:bookmarkEnd w:id="196"/>
    <w:p>
      <w:pPr>
        <w:spacing w:after="0" w:line="26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color w:val="auto"/>
        </w:rPr>
        <w:t>Forfeiture</w:t>
      </w:r>
      <w:r>
        <w:rPr>
          <w:rFonts w:ascii="Times New Roman" w:cs="Times New Roman" w:eastAsia="Times New Roman" w:hAnsi="Times New Roman"/>
          <w:sz w:val="19"/>
          <w:szCs w:val="19"/>
          <w:color w:val="auto"/>
        </w:rPr>
        <w:t>. Except as otherwise provided in this Agreement or as otherwise determined by the Committee (but subject to Section 6(i) of the Plan), if Participant’s Continuous Service ends for any reason prior to the Vesting Date, all unvested SARs granted hereunder shall be forfeited. Notwithstanding the foregoing (but subject to Section 6(i) of the Plan), the Committee may, in its sole discretion, provide for accelerated vesting of the Award or any portion thereof at any time and for any reason.</w:t>
      </w:r>
    </w:p>
    <w:p>
      <w:pPr>
        <w:spacing w:after="0" w:line="14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9"/>
          <w:szCs w:val="19"/>
          <w:b w:val="1"/>
          <w:bCs w:val="1"/>
          <w:color w:val="auto"/>
        </w:rPr>
        <w:t>Retirement</w:t>
      </w:r>
      <w:r>
        <w:rPr>
          <w:rFonts w:ascii="Times New Roman" w:cs="Times New Roman" w:eastAsia="Times New Roman" w:hAnsi="Times New Roman"/>
          <w:sz w:val="19"/>
          <w:szCs w:val="19"/>
          <w:color w:val="auto"/>
        </w:rPr>
        <w:t>. If the Participant’s Continuous Service ends due to Retirement after the fiscal year that includes the Grant Date set forth above, then all unvested SARs under this Agreement shall be immediately accelerated and vest in full as of the date of such Retirement, and all vested SARs shall be exercisable until the Expiration Date. If the Participant’s Retirement occurs before the end of the fiscal year that includes the Grant Date set forth above, all unvested SARs granted hereunder shall be forfeited unless such Retirement is the result of Participant’s termination without Cause (as defined below), in which case Participant’s unvested SARs shall be treated in accordance with Section 7, below. For purposes of this Agreement, “Retirement” shall mean a termination of Participant’s employment for any reason other than death, Disability, or Cause (as defined below), that is a ”separation from service” within the meaning of Section 409A of the Code(“Section 409A”), after attaining age 55 and having at least ten (10) years of Continuous Service, or after attaining age 60 and having at least five (5) years of Continuous Service.</w:t>
      </w:r>
    </w:p>
    <w:p>
      <w:pPr>
        <w:spacing w:after="0" w:line="15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6.</w:t>
      </w:r>
      <w:r>
        <w:rPr>
          <w:rFonts w:ascii="Times New Roman" w:cs="Times New Roman" w:eastAsia="Times New Roman" w:hAnsi="Times New Roman"/>
          <w:sz w:val="19"/>
          <w:szCs w:val="19"/>
          <w:b w:val="1"/>
          <w:bCs w:val="1"/>
          <w:color w:val="auto"/>
        </w:rPr>
        <w:t>Death or Disability</w:t>
      </w:r>
      <w:r>
        <w:rPr>
          <w:rFonts w:ascii="Times New Roman" w:cs="Times New Roman" w:eastAsia="Times New Roman" w:hAnsi="Times New Roman"/>
          <w:sz w:val="19"/>
          <w:szCs w:val="19"/>
          <w:color w:val="auto"/>
        </w:rPr>
        <w:t>. If the Participant’s Continuous Service ends due to death or Disability, all unvested SARs under this Award will be immediately accelerated and will vest in full on the date of such termination due to death or Disability. The termination date coincides with the last day of active service or protected leave of absence, prior to death or Disability. All vested SARs shall be exercisable until the Expiration Date.</w:t>
      </w:r>
    </w:p>
    <w:p>
      <w:pPr>
        <w:spacing w:after="0" w:line="1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7.</w:t>
      </w:r>
      <w:r>
        <w:rPr>
          <w:rFonts w:ascii="Times New Roman" w:cs="Times New Roman" w:eastAsia="Times New Roman" w:hAnsi="Times New Roman"/>
          <w:sz w:val="19"/>
          <w:szCs w:val="19"/>
          <w:b w:val="1"/>
          <w:bCs w:val="1"/>
          <w:color w:val="auto"/>
        </w:rPr>
        <w:t>Termination without Cause</w:t>
      </w:r>
      <w:r>
        <w:rPr>
          <w:rFonts w:ascii="Times New Roman" w:cs="Times New Roman" w:eastAsia="Times New Roman" w:hAnsi="Times New Roman"/>
          <w:sz w:val="19"/>
          <w:szCs w:val="19"/>
          <w:color w:val="auto"/>
        </w:rPr>
        <w:t>. If the Participant is otherwise terminated by Ashland or any of its Affiliates for any reason other than death, Disability, or Cause prior to the earlier of the Vesting Date or Retirement, each remaining unvested tranche of SARs will be pro - rated vested (with such proration being based on the number of days from the Grant Date through the date of such termination divided by the total number of days between the Grant Date and the Vesting Date applicable to such tranche)provided that the Participant has delivered to the Company and has allowed to become non-revocable a fully executed separation agreement and release (to the extent that a separation agreement and release has been requested from the Participant by the Company). For the avoidance of any doubt, if the Participant has failed to deliver and allow to become non-revocable a fully executed separation and release that has been requested from the Participant by the Company by the Outside Date, any such unvested SARs shall be forfeited. All vested SARs shall be exercisable until the Expiration Date.</w:t>
      </w:r>
    </w:p>
    <w:p>
      <w:pPr>
        <w:spacing w:after="0" w:line="157" w:lineRule="exact"/>
        <w:rPr>
          <w:sz w:val="20"/>
          <w:szCs w:val="20"/>
          <w:color w:val="auto"/>
        </w:rPr>
      </w:pPr>
    </w:p>
    <w:p>
      <w:pPr>
        <w:ind w:left="700" w:right="160"/>
        <w:spacing w:after="0" w:line="256" w:lineRule="auto"/>
        <w:rPr>
          <w:sz w:val="20"/>
          <w:szCs w:val="20"/>
          <w:color w:val="auto"/>
        </w:rPr>
      </w:pPr>
      <w:r>
        <w:rPr>
          <w:rFonts w:ascii="Times New Roman" w:cs="Times New Roman" w:eastAsia="Times New Roman" w:hAnsi="Times New Roman"/>
          <w:sz w:val="19"/>
          <w:szCs w:val="19"/>
          <w:color w:val="auto"/>
        </w:rPr>
        <w:t>For purposes of this Agreement only, the term “Cause” shall mean (i) if the Participant has an employment agreement with the Company or any of its Affiliates in which the term “Cause” is defined, the meaning which is provided for such term in such agreement, or (ii) otherwise, (x) the willful and continued failure of the Participant to substantially perform his or her duties with the Company or any Affiliate (other than such failure resulting from the such individual’s incapacity due to physical or mental illness, death, or Disability), (y) any act by the Participant that would constitute a felony under the laws of the United States (or an act that would be treated substantially similarly to a felony under the laws of a jurisdiction other than the United States), or (z) any act or</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464820</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7" w:name="page198"/>
    <w:bookmarkEnd w:id="197"/>
    <w:p>
      <w:pPr>
        <w:spacing w:after="0" w:line="269" w:lineRule="exact"/>
        <w:rPr>
          <w:sz w:val="20"/>
          <w:szCs w:val="20"/>
          <w:color w:val="auto"/>
        </w:rPr>
      </w:pPr>
    </w:p>
    <w:p>
      <w:pPr>
        <w:ind w:left="700" w:right="60"/>
        <w:spacing w:after="0" w:line="262" w:lineRule="auto"/>
        <w:rPr>
          <w:sz w:val="20"/>
          <w:szCs w:val="20"/>
          <w:color w:val="auto"/>
        </w:rPr>
      </w:pPr>
      <w:r>
        <w:rPr>
          <w:rFonts w:ascii="Times New Roman" w:cs="Times New Roman" w:eastAsia="Times New Roman" w:hAnsi="Times New Roman"/>
          <w:sz w:val="19"/>
          <w:szCs w:val="19"/>
          <w:color w:val="auto"/>
        </w:rPr>
        <w:t>omission by such individual which reasonably constitutes dishonesty, disloyalty, fraud, deceit, gross negligence, willful misconduct or recklessness during the course of his or her duties, including, but not limited to the willful violation of the Company’s by-laws, Global Code of Conduct, or other policies and procedures of the Company or of an Affiliate governing the Participant’s conduct.</w:t>
      </w:r>
    </w:p>
    <w:p>
      <w:pPr>
        <w:spacing w:after="0" w:line="14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8.</w:t>
      </w:r>
      <w:r>
        <w:rPr>
          <w:rFonts w:ascii="Times New Roman" w:cs="Times New Roman" w:eastAsia="Times New Roman" w:hAnsi="Times New Roman"/>
          <w:sz w:val="19"/>
          <w:szCs w:val="19"/>
          <w:b w:val="1"/>
          <w:bCs w:val="1"/>
          <w:color w:val="auto"/>
        </w:rPr>
        <w:t>Settlement</w:t>
      </w:r>
      <w:r>
        <w:rPr>
          <w:rFonts w:ascii="Times New Roman" w:cs="Times New Roman" w:eastAsia="Times New Roman" w:hAnsi="Times New Roman"/>
          <w:sz w:val="19"/>
          <w:szCs w:val="19"/>
          <w:color w:val="auto"/>
        </w:rPr>
        <w:t>. As soon as administratively practicable following the applicable date of exercise of a vested tranche of SARs, the Participant shall receive Shares [(and a cash payment related to any fractional Shares)] equal to the Per SAR Value as of the exercise date multiplied by the applicable number of vested SARs that have been exercised. Such Shares [(and any cash payment related to any fractional Shares)] shall be less applicable withholdings as may be required under Section 9 below.</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b w:val="1"/>
          <w:bCs w:val="1"/>
          <w:color w:val="auto"/>
        </w:rPr>
        <w:t>Responsibility for Taxes</w:t>
      </w:r>
      <w:r>
        <w:rPr>
          <w:rFonts w:ascii="Times New Roman" w:cs="Times New Roman" w:eastAsia="Times New Roman" w:hAnsi="Times New Roman"/>
          <w:sz w:val="19"/>
          <w:szCs w:val="19"/>
          <w:color w:val="auto"/>
        </w:rPr>
        <w:t>. Regardless of any action Ashland or any of its Affiliates takes with respect to any or all income tax, Social Security, Medicare, payroll tax, payment on account or other tax-related items related to the Award (“Tax-Related Items”), the Participant acknowledges that the ultimate liability for all Tax -Related Items legally owed by the Participant are and remain the Participant’s responsibility and neither Ashland nor any of its Affiliates: (a) make any representations or undertakings regarding the treatment of any Tax-Related Items in connection with any aspect of the Award, including the grant of the SARs, the vesting of the SARs and any Shares [(and any cash payments in lieu of any fractional Shares)] in settlement of any exercise of vested SARs, and (b) commit to structure the terms of the grant or any aspect of the SARs to reduce or eliminate the Participant’s liability for Tax-Related Items.</w:t>
      </w:r>
    </w:p>
    <w:p>
      <w:pPr>
        <w:spacing w:after="0" w:line="159" w:lineRule="exact"/>
        <w:rPr>
          <w:sz w:val="20"/>
          <w:szCs w:val="20"/>
          <w:color w:val="auto"/>
        </w:rPr>
      </w:pPr>
    </w:p>
    <w:p>
      <w:pPr>
        <w:ind w:left="700" w:right="200"/>
        <w:spacing w:after="0" w:line="255" w:lineRule="auto"/>
        <w:rPr>
          <w:sz w:val="20"/>
          <w:szCs w:val="20"/>
          <w:color w:val="auto"/>
        </w:rPr>
      </w:pPr>
      <w:r>
        <w:rPr>
          <w:rFonts w:ascii="Times New Roman" w:cs="Times New Roman" w:eastAsia="Times New Roman" w:hAnsi="Times New Roman"/>
          <w:sz w:val="19"/>
          <w:szCs w:val="19"/>
          <w:color w:val="auto"/>
        </w:rPr>
        <w:t>Prior to the delivery of any Shares [(and any cash payment related to any fractional Shares)] owed to the Participant upon the exercise of vested SARs the Company or Affiliate employing the Participant (the “Employer”) shall withhold a portion of the Shares sufficient to satisfy such Tax -Related Items. Alternatively, the Employer may satisfy such Tax-Related Items by withholding such amounts from the Participant’s regular salary, wages, or any other amounts payable to the Participant, to the extent not prohibited by applicable law. If, upon the exercise of vested SARs, the amount of such withholding obligations exceed the amounts available through withholdings from such Shares, or the Participant’s regular salary, wages, or other amounts payable to the Participant, then no Shares in respect of the exercise of vested SARs will be issued to the Participant unless and until satisfactory arrangements (as determined by the Committee in its sole discretion) have been made for the Participant to contribute funding to fully satisfy any such withholding obligations.</w:t>
      </w:r>
    </w:p>
    <w:p>
      <w:pPr>
        <w:spacing w:after="0" w:line="155" w:lineRule="exact"/>
        <w:rPr>
          <w:sz w:val="20"/>
          <w:szCs w:val="20"/>
          <w:color w:val="auto"/>
        </w:rPr>
      </w:pPr>
    </w:p>
    <w:p>
      <w:pPr>
        <w:ind w:left="700" w:right="20"/>
        <w:spacing w:after="0" w:line="257" w:lineRule="auto"/>
        <w:rPr>
          <w:sz w:val="20"/>
          <w:szCs w:val="20"/>
          <w:color w:val="auto"/>
        </w:rPr>
      </w:pPr>
      <w:r>
        <w:rPr>
          <w:rFonts w:ascii="Times New Roman" w:cs="Times New Roman" w:eastAsia="Times New Roman" w:hAnsi="Times New Roman"/>
          <w:sz w:val="19"/>
          <w:szCs w:val="19"/>
          <w:color w:val="auto"/>
        </w:rPr>
        <w:t>If the Participant relocates to another jurisdiction at any time prior to the Expiration Date for the SARs, the Participant shall be responsible for notifying Ashland of such relocation and shall be responsible for compliance with all applicable tax requirements. If the Participant is subject to taxation in more than one jurisdiction, the Participant acknowledges and agrees that Ashland or any of its Affiliates may be required to withhold or account for Tax-Related Items in more than one jurisdiction. By accepting this Award, the Participant expressly and explicitly consents to the withholding methods provided for hereunder. All other Tax-Related Items related to the SARs shall be the Participant’s sole responsibility.</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16"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3</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0"/>
          <w:szCs w:val="10"/>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471805</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8" w:name="page199"/>
    <w:bookmarkEnd w:id="198"/>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b w:val="1"/>
          <w:bCs w:val="1"/>
          <w:color w:val="auto"/>
        </w:rPr>
        <w:t>Acknowledgement and Waiver</w:t>
      </w:r>
      <w:r>
        <w:rPr>
          <w:rFonts w:ascii="Times New Roman" w:cs="Times New Roman" w:eastAsia="Times New Roman" w:hAnsi="Times New Roman"/>
          <w:sz w:val="19"/>
          <w:szCs w:val="19"/>
          <w:color w:val="auto"/>
        </w:rPr>
        <w:t>. By accepting this Award, the Participant acknowledges, understands and agrees that:</w:t>
      </w:r>
    </w:p>
    <w:p>
      <w:pPr>
        <w:spacing w:after="0" w:line="204" w:lineRule="exact"/>
        <w:rPr>
          <w:sz w:val="20"/>
          <w:szCs w:val="20"/>
          <w:color w:val="auto"/>
        </w:rPr>
      </w:pPr>
    </w:p>
    <w:p>
      <w:pPr>
        <w:ind w:left="700" w:right="160"/>
        <w:spacing w:after="0" w:line="286" w:lineRule="auto"/>
        <w:rPr>
          <w:sz w:val="20"/>
          <w:szCs w:val="20"/>
          <w:color w:val="auto"/>
        </w:rPr>
      </w:pPr>
      <w:r>
        <w:rPr>
          <w:rFonts w:ascii="Times New Roman" w:cs="Times New Roman" w:eastAsia="Times New Roman" w:hAnsi="Times New Roman"/>
          <w:sz w:val="19"/>
          <w:szCs w:val="19"/>
          <w:color w:val="auto"/>
        </w:rPr>
        <w:t>(a)the Plan is established voluntarily by Ashland, may be discretionary in nature or execution, and may be modified, amended, suspended or terminated by Ashland at any time;</w:t>
      </w:r>
    </w:p>
    <w:p>
      <w:pPr>
        <w:spacing w:after="0" w:line="127" w:lineRule="exact"/>
        <w:rPr>
          <w:sz w:val="20"/>
          <w:szCs w:val="20"/>
          <w:color w:val="auto"/>
        </w:rPr>
      </w:pPr>
    </w:p>
    <w:p>
      <w:pPr>
        <w:ind w:left="700" w:right="20"/>
        <w:spacing w:after="0" w:line="286" w:lineRule="auto"/>
        <w:rPr>
          <w:sz w:val="20"/>
          <w:szCs w:val="20"/>
          <w:color w:val="auto"/>
        </w:rPr>
      </w:pPr>
      <w:r>
        <w:rPr>
          <w:rFonts w:ascii="Times New Roman" w:cs="Times New Roman" w:eastAsia="Times New Roman" w:hAnsi="Times New Roman"/>
          <w:sz w:val="19"/>
          <w:szCs w:val="19"/>
          <w:color w:val="auto"/>
        </w:rPr>
        <w:t>(b)the grant of SARs is exceptional, voluntary and occasional and does not create any contractual or other right to receive future grants of SARs, or benefits in lieu of SARs, even if SARs have been granted in the past;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(c)all decisions with respect to future grants, if any, will be at the sole discretion of Ashland;</w:t>
      </w:r>
    </w:p>
    <w:p>
      <w:pPr>
        <w:spacing w:after="0" w:line="202" w:lineRule="exact"/>
        <w:rPr>
          <w:sz w:val="20"/>
          <w:szCs w:val="20"/>
          <w:color w:val="auto"/>
        </w:rPr>
      </w:pPr>
    </w:p>
    <w:p>
      <w:pPr>
        <w:ind w:left="700" w:right="160"/>
        <w:spacing w:after="0" w:line="268" w:lineRule="auto"/>
        <w:rPr>
          <w:sz w:val="20"/>
          <w:szCs w:val="20"/>
          <w:color w:val="auto"/>
        </w:rPr>
      </w:pPr>
      <w:r>
        <w:rPr>
          <w:rFonts w:ascii="Times New Roman" w:cs="Times New Roman" w:eastAsia="Times New Roman" w:hAnsi="Times New Roman"/>
          <w:sz w:val="19"/>
          <w:szCs w:val="19"/>
          <w:color w:val="auto"/>
        </w:rPr>
        <w:t>(d)the Participant’s participation in the Plan shall not create a right to continued employment with Ashland or any of its Affiliates, as applicable, and shall not interfere with the ability of Ashland or any of its Affiliates to terminate the Participant’s employment relationship at any time as may be permitted under applicable law and/or any employment agreement;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(e)the Participant is participating voluntarily in the Plan;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(f)this Award and any resulting benefits are not intended to replace any pension rights or compensation;</w:t>
      </w:r>
    </w:p>
    <w:p>
      <w:pPr>
        <w:spacing w:after="0" w:line="202" w:lineRule="exact"/>
        <w:rPr>
          <w:sz w:val="20"/>
          <w:szCs w:val="20"/>
          <w:color w:val="auto"/>
        </w:rPr>
      </w:pPr>
    </w:p>
    <w:p>
      <w:pPr>
        <w:ind w:left="700" w:right="40"/>
        <w:spacing w:after="0" w:line="262" w:lineRule="auto"/>
        <w:rPr>
          <w:sz w:val="20"/>
          <w:szCs w:val="20"/>
          <w:color w:val="auto"/>
        </w:rPr>
      </w:pPr>
      <w:r>
        <w:rPr>
          <w:rFonts w:ascii="Times New Roman" w:cs="Times New Roman" w:eastAsia="Times New Roman" w:hAnsi="Times New Roman"/>
          <w:sz w:val="19"/>
          <w:szCs w:val="19"/>
          <w:color w:val="auto"/>
        </w:rPr>
        <w:t>(g)this Award and any resulting benefits are not part of normal or expected compensation or salary for any purposes, including, but not limited to calculating any severance, resignation, termination, redundancy, dismissal, end -of-service payments, bonuses, holiday pay, long-service awards, pension or retirement or welfare benefits or similar mandatory payments and in no event should be considered as compensation for, or relating in any way to, past services for Ashland, its Affiliates or the Employer;</w:t>
      </w:r>
    </w:p>
    <w:p>
      <w:pPr>
        <w:spacing w:after="0" w:line="150" w:lineRule="exact"/>
        <w:rPr>
          <w:sz w:val="20"/>
          <w:szCs w:val="20"/>
          <w:color w:val="auto"/>
        </w:rPr>
      </w:pPr>
    </w:p>
    <w:p>
      <w:pPr>
        <w:ind w:left="700" w:right="100"/>
        <w:spacing w:after="0" w:line="286" w:lineRule="auto"/>
        <w:rPr>
          <w:sz w:val="20"/>
          <w:szCs w:val="20"/>
          <w:color w:val="auto"/>
        </w:rPr>
      </w:pPr>
      <w:r>
        <w:rPr>
          <w:rFonts w:ascii="Times New Roman" w:cs="Times New Roman" w:eastAsia="Times New Roman" w:hAnsi="Times New Roman"/>
          <w:sz w:val="19"/>
          <w:szCs w:val="19"/>
          <w:color w:val="auto"/>
        </w:rPr>
        <w:t>(h)unless otherwise agreed with Ashland, the SARs and any income and value relating thereto, are not granted as consideration for, or in connection with, the service the Participant may provide as a director of the Company or any Affiliate;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(i)the future value of the Shares underlying the SARs is unknown, indeterminable and cannot be predicted with certainty; and</w:t>
      </w:r>
    </w:p>
    <w:p>
      <w:pPr>
        <w:spacing w:after="0" w:line="202" w:lineRule="exact"/>
        <w:rPr>
          <w:sz w:val="20"/>
          <w:szCs w:val="20"/>
          <w:color w:val="auto"/>
        </w:rPr>
      </w:pPr>
    </w:p>
    <w:p>
      <w:pPr>
        <w:ind w:left="700" w:right="100"/>
        <w:spacing w:after="0" w:line="286" w:lineRule="auto"/>
        <w:rPr>
          <w:sz w:val="20"/>
          <w:szCs w:val="20"/>
          <w:color w:val="auto"/>
        </w:rPr>
      </w:pPr>
      <w:r>
        <w:rPr>
          <w:rFonts w:ascii="Times New Roman" w:cs="Times New Roman" w:eastAsia="Times New Roman" w:hAnsi="Times New Roman"/>
          <w:sz w:val="19"/>
          <w:szCs w:val="19"/>
          <w:color w:val="auto"/>
        </w:rPr>
        <w:t>(j)no claim or entitlement to compensation or damages shall arise from forfeiture of the SARs resulting from termination of the Participant’s Continuous Service (for any reason whatsoever and whether or not in breach of labor laws).</w:t>
      </w:r>
    </w:p>
    <w:p>
      <w:pPr>
        <w:spacing w:after="0" w:line="12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b w:val="1"/>
          <w:bCs w:val="1"/>
          <w:color w:val="auto"/>
        </w:rPr>
        <w:t>Data Privacy</w:t>
      </w:r>
      <w:r>
        <w:rPr>
          <w:rFonts w:ascii="Times New Roman" w:cs="Times New Roman" w:eastAsia="Times New Roman" w:hAnsi="Times New Roman"/>
          <w:sz w:val="19"/>
          <w:szCs w:val="19"/>
          <w:color w:val="auto"/>
        </w:rPr>
        <w:t>. Ashland (or the “Company”) is located at 8145 Blazer Drive, Wilmington, DE 19808, U.S.A. and grants SARs under the Plan and its ongoing administration of such SARs, the Company is providing the following information about its data collection, processing and transfer practices (“Personal Data Activities”). In accepting the grant of SARs, the Participant expressly and explicitly consents to the Personal Data Activities as described herein, except to the extent the following provisions are specifically modified by the Addendum to this Agreement.</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464820</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9" w:name="page200"/>
    <w:bookmarkEnd w:id="199"/>
    <w:p>
      <w:pPr>
        <w:spacing w:after="0" w:line="269" w:lineRule="exact"/>
        <w:rPr>
          <w:sz w:val="20"/>
          <w:szCs w:val="20"/>
          <w:color w:val="auto"/>
        </w:rPr>
      </w:pPr>
    </w:p>
    <w:p>
      <w:pPr>
        <w:ind w:left="700" w:right="220"/>
        <w:spacing w:after="0" w:line="255" w:lineRule="auto"/>
        <w:rPr>
          <w:sz w:val="20"/>
          <w:szCs w:val="20"/>
          <w:color w:val="auto"/>
        </w:rPr>
      </w:pPr>
      <w:r>
        <w:rPr>
          <w:rFonts w:ascii="Times New Roman" w:cs="Times New Roman" w:eastAsia="Times New Roman" w:hAnsi="Times New Roman"/>
          <w:sz w:val="19"/>
          <w:szCs w:val="19"/>
          <w:color w:val="auto"/>
        </w:rPr>
        <w:t>(a)Data Collection, Processing and Usage. The Company processes the Participant’s personal data, including the Participant’s name, home address, email address, and telephone number, date of birth, social insurance number or other identification number, salary, citizenship, job title, any shares of stock or directorships held in the Company, and details of all SARs or any other equity compensation awards granted, canceled, exercised, vested, or outstanding in the Participant’s favor, which the Company receives from the Participant or the Employer. In granting the SARs under the Plan, the Company will process the Participant’s personal data for purposes of allocating the cash payment and implementing, administering and managing the Plan. The Company’s legal basis for the collection, processing and usage of the Participant’s personal data is the Participant’s consent.</w:t>
      </w:r>
    </w:p>
    <w:p>
      <w:pPr>
        <w:spacing w:after="0" w:line="160" w:lineRule="exact"/>
        <w:rPr>
          <w:sz w:val="20"/>
          <w:szCs w:val="20"/>
          <w:color w:val="auto"/>
        </w:rPr>
      </w:pPr>
    </w:p>
    <w:p>
      <w:pPr>
        <w:ind w:left="700" w:right="100"/>
        <w:spacing w:after="0" w:line="256" w:lineRule="auto"/>
        <w:rPr>
          <w:sz w:val="20"/>
          <w:szCs w:val="20"/>
          <w:color w:val="auto"/>
        </w:rPr>
      </w:pPr>
      <w:r>
        <w:rPr>
          <w:rFonts w:ascii="Times New Roman" w:cs="Times New Roman" w:eastAsia="Times New Roman" w:hAnsi="Times New Roman"/>
          <w:sz w:val="19"/>
          <w:szCs w:val="19"/>
          <w:color w:val="auto"/>
        </w:rPr>
        <w:t>(b)Stock Plan Administration Service Provider. The Company may transfer the Participant’s personal data to Fidelity Stock Plan Services LLC, an independent service provider based in the United States, which may assist the Company with the implementation, administration and management of the Plan (the “Stock Plan Administrator”). In the future, the Company may select a different Stock Plan Administrator and share the Participant’s personal data with another company that serves in a similar manner. The Stock Plan Administrator may open an account for the Participant to receive any cash payment acquired under the Plan. The Participant will be asked to agree on separate terms and data processing practices with the Stock Plan Administrator, which is a condition to the Participant’s ability to participate in the Plan.</w:t>
      </w:r>
    </w:p>
    <w:p>
      <w:pPr>
        <w:spacing w:after="0" w:line="157" w:lineRule="exact"/>
        <w:rPr>
          <w:sz w:val="20"/>
          <w:szCs w:val="20"/>
          <w:color w:val="auto"/>
        </w:rPr>
      </w:pPr>
    </w:p>
    <w:p>
      <w:pPr>
        <w:ind w:left="700" w:right="120"/>
        <w:spacing w:after="0" w:line="259" w:lineRule="auto"/>
        <w:rPr>
          <w:sz w:val="20"/>
          <w:szCs w:val="20"/>
          <w:color w:val="auto"/>
        </w:rPr>
      </w:pPr>
      <w:r>
        <w:rPr>
          <w:rFonts w:ascii="Times New Roman" w:cs="Times New Roman" w:eastAsia="Times New Roman" w:hAnsi="Times New Roman"/>
          <w:sz w:val="19"/>
          <w:szCs w:val="19"/>
          <w:color w:val="auto"/>
        </w:rPr>
        <w:t>(c)Voluntariness and Consequences of Consent Denial or Withdrawal. The Participant’s participation in the Plan and grant of consent is purely voluntary. The Participant may deny or withdraw the Participant’s consent at any time. If the Participant does not consent, or if the Participant withdraws his or her consent, the Participant may be unable to participate in the Plan. This would not affect the Participant’s existing employment or salary; instead, the Participant merely may forfeit the opportunities associated with the Plan.</w:t>
      </w:r>
    </w:p>
    <w:p>
      <w:pPr>
        <w:spacing w:after="0" w:line="154" w:lineRule="exact"/>
        <w:rPr>
          <w:sz w:val="20"/>
          <w:szCs w:val="20"/>
          <w:color w:val="auto"/>
        </w:rPr>
      </w:pPr>
    </w:p>
    <w:p>
      <w:pPr>
        <w:ind w:left="700" w:right="240"/>
        <w:spacing w:after="0" w:line="257" w:lineRule="auto"/>
        <w:rPr>
          <w:sz w:val="20"/>
          <w:szCs w:val="20"/>
          <w:color w:val="auto"/>
        </w:rPr>
      </w:pPr>
      <w:r>
        <w:rPr>
          <w:rFonts w:ascii="Times New Roman" w:cs="Times New Roman" w:eastAsia="Times New Roman" w:hAnsi="Times New Roman"/>
          <w:sz w:val="19"/>
          <w:szCs w:val="19"/>
          <w:color w:val="auto"/>
        </w:rPr>
        <w:t>(d)Data Subjects Rights. The Participant may have a number of rights under the data privacy laws. For example, the Participant’s rights may include the right to (i) request access or copies of personal data the Company processes, (ii) request rectification of incorrect data, (iii) request deletion of data, (iv) place restrictions on processing, (v) lodge complaints with competent authorities, and/or (vi) request a list with the names and addresses of any potential recipients of the Participant’s personal data. To receive clarification regarding the Participant’s rights or to exercise his or her rights, the Participant should contact his or her local human resources representative.</w:t>
      </w:r>
    </w:p>
    <w:p>
      <w:pPr>
        <w:spacing w:after="0" w:line="155"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The Award shall be treated in accordance with Section 8 of the Plan in the event of a Change of Control prior to the final Vesting Date hereunder.</w:t>
      </w:r>
    </w:p>
    <w:p>
      <w:pPr>
        <w:spacing w:after="0" w:line="12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b w:val="1"/>
          <w:bCs w:val="1"/>
          <w:color w:val="auto"/>
        </w:rPr>
        <w:t>Compensation Recovery.</w:t>
      </w:r>
      <w:r>
        <w:rPr>
          <w:rFonts w:ascii="Times New Roman" w:cs="Times New Roman" w:eastAsia="Times New Roman" w:hAnsi="Times New Roman"/>
          <w:sz w:val="19"/>
          <w:szCs w:val="19"/>
          <w:color w:val="auto"/>
        </w:rPr>
        <w:t xml:space="preserve"> Notwithstanding anything in the Plan, this Agreement or any other agreement or declaration, 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464820</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0" w:name="page201"/>
    <w:bookmarkEnd w:id="200"/>
    <w:p>
      <w:pPr>
        <w:spacing w:after="0" w:line="26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auto"/>
        </w:rPr>
        <w:t>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 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58"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b w:val="1"/>
          <w:bCs w:val="1"/>
          <w:color w:val="auto"/>
        </w:rPr>
        <w:t>Non-transferability</w:t>
      </w:r>
      <w:r>
        <w:rPr>
          <w:rFonts w:ascii="Times New Roman" w:cs="Times New Roman" w:eastAsia="Times New Roman" w:hAnsi="Times New Roman"/>
          <w:sz w:val="19"/>
          <w:szCs w:val="19"/>
          <w:color w:val="auto"/>
        </w:rPr>
        <w:t>. The Participant may not sell, transfer, pledge, assign, attach or otherwise alienate or hypothecate the SARs or any other rights under this Agreement other than by will or by the 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14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b w:val="1"/>
          <w:bCs w:val="1"/>
          <w:color w:val="auto"/>
        </w:rPr>
        <w:t>Effect of Agreement</w:t>
      </w:r>
      <w:r>
        <w:rPr>
          <w:rFonts w:ascii="Times New Roman" w:cs="Times New Roman" w:eastAsia="Times New Roman" w:hAnsi="Times New Roman"/>
          <w:sz w:val="19"/>
          <w:szCs w:val="19"/>
          <w:color w:val="auto"/>
        </w:rPr>
        <w:t>. The Participant acknowledges receipt of a copy of the Plan and represents that he or she is familiar with the terms and provisions thereof (and has had an opportunity to consult counsel regarding the terms of the Award),and hereby accepts this Award and agrees to be bound by its contractual terms as set forth herein and in the Plan. The Participant hereby agrees to accept as binding, conclusive and final all decisions and interpretations of the Committee regarding any questions relating to this Award. In the event of a conflict between the terms and provisions of the Plan and the terms and provisions of this Agreement, the Plan terms and provisions shall prevail.</w:t>
      </w:r>
    </w:p>
    <w:p>
      <w:pPr>
        <w:spacing w:after="0" w:line="151"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9"/>
          <w:szCs w:val="19"/>
          <w:color w:val="auto"/>
        </w:rPr>
        <w:t xml:space="preserve">16. </w:t>
      </w:r>
      <w:r>
        <w:rPr>
          <w:rFonts w:ascii="Times New Roman" w:cs="Times New Roman" w:eastAsia="Times New Roman" w:hAnsi="Times New Roman"/>
          <w:sz w:val="19"/>
          <w:szCs w:val="19"/>
          <w:b w:val="1"/>
          <w:bCs w:val="1"/>
          <w:color w:val="auto"/>
        </w:rPr>
        <w:t>Restrictive Covenants</w:t>
      </w:r>
      <w:r>
        <w:rPr>
          <w:rFonts w:ascii="Times New Roman" w:cs="Times New Roman" w:eastAsia="Times New Roman" w:hAnsi="Times New Roman"/>
          <w:sz w:val="19"/>
          <w:szCs w:val="19"/>
          <w:color w:val="auto"/>
        </w:rPr>
        <w:t>. In consideration of this Award, the Participant agrees that during the Participant’s Continuous Service and the twelve (12) month period following the Participant’s termination of Continuous Service for any reason (the “Covenant Period”), without the written consent of Ashland, the Participant will not:</w:t>
      </w:r>
    </w:p>
    <w:p>
      <w:pPr>
        <w:spacing w:after="0" w:line="144" w:lineRule="exact"/>
        <w:rPr>
          <w:sz w:val="20"/>
          <w:szCs w:val="20"/>
          <w:color w:val="auto"/>
        </w:rPr>
      </w:pPr>
    </w:p>
    <w:p>
      <w:pPr>
        <w:ind w:left="700" w:right="20"/>
        <w:spacing w:after="0" w:line="286" w:lineRule="auto"/>
        <w:rPr>
          <w:sz w:val="20"/>
          <w:szCs w:val="20"/>
          <w:color w:val="auto"/>
        </w:rPr>
      </w:pPr>
      <w:r>
        <w:rPr>
          <w:rFonts w:ascii="Times New Roman" w:cs="Times New Roman" w:eastAsia="Times New Roman" w:hAnsi="Times New Roman"/>
          <w:sz w:val="19"/>
          <w:szCs w:val="19"/>
          <w:color w:val="auto"/>
        </w:rPr>
        <w:t>(a)engage directly or indirectly in any manner or capacity as principal, agent, partner, officer, director, employee or otherwise in any business or activity competitive with the business conducted by Ashland or any of its Affiliates; or</w:t>
      </w:r>
    </w:p>
    <w:p>
      <w:pPr>
        <w:spacing w:after="0" w:line="127" w:lineRule="exact"/>
        <w:rPr>
          <w:sz w:val="20"/>
          <w:szCs w:val="20"/>
          <w:color w:val="auto"/>
        </w:rPr>
      </w:pPr>
    </w:p>
    <w:p>
      <w:pPr>
        <w:ind w:left="700" w:right="20"/>
        <w:spacing w:after="0" w:line="286" w:lineRule="auto"/>
        <w:rPr>
          <w:sz w:val="20"/>
          <w:szCs w:val="20"/>
          <w:color w:val="auto"/>
        </w:rPr>
      </w:pPr>
      <w:r>
        <w:rPr>
          <w:rFonts w:ascii="Times New Roman" w:cs="Times New Roman" w:eastAsia="Times New Roman" w:hAnsi="Times New Roman"/>
          <w:sz w:val="19"/>
          <w:szCs w:val="19"/>
          <w:color w:val="auto"/>
        </w:rPr>
        <w:t>(b)perform any act or engage in any activity that is detrimental to the best interests of Ashland or any of its Affiliates, including, without limitation:</w:t>
      </w:r>
    </w:p>
    <w:p>
      <w:pPr>
        <w:spacing w:after="0" w:line="127" w:lineRule="exact"/>
        <w:rPr>
          <w:sz w:val="20"/>
          <w:szCs w:val="20"/>
          <w:color w:val="auto"/>
        </w:rPr>
      </w:pPr>
    </w:p>
    <w:p>
      <w:pPr>
        <w:ind w:left="1420" w:right="260"/>
        <w:spacing w:after="0" w:line="268" w:lineRule="auto"/>
        <w:rPr>
          <w:sz w:val="20"/>
          <w:szCs w:val="20"/>
          <w:color w:val="auto"/>
        </w:rPr>
      </w:pPr>
      <w:r>
        <w:rPr>
          <w:rFonts w:ascii="Times New Roman" w:cs="Times New Roman" w:eastAsia="Times New Roman" w:hAnsi="Times New Roman"/>
          <w:sz w:val="19"/>
          <w:szCs w:val="19"/>
          <w:color w:val="auto"/>
        </w:rPr>
        <w:t>i.soliciting or encouraging any existing or former employee, director, contractor, consultant, customer or supplier of Ashland or any of its Affiliates to terminate his, her or its relationship with Ashland or any of its Affiliates for any reason; or</w:t>
      </w:r>
    </w:p>
    <w:p>
      <w:pPr>
        <w:spacing w:after="0" w:line="144" w:lineRule="exact"/>
        <w:rPr>
          <w:sz w:val="20"/>
          <w:szCs w:val="20"/>
          <w:color w:val="auto"/>
        </w:rPr>
      </w:pPr>
    </w:p>
    <w:p>
      <w:pPr>
        <w:ind w:left="1420"/>
        <w:spacing w:after="0" w:line="286" w:lineRule="auto"/>
        <w:rPr>
          <w:sz w:val="20"/>
          <w:szCs w:val="20"/>
          <w:color w:val="auto"/>
        </w:rPr>
      </w:pPr>
      <w:r>
        <w:rPr>
          <w:rFonts w:ascii="Times New Roman" w:cs="Times New Roman" w:eastAsia="Times New Roman" w:hAnsi="Times New Roman"/>
          <w:sz w:val="19"/>
          <w:szCs w:val="19"/>
          <w:color w:val="auto"/>
        </w:rPr>
        <w:t>ii.disclosing proprietary or confidential information of Ashland or any of its Affiliates to third parties or using any such proprietary or confidential information for the benefit of anyone other than Ashland or any of its Affiliates;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16"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6</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0"/>
          <w:szCs w:val="10"/>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471805</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1" w:name="page202"/>
    <w:bookmarkEnd w:id="201"/>
    <w:p>
      <w:pPr>
        <w:spacing w:after="0" w:line="269"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9"/>
          <w:szCs w:val="19"/>
          <w:color w:val="auto"/>
        </w:rPr>
        <w:t>provided, however, that this Agreement shall not prohibit the Participant in any way from (1) filing and, as provided for under Section 21F of the Securities Exchange Act of 1934, maintaining the confidentiality of a claim with the United States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U.S. federal or state trade secret law for the disclosure of any proprietary or confidential information that constitutes a trade secret to which the Defend Trade Secrets Act (18 U.S.C. Section 1833(b)) applies that is made (A) in confidence to a U.S.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61" w:lineRule="exact"/>
        <w:rPr>
          <w:sz w:val="20"/>
          <w:szCs w:val="20"/>
          <w:color w:val="auto"/>
        </w:rPr>
      </w:pPr>
    </w:p>
    <w:p>
      <w:pPr>
        <w:ind w:left="700" w:right="140"/>
        <w:spacing w:after="0" w:line="252" w:lineRule="auto"/>
        <w:rPr>
          <w:sz w:val="20"/>
          <w:szCs w:val="20"/>
          <w:color w:val="auto"/>
        </w:rPr>
      </w:pPr>
      <w:r>
        <w:rPr>
          <w:rFonts w:ascii="Times New Roman" w:cs="Times New Roman" w:eastAsia="Times New Roman" w:hAnsi="Times New Roman"/>
          <w:sz w:val="19"/>
          <w:szCs w:val="19"/>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and such elimination or reduction would trigger Section 409A taxes, to or on behalf of the Participant in an amount up to the total amount paid) or payable to the Participant under this Agreement; and/or (z) require the Participant to pay Ashland an amount up to the total amount paid to the Participant under this Agreement; in each case together with the amount of Ashland’s court costs, attorneys fees, and other costs and expenses incurred in connection therewith; provided that the actions described in clauses (x), (y) and</w:t>
      </w:r>
    </w:p>
    <w:p>
      <w:pPr>
        <w:spacing w:after="0" w:line="9" w:lineRule="exact"/>
        <w:rPr>
          <w:sz w:val="20"/>
          <w:szCs w:val="20"/>
          <w:color w:val="auto"/>
        </w:rPr>
      </w:pPr>
    </w:p>
    <w:p>
      <w:pPr>
        <w:ind w:left="700" w:right="60" w:firstLine="2"/>
        <w:spacing w:after="0" w:line="256" w:lineRule="auto"/>
        <w:tabs>
          <w:tab w:leader="none" w:pos="961"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taken with respect to the Award at any time following the third (3rd) anniversary of the vesting of the Award (or the applicable portion thereof). To the extent a longer Covenant Period is specified in another agreement between the Participant and Ashland or its Affiliates, the provisions of this Section 16 shall be extended to apply to such longer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w:t>
      </w: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right="40"/>
        <w:spacing w:after="0" w:line="258"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color w:val="auto"/>
        </w:rPr>
        <w:t>Governing Law; Venue</w:t>
      </w:r>
      <w:r>
        <w:rPr>
          <w:rFonts w:ascii="Times New Roman" w:cs="Times New Roman" w:eastAsia="Times New Roman" w:hAnsi="Times New Roman"/>
          <w:sz w:val="19"/>
          <w:szCs w:val="19"/>
          <w:color w:val="auto"/>
        </w:rPr>
        <w:t>.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to and expressly consent to the sole and exclusive jurisdiction of the courts of the state of Delaware, or the Federal courts for the United States for the District of Delaware, and no other courts, where this grant is made and/or to be performed.</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16"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7</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0"/>
          <w:szCs w:val="10"/>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471805</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2" w:name="page203"/>
    <w:bookmarkEnd w:id="202"/>
    <w:p>
      <w:pPr>
        <w:spacing w:after="0" w:line="2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Entire Agreement; Enforcement of Rights</w:t>
      </w:r>
      <w:r>
        <w:rPr>
          <w:rFonts w:ascii="Times New Roman" w:cs="Times New Roman" w:eastAsia="Times New Roman" w:hAnsi="Times New Roman"/>
          <w:sz w:val="19"/>
          <w:szCs w:val="19"/>
          <w:color w:val="auto"/>
        </w:rPr>
        <w:t>. This Agreement and the Plan set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4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9"/>
          <w:szCs w:val="19"/>
          <w:b w:val="1"/>
          <w:bCs w:val="1"/>
          <w:color w:val="auto"/>
        </w:rPr>
        <w:t>No Advice Regarding Grant</w:t>
      </w:r>
      <w:r>
        <w:rPr>
          <w:rFonts w:ascii="Times New Roman" w:cs="Times New Roman" w:eastAsia="Times New Roman" w:hAnsi="Times New Roman"/>
          <w:sz w:val="19"/>
          <w:szCs w:val="19"/>
          <w:color w:val="auto"/>
        </w:rPr>
        <w:t>. Neither Ashland nor any of its Affiliates are providing any tax, legal or financial advice, nor is Ashland or any of its Affiliates making any recommendations regarding the Participant’s participation in the Plan. The Participant should consult with his or her own personal tax, legal and financial advisors regarding his or her participation in the Plan before taking any action related to the Plan.</w:t>
      </w:r>
    </w:p>
    <w:p>
      <w:pPr>
        <w:spacing w:after="0" w:line="14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Compliance with Law</w:t>
      </w:r>
      <w:r>
        <w:rPr>
          <w:rFonts w:ascii="Times New Roman" w:cs="Times New Roman" w:eastAsia="Times New Roman" w:hAnsi="Times New Roman"/>
          <w:sz w:val="19"/>
          <w:szCs w:val="19"/>
          <w:color w:val="auto"/>
        </w:rPr>
        <w:t>. To the extent that a court of competent jurisdiction determines that any provision of the Award and this Agreement are invalid or unenforceable, in whole or in part, under the Age Discrimination Rules, Ashland, in its sole discretion, shall have the power and authority to revise or strike such provision to the minimum extent necessary to make it valid and enforceable to the full extent permitted under local law.</w:t>
      </w:r>
    </w:p>
    <w:p>
      <w:pPr>
        <w:spacing w:after="0" w:line="14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9"/>
          <w:szCs w:val="19"/>
          <w:b w:val="1"/>
          <w:bCs w:val="1"/>
          <w:color w:val="auto"/>
        </w:rPr>
        <w:t>Electronic Delivery and Participation</w:t>
      </w:r>
      <w:r>
        <w:rPr>
          <w:rFonts w:ascii="Times New Roman" w:cs="Times New Roman" w:eastAsia="Times New Roman" w:hAnsi="Times New Roman"/>
          <w:sz w:val="19"/>
          <w:szCs w:val="19"/>
          <w:color w:val="auto"/>
        </w:rPr>
        <w:t>. Ashland may, in its sole discretion,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Ashland or a third party designated by Ashland.</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(f)</w:t>
      </w:r>
      <w:r>
        <w:rPr>
          <w:rFonts w:ascii="Times New Roman" w:cs="Times New Roman" w:eastAsia="Times New Roman" w:hAnsi="Times New Roman"/>
          <w:sz w:val="19"/>
          <w:szCs w:val="19"/>
          <w:b w:val="1"/>
          <w:bCs w:val="1"/>
          <w:color w:val="auto"/>
        </w:rPr>
        <w:t>Language</w:t>
      </w:r>
      <w:r>
        <w:rPr>
          <w:rFonts w:ascii="Times New Roman" w:cs="Times New Roman" w:eastAsia="Times New Roman" w:hAnsi="Times New Roman"/>
          <w:sz w:val="19"/>
          <w:szCs w:val="19"/>
          <w:color w:val="auto"/>
        </w:rPr>
        <w:t>. By participating in the Plan, the Participant acknowledges that he or she is sufficiently proficient in English or has consulted with an advisor who is sufficiently proficient in English so as to allow the Participant to understand the terms and conditions of the Agreement. The Participant has received the terms and conditions of the SARs and any other related communication and the Participant consents to receiving these documents in English. If the Participant has received this Agreement, or any other document related to the Award and/or the Plan translated into a language other than English and if the meaning of the translated version is different from the English version, the English version will control.</w:t>
      </w:r>
    </w:p>
    <w:p>
      <w:pPr>
        <w:spacing w:after="0" w:line="15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one or more provisions of this Agreement are held to be unenforceable,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47"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color w:val="auto"/>
        </w:rPr>
        <w:t>(h)</w:t>
      </w:r>
      <w:r>
        <w:rPr>
          <w:rFonts w:ascii="Times New Roman" w:cs="Times New Roman" w:eastAsia="Times New Roman" w:hAnsi="Times New Roman"/>
          <w:sz w:val="19"/>
          <w:szCs w:val="19"/>
          <w:b w:val="1"/>
          <w:bCs w:val="1"/>
          <w:color w:val="auto"/>
        </w:rPr>
        <w:t>Waiver by Ashland</w:t>
      </w:r>
      <w:r>
        <w:rPr>
          <w:rFonts w:ascii="Times New Roman" w:cs="Times New Roman" w:eastAsia="Times New Roman" w:hAnsi="Times New Roman"/>
          <w:sz w:val="19"/>
          <w:szCs w:val="19"/>
          <w:color w:val="auto"/>
        </w:rPr>
        <w:t>. The Participant acknowledges that a waiver by Ashland of breach of any provision of this Agreement shall not operate or be construed as a waiver of any other provision of this Agreement, or of any subsequent breach by the Participant or any other participant.</w:t>
      </w:r>
    </w:p>
    <w:p>
      <w:pPr>
        <w:spacing w:after="0" w:line="14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8</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464820</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203" w:name="page204"/>
    <w:bookmarkEnd w:id="203"/>
    <w:p>
      <w:pPr>
        <w:spacing w:after="0" w:line="267" w:lineRule="exact"/>
        <w:rPr>
          <w:sz w:val="20"/>
          <w:szCs w:val="20"/>
          <w:color w:val="auto"/>
        </w:rPr>
      </w:pPr>
    </w:p>
    <w:p>
      <w:pPr>
        <w:ind w:left="700" w:right="240"/>
        <w:spacing w:after="0" w:line="260" w:lineRule="auto"/>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Any notice required or permitted by this Agreement shall be in writing and shall be deemed sufficient when delivered personally or at time of transmission if sent by telegram or fax or forty-eight (48) hours after being deposited in the U.S. mail, as certified or registered mail, with postage prepaid, or forty-eight (48) hours after being deposited with an express courier, or at the time an electronic confirmation of receipt is received if delivery is by email, and addressed to the party to be notified at such party’s address as set forth below or as subsequently modified by written notice.</w:t>
      </w:r>
    </w:p>
    <w:p>
      <w:pPr>
        <w:spacing w:after="0" w:line="149" w:lineRule="exact"/>
        <w:rPr>
          <w:sz w:val="20"/>
          <w:szCs w:val="20"/>
          <w:color w:val="auto"/>
        </w:rPr>
      </w:pPr>
    </w:p>
    <w:p>
      <w:pPr>
        <w:ind w:left="700" w:right="80"/>
        <w:spacing w:after="0" w:line="288" w:lineRule="auto"/>
        <w:rPr>
          <w:sz w:val="20"/>
          <w:szCs w:val="20"/>
          <w:color w:val="auto"/>
        </w:rPr>
      </w:pPr>
      <w:r>
        <w:rPr>
          <w:rFonts w:ascii="Times New Roman" w:cs="Times New Roman" w:eastAsia="Times New Roman" w:hAnsi="Times New Roman"/>
          <w:sz w:val="19"/>
          <w:szCs w:val="19"/>
          <w:color w:val="auto"/>
        </w:rPr>
        <w:t>(j)</w:t>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19"/>
          <w:szCs w:val="19"/>
          <w:color w:val="auto"/>
        </w:rPr>
        <w:t>. This Agreement may be executed in two (2) or more counterparts, each of which shall be deemed an original and all of which together shall constitute one (1) instrument.</w:t>
      </w:r>
    </w:p>
    <w:p>
      <w:pPr>
        <w:spacing w:after="0" w:line="124" w:lineRule="exact"/>
        <w:rPr>
          <w:sz w:val="20"/>
          <w:szCs w:val="20"/>
          <w:color w:val="auto"/>
        </w:rPr>
      </w:pPr>
    </w:p>
    <w:p>
      <w:pPr>
        <w:ind w:left="700" w:right="160"/>
        <w:spacing w:after="0" w:line="288" w:lineRule="auto"/>
        <w:rPr>
          <w:sz w:val="20"/>
          <w:szCs w:val="20"/>
          <w:color w:val="auto"/>
        </w:rPr>
      </w:pPr>
      <w:r>
        <w:rPr>
          <w:rFonts w:ascii="Times New Roman" w:cs="Times New Roman" w:eastAsia="Times New Roman" w:hAnsi="Times New Roman"/>
          <w:sz w:val="19"/>
          <w:szCs w:val="19"/>
          <w:color w:val="auto"/>
        </w:rPr>
        <w:t xml:space="preserve">(k) </w:t>
      </w:r>
      <w:r>
        <w:rPr>
          <w:rFonts w:ascii="Times New Roman" w:cs="Times New Roman" w:eastAsia="Times New Roman" w:hAnsi="Times New Roman"/>
          <w:sz w:val="19"/>
          <w:szCs w:val="19"/>
          <w:b w:val="1"/>
          <w:bCs w:val="1"/>
          <w:color w:val="auto"/>
        </w:rPr>
        <w:t>Private Placement</w:t>
      </w:r>
      <w:r>
        <w:rPr>
          <w:rFonts w:ascii="Times New Roman" w:cs="Times New Roman" w:eastAsia="Times New Roman" w:hAnsi="Times New Roman"/>
          <w:sz w:val="19"/>
          <w:szCs w:val="19"/>
          <w:color w:val="auto"/>
        </w:rPr>
        <w:t>. The grant of the SARs is not intended to be a public offering of securities. Neither Ashland nor any of its Affiliates has submitted any registration statement, prospectus or other filings with respect to the granted SARs.</w:t>
      </w:r>
    </w:p>
    <w:p>
      <w:pPr>
        <w:spacing w:after="0" w:line="124" w:lineRule="exact"/>
        <w:rPr>
          <w:sz w:val="20"/>
          <w:szCs w:val="20"/>
          <w:color w:val="auto"/>
        </w:rPr>
      </w:pPr>
    </w:p>
    <w:p>
      <w:pPr>
        <w:jc w:val="both"/>
        <w:ind w:left="700" w:right="460"/>
        <w:spacing w:after="0" w:line="269" w:lineRule="auto"/>
        <w:rPr>
          <w:sz w:val="20"/>
          <w:szCs w:val="20"/>
          <w:color w:val="auto"/>
        </w:rPr>
      </w:pPr>
      <w:r>
        <w:rPr>
          <w:rFonts w:ascii="Times New Roman" w:cs="Times New Roman" w:eastAsia="Times New Roman" w:hAnsi="Times New Roman"/>
          <w:sz w:val="19"/>
          <w:szCs w:val="19"/>
          <w:color w:val="auto"/>
        </w:rPr>
        <w:t>(l)</w:t>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 The rights and benefits of this Agreement shall inure to the benefit of, and be enforceable by, Ashland’s successors and assigns. The rights and obligations of the Participant under this Agreement may not be assigned without the prior written consent of Ashland.</w:t>
      </w:r>
    </w:p>
    <w:p>
      <w:pPr>
        <w:spacing w:after="0" w:line="142" w:lineRule="exact"/>
        <w:rPr>
          <w:sz w:val="20"/>
          <w:szCs w:val="20"/>
          <w:color w:val="auto"/>
        </w:rPr>
      </w:pPr>
    </w:p>
    <w:p>
      <w:pPr>
        <w:ind w:left="700" w:right="80"/>
        <w:spacing w:after="0" w:line="260" w:lineRule="auto"/>
        <w:rPr>
          <w:sz w:val="20"/>
          <w:szCs w:val="20"/>
          <w:color w:val="auto"/>
        </w:rPr>
      </w:pPr>
      <w:r>
        <w:rPr>
          <w:rFonts w:ascii="Times New Roman" w:cs="Times New Roman" w:eastAsia="Times New Roman" w:hAnsi="Times New Roman"/>
          <w:sz w:val="19"/>
          <w:szCs w:val="19"/>
          <w:color w:val="auto"/>
        </w:rPr>
        <w:t>(m)</w:t>
      </w:r>
      <w:r>
        <w:rPr>
          <w:rFonts w:ascii="Times New Roman" w:cs="Times New Roman" w:eastAsia="Times New Roman" w:hAnsi="Times New Roman"/>
          <w:sz w:val="19"/>
          <w:szCs w:val="19"/>
          <w:b w:val="1"/>
          <w:bCs w:val="1"/>
          <w:color w:val="auto"/>
        </w:rPr>
        <w:t>Additional Requirements</w:t>
      </w:r>
      <w:r>
        <w:rPr>
          <w:rFonts w:ascii="Times New Roman" w:cs="Times New Roman" w:eastAsia="Times New Roman" w:hAnsi="Times New Roman"/>
          <w:sz w:val="19"/>
          <w:szCs w:val="19"/>
          <w:color w:val="auto"/>
        </w:rPr>
        <w:t xml:space="preserve"> . Ashland reserves the right to impose other requirements on the Award and the Participant’s participation in the Plan to the extent Ashland determines, in its sole discretion, that such other requirements are necessary or advisable in order to comply with applicable laws,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spacing w:after="0" w:line="149" w:lineRule="exact"/>
        <w:rPr>
          <w:sz w:val="20"/>
          <w:szCs w:val="20"/>
          <w:color w:val="auto"/>
        </w:rPr>
      </w:pPr>
    </w:p>
    <w:p>
      <w:pPr>
        <w:ind w:left="700" w:right="40"/>
        <w:spacing w:after="0" w:line="254" w:lineRule="auto"/>
        <w:rPr>
          <w:sz w:val="20"/>
          <w:szCs w:val="20"/>
          <w:color w:val="auto"/>
        </w:rPr>
      </w:pPr>
      <w:r>
        <w:rPr>
          <w:rFonts w:ascii="Times New Roman" w:cs="Times New Roman" w:eastAsia="Times New Roman" w:hAnsi="Times New Roman"/>
          <w:sz w:val="19"/>
          <w:szCs w:val="19"/>
          <w:color w:val="auto"/>
        </w:rPr>
        <w:t>(n)</w:t>
      </w: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19"/>
          <w:szCs w:val="19"/>
          <w:color w:val="auto"/>
        </w:rPr>
        <w:t>. To the extent applicable, for purposes of this Agreement, a termination of employment will be determined consistent with the rules relating to a “separation from service” within the meaning of Section 409A. Notwithstanding anything provided herein to the contrary, to the extent of any payments provided under this Agreement in connection with the Participant’s termination of employment with Ashland and its Affiliates constitute “nonqualified deferred compensation” within the meaning of Section 409A that is not otherwise exempt from Section 409A, and the Participant is a “specified employee” within the meaning of Section 409A upon such termination of employment, then such payment shall not be made until the earlier of (i) the expiration of the six month period measured from the Participant’s employment termination date, or (ii) the date of the Participant’s death following such employment termination date. The Participant acknowledges that, regardless of any action taken by Ashland and its Affiliates, the liability for all taxes related to the Award and this Agreement are the sole responsibility of the Participant, and neither Ashland nor its Affiliates are liable to the Participant for any taxes, penalties and interest incurred by the Participant relating to the Award and this Agreement.</w:t>
      </w:r>
    </w:p>
    <w:p>
      <w:pPr>
        <w:spacing w:after="0" w:line="157"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9"/>
          <w:szCs w:val="19"/>
          <w:color w:val="auto"/>
        </w:rPr>
        <w:t>18.</w:t>
      </w:r>
      <w:r>
        <w:rPr>
          <w:rFonts w:ascii="Times New Roman" w:cs="Times New Roman" w:eastAsia="Times New Roman" w:hAnsi="Times New Roman"/>
          <w:sz w:val="19"/>
          <w:szCs w:val="19"/>
          <w:b w:val="1"/>
          <w:bCs w:val="1"/>
          <w:color w:val="auto"/>
        </w:rPr>
        <w:t>Acceptance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Award of SARs is subject to and expressly conditioned upon the Participant’s online acceptance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terms and conditions of the Plan, this Agreement, and</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464820</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4" w:name="page205"/>
    <w:bookmarkEnd w:id="204"/>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Award through the Fidelity website. The right to the SARs shall expire if not accepted by #Accept By#.</w:t>
      </w:r>
    </w:p>
    <w:p>
      <w:pPr>
        <w:spacing w:after="0" w:line="204" w:lineRule="exact"/>
        <w:rPr>
          <w:sz w:val="20"/>
          <w:szCs w:val="20"/>
          <w:color w:val="auto"/>
        </w:rPr>
      </w:pPr>
    </w:p>
    <w:p>
      <w:pPr>
        <w:ind w:left="700" w:right="20"/>
        <w:spacing w:after="0" w:line="257" w:lineRule="auto"/>
        <w:rPr>
          <w:sz w:val="20"/>
          <w:szCs w:val="20"/>
          <w:color w:val="auto"/>
        </w:rPr>
      </w:pPr>
      <w:r>
        <w:rPr>
          <w:rFonts w:ascii="Times New Roman" w:cs="Times New Roman" w:eastAsia="Times New Roman" w:hAnsi="Times New Roman"/>
          <w:sz w:val="19"/>
          <w:szCs w:val="19"/>
          <w:color w:val="auto"/>
        </w:rPr>
        <w:t>By accepting the terms and conditions of this Agreement, the Participant acknowledges that the participant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15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9"/>
          <w:szCs w:val="19"/>
          <w:color w:val="auto"/>
        </w:rPr>
        <w:t>IN WITNESS WHEREOF, Ashland Inc. has caused this instrument to be executed and delivered effective as of the Grant Date set forth above.</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9"/>
          <w:szCs w:val="19"/>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#Signature#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#ParticipantName#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#AcceptanceDate#</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Personal and Confidential</w:t>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DOCPROPERTY "CUS_DocIDChunk0" 1106048863\1\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464820</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2861945</wp:posOffset>
            </wp:positionH>
            <wp:positionV relativeFrom="page">
              <wp:posOffset>727710</wp:posOffset>
            </wp:positionV>
            <wp:extent cx="1829435" cy="6172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829435" cy="6172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10.71</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CASH-SETTLED STOCK APPRECIATION RIGHTS AWARD AGREEMENT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NON-U.S. PARTICIPANTS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Ashland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2021 Omnibus Incentive Compensation Plan</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Stock Appreciation Rights (“SARs”) Granted:</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Grant Price per Share:</w:t>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Vesting 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Signature Required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#QuantityGranted#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Date 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 By#</w:t>
      </w:r>
    </w:p>
    <w:p>
      <w:pPr>
        <w:spacing w:after="0" w:line="200" w:lineRule="exact"/>
        <w:rPr>
          <w:sz w:val="20"/>
          <w:szCs w:val="20"/>
          <w:color w:val="auto"/>
        </w:rPr>
      </w:pPr>
    </w:p>
    <w:p>
      <w:pPr>
        <w:sectPr>
          <w:pgSz w:w="11900" w:h="16840" w:orient="portrait"/>
          <w:cols w:equalWidth="0" w:num="2">
            <w:col w:w="6060" w:space="720"/>
            <w:col w:w="3780"/>
          </w:cols>
          <w:pgMar w:left="660" w:top="1440" w:right="680" w:bottom="1440" w:gutter="0" w:footer="0" w:header="0"/>
          <w:type w:val="continuous"/>
        </w:sectPr>
      </w:pPr>
    </w:p>
    <w:p>
      <w:pPr>
        <w:spacing w:after="0" w:line="13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1.</w:t>
      </w:r>
      <w:r>
        <w:rPr>
          <w:rFonts w:ascii="Times New Roman" w:cs="Times New Roman" w:eastAsia="Times New Roman" w:hAnsi="Times New Roman"/>
          <w:sz w:val="19"/>
          <w:szCs w:val="19"/>
          <w:b w:val="1"/>
          <w:bCs w:val="1"/>
          <w:color w:val="auto"/>
        </w:rPr>
        <w:t>Grant.</w:t>
      </w:r>
      <w:r>
        <w:rPr>
          <w:rFonts w:ascii="Times New Roman" w:cs="Times New Roman" w:eastAsia="Times New Roman" w:hAnsi="Times New Roman"/>
          <w:sz w:val="19"/>
          <w:szCs w:val="19"/>
          <w:color w:val="auto"/>
        </w:rPr>
        <w:t xml:space="preserve"> Ashland Inc. (“Ashland”) hereby grants to the above-named individual (the “Participant”) #QuantityGranted# SARs (the “Award”) pursuant to and subject to the terms of the Ashland Inc. 2021 Omnibus Incentive Compensation Plan (the “Plan”) and this Cash -Settled Stock Appreciation Rights Award Agreement for Non-U.S. Participants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4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auto"/>
        </w:rPr>
        <w:t>2.</w:t>
      </w:r>
      <w:r>
        <w:rPr>
          <w:rFonts w:ascii="Times New Roman" w:cs="Times New Roman" w:eastAsia="Times New Roman" w:hAnsi="Times New Roman"/>
          <w:sz w:val="19"/>
          <w:szCs w:val="19"/>
          <w:b w:val="1"/>
          <w:bCs w:val="1"/>
          <w:color w:val="auto"/>
        </w:rPr>
        <w:t>SARs.</w:t>
      </w:r>
      <w:r>
        <w:rPr>
          <w:rFonts w:ascii="Times New Roman" w:cs="Times New Roman" w:eastAsia="Times New Roman" w:hAnsi="Times New Roman"/>
          <w:sz w:val="19"/>
          <w:szCs w:val="19"/>
          <w:color w:val="auto"/>
        </w:rPr>
        <w:t xml:space="preserve"> Each SAR represents a contingent right of the Participant to receive a cash payment in Participant’s local currency equal to the product of (i) the excess of the Fair Market Value of one (1) Share at the time a SAR is exercised over the grant price per Share of the SAR as set forth above ( the “Per SAR Value”)), multiplied by (ii) the number of SARs exercised.</w:t>
      </w:r>
    </w:p>
    <w:p>
      <w:pPr>
        <w:spacing w:after="0" w:line="14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b w:val="1"/>
          <w:bCs w:val="1"/>
          <w:color w:val="auto"/>
        </w:rPr>
        <w:t>Vesting.</w:t>
      </w:r>
      <w:r>
        <w:rPr>
          <w:rFonts w:ascii="Times New Roman" w:cs="Times New Roman" w:eastAsia="Times New Roman" w:hAnsi="Times New Roman"/>
          <w:sz w:val="19"/>
          <w:szCs w:val="19"/>
          <w:color w:val="auto"/>
        </w:rPr>
        <w:t xml:space="preserve"> On each vesting date set forth above (each such date, a “Vesting Date”) the corresponding number of SARs for such Vesting Date (each, a “tranche”) shall vest, subject to the Participant’s continuous service as an officer or employee of Ashland or any of its Affiliates (“Continuous Service”) through each Vesting Date, except as otherwise provided in this Agreement. To the extent vested, SARs may be exercised by the Participant, as provided in the Plan and this Agreement, until the Expiration Date or such earlier date that the Award expires pursuant to the Plan or in accordance with this Agreement.</w:t>
      </w:r>
    </w:p>
    <w:p>
      <w:pPr>
        <w:spacing w:after="0" w:line="149"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b w:val="1"/>
          <w:bCs w:val="1"/>
          <w:color w:val="auto"/>
        </w:rPr>
        <w:t>Forfeiture</w:t>
      </w:r>
      <w:r>
        <w:rPr>
          <w:rFonts w:ascii="Times New Roman" w:cs="Times New Roman" w:eastAsia="Times New Roman" w:hAnsi="Times New Roman"/>
          <w:sz w:val="19"/>
          <w:szCs w:val="19"/>
          <w:color w:val="auto"/>
        </w:rPr>
        <w:t>. Except as otherwise provided in this Agreement or as otherwise determined by the Committee (but subject to Section 6(i) of the Plan), if Participant’s Continuous Service ends for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5" w:lineRule="exact"/>
        <w:rPr>
          <w:sz w:val="20"/>
          <w:szCs w:val="20"/>
          <w:color w:val="auto"/>
        </w:rPr>
      </w:pPr>
    </w:p>
    <w:p>
      <w:pPr>
        <w:ind w:left="7920"/>
        <w:spacing w:after="0"/>
        <w:rPr>
          <w:sz w:val="20"/>
          <w:szCs w:val="20"/>
          <w:color w:val="auto"/>
        </w:rPr>
      </w:pPr>
      <w:r>
        <w:rPr>
          <w:rFonts w:ascii="Arial" w:cs="Arial" w:eastAsia="Arial" w:hAnsi="Arial"/>
          <w:sz w:val="10"/>
          <w:szCs w:val="10"/>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555625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206" w:name="page207"/>
    <w:bookmarkEnd w:id="206"/>
    <w:p>
      <w:pPr>
        <w:spacing w:after="0" w:line="26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any reason prior to the Vesting Date, all unvested SARs granted hereunder shall be forfeited. Notwithstanding the foregoing (but subject to Section 6(i) of the Plan), the Committee may, in its sole discretion, provide for accelerated vesting of the Award or any portion thereof at any time and for any reason.</w:t>
      </w:r>
    </w:p>
    <w:p>
      <w:pPr>
        <w:spacing w:after="0" w:line="14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9"/>
          <w:szCs w:val="19"/>
          <w:b w:val="1"/>
          <w:bCs w:val="1"/>
          <w:color w:val="auto"/>
        </w:rPr>
        <w:t>Retirement</w:t>
      </w:r>
      <w:r>
        <w:rPr>
          <w:rFonts w:ascii="Times New Roman" w:cs="Times New Roman" w:eastAsia="Times New Roman" w:hAnsi="Times New Roman"/>
          <w:sz w:val="19"/>
          <w:szCs w:val="19"/>
          <w:color w:val="auto"/>
        </w:rPr>
        <w:t>. If the Participant’s Continuous Service ends due to Retirement after the fiscal year that includes the Grant Date set forth above, then all unvested SARs under this Agreement shall be immediately accelerated and vest in full as of the date of such Retirement, and all vested SARs shall be exercisable until the Expiration Date. If the Participant’s Retirement occurs before the end of the fiscal year that includes the Grant Date set forth above, all unvested SARs granted hereunder shall be forfeited unless such Retirement is the result of Participant’s termination without Cause (as defined below), in which case Participant’s unvested SARs shall be treated in accordance with Section 7, below. For purposes of this Agreement, “Retirement” shall mean a termination of Participant’s employment for any reason other than death, Disability, or Cause (as defined below), that is a ”separation from service” within the meaning of Section 409A of the Code(“Section 409A”), after attaining age 55 and having at least ten (10) years of continuous service, or after attaining age 60 and having at least five (5) years of continuous service.</w:t>
      </w:r>
    </w:p>
    <w:p>
      <w:pPr>
        <w:spacing w:after="0" w:line="15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6.</w:t>
      </w:r>
      <w:r>
        <w:rPr>
          <w:rFonts w:ascii="Times New Roman" w:cs="Times New Roman" w:eastAsia="Times New Roman" w:hAnsi="Times New Roman"/>
          <w:sz w:val="19"/>
          <w:szCs w:val="19"/>
          <w:b w:val="1"/>
          <w:bCs w:val="1"/>
          <w:color w:val="auto"/>
        </w:rPr>
        <w:t>Death or Disability</w:t>
      </w:r>
      <w:r>
        <w:rPr>
          <w:rFonts w:ascii="Times New Roman" w:cs="Times New Roman" w:eastAsia="Times New Roman" w:hAnsi="Times New Roman"/>
          <w:sz w:val="19"/>
          <w:szCs w:val="19"/>
          <w:color w:val="auto"/>
        </w:rPr>
        <w:t>. If the Participant’s Continuous Service ends due to death or Disability, all unvested SARs under this Award will be immediately accelerated and will vest in full on the date of such termination due to death or Disability. The termination date coincides with the last day of active service or protected leave of absence, prior to death or Disability. All vested SARs shall be exercisable until the Expiration Date.</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7.</w:t>
      </w:r>
      <w:r>
        <w:rPr>
          <w:rFonts w:ascii="Times New Roman" w:cs="Times New Roman" w:eastAsia="Times New Roman" w:hAnsi="Times New Roman"/>
          <w:sz w:val="19"/>
          <w:szCs w:val="19"/>
          <w:b w:val="1"/>
          <w:bCs w:val="1"/>
          <w:color w:val="auto"/>
        </w:rPr>
        <w:t>Termination without Cause</w:t>
      </w:r>
      <w:r>
        <w:rPr>
          <w:rFonts w:ascii="Times New Roman" w:cs="Times New Roman" w:eastAsia="Times New Roman" w:hAnsi="Times New Roman"/>
          <w:sz w:val="19"/>
          <w:szCs w:val="19"/>
          <w:color w:val="auto"/>
        </w:rPr>
        <w:t>. If the Participant is otherwise terminated by Ashland or any of its Affiliates for any reason other than death, Disability, or Cause prior to the earlier of the Vesting Date or Retirement, each remaining unvested tranche of SARs will be pro - rated vested (with such proration being based on the number of days from the Grant Date through the date of such termination divided by the total number of days between the Grant Date and the Vesting Date applicable to such tranche)provided that the Participant has delivered to the Company and has allowed to become non-revocable a fully executed separation agreement and release (to the extent that a separation agreement and release has been requested from the Participant by the Company). For the avoidance of any doubt, if the Participant has failed to deliver and allow to become non-revocable a fully executed separation and release that has been requested from the Participant by the Company by the Outside Date, any such unvested SARs shall be forfeited. All vested SARS shall be exercisable until the Expiration Date.</w:t>
      </w:r>
    </w:p>
    <w:p>
      <w:pPr>
        <w:spacing w:after="0" w:line="157" w:lineRule="exact"/>
        <w:rPr>
          <w:sz w:val="20"/>
          <w:szCs w:val="20"/>
          <w:color w:val="auto"/>
        </w:rPr>
      </w:pPr>
    </w:p>
    <w:p>
      <w:pPr>
        <w:ind w:left="700" w:right="140"/>
        <w:spacing w:after="0" w:line="255" w:lineRule="auto"/>
        <w:rPr>
          <w:sz w:val="20"/>
          <w:szCs w:val="20"/>
          <w:color w:val="auto"/>
        </w:rPr>
      </w:pPr>
      <w:r>
        <w:rPr>
          <w:rFonts w:ascii="Times New Roman" w:cs="Times New Roman" w:eastAsia="Times New Roman" w:hAnsi="Times New Roman"/>
          <w:sz w:val="19"/>
          <w:szCs w:val="19"/>
          <w:color w:val="auto"/>
        </w:rPr>
        <w:t>For purposes of this Agreement only, the term “Cause” shall mean (i) if the Participant has an employment agreement with the Company or any of its Affiliates in which the term “Cause” is defined, the meaning which is provided for such term in such agreement, or (ii) otherwise, (x) the willful and continued failure of the Participant to substantially perform his or her duties with the Company or any Affiliate (other than such failure resulting from the such individual’s incapacity due to physical or mental illness, death, or Disability), (y) any act by the Participant that would constitute a felony under the laws of the United States (or an act that would be treated substantially similarly to a felony under the laws of a jurisdiction other than the United States), or (z) any act or omission by such individual which reasonably constitutes dishonesty, disloyalty, fraud, deceit, gross negligence, willful misconduct or recklessness during the course of his or her duties,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434340</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7" w:name="page208"/>
    <w:bookmarkEnd w:id="207"/>
    <w:p>
      <w:pPr>
        <w:spacing w:after="0" w:line="269" w:lineRule="exact"/>
        <w:rPr>
          <w:sz w:val="20"/>
          <w:szCs w:val="20"/>
          <w:color w:val="auto"/>
        </w:rPr>
      </w:pPr>
    </w:p>
    <w:p>
      <w:pPr>
        <w:ind w:left="700" w:right="460"/>
        <w:spacing w:after="0" w:line="286" w:lineRule="auto"/>
        <w:rPr>
          <w:sz w:val="20"/>
          <w:szCs w:val="20"/>
          <w:color w:val="auto"/>
        </w:rPr>
      </w:pPr>
      <w:r>
        <w:rPr>
          <w:rFonts w:ascii="Times New Roman" w:cs="Times New Roman" w:eastAsia="Times New Roman" w:hAnsi="Times New Roman"/>
          <w:sz w:val="19"/>
          <w:szCs w:val="19"/>
          <w:color w:val="auto"/>
        </w:rPr>
        <w:t>including, but not limited to the willful violation of the Company’s by-laws, Global Code of Conduct, or other policies and procedures of the Company or of an Affiliate governing the Participant’s conduct.</w:t>
      </w:r>
    </w:p>
    <w:p>
      <w:pPr>
        <w:spacing w:after="0" w:line="12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color w:val="auto"/>
        </w:rPr>
        <w:t>8.</w:t>
      </w:r>
      <w:r>
        <w:rPr>
          <w:rFonts w:ascii="Times New Roman" w:cs="Times New Roman" w:eastAsia="Times New Roman" w:hAnsi="Times New Roman"/>
          <w:sz w:val="19"/>
          <w:szCs w:val="19"/>
          <w:b w:val="1"/>
          <w:bCs w:val="1"/>
          <w:color w:val="auto"/>
        </w:rPr>
        <w:t>Settlement</w:t>
      </w:r>
      <w:r>
        <w:rPr>
          <w:rFonts w:ascii="Times New Roman" w:cs="Times New Roman" w:eastAsia="Times New Roman" w:hAnsi="Times New Roman"/>
          <w:sz w:val="19"/>
          <w:szCs w:val="19"/>
          <w:color w:val="auto"/>
        </w:rPr>
        <w:t>. As soon as administratively practicable following the applicable date of exercise of a vested tranche of SARs, the Participant shall receive an aggregate cash payment equal to the Per SAR Value as of the exercise date multiplied by the applicable number of vested SARs that have been exercised. Such amounts shall be paid in local currency (based upon Ashland’s applicable, then-current internal foreign exchange conversion rates) less applicable withholdings as may be required under Section 9 below.</w:t>
      </w:r>
    </w:p>
    <w:p>
      <w:pPr>
        <w:spacing w:after="0" w:line="149"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9"/>
          <w:szCs w:val="19"/>
          <w:color w:val="auto"/>
        </w:rPr>
        <w:t>As a condition to the grant of the Award, the Participant agrees to repatriate all payments made upon the exercise of vested SARs (to the extent such amounts are not paid locally) in accordance with local foreign exchange rules and regulations in the Participant’s country of residence (and country of employment, if different). In addition, the Participant agrees to take any and all actions, and consents to any and all actions taken by Ashland or any of its Affiliates, as may be required to allow Ashland or any of its Affiliates to comply with local laws, rules and regulations in the Participant’s country of residence (and country of employment, if different). Finally, the Participant agrees to take any and all actions as may be required to satisfy the Participant’s personal legal and tax obligations under local laws, rules and regulations in the Participant’s country of residence (and country of employment, if different).</w:t>
      </w:r>
    </w:p>
    <w:p>
      <w:pPr>
        <w:spacing w:after="0" w:line="15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color w:val="auto"/>
        </w:rPr>
        <w:t>9.</w:t>
      </w:r>
      <w:r>
        <w:rPr>
          <w:rFonts w:ascii="Times New Roman" w:cs="Times New Roman" w:eastAsia="Times New Roman" w:hAnsi="Times New Roman"/>
          <w:sz w:val="19"/>
          <w:szCs w:val="19"/>
          <w:b w:val="1"/>
          <w:bCs w:val="1"/>
          <w:color w:val="auto"/>
        </w:rPr>
        <w:t>Responsibility for Taxes</w:t>
      </w:r>
      <w:r>
        <w:rPr>
          <w:rFonts w:ascii="Times New Roman" w:cs="Times New Roman" w:eastAsia="Times New Roman" w:hAnsi="Times New Roman"/>
          <w:sz w:val="19"/>
          <w:szCs w:val="19"/>
          <w:color w:val="auto"/>
        </w:rPr>
        <w:t>. Regardless of any action Ashland or any of its Affiliates takes with respect to any or all income tax, social insurance, payroll tax, payment on account or other tax-related items related to the Award (“Tax- Related Items”), the Participant acknowledges that the ultimate liability for all Tax-Related Items legally owed by the Participant are and remain the Participant’s responsibility and neither Ashland nor any of its Affiliates: (a) make any representations or undertakings regarding the treatment of any Tax-Related Items in connection with any aspect of the Award, including the grant of the SARs, the vesting of the SARs and any cash payments in settlement of any exercise of vested SARs, and (b) commit to structure the terms of the grant or any aspect of the SARs to reduce or eliminate the Participant’s liability for Tax-Related Items.</w:t>
      </w:r>
    </w:p>
    <w:p>
      <w:pPr>
        <w:spacing w:after="0" w:line="159" w:lineRule="exact"/>
        <w:rPr>
          <w:sz w:val="20"/>
          <w:szCs w:val="20"/>
          <w:color w:val="auto"/>
        </w:rPr>
      </w:pPr>
    </w:p>
    <w:p>
      <w:pPr>
        <w:ind w:left="360" w:right="20"/>
        <w:spacing w:after="0" w:line="255" w:lineRule="auto"/>
        <w:rPr>
          <w:sz w:val="20"/>
          <w:szCs w:val="20"/>
          <w:color w:val="auto"/>
        </w:rPr>
      </w:pPr>
      <w:r>
        <w:rPr>
          <w:rFonts w:ascii="Times New Roman" w:cs="Times New Roman" w:eastAsia="Times New Roman" w:hAnsi="Times New Roman"/>
          <w:sz w:val="19"/>
          <w:szCs w:val="19"/>
          <w:color w:val="auto"/>
        </w:rPr>
        <w:t>Prior to the delivery of any cash payment owed to the Participant upon the exercise of vested SARs, if the Participant’s country of residence (and/or the country of employment, if different) requires the withholding of Tax -Related Items, the Affiliate employing the Participant(the “Employer”) shall withhold a portion of the cash payment sufficient to satisfy such obligations. Alternatively, the Employer may satisfy such obligations by withholding such amounts from the Participant’s regular salary, wages, or any other amounts payable to the Participant, to the extent not prohibited by applicable law. If, upon the exercise of vested SARs, the amount of such withholding obligations exceed the amounts available through withholdings from such cash payment, or the Participant’s regular salary, wages, or other amounts payable to the Participant, then no cash payments in respect of the exercise of vested SARs will be issued to the Participant unless and until satisfactory arrangements (as determined by the Committee in its sole discretion) have been made for the Participant to contribute funding to fully satisfy any such withholding obligations.</w:t>
      </w:r>
    </w:p>
    <w:p>
      <w:pPr>
        <w:spacing w:after="0" w:line="155" w:lineRule="exact"/>
        <w:rPr>
          <w:sz w:val="20"/>
          <w:szCs w:val="20"/>
          <w:color w:val="auto"/>
        </w:rPr>
      </w:pPr>
    </w:p>
    <w:p>
      <w:pPr>
        <w:ind w:left="360" w:right="520"/>
        <w:spacing w:after="0" w:line="286" w:lineRule="auto"/>
        <w:rPr>
          <w:sz w:val="20"/>
          <w:szCs w:val="20"/>
          <w:color w:val="auto"/>
        </w:rPr>
      </w:pPr>
      <w:r>
        <w:rPr>
          <w:rFonts w:ascii="Times New Roman" w:cs="Times New Roman" w:eastAsia="Times New Roman" w:hAnsi="Times New Roman"/>
          <w:sz w:val="19"/>
          <w:szCs w:val="19"/>
          <w:color w:val="auto"/>
        </w:rPr>
        <w:t>If the Participant relocates to another jurisdiction at any time prior to the Expiration Date for the SARs, the Participant shall be responsible for notifying Ashland of such relocation and shall be responsible</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3</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0"/>
          <w:szCs w:val="10"/>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441325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8" w:name="page209"/>
    <w:bookmarkEnd w:id="208"/>
    <w:p>
      <w:pPr>
        <w:spacing w:after="0" w:line="269" w:lineRule="exact"/>
        <w:rPr>
          <w:sz w:val="20"/>
          <w:szCs w:val="20"/>
          <w:color w:val="auto"/>
        </w:rPr>
      </w:pPr>
    </w:p>
    <w:p>
      <w:pPr>
        <w:ind w:left="360" w:right="220"/>
        <w:spacing w:after="0" w:line="262" w:lineRule="auto"/>
        <w:rPr>
          <w:sz w:val="20"/>
          <w:szCs w:val="20"/>
          <w:color w:val="auto"/>
        </w:rPr>
      </w:pPr>
      <w:r>
        <w:rPr>
          <w:rFonts w:ascii="Times New Roman" w:cs="Times New Roman" w:eastAsia="Times New Roman" w:hAnsi="Times New Roman"/>
          <w:sz w:val="19"/>
          <w:szCs w:val="19"/>
          <w:color w:val="auto"/>
        </w:rPr>
        <w:t>for compliance with all applicable tax requirements. If the Participant is subject to taxation in more than one jurisdiction, the Participant acknowledges and agrees that Ashland or any of its Affiliates may be required to withhold or account for Tax-Related Items in more than one jurisdiction. By accepting this Award, the Participant expressly and explicitly consents to the withholding methods provided for hereunder. All other Tax-Related Items related to the RSEs shall be the Participant’s sole responsibility.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r>
        <w:rPr>
          <w:rFonts w:ascii="Times New Roman" w:cs="Times New Roman" w:eastAsia="Times New Roman" w:hAnsi="Times New Roman"/>
          <w:sz w:val="19"/>
          <w:szCs w:val="19"/>
          <w:b w:val="1"/>
          <w:bCs w:val="1"/>
          <w:color w:val="auto"/>
        </w:rPr>
        <w:t>Acknowledgement and Waiver</w:t>
      </w:r>
      <w:r>
        <w:rPr>
          <w:rFonts w:ascii="Times New Roman" w:cs="Times New Roman" w:eastAsia="Times New Roman" w:hAnsi="Times New Roman"/>
          <w:sz w:val="19"/>
          <w:szCs w:val="19"/>
          <w:color w:val="auto"/>
        </w:rPr>
        <w:t>. By accepting this Award, the Participant acknowledges, understands and agrees that:</w:t>
      </w:r>
    </w:p>
    <w:p>
      <w:pPr>
        <w:spacing w:after="0" w:line="204" w:lineRule="exact"/>
        <w:rPr>
          <w:sz w:val="20"/>
          <w:szCs w:val="20"/>
          <w:color w:val="auto"/>
        </w:rPr>
      </w:pPr>
    </w:p>
    <w:p>
      <w:pPr>
        <w:ind w:left="700" w:right="140"/>
        <w:spacing w:after="0" w:line="286" w:lineRule="auto"/>
        <w:rPr>
          <w:sz w:val="20"/>
          <w:szCs w:val="20"/>
          <w:color w:val="auto"/>
        </w:rPr>
      </w:pPr>
      <w:r>
        <w:rPr>
          <w:rFonts w:ascii="Times New Roman" w:cs="Times New Roman" w:eastAsia="Times New Roman" w:hAnsi="Times New Roman"/>
          <w:sz w:val="19"/>
          <w:szCs w:val="19"/>
          <w:color w:val="auto"/>
        </w:rPr>
        <w:t>(a)the Plan is established voluntarily by Ashland, may be discretionary in nature or execution, and may be modified, amended, suspended or terminated by Ashland at any time;</w:t>
      </w:r>
    </w:p>
    <w:p>
      <w:pPr>
        <w:spacing w:after="0" w:line="127" w:lineRule="exact"/>
        <w:rPr>
          <w:sz w:val="20"/>
          <w:szCs w:val="20"/>
          <w:color w:val="auto"/>
        </w:rPr>
      </w:pPr>
    </w:p>
    <w:p>
      <w:pPr>
        <w:ind w:left="700"/>
        <w:spacing w:after="0" w:line="286" w:lineRule="auto"/>
        <w:rPr>
          <w:sz w:val="20"/>
          <w:szCs w:val="20"/>
          <w:color w:val="auto"/>
        </w:rPr>
      </w:pPr>
      <w:r>
        <w:rPr>
          <w:rFonts w:ascii="Times New Roman" w:cs="Times New Roman" w:eastAsia="Times New Roman" w:hAnsi="Times New Roman"/>
          <w:sz w:val="19"/>
          <w:szCs w:val="19"/>
          <w:color w:val="auto"/>
        </w:rPr>
        <w:t>(b)the grant of SARs is exceptional, voluntary and occasional and does not create any contractual or other right to receive future grants of SARs, or benefits in lieu of SARs, even if SARs have been granted in the past;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(c)all decisions with respect to future grants, if any, will be at the sole discretion of Ashland;</w:t>
      </w:r>
    </w:p>
    <w:p>
      <w:pPr>
        <w:spacing w:after="0" w:line="202" w:lineRule="exact"/>
        <w:rPr>
          <w:sz w:val="20"/>
          <w:szCs w:val="20"/>
          <w:color w:val="auto"/>
        </w:rPr>
      </w:pPr>
    </w:p>
    <w:p>
      <w:pPr>
        <w:ind w:left="700" w:right="140"/>
        <w:spacing w:after="0" w:line="268" w:lineRule="auto"/>
        <w:rPr>
          <w:sz w:val="20"/>
          <w:szCs w:val="20"/>
          <w:color w:val="auto"/>
        </w:rPr>
      </w:pPr>
      <w:r>
        <w:rPr>
          <w:rFonts w:ascii="Times New Roman" w:cs="Times New Roman" w:eastAsia="Times New Roman" w:hAnsi="Times New Roman"/>
          <w:sz w:val="19"/>
          <w:szCs w:val="19"/>
          <w:color w:val="auto"/>
        </w:rPr>
        <w:t>(d)the Participant’s participation in the Plan shall not create a right to continued employment with Ashland or any of its Affiliates, as applicable, and shall not interfere with the ability of Ashland or any of its Affiliates to terminate the Participant’s employment relationship at any time as may be permitted under applicable law and/or any employment agreement;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(e)the Participant is participating voluntarily in the Plan;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(f)this Award and any resulting benefits are not intended to replace any pension rights or compensation;</w:t>
      </w:r>
    </w:p>
    <w:p>
      <w:pPr>
        <w:spacing w:after="0" w:line="202" w:lineRule="exact"/>
        <w:rPr>
          <w:sz w:val="20"/>
          <w:szCs w:val="20"/>
          <w:color w:val="auto"/>
        </w:rPr>
      </w:pPr>
    </w:p>
    <w:p>
      <w:pPr>
        <w:ind w:left="700" w:right="20"/>
        <w:spacing w:after="0" w:line="262" w:lineRule="auto"/>
        <w:rPr>
          <w:sz w:val="20"/>
          <w:szCs w:val="20"/>
          <w:color w:val="auto"/>
        </w:rPr>
      </w:pPr>
      <w:r>
        <w:rPr>
          <w:rFonts w:ascii="Times New Roman" w:cs="Times New Roman" w:eastAsia="Times New Roman" w:hAnsi="Times New Roman"/>
          <w:sz w:val="19"/>
          <w:szCs w:val="19"/>
          <w:color w:val="auto"/>
        </w:rPr>
        <w:t>(g)this Award and any resulting benefits are not part of normal or expected compensation or salary for any purposes, including, but not limited to calculating any severance, resignation, termination, redundancy, dismissal, end -of-service payments, bonuses, holiday pay, long-service awards, pension or retirement or welfare benefits or similar mandatory payments and in no event should be considered as compensation for, or relating in any way to, past services for Ashland, its Affiliates or the Employer;</w:t>
      </w:r>
    </w:p>
    <w:p>
      <w:pPr>
        <w:spacing w:after="0" w:line="150" w:lineRule="exact"/>
        <w:rPr>
          <w:sz w:val="20"/>
          <w:szCs w:val="20"/>
          <w:color w:val="auto"/>
        </w:rPr>
      </w:pPr>
    </w:p>
    <w:p>
      <w:pPr>
        <w:ind w:left="700" w:right="80"/>
        <w:spacing w:after="0" w:line="286" w:lineRule="auto"/>
        <w:rPr>
          <w:sz w:val="20"/>
          <w:szCs w:val="20"/>
          <w:color w:val="auto"/>
        </w:rPr>
      </w:pPr>
      <w:r>
        <w:rPr>
          <w:rFonts w:ascii="Times New Roman" w:cs="Times New Roman" w:eastAsia="Times New Roman" w:hAnsi="Times New Roman"/>
          <w:sz w:val="19"/>
          <w:szCs w:val="19"/>
          <w:color w:val="auto"/>
        </w:rPr>
        <w:t>(h)unless otherwise agreed with Ashland, the SARs and any income and value relating thereto, are not granted as consideration for, or in connection with, the service the Participant may provide as a director of any Affiliate;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(i)the future value of the Shares underlying the SARs is unknown, indeterminable and cannot be predicted with certainty;</w:t>
      </w:r>
    </w:p>
    <w:p>
      <w:pPr>
        <w:spacing w:after="0" w:line="202" w:lineRule="exact"/>
        <w:rPr>
          <w:sz w:val="20"/>
          <w:szCs w:val="20"/>
          <w:color w:val="auto"/>
        </w:rPr>
      </w:pPr>
    </w:p>
    <w:p>
      <w:pPr>
        <w:ind w:left="700" w:right="80"/>
        <w:spacing w:after="0" w:line="286" w:lineRule="auto"/>
        <w:rPr>
          <w:sz w:val="20"/>
          <w:szCs w:val="20"/>
          <w:color w:val="auto"/>
        </w:rPr>
      </w:pPr>
      <w:r>
        <w:rPr>
          <w:rFonts w:ascii="Times New Roman" w:cs="Times New Roman" w:eastAsia="Times New Roman" w:hAnsi="Times New Roman"/>
          <w:sz w:val="19"/>
          <w:szCs w:val="19"/>
          <w:color w:val="auto"/>
        </w:rPr>
        <w:t>(j)no claim or entitlement to compensation or damages shall arise from forfeiture of the SARs resulting from termination of the Participant’s Continuous Service (for any reason whatsoever and whether or not in breach of local labor laws); and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434340</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9" w:name="page210"/>
    <w:bookmarkEnd w:id="209"/>
    <w:p>
      <w:pPr>
        <w:spacing w:after="0" w:line="269" w:lineRule="exact"/>
        <w:rPr>
          <w:sz w:val="20"/>
          <w:szCs w:val="20"/>
          <w:color w:val="auto"/>
        </w:rPr>
      </w:pPr>
    </w:p>
    <w:p>
      <w:pPr>
        <w:ind w:left="700" w:right="280"/>
        <w:spacing w:after="0" w:line="268" w:lineRule="auto"/>
        <w:rPr>
          <w:sz w:val="20"/>
          <w:szCs w:val="20"/>
          <w:color w:val="auto"/>
        </w:rPr>
      </w:pPr>
      <w:r>
        <w:rPr>
          <w:rFonts w:ascii="Times New Roman" w:cs="Times New Roman" w:eastAsia="Times New Roman" w:hAnsi="Times New Roman"/>
          <w:sz w:val="19"/>
          <w:szCs w:val="19"/>
          <w:color w:val="auto"/>
        </w:rPr>
        <w:t>(k)neither Ashland, its Affiliates nor the Employer will be liable for any foreign exchange rate fluctuation between the Participant’s local currency and the United States dollar that may affect the value of the SARs or any amounts payable to the Participant pursuant to the settlement of the vested SARs that are exercised.</w:t>
      </w:r>
    </w:p>
    <w:p>
      <w:pPr>
        <w:spacing w:after="0" w:line="14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b w:val="1"/>
          <w:bCs w:val="1"/>
          <w:color w:val="auto"/>
        </w:rPr>
        <w:t>Data Privacy</w:t>
      </w:r>
      <w:r>
        <w:rPr>
          <w:rFonts w:ascii="Times New Roman" w:cs="Times New Roman" w:eastAsia="Times New Roman" w:hAnsi="Times New Roman"/>
          <w:sz w:val="19"/>
          <w:szCs w:val="19"/>
          <w:color w:val="auto"/>
        </w:rPr>
        <w:t>. Ashland (or the “Company”) is located at 8145 Blazer Drive, Wilmington, DE 19808, U.S.A. and grants SARs under the Plan and its ongoing administration of such SARs, the Company is providing the following information about its data collection, processing and transfer practices (“Personal Data Activities”). In accepting the grant of SARs, the Participant expressly and explicitly consents to the Personal Data Activities as described herein, except to the extent the following provisions are specifically modified by the Addendum to this Agreement.</w:t>
      </w:r>
    </w:p>
    <w:p>
      <w:pPr>
        <w:spacing w:after="0" w:line="151" w:lineRule="exact"/>
        <w:rPr>
          <w:sz w:val="20"/>
          <w:szCs w:val="20"/>
          <w:color w:val="auto"/>
        </w:rPr>
      </w:pPr>
    </w:p>
    <w:p>
      <w:pPr>
        <w:ind w:left="700" w:right="200"/>
        <w:spacing w:after="0" w:line="255" w:lineRule="auto"/>
        <w:rPr>
          <w:sz w:val="20"/>
          <w:szCs w:val="20"/>
          <w:color w:val="auto"/>
        </w:rPr>
      </w:pPr>
      <w:r>
        <w:rPr>
          <w:rFonts w:ascii="Times New Roman" w:cs="Times New Roman" w:eastAsia="Times New Roman" w:hAnsi="Times New Roman"/>
          <w:sz w:val="19"/>
          <w:szCs w:val="19"/>
          <w:color w:val="auto"/>
        </w:rPr>
        <w:t>(a)Data Collection, Processing and Usage. The Company processes the Participant’s personal data, including the Participant’s name, home address, email address, and telephone number, date of birth, social insurance number or other identification number, salary, citizenship, job title, any shares of stock or directorships held in the Company, and details of all SARs or any other equity compensation awards granted, canceled, exercised, vested, or outstanding in the Participant’s favor, which the Company receives from the Participant or the Employer. In granting the SARs under the Plan, the Company will process the Participant’s personal data for purposes of allocating the cash payment and implementing, administering and managing the Plan. The Company’s legal basis for the collection, processing and usage of the Participant’s personal data is the Participant’s consent.</w:t>
      </w:r>
    </w:p>
    <w:p>
      <w:pPr>
        <w:spacing w:after="0" w:line="160" w:lineRule="exact"/>
        <w:rPr>
          <w:sz w:val="20"/>
          <w:szCs w:val="20"/>
          <w:color w:val="auto"/>
        </w:rPr>
      </w:pPr>
    </w:p>
    <w:p>
      <w:pPr>
        <w:ind w:left="700" w:right="80"/>
        <w:spacing w:after="0" w:line="256" w:lineRule="auto"/>
        <w:rPr>
          <w:sz w:val="20"/>
          <w:szCs w:val="20"/>
          <w:color w:val="auto"/>
        </w:rPr>
      </w:pPr>
      <w:r>
        <w:rPr>
          <w:rFonts w:ascii="Times New Roman" w:cs="Times New Roman" w:eastAsia="Times New Roman" w:hAnsi="Times New Roman"/>
          <w:sz w:val="19"/>
          <w:szCs w:val="19"/>
          <w:color w:val="auto"/>
        </w:rPr>
        <w:t>(b)Stock Plan Administration Service Provider. The Company may transfer the Participant’s personal data to Fidelity Stock Plan Services LLC, an independent service provider based in the United States, which may assist the Company with the implementation, administration and management of the Plan (the “Stock Plan Administrator”). In the future, the Company may select a different Stock Plan Administrator and share the Participant’s personal data with another company that serves in a similar manner. The Stock Plan Administrator may open an account for the Participant to receive any cash payment acquired under the Plan. The Participant will be asked to agree on separate terms and data processing practices with the Stock Plan Administrator, which is a condition to the Participant’s ability to participate in the Plan.</w:t>
      </w:r>
    </w:p>
    <w:p>
      <w:pPr>
        <w:spacing w:after="0" w:line="157" w:lineRule="exact"/>
        <w:rPr>
          <w:sz w:val="20"/>
          <w:szCs w:val="20"/>
          <w:color w:val="auto"/>
        </w:rPr>
      </w:pPr>
    </w:p>
    <w:p>
      <w:pPr>
        <w:ind w:left="700" w:right="40"/>
        <w:spacing w:after="0" w:line="262" w:lineRule="auto"/>
        <w:rPr>
          <w:sz w:val="20"/>
          <w:szCs w:val="20"/>
          <w:color w:val="auto"/>
        </w:rPr>
      </w:pPr>
      <w:r>
        <w:rPr>
          <w:rFonts w:ascii="Times New Roman" w:cs="Times New Roman" w:eastAsia="Times New Roman" w:hAnsi="Times New Roman"/>
          <w:sz w:val="19"/>
          <w:szCs w:val="19"/>
          <w:color w:val="auto"/>
        </w:rPr>
        <w:t>(c)International Data Transfers. The Company and the Stock Plan Administrator are based in the United States. The Participant should note that the Participant’s country of residence may have enacted data privacy laws that are different from the United States. The Company’s legal basis for the transfer of the Participant’s personal data to the United States is the Participant’s consent.</w:t>
      </w:r>
    </w:p>
    <w:p>
      <w:pPr>
        <w:spacing w:after="0" w:line="150" w:lineRule="exact"/>
        <w:rPr>
          <w:sz w:val="20"/>
          <w:szCs w:val="20"/>
          <w:color w:val="auto"/>
        </w:rPr>
      </w:pPr>
    </w:p>
    <w:p>
      <w:pPr>
        <w:ind w:left="700" w:right="100"/>
        <w:spacing w:after="0" w:line="259" w:lineRule="auto"/>
        <w:rPr>
          <w:sz w:val="20"/>
          <w:szCs w:val="20"/>
          <w:color w:val="auto"/>
        </w:rPr>
      </w:pPr>
      <w:r>
        <w:rPr>
          <w:rFonts w:ascii="Times New Roman" w:cs="Times New Roman" w:eastAsia="Times New Roman" w:hAnsi="Times New Roman"/>
          <w:sz w:val="19"/>
          <w:szCs w:val="19"/>
          <w:color w:val="auto"/>
        </w:rPr>
        <w:t>(d)Voluntariness and Consequences of Consent Denial or Withdrawal. The Participant’s participation in the Plan and grant of consent is purely voluntary. The Participant may deny or withdraw the Participant’s consent at any time. If the Participant does not consent, or if the Participant withdraws his or her consent, the Participant may be unable to participate in the Plan. This would not affect the Participant’s existing employment or salary; instead, the Participant merely may forfeit the opportunities associated with the Plan.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434340</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0" w:name="page211"/>
    <w:bookmarkEnd w:id="210"/>
    <w:p>
      <w:pPr>
        <w:spacing w:after="0" w:line="269"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9"/>
          <w:szCs w:val="19"/>
          <w:color w:val="auto"/>
        </w:rPr>
        <w:t>(e)Data Subjects Rights. The Participant may have a number of rights under the data privacy laws in the Participant’s country of residence. For example, the Participant’s rights may include the right to (i) request access or copies of personal data the Company processes, (ii) request rectification of incorrect data, (iii) request deletion of data, (iv) place restrictions on processing,</w:t>
      </w:r>
    </w:p>
    <w:p>
      <w:pPr>
        <w:spacing w:after="0" w:line="2" w:lineRule="exact"/>
        <w:rPr>
          <w:sz w:val="20"/>
          <w:szCs w:val="20"/>
          <w:color w:val="auto"/>
        </w:rPr>
      </w:pPr>
    </w:p>
    <w:p>
      <w:pPr>
        <w:ind w:left="700" w:firstLine="2"/>
        <w:spacing w:after="0" w:line="256" w:lineRule="auto"/>
        <w:tabs>
          <w:tab w:leader="none" w:pos="972"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lodge complaints with competent authorities in the Participant’s country of residence, and/or (vi) request a list with the names and addresses of any potential recipients of the Participant’s personal data. To receive clarification regarding the Participant’s rights or to exercise his or her rights, the Participant should contact his or her local human resources representative.</w:t>
      </w:r>
    </w:p>
    <w:p>
      <w:pPr>
        <w:spacing w:after="0" w:line="15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The Award shall be treated in accordance with Section 8 of the Plan in the event of a Change of Control prior to the final Vesting Date hereunder.</w:t>
      </w:r>
    </w:p>
    <w:p>
      <w:pPr>
        <w:spacing w:after="0" w:line="1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b w:val="1"/>
          <w:bCs w:val="1"/>
          <w:color w:val="auto"/>
        </w:rPr>
        <w:t>Compensation Recovery.</w:t>
      </w:r>
      <w:r>
        <w:rPr>
          <w:rFonts w:ascii="Times New Roman" w:cs="Times New Roman" w:eastAsia="Times New Roman" w:hAnsi="Times New Roman"/>
          <w:sz w:val="19"/>
          <w:szCs w:val="19"/>
          <w:color w:val="auto"/>
        </w:rPr>
        <w:t xml:space="preserve"> Notwithstanding anything in the Plan, this Agreement or any other agreement or declaration, 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 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6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9"/>
          <w:szCs w:val="19"/>
          <w:color w:val="auto"/>
        </w:rPr>
        <w:t>14.</w:t>
      </w:r>
      <w:r>
        <w:rPr>
          <w:rFonts w:ascii="Times New Roman" w:cs="Times New Roman" w:eastAsia="Times New Roman" w:hAnsi="Times New Roman"/>
          <w:sz w:val="19"/>
          <w:szCs w:val="19"/>
          <w:b w:val="1"/>
          <w:bCs w:val="1"/>
          <w:color w:val="auto"/>
        </w:rPr>
        <w:t>Non-transferability</w:t>
      </w:r>
      <w:r>
        <w:rPr>
          <w:rFonts w:ascii="Times New Roman" w:cs="Times New Roman" w:eastAsia="Times New Roman" w:hAnsi="Times New Roman"/>
          <w:sz w:val="19"/>
          <w:szCs w:val="19"/>
          <w:color w:val="auto"/>
        </w:rPr>
        <w:t>. The Participant may not sell, transfer, pledge, assign, attach or otherwise alienate or hypothecate the SARs or any other rights under this Agreement other than by will or by the 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14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9"/>
          <w:szCs w:val="19"/>
          <w:color w:val="auto"/>
        </w:rPr>
        <w:t>15.</w:t>
      </w:r>
      <w:r>
        <w:rPr>
          <w:rFonts w:ascii="Times New Roman" w:cs="Times New Roman" w:eastAsia="Times New Roman" w:hAnsi="Times New Roman"/>
          <w:sz w:val="19"/>
          <w:szCs w:val="19"/>
          <w:b w:val="1"/>
          <w:bCs w:val="1"/>
          <w:color w:val="auto"/>
        </w:rPr>
        <w:t>Effect of Agreement</w:t>
      </w:r>
      <w:r>
        <w:rPr>
          <w:rFonts w:ascii="Times New Roman" w:cs="Times New Roman" w:eastAsia="Times New Roman" w:hAnsi="Times New Roman"/>
          <w:sz w:val="19"/>
          <w:szCs w:val="19"/>
          <w:color w:val="auto"/>
        </w:rPr>
        <w:t>. The Participant acknowledges receipt of a copy of the Plan and represents that he or she is familiar with the terms and provisions thereof (and has had an opportunity to consult counsel regarding the terms of the Award), and hereby accepts this Award and agrees to be bound by its contractual terms as set forth herein and in the Plan. The Participant hereby agrees to accept as binding, conclusive and final all decisions and interpretations of the Committee regarding any questions relating to this Award. In the event of a conflict between the terms and provisions of the Plan and the terms and provisions of this Agreement, the Plan terms and provisions shall prevail.</w:t>
      </w:r>
    </w:p>
    <w:p>
      <w:pPr>
        <w:spacing w:after="0" w:line="151"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9"/>
          <w:szCs w:val="19"/>
          <w:color w:val="auto"/>
        </w:rPr>
        <w:t xml:space="preserve">16. </w:t>
      </w:r>
      <w:r>
        <w:rPr>
          <w:rFonts w:ascii="Times New Roman" w:cs="Times New Roman" w:eastAsia="Times New Roman" w:hAnsi="Times New Roman"/>
          <w:sz w:val="19"/>
          <w:szCs w:val="19"/>
          <w:b w:val="1"/>
          <w:bCs w:val="1"/>
          <w:color w:val="auto"/>
        </w:rPr>
        <w:t>Restrictive Covenants</w:t>
      </w:r>
      <w:r>
        <w:rPr>
          <w:rFonts w:ascii="Times New Roman" w:cs="Times New Roman" w:eastAsia="Times New Roman" w:hAnsi="Times New Roman"/>
          <w:sz w:val="19"/>
          <w:szCs w:val="19"/>
          <w:color w:val="auto"/>
        </w:rPr>
        <w:t>. In consideration of this Award, the Participant agrees that during the Participant’s Continuous Service and the twelve (12) month period following the Participant’s</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6</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0"/>
          <w:szCs w:val="10"/>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441325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1" w:name="page212"/>
    <w:bookmarkEnd w:id="211"/>
    <w:p>
      <w:pPr>
        <w:spacing w:after="0" w:line="26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auto"/>
        </w:rPr>
        <w:t>termination of Continuous Service for any reason (the “Covenant Period”), without the written consent of Ashland, the Participant will not:</w:t>
      </w:r>
    </w:p>
    <w:p>
      <w:pPr>
        <w:spacing w:after="0" w:line="127"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(a)engage directly or indirectly in any manner or capacity as principal, agent, partner, officer, director, employee or otherwise in any business or activity competitive with the business conducted by Ashland or any of its Affiliates; or</w:t>
      </w:r>
    </w:p>
    <w:p>
      <w:pPr>
        <w:spacing w:after="0" w:line="127" w:lineRule="exact"/>
        <w:rPr>
          <w:sz w:val="20"/>
          <w:szCs w:val="20"/>
          <w:color w:val="auto"/>
        </w:rPr>
      </w:pPr>
    </w:p>
    <w:p>
      <w:pPr>
        <w:ind w:left="700" w:right="40"/>
        <w:spacing w:after="0" w:line="286" w:lineRule="auto"/>
        <w:rPr>
          <w:sz w:val="20"/>
          <w:szCs w:val="20"/>
          <w:color w:val="auto"/>
        </w:rPr>
      </w:pPr>
      <w:r>
        <w:rPr>
          <w:rFonts w:ascii="Times New Roman" w:cs="Times New Roman" w:eastAsia="Times New Roman" w:hAnsi="Times New Roman"/>
          <w:sz w:val="19"/>
          <w:szCs w:val="19"/>
          <w:color w:val="auto"/>
        </w:rPr>
        <w:t>(b)perform any act or engage in any activity that is detrimental to the best interests of Ashland or any of its Affiliates, including, without limitation:</w:t>
      </w:r>
    </w:p>
    <w:p>
      <w:pPr>
        <w:spacing w:after="0" w:line="127" w:lineRule="exact"/>
        <w:rPr>
          <w:sz w:val="20"/>
          <w:szCs w:val="20"/>
          <w:color w:val="auto"/>
        </w:rPr>
      </w:pPr>
    </w:p>
    <w:p>
      <w:pPr>
        <w:ind w:left="1600" w:right="100"/>
        <w:spacing w:after="0" w:line="268" w:lineRule="auto"/>
        <w:rPr>
          <w:sz w:val="20"/>
          <w:szCs w:val="20"/>
          <w:color w:val="auto"/>
        </w:rPr>
      </w:pPr>
      <w:r>
        <w:rPr>
          <w:rFonts w:ascii="Times New Roman" w:cs="Times New Roman" w:eastAsia="Times New Roman" w:hAnsi="Times New Roman"/>
          <w:sz w:val="19"/>
          <w:szCs w:val="19"/>
          <w:color w:val="auto"/>
        </w:rPr>
        <w:t>i.soliciting or encouraging any existing or former employee, director, contractor, consultant, customer or supplier of Ashland or any of its Affiliates to terminate his, her or its relationship with Ashland or any of its Affiliates for any reason; or</w:t>
      </w:r>
    </w:p>
    <w:p>
      <w:pPr>
        <w:spacing w:after="0" w:line="144" w:lineRule="exact"/>
        <w:rPr>
          <w:sz w:val="20"/>
          <w:szCs w:val="20"/>
          <w:color w:val="auto"/>
        </w:rPr>
      </w:pPr>
    </w:p>
    <w:p>
      <w:pPr>
        <w:ind w:left="1600" w:right="240"/>
        <w:spacing w:after="0" w:line="286" w:lineRule="auto"/>
        <w:rPr>
          <w:sz w:val="20"/>
          <w:szCs w:val="20"/>
          <w:color w:val="auto"/>
        </w:rPr>
      </w:pPr>
      <w:r>
        <w:rPr>
          <w:rFonts w:ascii="Times New Roman" w:cs="Times New Roman" w:eastAsia="Times New Roman" w:hAnsi="Times New Roman"/>
          <w:sz w:val="19"/>
          <w:szCs w:val="19"/>
          <w:color w:val="auto"/>
        </w:rPr>
        <w:t>ii.disclosing proprietary or confidential information of Ashland or any of its Affiliates to third parties or using any such proprietary or confidential information for the benefit of anyone other than Ashland or any of its Affiliates;</w:t>
      </w:r>
    </w:p>
    <w:p>
      <w:pPr>
        <w:spacing w:after="0" w:line="127"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9"/>
          <w:szCs w:val="19"/>
          <w:color w:val="auto"/>
        </w:rPr>
        <w:t>provided, however, that this Agreement shall not prohibit the Participant in any way from (1) filing and, as provided for under Section 21F of the Securities Exchange Act of 1934, maintaining the confidentiality of a claim with the United States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U.S. federal or state trade secret law for the disclosure of any proprietary or confidential information that constitutes a trade secret to which the Defend Trade Secrets Act (18 U.S.C. Section 1833(b)) applies that is made (A) in confidence to a U.S.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61" w:lineRule="exact"/>
        <w:rPr>
          <w:sz w:val="20"/>
          <w:szCs w:val="20"/>
          <w:color w:val="auto"/>
        </w:rPr>
      </w:pPr>
    </w:p>
    <w:p>
      <w:pPr>
        <w:ind w:left="700" w:right="140"/>
        <w:spacing w:after="0" w:line="255" w:lineRule="auto"/>
        <w:rPr>
          <w:sz w:val="20"/>
          <w:szCs w:val="20"/>
          <w:color w:val="auto"/>
        </w:rPr>
      </w:pPr>
      <w:r>
        <w:rPr>
          <w:rFonts w:ascii="Times New Roman" w:cs="Times New Roman" w:eastAsia="Times New Roman" w:hAnsi="Times New Roman"/>
          <w:sz w:val="19"/>
          <w:szCs w:val="19"/>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and such elimination or reduction would trigger Section 409A taxes, to or on behalf of the Participant in an amount up to the total amount paid) or payable to the Participant under this Agreement; and/or (z) require the Participant to pay</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7</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0"/>
          <w:szCs w:val="10"/>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441325</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2" w:name="page213"/>
    <w:bookmarkEnd w:id="212"/>
    <w:p>
      <w:pPr>
        <w:spacing w:after="0" w:line="269" w:lineRule="exact"/>
        <w:rPr>
          <w:sz w:val="20"/>
          <w:szCs w:val="20"/>
          <w:color w:val="auto"/>
        </w:rPr>
      </w:pPr>
    </w:p>
    <w:p>
      <w:pPr>
        <w:ind w:left="700"/>
        <w:spacing w:after="0" w:line="257" w:lineRule="auto"/>
        <w:rPr>
          <w:sz w:val="20"/>
          <w:szCs w:val="20"/>
          <w:color w:val="auto"/>
        </w:rPr>
      </w:pPr>
      <w:r>
        <w:rPr>
          <w:rFonts w:ascii="Times New Roman" w:cs="Times New Roman" w:eastAsia="Times New Roman" w:hAnsi="Times New Roman"/>
          <w:sz w:val="19"/>
          <w:szCs w:val="19"/>
          <w:color w:val="auto"/>
        </w:rPr>
        <w:t>Ashland an amount up to the total amount paid to the Participant under this Agreement; in each case together with the amount of Ashland’s court costs, attorneys fees, and other costs and expenses incurred in connection therewith; provided that the actions described in clauses (x), (y) and (z) shall not be taken with respect to the Award at any time following the third (3rd) anniversary of the vesting of the Award (or the applicable portion thereof). To the extent a longer Covenant Period is specified in another agreement between the Participant and Ashland or its Affiliates, the provisions of this Section 16 shall be extended to apply to such longer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w:t>
      </w: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color w:val="auto"/>
        </w:rPr>
        <w:t>Governing Law; Venue</w:t>
      </w:r>
      <w:r>
        <w:rPr>
          <w:rFonts w:ascii="Times New Roman" w:cs="Times New Roman" w:eastAsia="Times New Roman" w:hAnsi="Times New Roman"/>
          <w:sz w:val="19"/>
          <w:szCs w:val="19"/>
          <w:color w:val="auto"/>
        </w:rPr>
        <w:t>.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to and expressly consent to the sole and exclusive jurisdiction of the courts of the state of Delaware, or the Federal courts for the United States for the District of Delaware, and no other courts, where this grant is made and/or to be performed.</w:t>
      </w:r>
    </w:p>
    <w:p>
      <w:pPr>
        <w:spacing w:after="0" w:line="151" w:lineRule="exact"/>
        <w:rPr>
          <w:sz w:val="20"/>
          <w:szCs w:val="20"/>
          <w:color w:val="auto"/>
        </w:rPr>
      </w:pPr>
    </w:p>
    <w:p>
      <w:pPr>
        <w:ind w:left="700" w:right="60"/>
        <w:spacing w:after="0" w:line="260"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Entire Agreement; Enforcement of Rights</w:t>
      </w:r>
      <w:r>
        <w:rPr>
          <w:rFonts w:ascii="Times New Roman" w:cs="Times New Roman" w:eastAsia="Times New Roman" w:hAnsi="Times New Roman"/>
          <w:sz w:val="19"/>
          <w:szCs w:val="19"/>
          <w:color w:val="auto"/>
        </w:rPr>
        <w:t>. This Agreement and the Plan set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49" w:lineRule="exact"/>
        <w:rPr>
          <w:sz w:val="20"/>
          <w:szCs w:val="20"/>
          <w:color w:val="auto"/>
        </w:rPr>
      </w:pPr>
    </w:p>
    <w:p>
      <w:pPr>
        <w:ind w:left="700" w:right="100"/>
        <w:spacing w:after="0" w:line="263"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9"/>
          <w:szCs w:val="19"/>
          <w:b w:val="1"/>
          <w:bCs w:val="1"/>
          <w:color w:val="auto"/>
        </w:rPr>
        <w:t>No Advice Regarding Grant</w:t>
      </w:r>
      <w:r>
        <w:rPr>
          <w:rFonts w:ascii="Times New Roman" w:cs="Times New Roman" w:eastAsia="Times New Roman" w:hAnsi="Times New Roman"/>
          <w:sz w:val="19"/>
          <w:szCs w:val="19"/>
          <w:color w:val="auto"/>
        </w:rPr>
        <w:t>. Neither Ashland nor any of its Affiliates are providing any tax, legal or financial advice, nor is Ashland or any of its Affiliates making any recommendations regarding the Participant’s participation in the Plan. The Participant should consult with his or her own personal tax, legal and financial advisors regarding his or her participation in the Plan before taking any action related to the Plan.</w:t>
      </w:r>
    </w:p>
    <w:p>
      <w:pPr>
        <w:spacing w:after="0" w:line="147"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Compliance with Law</w:t>
      </w:r>
      <w:r>
        <w:rPr>
          <w:rFonts w:ascii="Times New Roman" w:cs="Times New Roman" w:eastAsia="Times New Roman" w:hAnsi="Times New Roman"/>
          <w:sz w:val="19"/>
          <w:szCs w:val="19"/>
          <w:color w:val="auto"/>
        </w:rPr>
        <w:t>. If the Participant is employed and/or resident in a country that is a member of the European Union, the Award and this Agreement are intended to comply with the age discrimination provisions of the EU Equal Treatment Framework Directive, as implemented into local law (the “Age Discrimination Rules”) . To the extent that a court or tribunal of competent jurisdiction determines that any provision of the Award and this Agreement are invalid or unenforceable, in whole or in part, under the Age Discrimination Rules, Ashland, in its sole discretion, shall have the power and authority to revise or strike such provision to the minimum extent necessary to make it valid and enforceable to the full extent permitted under local law.</w:t>
      </w:r>
    </w:p>
    <w:p>
      <w:pPr>
        <w:spacing w:after="0" w:line="151" w:lineRule="exact"/>
        <w:rPr>
          <w:sz w:val="20"/>
          <w:szCs w:val="20"/>
          <w:color w:val="auto"/>
        </w:rPr>
      </w:pPr>
    </w:p>
    <w:p>
      <w:pPr>
        <w:ind w:left="700" w:right="220"/>
        <w:spacing w:after="0" w:line="269"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9"/>
          <w:szCs w:val="19"/>
          <w:b w:val="1"/>
          <w:bCs w:val="1"/>
          <w:color w:val="auto"/>
        </w:rPr>
        <w:t>Electronic Delivery and Participation</w:t>
      </w:r>
      <w:r>
        <w:rPr>
          <w:rFonts w:ascii="Times New Roman" w:cs="Times New Roman" w:eastAsia="Times New Roman" w:hAnsi="Times New Roman"/>
          <w:sz w:val="19"/>
          <w:szCs w:val="19"/>
          <w:color w:val="auto"/>
        </w:rPr>
        <w:t>. Ashland may, in its sole discretion, deliver any documents related to current or future participation in the Plan by electronic means. The Participant hereby consents to receive such documents by electronic delivery and agrees to</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6"/>
          <w:szCs w:val="16"/>
          <w:color w:val="auto"/>
        </w:rPr>
        <w:t>8</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0"/>
          <w:szCs w:val="10"/>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441325</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3" w:name="page214"/>
    <w:bookmarkEnd w:id="213"/>
    <w:p>
      <w:pPr>
        <w:spacing w:after="0" w:line="26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participate in the Plan through an online or electronic system established and maintained by Ashland or a third party designated by Ashland.</w:t>
      </w:r>
    </w:p>
    <w:p>
      <w:pPr>
        <w:spacing w:after="0" w:line="1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(f)</w:t>
      </w:r>
      <w:r>
        <w:rPr>
          <w:rFonts w:ascii="Times New Roman" w:cs="Times New Roman" w:eastAsia="Times New Roman" w:hAnsi="Times New Roman"/>
          <w:sz w:val="19"/>
          <w:szCs w:val="19"/>
          <w:b w:val="1"/>
          <w:bCs w:val="1"/>
          <w:color w:val="auto"/>
        </w:rPr>
        <w:t>Language</w:t>
      </w:r>
      <w:r>
        <w:rPr>
          <w:rFonts w:ascii="Times New Roman" w:cs="Times New Roman" w:eastAsia="Times New Roman" w:hAnsi="Times New Roman"/>
          <w:sz w:val="19"/>
          <w:szCs w:val="19"/>
          <w:color w:val="auto"/>
        </w:rPr>
        <w:t>. By participating in the Plan, the Participant acknowledges that he or she is sufficiently proficient in English or has consulted with an advisor who is sufficiently proficient in English so as to allow the Participant to understand the terms and conditions of the Agreement. The Participant has received the terms and conditions of the SARs and any other related communication and the Participant consents to receiving these documents in English. If the Participant has received this Agreement, or any other document related to the Award and/or the Plan translated into a language other than English and if the meaning of the translated version is different from the English version, the English version will control.</w:t>
      </w:r>
    </w:p>
    <w:p>
      <w:pPr>
        <w:spacing w:after="0" w:line="15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one or more provisions of this Agreement are held to be unenforceable,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4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(h)</w:t>
      </w:r>
      <w:r>
        <w:rPr>
          <w:rFonts w:ascii="Times New Roman" w:cs="Times New Roman" w:eastAsia="Times New Roman" w:hAnsi="Times New Roman"/>
          <w:sz w:val="19"/>
          <w:szCs w:val="19"/>
          <w:b w:val="1"/>
          <w:bCs w:val="1"/>
          <w:color w:val="auto"/>
        </w:rPr>
        <w:t>Waiver by Ashland</w:t>
      </w:r>
      <w:r>
        <w:rPr>
          <w:rFonts w:ascii="Times New Roman" w:cs="Times New Roman" w:eastAsia="Times New Roman" w:hAnsi="Times New Roman"/>
          <w:sz w:val="19"/>
          <w:szCs w:val="19"/>
          <w:color w:val="auto"/>
        </w:rPr>
        <w:t>. The Participant acknowledges that a waiver by Ashland of breach of any provision of this Agreement shall not operate or be construed as a waiver of any other provision of this Agreement, or of any subsequent breach by the Participant or any other participant.</w:t>
      </w:r>
    </w:p>
    <w:p>
      <w:pPr>
        <w:spacing w:after="0" w:line="14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Any notice required or permitted by this Agreement shall be in writing and shall be deemed sufficient when delivered personally or at time of transmission if sent by telegram or fax or forty-eight (48) hours after being deposited in the U.S. mail, as certified or registered mail, with postage prepaid, or forty-eight (48) hours after being deposited with an express courier, or at the time an electronic confirmation of receipt is received if delivery is by email, and addressed to the party to be notified at such party’s address as set forth below or as subsequently modified by written notice.</w:t>
      </w:r>
    </w:p>
    <w:p>
      <w:pPr>
        <w:spacing w:after="0" w:line="14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(j)</w:t>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19"/>
          <w:szCs w:val="19"/>
          <w:color w:val="auto"/>
        </w:rPr>
        <w:t>. This Agreement may be executed in two (2) or more counterparts, each of which shall be deemed an original and all of which together shall constitute one (1) instrument.</w:t>
      </w:r>
    </w:p>
    <w:p>
      <w:pPr>
        <w:spacing w:after="0" w:line="1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(k)</w:t>
      </w:r>
      <w:r>
        <w:rPr>
          <w:rFonts w:ascii="Times New Roman" w:cs="Times New Roman" w:eastAsia="Times New Roman" w:hAnsi="Times New Roman"/>
          <w:sz w:val="19"/>
          <w:szCs w:val="19"/>
          <w:b w:val="1"/>
          <w:bCs w:val="1"/>
          <w:color w:val="auto"/>
        </w:rPr>
        <w:t>Private Placement</w:t>
      </w:r>
      <w:r>
        <w:rPr>
          <w:rFonts w:ascii="Times New Roman" w:cs="Times New Roman" w:eastAsia="Times New Roman" w:hAnsi="Times New Roman"/>
          <w:sz w:val="19"/>
          <w:szCs w:val="19"/>
          <w:color w:val="auto"/>
        </w:rPr>
        <w:t>. The grant of the SARs is not intended to be a public offering of securities in the Participant’s country of residence (or country of employment, if different). Neither Ashland nor any of its Affiliates has submitted any registration statement, prospectus or other filings with local securities authorities (unless otherwise required under local law), and the grant of the SARs is not subject to the supervision of the local securities authorities.</w:t>
      </w:r>
    </w:p>
    <w:p>
      <w:pPr>
        <w:spacing w:after="0" w:line="147" w:lineRule="exact"/>
        <w:rPr>
          <w:sz w:val="20"/>
          <w:szCs w:val="20"/>
          <w:color w:val="auto"/>
        </w:rPr>
      </w:pPr>
    </w:p>
    <w:p>
      <w:pPr>
        <w:jc w:val="both"/>
        <w:ind w:right="440"/>
        <w:spacing w:after="0" w:line="269" w:lineRule="auto"/>
        <w:rPr>
          <w:sz w:val="20"/>
          <w:szCs w:val="20"/>
          <w:color w:val="auto"/>
        </w:rPr>
      </w:pPr>
      <w:r>
        <w:rPr>
          <w:rFonts w:ascii="Times New Roman" w:cs="Times New Roman" w:eastAsia="Times New Roman" w:hAnsi="Times New Roman"/>
          <w:sz w:val="19"/>
          <w:szCs w:val="19"/>
          <w:color w:val="auto"/>
        </w:rPr>
        <w:t>(l)</w:t>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 The rights and benefits of this Agreement shall inure to the benefit of, and be enforceable by, Ashland’s successors and assigns. The rights and obligations of the Participant under this Agreement may not be assigned without the prior written consent of Ashland.</w:t>
      </w:r>
    </w:p>
    <w:p>
      <w:pPr>
        <w:spacing w:after="0" w:line="142"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9"/>
          <w:szCs w:val="19"/>
          <w:color w:val="auto"/>
        </w:rPr>
        <w:t>(m)</w:t>
      </w:r>
      <w:r>
        <w:rPr>
          <w:rFonts w:ascii="Times New Roman" w:cs="Times New Roman" w:eastAsia="Times New Roman" w:hAnsi="Times New Roman"/>
          <w:sz w:val="19"/>
          <w:szCs w:val="19"/>
          <w:b w:val="1"/>
          <w:bCs w:val="1"/>
          <w:color w:val="auto"/>
        </w:rPr>
        <w:t>Addendum to Agreement</w:t>
      </w:r>
      <w:r>
        <w:rPr>
          <w:rFonts w:ascii="Times New Roman" w:cs="Times New Roman" w:eastAsia="Times New Roman" w:hAnsi="Times New Roman"/>
          <w:sz w:val="19"/>
          <w:szCs w:val="19"/>
          <w:color w:val="auto"/>
        </w:rPr>
        <w:t>. Notwithstanding any provision of this Agreement to the contrary, the Award shall be subject to any special terms and conditions for the Participant’s country of</w:t>
      </w:r>
    </w:p>
    <w:p>
      <w:pPr>
        <w:spacing w:after="0" w:line="12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434340</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14" w:name="page215"/>
    <w:bookmarkEnd w:id="214"/>
    <w:p>
      <w:pPr>
        <w:spacing w:after="0" w:line="269" w:lineRule="exact"/>
        <w:rPr>
          <w:sz w:val="20"/>
          <w:szCs w:val="20"/>
          <w:color w:val="auto"/>
        </w:rPr>
      </w:pPr>
    </w:p>
    <w:p>
      <w:pPr>
        <w:ind w:left="700" w:right="140"/>
        <w:spacing w:after="0" w:line="256" w:lineRule="auto"/>
        <w:rPr>
          <w:sz w:val="20"/>
          <w:szCs w:val="20"/>
          <w:color w:val="auto"/>
        </w:rPr>
      </w:pPr>
      <w:r>
        <w:rPr>
          <w:rFonts w:ascii="Times New Roman" w:cs="Times New Roman" w:eastAsia="Times New Roman" w:hAnsi="Times New Roman"/>
          <w:sz w:val="19"/>
          <w:szCs w:val="19"/>
          <w:color w:val="auto"/>
        </w:rPr>
        <w:t>residence (and country of employment, if different) as set forth in the addendum to the Agreement (the “Addendum”). Further, if the Participant transfers residency and/or employment to another country reflected in the Addendum, the special terms and conditions for such country will apply to the Participant to the extent Ashland determines, in its sole discretion, that the application of such terms and conditions is necessary or advisable to comply with local laws, rules and/or regulations or to facilitate the operation and administration of the Award, this Agreement, and the Plan (or Ashland may establish alternative terms and conditions as may be necessary or advisable to accommodate the Participant’s transfer). The Addendum shall constitute part of this Agreement.</w:t>
      </w:r>
    </w:p>
    <w:p>
      <w:pPr>
        <w:spacing w:after="0" w:line="155" w:lineRule="exact"/>
        <w:rPr>
          <w:sz w:val="20"/>
          <w:szCs w:val="20"/>
          <w:color w:val="auto"/>
        </w:rPr>
      </w:pPr>
    </w:p>
    <w:p>
      <w:pPr>
        <w:ind w:left="700"/>
        <w:spacing w:after="0" w:line="260" w:lineRule="auto"/>
        <w:rPr>
          <w:sz w:val="20"/>
          <w:szCs w:val="20"/>
          <w:color w:val="auto"/>
        </w:rPr>
      </w:pPr>
      <w:r>
        <w:rPr>
          <w:rFonts w:ascii="Times New Roman" w:cs="Times New Roman" w:eastAsia="Times New Roman" w:hAnsi="Times New Roman"/>
          <w:sz w:val="19"/>
          <w:szCs w:val="19"/>
          <w:color w:val="auto"/>
        </w:rPr>
        <w:t>(n)</w:t>
      </w:r>
      <w:r>
        <w:rPr>
          <w:rFonts w:ascii="Times New Roman" w:cs="Times New Roman" w:eastAsia="Times New Roman" w:hAnsi="Times New Roman"/>
          <w:sz w:val="19"/>
          <w:szCs w:val="19"/>
          <w:b w:val="1"/>
          <w:bCs w:val="1"/>
          <w:color w:val="auto"/>
        </w:rPr>
        <w:t>Additional Requirements</w:t>
      </w:r>
      <w:r>
        <w:rPr>
          <w:rFonts w:ascii="Times New Roman" w:cs="Times New Roman" w:eastAsia="Times New Roman" w:hAnsi="Times New Roman"/>
          <w:sz w:val="19"/>
          <w:szCs w:val="19"/>
          <w:color w:val="auto"/>
        </w:rPr>
        <w:t>. Ashland reserves the right to impose other requirements on the Award and the Participant’s participation in the Plan to the extent Ashland determines, in its sole discretion, that such other requirements are necessary or advisable in order to comply with local laws,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spacing w:after="0" w:line="149" w:lineRule="exact"/>
        <w:rPr>
          <w:sz w:val="20"/>
          <w:szCs w:val="20"/>
          <w:color w:val="auto"/>
        </w:rPr>
      </w:pPr>
    </w:p>
    <w:p>
      <w:pPr>
        <w:ind w:left="700" w:right="40"/>
        <w:spacing w:after="0" w:line="254" w:lineRule="auto"/>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19"/>
          <w:szCs w:val="19"/>
          <w:color w:val="auto"/>
        </w:rPr>
        <w:t xml:space="preserve"> To the extent applicable, for purposes of this Agreement, a termination of employment will be determined consistent with the rules relating to a “separation from service” within the meaning of Section 409A. Notwithstanding anything provided herein to the contrary, to the extent of any payments provided under this Agreement in connection with the Participant’s termination of employment with Ashland and its Affiliates constitute “nonqualified deferred compensation” within the meaning of Section 409A that is not otherwise exempt from Section 409A, and the Participant is a “specified employee” within the meaning of Section 409A upon such termination of employment, then such payment shall not be made until the earlier of (i) the expiration of the six month period measured from the Participant’s employment termination date, or (ii) the date of the Participant’s death following such employment termination date. The Participant acknowledges that, regardless of any action taken by Ashland and its Affiliates, the liability for all taxes related to the Award and this Agreement are the sole responsibility of the Participant, and neither Ashland nor its Affiliates are liable to the Participant for any taxes, penalties and interest incurred by the Participant relating to the Award and this Agreement.</w:t>
      </w:r>
    </w:p>
    <w:p>
      <w:pPr>
        <w:spacing w:after="0" w:line="15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18.</w:t>
      </w:r>
      <w:r>
        <w:rPr>
          <w:rFonts w:ascii="Times New Roman" w:cs="Times New Roman" w:eastAsia="Times New Roman" w:hAnsi="Times New Roman"/>
          <w:sz w:val="19"/>
          <w:szCs w:val="19"/>
          <w:b w:val="1"/>
          <w:bCs w:val="1"/>
          <w:color w:val="auto"/>
        </w:rPr>
        <w:t>Acceptance. This Award of SARs is subject to and expressly conditioned upon the Participant’s online acceptance of the terms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and conditions of the Plan, this Agreement, and the Award through the Fidelity website. The right to the SARs shall expire if not accepted by #Accept By#.</w:t>
      </w:r>
    </w:p>
    <w:p>
      <w:pPr>
        <w:spacing w:after="0" w:line="144" w:lineRule="exact"/>
        <w:rPr>
          <w:sz w:val="20"/>
          <w:szCs w:val="20"/>
          <w:color w:val="auto"/>
        </w:rPr>
      </w:pPr>
    </w:p>
    <w:p>
      <w:pPr>
        <w:ind w:left="700" w:right="20"/>
        <w:spacing w:after="0" w:line="257" w:lineRule="auto"/>
        <w:rPr>
          <w:sz w:val="20"/>
          <w:szCs w:val="20"/>
          <w:color w:val="auto"/>
        </w:rPr>
      </w:pPr>
      <w:r>
        <w:rPr>
          <w:rFonts w:ascii="Times New Roman" w:cs="Times New Roman" w:eastAsia="Times New Roman" w:hAnsi="Times New Roman"/>
          <w:sz w:val="19"/>
          <w:szCs w:val="19"/>
          <w:color w:val="auto"/>
        </w:rPr>
        <w:t>By accepting the terms and conditions of this Agreement, the Participant acknowledges that the participant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6"/>
          <w:szCs w:val="16"/>
          <w:color w:val="auto"/>
        </w:rPr>
        <w:t>10</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0"/>
          <w:szCs w:val="10"/>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441325</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5" w:name="page216"/>
    <w:bookmarkEnd w:id="215"/>
    <w:p>
      <w:pPr>
        <w:spacing w:after="0" w:line="26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9"/>
          <w:szCs w:val="19"/>
          <w:color w:val="auto"/>
        </w:rPr>
        <w:t>IN WITNESS WHEREOF, Ashland Inc. has caused this instrument to be executed and delivered effective as of the Grant Date set forth above.</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#Signature#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#ParticipantName#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#AcceptanceDate#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Personal and Confidential</w:t>
      </w:r>
    </w:p>
    <w:p>
      <w:pPr>
        <w:spacing w:after="0" w:line="30"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4"/>
          <w:szCs w:val="14"/>
          <w:color w:val="auto"/>
        </w:rPr>
        <w:t>11</w:t>
      </w:r>
    </w:p>
    <w:p>
      <w:pPr>
        <w:spacing w:after="0" w:line="24" w:lineRule="exact"/>
        <w:rPr>
          <w:sz w:val="20"/>
          <w:szCs w:val="20"/>
          <w:color w:val="auto"/>
        </w:rPr>
      </w:pPr>
    </w:p>
    <w:p>
      <w:pPr>
        <w:ind w:left="7920"/>
        <w:spacing w:after="0"/>
        <w:rPr>
          <w:sz w:val="20"/>
          <w:szCs w:val="20"/>
          <w:color w:val="auto"/>
        </w:rPr>
      </w:pPr>
      <w:r>
        <w:rPr>
          <w:rFonts w:ascii="Arial" w:cs="Arial" w:eastAsia="Arial" w:hAnsi="Arial"/>
          <w:sz w:val="10"/>
          <w:szCs w:val="10"/>
          <w:color w:val="auto"/>
        </w:rPr>
        <w:t>DOCPROPERTY "CUS_DocIDChunk0" 1105973736\1\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441325</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Insider Trading Policy</w:t>
      </w:r>
    </w:p>
    <w:p>
      <w:pPr>
        <w:sectPr>
          <w:pgSz w:w="11900" w:h="16840" w:orient="portrait"/>
          <w:cols w:equalWidth="0" w:num="1">
            <w:col w:w="10560"/>
          </w:cols>
          <w:pgMar w:left="660" w:top="1061"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Policy</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60"/>
        <w:spacing w:after="0" w:line="277" w:lineRule="auto"/>
        <w:rPr>
          <w:sz w:val="20"/>
          <w:szCs w:val="20"/>
          <w:color w:val="auto"/>
        </w:rPr>
      </w:pPr>
      <w:r>
        <w:rPr>
          <w:rFonts w:ascii="Arial" w:cs="Arial" w:eastAsia="Arial" w:hAnsi="Arial"/>
          <w:sz w:val="14"/>
          <w:szCs w:val="14"/>
          <w:color w:val="auto"/>
        </w:rPr>
        <w:t>Ashland Inc. (“Ashland”) requires strict compliance with all applicable securities laws, including prohibitions against the insider trading laws of the United States and other applicable non-U.S. jurisdictions. This Insider Trading Policy (this “Policy”), which has been adopted by the Board of Directors (the “Board”) of Ashland, describes Ashland’s standards and expectations with respect to (a) insider trading by any person affiliated with Ashland and its subsidiaries, (b) heightened requirements and restrictions for certain identified Ashland individuals, and (c) special requirements for members of the Board and certain executive officers of Ashland who the Board has determined are subject to the reporting requirements of Section 16 of the Securities Exchange Act of 1934, as amended (“Section 16,” and the persons subject to Section 16 reporting including the members of the Board, the “Section 16 Persons”).</w:t>
      </w:r>
    </w:p>
    <w:p>
      <w:pPr>
        <w:spacing w:after="0" w:line="134" w:lineRule="exact"/>
        <w:rPr>
          <w:sz w:val="20"/>
          <w:szCs w:val="20"/>
          <w:color w:val="auto"/>
        </w:rPr>
      </w:pPr>
    </w:p>
    <w:p>
      <w:pPr>
        <w:sectPr>
          <w:pgSz w:w="11900" w:h="16840" w:orient="portrait"/>
          <w:cols w:equalWidth="0" w:num="2">
            <w:col w:w="1320" w:space="720"/>
            <w:col w:w="8520"/>
          </w:cols>
          <w:pgMar w:left="660" w:top="1061" w:right="680" w:bottom="1440" w:gutter="0" w:footer="0" w:header="0"/>
          <w:type w:val="continuous"/>
        </w:sectPr>
      </w:pPr>
    </w:p>
    <w:p>
      <w:pPr>
        <w:ind w:left="2040" w:right="420"/>
        <w:spacing w:after="0" w:line="278" w:lineRule="auto"/>
        <w:rPr>
          <w:sz w:val="20"/>
          <w:szCs w:val="20"/>
          <w:color w:val="auto"/>
        </w:rPr>
      </w:pPr>
      <w:r>
        <w:rPr>
          <w:rFonts w:ascii="Arial" w:cs="Arial" w:eastAsia="Arial" w:hAnsi="Arial"/>
          <w:sz w:val="14"/>
          <w:szCs w:val="14"/>
          <w:color w:val="auto"/>
        </w:rPr>
        <w:t>This Policy applies to all “Covered Persons,” which means all: (a) directors, officers, and employees (worldwide) of Ashland or its subsidiaries; (b) Family Members (as defined below) of, or entities controlled by, the foregoing persons;</w:t>
      </w:r>
    </w:p>
    <w:p>
      <w:pPr>
        <w:spacing w:after="0" w:line="1" w:lineRule="exact"/>
        <w:rPr>
          <w:sz w:val="20"/>
          <w:szCs w:val="20"/>
          <w:color w:val="auto"/>
        </w:rPr>
      </w:pPr>
    </w:p>
    <w:p>
      <w:pPr>
        <w:ind w:left="2040" w:right="340" w:firstLine="7"/>
        <w:spacing w:after="0" w:line="237" w:lineRule="auto"/>
        <w:tabs>
          <w:tab w:leader="none" w:pos="22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contractors or consultants of Ashland; and (d) any other persons who may, from time to time, be deemed subject to this Policy by Ashland’s General Counsel. “Family Members” means (i) family members who reside with a Covered Person; (ii) any other person who lives in the same household as a Covered Person; (iii) family members who do not live in the same household as a Covered Person but whose transactions in Ashland securities are directed, influenced, or controlled by a Covered Person; and (iv) family trusts, family partnerships, or other similar entities controlled by or benefiting a Covered Person.</w:t>
      </w:r>
    </w:p>
    <w:p>
      <w:pPr>
        <w:spacing w:after="0" w:line="154" w:lineRule="exact"/>
        <w:rPr>
          <w:sz w:val="20"/>
          <w:szCs w:val="20"/>
          <w:color w:val="auto"/>
        </w:rPr>
      </w:pPr>
    </w:p>
    <w:p>
      <w:pPr>
        <w:ind w:left="2040" w:right="340"/>
        <w:spacing w:after="0" w:line="280" w:lineRule="auto"/>
        <w:rPr>
          <w:sz w:val="20"/>
          <w:szCs w:val="20"/>
          <w:color w:val="auto"/>
        </w:rPr>
      </w:pPr>
      <w:r>
        <w:rPr>
          <w:rFonts w:ascii="Arial" w:cs="Arial" w:eastAsia="Arial" w:hAnsi="Arial"/>
          <w:sz w:val="14"/>
          <w:szCs w:val="14"/>
          <w:b w:val="1"/>
          <w:bCs w:val="1"/>
          <w:color w:val="auto"/>
        </w:rPr>
        <w:t>INSIDER TRADING IS A VERY SERIOUS MATTER. INSIDER TRADING AND TIPPING INSIDER INFORMATION IS ILLEGAL AND CAN RESULT IN JAIL SENTENCES AS WELL AS SIGNIFICANT PERSONAL LIABILITY AND CIVIL AND CRIMINAL FINES AND PENALTIES. COVERED PERSONS WHO VIOLATE THIS POLICY MAY BE SUBJECT TO DISCIPLINARY ACTION BY THE COMPANY, UP TO AND INCLUDING TERMINATION FOR CAUSE. IF YOU HAVE ANY QUESTIONS OR DOUBT ABOUT THE APPLICABILITY OR INTERPRETATION OF THIS POLICY OR WHETHER ANY SECURITIES TRANSACTION SHOULD BE UNDERTAKEN, PLEASE SEEK CLARIFICATION FROM THE COMPANY’S LAW DEPARTMENT. DO NOT ATTEMPT TO RESOLVE UNCERTAINTIES ABOUT THIS POLICY WITHOUT THE LAW DEPARTMENT’S ASSISTANCE.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ind w:left="160"/>
              <w:spacing w:after="0"/>
              <w:rPr>
                <w:sz w:val="20"/>
                <w:szCs w:val="20"/>
                <w:color w:val="auto"/>
              </w:rPr>
            </w:pPr>
            <w:r>
              <w:rPr>
                <w:rFonts w:ascii="Arial" w:cs="Arial" w:eastAsia="Arial" w:hAnsi="Arial"/>
                <w:sz w:val="16"/>
                <w:szCs w:val="16"/>
                <w:b w:val="1"/>
                <w:bCs w:val="1"/>
                <w:color w:val="auto"/>
              </w:rPr>
              <w:t>International</w:t>
            </w:r>
          </w:p>
        </w:tc>
        <w:tc>
          <w:tcPr>
            <w:tcW w:w="9000" w:type="dxa"/>
            <w:vAlign w:val="bottom"/>
          </w:tcPr>
          <w:p>
            <w:pPr>
              <w:ind w:left="460"/>
              <w:spacing w:after="0"/>
              <w:rPr>
                <w:sz w:val="20"/>
                <w:szCs w:val="20"/>
                <w:color w:val="auto"/>
              </w:rPr>
            </w:pPr>
            <w:r>
              <w:rPr>
                <w:rFonts w:ascii="Arial" w:cs="Arial" w:eastAsia="Arial" w:hAnsi="Arial"/>
                <w:sz w:val="16"/>
                <w:szCs w:val="16"/>
                <w:color w:val="auto"/>
              </w:rPr>
              <w:t>This Policy has been translated into multiple languages. Refer to AI-POL-004.024 to</w:t>
            </w:r>
          </w:p>
        </w:tc>
      </w:tr>
      <w:tr>
        <w:trPr>
          <w:trHeight w:val="215"/>
        </w:trPr>
        <w:tc>
          <w:tcPr>
            <w:tcW w:w="1560" w:type="dxa"/>
            <w:vAlign w:val="bottom"/>
          </w:tcPr>
          <w:p>
            <w:pPr>
              <w:ind w:left="160"/>
              <w:spacing w:after="0"/>
              <w:rPr>
                <w:sz w:val="20"/>
                <w:szCs w:val="20"/>
                <w:color w:val="auto"/>
              </w:rPr>
            </w:pPr>
            <w:r>
              <w:rPr>
                <w:rFonts w:ascii="Arial" w:cs="Arial" w:eastAsia="Arial" w:hAnsi="Arial"/>
                <w:sz w:val="16"/>
                <w:szCs w:val="16"/>
                <w:b w:val="1"/>
                <w:bCs w:val="1"/>
                <w:color w:val="auto"/>
              </w:rPr>
              <w:t>Translations</w:t>
            </w:r>
          </w:p>
        </w:tc>
        <w:tc>
          <w:tcPr>
            <w:tcW w:w="9000" w:type="dxa"/>
            <w:vAlign w:val="bottom"/>
          </w:tcPr>
          <w:p>
            <w:pPr>
              <w:ind w:left="460"/>
              <w:spacing w:after="0"/>
              <w:rPr>
                <w:sz w:val="20"/>
                <w:szCs w:val="20"/>
                <w:color w:val="auto"/>
              </w:rPr>
            </w:pPr>
            <w:r>
              <w:rPr>
                <w:rFonts w:ascii="Arial" w:cs="Arial" w:eastAsia="Arial" w:hAnsi="Arial"/>
                <w:sz w:val="16"/>
                <w:szCs w:val="16"/>
                <w:color w:val="auto"/>
              </w:rPr>
              <w:t>access the Policy in a specific language.</w:t>
            </w:r>
          </w:p>
        </w:tc>
      </w:tr>
      <w:tr>
        <w:trPr>
          <w:trHeight w:val="674"/>
        </w:trPr>
        <w:tc>
          <w:tcPr>
            <w:tcW w:w="1560" w:type="dxa"/>
            <w:vAlign w:val="bottom"/>
            <w:tcBorders>
              <w:bottom w:val="single" w:sz="8" w:color="EEEEEE"/>
            </w:tcBorders>
          </w:tcPr>
          <w:p>
            <w:pPr>
              <w:spacing w:after="0"/>
              <w:rPr>
                <w:sz w:val="24"/>
                <w:szCs w:val="24"/>
                <w:color w:val="auto"/>
              </w:rPr>
            </w:pPr>
          </w:p>
        </w:tc>
        <w:tc>
          <w:tcPr>
            <w:tcW w:w="90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61" w:right="680" w:bottom="1440" w:gutter="0" w:footer="0" w:header="0"/>
          <w:type w:val="continuous"/>
        </w:sectPr>
      </w:pPr>
    </w:p>
    <w:bookmarkStart w:id="217" w:name="page218"/>
    <w:bookmarkEnd w:id="217"/>
    <w:p>
      <w:pPr>
        <w:spacing w:after="0" w:line="245" w:lineRule="auto"/>
        <w:rPr>
          <w:sz w:val="20"/>
          <w:szCs w:val="20"/>
          <w:color w:val="auto"/>
        </w:rPr>
      </w:pPr>
      <w:r>
        <w:rPr>
          <w:rFonts w:ascii="Arial" w:cs="Arial" w:eastAsia="Arial" w:hAnsi="Arial"/>
          <w:sz w:val="16"/>
          <w:szCs w:val="16"/>
          <w:b w:val="1"/>
          <w:bCs w:val="1"/>
          <w:color w:val="auto"/>
        </w:rPr>
        <w:t xml:space="preserve">Prohibitions Against </w:t>
      </w:r>
      <w:r>
        <w:rPr>
          <w:rFonts w:ascii="Arial" w:cs="Arial" w:eastAsia="Arial" w:hAnsi="Arial"/>
          <w:sz w:val="16"/>
          <w:szCs w:val="16"/>
          <w:color w:val="auto"/>
        </w:rPr>
        <w:t>U.S. securities laws prohibit individuals from purchasing or selling securities while in possession of “material, non-public</w:t>
      </w:r>
      <w:r>
        <w:rPr>
          <w:rFonts w:ascii="Arial" w:cs="Arial" w:eastAsia="Arial" w:hAnsi="Arial"/>
          <w:sz w:val="16"/>
          <w:szCs w:val="16"/>
          <w:b w:val="1"/>
          <w:bCs w:val="1"/>
          <w:color w:val="auto"/>
        </w:rPr>
        <w:t xml:space="preserve"> Trading While Aware </w:t>
      </w:r>
      <w:r>
        <w:rPr>
          <w:rFonts w:ascii="Arial" w:cs="Arial" w:eastAsia="Arial" w:hAnsi="Arial"/>
          <w:sz w:val="16"/>
          <w:szCs w:val="16"/>
          <w:color w:val="auto"/>
        </w:rPr>
        <w:t>information” (as defined below). This conduct is referred to as “insider trading”.</w:t>
      </w:r>
    </w:p>
    <w:p>
      <w:pPr>
        <w:spacing w:after="0" w:line="235" w:lineRule="auto"/>
        <w:rPr>
          <w:sz w:val="20"/>
          <w:szCs w:val="20"/>
          <w:color w:val="auto"/>
        </w:rPr>
      </w:pPr>
      <w:r>
        <w:rPr>
          <w:rFonts w:ascii="Arial" w:cs="Arial" w:eastAsia="Arial" w:hAnsi="Arial"/>
          <w:sz w:val="16"/>
          <w:szCs w:val="16"/>
          <w:b w:val="1"/>
          <w:bCs w:val="1"/>
          <w:color w:val="auto"/>
        </w:rPr>
        <w:t>of Material, Non-</w:t>
      </w:r>
    </w:p>
    <w:p>
      <w:pPr>
        <w:ind w:left="1900" w:right="2360" w:hanging="1889"/>
        <w:spacing w:after="0" w:line="290" w:lineRule="auto"/>
        <w:tabs>
          <w:tab w:leader="none" w:pos="1880" w:val="left"/>
        </w:tabs>
        <w:rPr>
          <w:sz w:val="20"/>
          <w:szCs w:val="20"/>
          <w:color w:val="auto"/>
        </w:rPr>
      </w:pPr>
      <w:r>
        <w:rPr>
          <w:rFonts w:ascii="Arial" w:cs="Arial" w:eastAsia="Arial" w:hAnsi="Arial"/>
          <w:sz w:val="16"/>
          <w:szCs w:val="16"/>
          <w:b w:val="1"/>
          <w:bCs w:val="1"/>
          <w:color w:val="auto"/>
        </w:rPr>
        <w:t>Public Information</w:t>
      </w:r>
      <w:r>
        <w:rPr>
          <w:sz w:val="20"/>
          <w:szCs w:val="20"/>
          <w:color w:val="auto"/>
        </w:rPr>
        <w:tab/>
      </w:r>
      <w:r>
        <w:rPr>
          <w:rFonts w:ascii="Arial" w:cs="Arial" w:eastAsia="Arial" w:hAnsi="Arial"/>
          <w:sz w:val="14"/>
          <w:szCs w:val="14"/>
          <w:color w:val="auto"/>
        </w:rPr>
        <w:t>In accordance with U.S. securities laws and this Policy, Covered Persons are prohibited from engaging in insider trading, whether directly or indirectly. No Covered Person who is aware of material, non-public information regarding Ashland may:</w:t>
      </w:r>
    </w:p>
    <w:p>
      <w:pPr>
        <w:spacing w:after="0" w:line="1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Purchase or sell (or recommend the purchase or sale of) the stock or other securities of Ashland;</w:t>
      </w:r>
    </w:p>
    <w:p>
      <w:pPr>
        <w:spacing w:after="0" w:line="175" w:lineRule="exact"/>
        <w:rPr>
          <w:sz w:val="20"/>
          <w:szCs w:val="20"/>
          <w:color w:val="auto"/>
        </w:rPr>
      </w:pPr>
    </w:p>
    <w:p>
      <w:pPr>
        <w:ind w:left="2160" w:right="82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Change his or her investment election in or contributions to the Ashland Stock Fund under the Ashland</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Employee Savings Plan account; or</w:t>
      </w:r>
    </w:p>
    <w:p>
      <w:pPr>
        <w:spacing w:after="0" w:line="13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Engage in “cashless” exercises of Ashland stock options.</w:t>
      </w:r>
    </w:p>
    <w:p>
      <w:pPr>
        <w:spacing w:after="0" w:line="177" w:lineRule="exact"/>
        <w:rPr>
          <w:sz w:val="20"/>
          <w:szCs w:val="20"/>
          <w:color w:val="auto"/>
        </w:rPr>
      </w:pPr>
    </w:p>
    <w:p>
      <w:pPr>
        <w:ind w:left="1880"/>
        <w:spacing w:after="0" w:line="248" w:lineRule="auto"/>
        <w:rPr>
          <w:sz w:val="20"/>
          <w:szCs w:val="20"/>
          <w:color w:val="auto"/>
        </w:rPr>
      </w:pPr>
      <w:r>
        <w:rPr>
          <w:rFonts w:ascii="Arial" w:cs="Arial" w:eastAsia="Arial" w:hAnsi="Arial"/>
          <w:sz w:val="16"/>
          <w:szCs w:val="16"/>
          <w:color w:val="auto"/>
        </w:rPr>
        <w:t xml:space="preserve">This Policy also prohibits insider trading of the securities of </w:t>
      </w:r>
      <w:r>
        <w:rPr>
          <w:rFonts w:ascii="Arial" w:cs="Arial" w:eastAsia="Arial" w:hAnsi="Arial"/>
          <w:sz w:val="16"/>
          <w:szCs w:val="16"/>
          <w:i w:val="1"/>
          <w:iCs w:val="1"/>
          <w:color w:val="auto"/>
        </w:rPr>
        <w:t>a publicly-traded company other than Ashland (such as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 or supplier) </w:t>
      </w:r>
      <w:r>
        <w:rPr>
          <w:rFonts w:ascii="Arial" w:cs="Arial" w:eastAsia="Arial" w:hAnsi="Arial"/>
          <w:sz w:val="16"/>
          <w:szCs w:val="16"/>
          <w:color w:val="auto"/>
        </w:rPr>
        <w:t>where material, non-public information about that company was acquired in the course and scope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Covered Person’s duties for Ashland.</w:t>
      </w:r>
    </w:p>
    <w:p>
      <w:pPr>
        <w:spacing w:after="0" w:line="150" w:lineRule="exact"/>
        <w:rPr>
          <w:sz w:val="20"/>
          <w:szCs w:val="20"/>
          <w:color w:val="auto"/>
        </w:rPr>
      </w:pPr>
    </w:p>
    <w:p>
      <w:pPr>
        <w:ind w:left="1880" w:right="100"/>
        <w:spacing w:after="0" w:line="244" w:lineRule="auto"/>
        <w:rPr>
          <w:sz w:val="20"/>
          <w:szCs w:val="20"/>
          <w:color w:val="auto"/>
        </w:rPr>
      </w:pPr>
      <w:r>
        <w:rPr>
          <w:rFonts w:ascii="Arial" w:cs="Arial" w:eastAsia="Arial" w:hAnsi="Arial"/>
          <w:sz w:val="16"/>
          <w:szCs w:val="16"/>
          <w:color w:val="auto"/>
        </w:rPr>
        <w:t>These restrictions apply to any and all transactions in Ashland’s securities, including common stock, options to purchase common stock, notes, and any other type of securities that Ashland may issue from time to time. In addition, this policy applies to derivative securities relating to Ashland’s securities, including put or call options, swaps, warrants and other derivative securities.</w:t>
      </w:r>
    </w:p>
    <w:p>
      <w:pPr>
        <w:spacing w:after="0" w:line="15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These prohibitions do not apply to:</w:t>
      </w:r>
    </w:p>
    <w:p>
      <w:pPr>
        <w:spacing w:after="0" w:line="174" w:lineRule="exact"/>
        <w:rPr>
          <w:sz w:val="20"/>
          <w:szCs w:val="20"/>
          <w:color w:val="auto"/>
        </w:rPr>
      </w:pPr>
    </w:p>
    <w:p>
      <w:pPr>
        <w:ind w:left="1880" w:right="240"/>
        <w:spacing w:after="0" w:line="263"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purchases and sales of mutual funds, professionally managed “commingled pools,” or exchange-traded funds that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invest in Ashland securities;</w:t>
      </w:r>
    </w:p>
    <w:p>
      <w:pPr>
        <w:spacing w:after="0" w:line="135" w:lineRule="exact"/>
        <w:rPr>
          <w:sz w:val="20"/>
          <w:szCs w:val="20"/>
          <w:color w:val="auto"/>
        </w:rPr>
      </w:pPr>
    </w:p>
    <w:p>
      <w:pPr>
        <w:ind w:left="1880" w:right="140"/>
        <w:spacing w:after="0" w:line="263"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a cash exercise of a stock option (but note the Policy does apply to the open market sale of any Ashland securities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received upon exercise of the option); and</w:t>
      </w:r>
    </w:p>
    <w:p>
      <w:pPr>
        <w:spacing w:after="0" w:line="135" w:lineRule="exact"/>
        <w:rPr>
          <w:sz w:val="20"/>
          <w:szCs w:val="20"/>
          <w:color w:val="auto"/>
        </w:rPr>
      </w:pPr>
    </w:p>
    <w:p>
      <w:pPr>
        <w:ind w:left="1880" w:right="20"/>
        <w:spacing w:after="0" w:line="248" w:lineRule="auto"/>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the surrender of Ashland securities to Ashland, or the retention and withholding from delivery to the Covered Person</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of securities by Ashland, upon the vesting of restricted stock or restricted stock units in satisfaction of tax withholding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547370</wp:posOffset>
            </wp:positionV>
            <wp:extent cx="67329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00"/>
          </w:cols>
          <w:pgMar w:left="820" w:top="1084" w:right="980" w:bottom="1440" w:gutter="0" w:footer="0" w:header="0"/>
        </w:sectPr>
      </w:pPr>
    </w:p>
    <w:bookmarkStart w:id="218" w:name="page219"/>
    <w:bookmarkEnd w:id="218"/>
    <w:p>
      <w:pPr>
        <w:spacing w:after="0" w:line="305" w:lineRule="exact"/>
        <w:rPr>
          <w:sz w:val="20"/>
          <w:szCs w:val="20"/>
          <w:color w:val="auto"/>
        </w:rPr>
      </w:pPr>
    </w:p>
    <w:p>
      <w:pPr>
        <w:spacing w:after="0"/>
        <w:tabs>
          <w:tab w:leader="none" w:pos="1860" w:val="left"/>
        </w:tabs>
        <w:rPr>
          <w:sz w:val="20"/>
          <w:szCs w:val="20"/>
          <w:color w:val="auto"/>
        </w:rPr>
      </w:pPr>
      <w:r>
        <w:rPr>
          <w:rFonts w:ascii="Arial" w:cs="Arial" w:eastAsia="Arial" w:hAnsi="Arial"/>
          <w:sz w:val="16"/>
          <w:szCs w:val="16"/>
          <w:b w:val="1"/>
          <w:bCs w:val="1"/>
          <w:color w:val="auto"/>
        </w:rPr>
        <w:t>Material, Non- Public</w:t>
      </w:r>
      <w:r>
        <w:rPr>
          <w:sz w:val="20"/>
          <w:szCs w:val="20"/>
          <w:color w:val="auto"/>
        </w:rPr>
        <w:tab/>
      </w:r>
      <w:r>
        <w:rPr>
          <w:rFonts w:ascii="Arial" w:cs="Arial" w:eastAsia="Arial" w:hAnsi="Arial"/>
          <w:sz w:val="14"/>
          <w:szCs w:val="14"/>
          <w:color w:val="auto"/>
        </w:rPr>
        <w:t>Information is “material” if there is a substantial likelihood that a reasonable investor would consider it important in</w:t>
      </w:r>
    </w:p>
    <w:p>
      <w:pPr>
        <w:spacing w:after="0" w:line="12" w:lineRule="exact"/>
        <w:rPr>
          <w:sz w:val="20"/>
          <w:szCs w:val="20"/>
          <w:color w:val="auto"/>
        </w:rPr>
      </w:pPr>
    </w:p>
    <w:p>
      <w:pPr>
        <w:ind w:left="1880" w:hanging="1879"/>
        <w:spacing w:after="0" w:line="239" w:lineRule="auto"/>
        <w:tabs>
          <w:tab w:leader="none" w:pos="1860" w:val="left"/>
        </w:tabs>
        <w:rPr>
          <w:sz w:val="20"/>
          <w:szCs w:val="20"/>
          <w:color w:val="auto"/>
        </w:rPr>
      </w:pPr>
      <w:r>
        <w:rPr>
          <w:rFonts w:ascii="Arial" w:cs="Arial" w:eastAsia="Arial" w:hAnsi="Arial"/>
          <w:sz w:val="16"/>
          <w:szCs w:val="16"/>
          <w:b w:val="1"/>
          <w:bCs w:val="1"/>
          <w:color w:val="auto"/>
        </w:rPr>
        <w:t>Information</w:t>
      </w:r>
      <w:r>
        <w:rPr>
          <w:sz w:val="20"/>
          <w:szCs w:val="20"/>
          <w:color w:val="auto"/>
        </w:rPr>
        <w:tab/>
      </w:r>
      <w:r>
        <w:rPr>
          <w:rFonts w:ascii="Arial" w:cs="Arial" w:eastAsia="Arial" w:hAnsi="Arial"/>
          <w:sz w:val="16"/>
          <w:szCs w:val="16"/>
          <w:color w:val="auto"/>
        </w:rPr>
        <w:t>making a decision to buy, hold, or sell securities of a company, or it significantly alters the total mix of information publicly available about a company. Generally, any information, whether positive or negative, that could be expected to affect a company’s stock price should be considered material.</w:t>
      </w:r>
    </w:p>
    <w:p>
      <w:pPr>
        <w:spacing w:after="0" w:line="157" w:lineRule="exact"/>
        <w:rPr>
          <w:sz w:val="20"/>
          <w:szCs w:val="20"/>
          <w:color w:val="auto"/>
        </w:rPr>
      </w:pPr>
    </w:p>
    <w:p>
      <w:pPr>
        <w:ind w:left="1880" w:right="580"/>
        <w:spacing w:after="0" w:line="262" w:lineRule="auto"/>
        <w:rPr>
          <w:sz w:val="20"/>
          <w:szCs w:val="20"/>
          <w:color w:val="auto"/>
        </w:rPr>
      </w:pPr>
      <w:r>
        <w:rPr>
          <w:rFonts w:ascii="Arial" w:cs="Arial" w:eastAsia="Arial" w:hAnsi="Arial"/>
          <w:sz w:val="16"/>
          <w:szCs w:val="16"/>
          <w:color w:val="auto"/>
        </w:rPr>
        <w:t>It is impossible to catalogue all of the examples of material information, but some notable examples of material information include:</w:t>
      </w:r>
    </w:p>
    <w:p>
      <w:pPr>
        <w:spacing w:after="0" w:line="41" w:lineRule="exact"/>
        <w:rPr>
          <w:sz w:val="20"/>
          <w:szCs w:val="20"/>
          <w:color w:val="auto"/>
        </w:rPr>
      </w:pPr>
    </w:p>
    <w:p>
      <w:pPr>
        <w:ind w:left="216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Information about financial performance, including undisclosed quarterly or annual earnings or sales, or significant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changes in financial performance or liquidity;</w:t>
      </w:r>
    </w:p>
    <w:p>
      <w:pPr>
        <w:spacing w:after="0" w:line="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Projections of future earnings or losses, or other earnings guidance, or changes in projections or guidance;</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Other significant financial projections, strategic plans, forecasts or budgets;</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Proposed mergers, acquisitions, investments, or divestitures and joint ventures;</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Financings or corporate restructurings;</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Threatened or pending legal actions or governmental investigations;</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Changes in senior management or the Board;</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Public or private debt or equity offerings;</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An imminent change in Ashland’s credit or debt ratings by a rating agency;</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Execution or termination of significant contracts;</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Stock repurchases or repurchase programs;</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Stock splits or dividend information;</w:t>
      </w:r>
    </w:p>
    <w:p>
      <w:pPr>
        <w:spacing w:after="0" w:line="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Significant breaches of information technology systems or other events impacting data security; and</w:t>
      </w:r>
    </w:p>
    <w:p>
      <w:pPr>
        <w:spacing w:after="0" w:line="79" w:lineRule="exact"/>
        <w:rPr>
          <w:sz w:val="20"/>
          <w:szCs w:val="20"/>
          <w:color w:val="auto"/>
        </w:rPr>
      </w:pPr>
    </w:p>
    <w:p>
      <w:pPr>
        <w:ind w:left="2160" w:right="12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Major discoveries or significant changes or developments in products, product lines, research, or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technologies.</w:t>
      </w:r>
    </w:p>
    <w:p>
      <w:pPr>
        <w:spacing w:after="0" w:line="149" w:lineRule="exact"/>
        <w:rPr>
          <w:sz w:val="20"/>
          <w:szCs w:val="20"/>
          <w:color w:val="auto"/>
        </w:rPr>
      </w:pPr>
    </w:p>
    <w:p>
      <w:pPr>
        <w:ind w:left="1880" w:right="100"/>
        <w:spacing w:after="0"/>
        <w:rPr>
          <w:sz w:val="20"/>
          <w:szCs w:val="20"/>
          <w:color w:val="auto"/>
        </w:rPr>
      </w:pPr>
      <w:r>
        <w:rPr>
          <w:rFonts w:ascii="Arial" w:cs="Arial" w:eastAsia="Arial" w:hAnsi="Arial"/>
          <w:sz w:val="16"/>
          <w:szCs w:val="16"/>
          <w:color w:val="auto"/>
        </w:rPr>
        <w:t>Information is considered to be “non-public” if it has not been broadly distributed to the public, such as by a news release or a filing with the Securities and Exchange Commission (“SEC”). Even after material information has been publicly disclosed, investors must be given reasonable opportunity to review and absorb it. As a rule of thumb, two (2) full business days following broad distribution of the information is regarded as a reasonable waiting period before the information is deemed to be “public.” For purposes of this Policy, a “trading day” means any day on which the New York Stock Exchange (“NYSE”) is open for trading.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“Tipping” Material Non-</w:t>
      </w:r>
      <w:r>
        <w:rPr>
          <w:sz w:val="20"/>
          <w:szCs w:val="20"/>
          <w:color w:val="auto"/>
        </w:rPr>
        <w:tab/>
      </w:r>
      <w:r>
        <w:rPr>
          <w:rFonts w:ascii="Arial" w:cs="Arial" w:eastAsia="Arial" w:hAnsi="Arial"/>
          <w:sz w:val="14"/>
          <w:szCs w:val="14"/>
          <w:color w:val="auto"/>
        </w:rPr>
        <w:t>It is also illegal under U.S. securities laws to disclose material non-public information to another person who then</w:t>
      </w:r>
    </w:p>
    <w:p>
      <w:pPr>
        <w:spacing w:after="0" w:line="8"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Public Information is</w:t>
      </w:r>
      <w:r>
        <w:rPr>
          <w:sz w:val="20"/>
          <w:szCs w:val="20"/>
          <w:color w:val="auto"/>
        </w:rPr>
        <w:tab/>
      </w:r>
      <w:r>
        <w:rPr>
          <w:rFonts w:ascii="Arial" w:cs="Arial" w:eastAsia="Arial" w:hAnsi="Arial"/>
          <w:sz w:val="14"/>
          <w:szCs w:val="14"/>
          <w:color w:val="auto"/>
        </w:rPr>
        <w:t>purchases or sells securities based on that information (known as “tipping”), even if the Covered Person does not</w:t>
      </w:r>
    </w:p>
    <w:p>
      <w:pPr>
        <w:ind w:left="1900" w:right="20" w:hanging="1899"/>
        <w:spacing w:after="0" w:line="238" w:lineRule="auto"/>
        <w:tabs>
          <w:tab w:leader="none" w:pos="1880" w:val="left"/>
        </w:tabs>
        <w:rPr>
          <w:sz w:val="20"/>
          <w:szCs w:val="20"/>
          <w:color w:val="auto"/>
        </w:rPr>
      </w:pPr>
      <w:r>
        <w:rPr>
          <w:rFonts w:ascii="Arial" w:cs="Arial" w:eastAsia="Arial" w:hAnsi="Arial"/>
          <w:sz w:val="16"/>
          <w:szCs w:val="16"/>
          <w:b w:val="1"/>
          <w:bCs w:val="1"/>
          <w:color w:val="auto"/>
        </w:rPr>
        <w:t>Prohibited</w:t>
      </w:r>
      <w:r>
        <w:rPr>
          <w:sz w:val="20"/>
          <w:szCs w:val="20"/>
          <w:color w:val="auto"/>
        </w:rPr>
        <w:tab/>
      </w:r>
      <w:r>
        <w:rPr>
          <w:rFonts w:ascii="Arial" w:cs="Arial" w:eastAsia="Arial" w:hAnsi="Arial"/>
          <w:sz w:val="16"/>
          <w:szCs w:val="16"/>
          <w:color w:val="auto"/>
        </w:rPr>
        <w:t>receive any benefit from the other person’s use of that information. No Covered Person who knows of material non-public information about Ashland (or material non-public information about another company obtained because of their position with Ashland) may “tip” or otherwise disclose that information to any other person, including to Family Members, without the prior authorization of Ashland’s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825500</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820" w:top="1440" w:right="1020"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40"/>
        <w:spacing w:after="0" w:line="349" w:lineRule="auto"/>
        <w:rPr>
          <w:sz w:val="20"/>
          <w:szCs w:val="20"/>
          <w:color w:val="auto"/>
        </w:rPr>
      </w:pPr>
      <w:r>
        <w:rPr>
          <w:rFonts w:ascii="Arial" w:cs="Arial" w:eastAsia="Arial" w:hAnsi="Arial"/>
          <w:sz w:val="14"/>
          <w:szCs w:val="14"/>
          <w:b w:val="1"/>
          <w:bCs w:val="1"/>
          <w:color w:val="auto"/>
        </w:rPr>
        <w:t>Post-Employment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308" w:lineRule="auto"/>
        <w:rPr>
          <w:sz w:val="20"/>
          <w:szCs w:val="20"/>
          <w:color w:val="auto"/>
        </w:rPr>
      </w:pPr>
      <w:r>
        <w:rPr>
          <w:rFonts w:ascii="Arial" w:cs="Arial" w:eastAsia="Arial" w:hAnsi="Arial"/>
          <w:sz w:val="14"/>
          <w:szCs w:val="14"/>
          <w:b w:val="1"/>
          <w:bCs w:val="1"/>
          <w:color w:val="auto"/>
        </w:rPr>
        <w:t>Civil and Criminal Penalties for Violations of Insider Trading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b w:val="1"/>
          <w:bCs w:val="1"/>
          <w:color w:val="auto"/>
        </w:rPr>
        <w:t>Pre-clearance of Transactions and Advance Notice of Stock Gifts (“Section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prohibitions on insider trading and tipping continue to apply to any transactions in Ashland securities or the securities of other public companies even after the Covered Person has separated for any reason from Ashland or the Board. Covered Persons who are in possession of material non-public information when their relationship with Ashland concludes may not trade in securities of Ashland (or another company to which such information relates) until after the information has become “public” for purposes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4"/>
          <w:szCs w:val="14"/>
          <w:color w:val="auto"/>
        </w:rPr>
        <w:t>The federal securities laws of the United States provide for severe civil and criminal penalties for violations of insider trading laws. A person who purchases or sells (or recommends to another person to purchase or sell) a company’s securities while aware of material, non-public information with respect to such company may be subject to, among other things, (i) a civil penalty of up to three times the amount of profit gained or loss avoided (in addition to disgorgement of profits), (ii) a criminal fine of up to $5,000,000, and (iii) imprisonment for up to 20 years. In addition, Ashland and its directors, officers, and supervisory personnel (“Control Persons”) could be subject to liability if the Control Person knew, or was reckless in not knowing, that an employee under their control was likely to engage in insider trading and the Control Person failed to take appropriate steps before the violation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Additional Policies For Certain Covered Persons</w:t>
      </w:r>
    </w:p>
    <w:p>
      <w:pPr>
        <w:spacing w:after="0" w:line="166" w:lineRule="exact"/>
        <w:rPr>
          <w:sz w:val="20"/>
          <w:szCs w:val="20"/>
          <w:color w:val="auto"/>
        </w:rPr>
      </w:pPr>
    </w:p>
    <w:p>
      <w:pPr>
        <w:ind w:left="20"/>
        <w:spacing w:after="0" w:line="239" w:lineRule="auto"/>
        <w:rPr>
          <w:sz w:val="20"/>
          <w:szCs w:val="20"/>
          <w:color w:val="auto"/>
        </w:rPr>
      </w:pPr>
      <w:r>
        <w:rPr>
          <w:rFonts w:ascii="Arial" w:cs="Arial" w:eastAsia="Arial" w:hAnsi="Arial"/>
          <w:sz w:val="16"/>
          <w:szCs w:val="16"/>
          <w:color w:val="auto"/>
        </w:rPr>
        <w:t>Except as permitted under Section C below pursuant to a Rule 10b5 -1 Trading Plan, the Covered Persons specified in this Section A shall obtain the prior approval of the General Counsel or his or her designee (“pre- clearance”) before engaging in any purchase or sale of the stock or other securities of Ashland. Persons requesting pre- clearance should notify the General Counsel or his or her designee at least two (2) business days prior to the date of the requested transaction to allow sufficient time for pre-clearance procedures. Pre- clearance provided to a Covered Person shall expire at the close of business on the second business day following the date that pre-clearance is given unless the General Counsel or his or her designee provides for a different expiration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This Section A applies to the following Covered Persons:</w:t>
      </w:r>
    </w:p>
    <w:p>
      <w:pPr>
        <w:spacing w:after="0" w:line="1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Section 16 Persons and their respective Family Members; and</w:t>
      </w:r>
    </w:p>
    <w:p>
      <w:pPr>
        <w:spacing w:after="0" w:line="391" w:lineRule="exact"/>
        <w:rPr>
          <w:sz w:val="20"/>
          <w:szCs w:val="20"/>
          <w:color w:val="auto"/>
        </w:rPr>
      </w:pPr>
    </w:p>
    <w:p>
      <w:pPr>
        <w:ind w:left="280" w:right="100"/>
        <w:spacing w:after="0" w:line="24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officers and employees of Ashland listed on Schedule A, as maintained by the Law Department, and their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respective Family Members. Schedule A may be amended from time to time by the General Counsel or his or her designee. Each officer and employee listed on Schedule A will be notified by the General Counsel or his or her designee of the restrictions under this Section A.</w:t>
      </w:r>
    </w:p>
    <w:p>
      <w:pPr>
        <w:spacing w:after="0" w:line="200" w:lineRule="exact"/>
        <w:rPr>
          <w:sz w:val="20"/>
          <w:szCs w:val="20"/>
          <w:color w:val="auto"/>
        </w:rPr>
      </w:pPr>
    </w:p>
    <w:p>
      <w:pPr>
        <w:spacing w:after="0" w:line="204" w:lineRule="exact"/>
        <w:rPr>
          <w:sz w:val="20"/>
          <w:szCs w:val="20"/>
          <w:color w:val="auto"/>
        </w:rPr>
      </w:pPr>
    </w:p>
    <w:p>
      <w:pPr>
        <w:ind w:left="20"/>
        <w:spacing w:after="0" w:line="248" w:lineRule="auto"/>
        <w:rPr>
          <w:sz w:val="20"/>
          <w:szCs w:val="20"/>
          <w:color w:val="auto"/>
        </w:rPr>
      </w:pPr>
      <w:r>
        <w:rPr>
          <w:rFonts w:ascii="Arial" w:cs="Arial" w:eastAsia="Arial" w:hAnsi="Arial"/>
          <w:sz w:val="16"/>
          <w:szCs w:val="16"/>
          <w:color w:val="auto"/>
        </w:rPr>
        <w:t>Each Covered Person subject to this Section A, who engages in a purchase or sale of stock or other securities of Ashland, shall notify the General Counsel or his or her designee of such transaction no later than the close of business on the business day following the date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714375</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760" w:space="140"/>
            <w:col w:w="8180"/>
          </w:cols>
          <w:pgMar w:left="820" w:top="1440" w:right="1000" w:bottom="1440" w:gutter="0" w:footer="0" w:header="0"/>
        </w:sectPr>
      </w:pPr>
    </w:p>
    <w:bookmarkStart w:id="220" w:name="page221"/>
    <w:bookmarkEnd w:id="220"/>
    <w:p>
      <w:pPr>
        <w:spacing w:after="0" w:line="355" w:lineRule="exact"/>
        <w:rPr>
          <w:sz w:val="20"/>
          <w:szCs w:val="20"/>
          <w:color w:val="auto"/>
        </w:rPr>
      </w:pPr>
    </w:p>
    <w:p>
      <w:pPr>
        <w:ind w:left="1300"/>
        <w:spacing w:after="0" w:line="262" w:lineRule="auto"/>
        <w:rPr>
          <w:sz w:val="20"/>
          <w:szCs w:val="20"/>
          <w:color w:val="auto"/>
        </w:rPr>
      </w:pPr>
      <w:r>
        <w:rPr>
          <w:rFonts w:ascii="Arial" w:cs="Arial" w:eastAsia="Arial" w:hAnsi="Arial"/>
          <w:sz w:val="16"/>
          <w:szCs w:val="16"/>
          <w:color w:val="auto"/>
        </w:rPr>
        <w:t>In addition, all Section 16 Persons must provide the General Counsel or their designee with at least two (2) business days prior notice of any bona fide gift of stock or other securities of Ashland.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654050</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00"/>
          </w:cols>
          <w:pgMar w:left="1440" w:top="1440" w:right="1160" w:bottom="1440" w:gutter="0" w:footer="0" w:header="0"/>
        </w:sectPr>
      </w:pPr>
    </w:p>
    <w:bookmarkStart w:id="221" w:name="page222"/>
    <w:bookmarkEnd w:id="221"/>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20"/>
                <w:szCs w:val="20"/>
                <w:color w:val="auto"/>
              </w:rPr>
            </w:pPr>
            <w:r>
              <w:rPr>
                <w:rFonts w:ascii="Arial" w:cs="Arial" w:eastAsia="Arial" w:hAnsi="Arial"/>
                <w:sz w:val="16"/>
                <w:szCs w:val="16"/>
                <w:b w:val="1"/>
                <w:bCs w:val="1"/>
                <w:color w:val="auto"/>
              </w:rPr>
              <w:t>Prohibitions Against</w:t>
            </w:r>
          </w:p>
        </w:tc>
        <w:tc>
          <w:tcPr>
            <w:tcW w:w="8440" w:type="dxa"/>
            <w:vAlign w:val="bottom"/>
          </w:tcPr>
          <w:p>
            <w:pPr>
              <w:ind w:left="180"/>
              <w:spacing w:after="0"/>
              <w:rPr>
                <w:sz w:val="20"/>
                <w:szCs w:val="20"/>
                <w:color w:val="auto"/>
              </w:rPr>
            </w:pPr>
            <w:r>
              <w:rPr>
                <w:rFonts w:ascii="Arial" w:cs="Arial" w:eastAsia="Arial" w:hAnsi="Arial"/>
                <w:sz w:val="16"/>
                <w:szCs w:val="16"/>
                <w:color w:val="auto"/>
                <w:w w:val="98"/>
              </w:rPr>
              <w:t>Except as permitted under Section C below pursuant to a Rule 10b5-1 Trading Plan, the Covered Persons specified in</w:t>
            </w:r>
          </w:p>
        </w:tc>
        <w:tc>
          <w:tcPr>
            <w:tcW w:w="0" w:type="dxa"/>
            <w:vAlign w:val="bottom"/>
          </w:tcPr>
          <w:p>
            <w:pPr>
              <w:spacing w:after="0"/>
              <w:rPr>
                <w:sz w:val="1"/>
                <w:szCs w:val="1"/>
                <w:color w:val="auto"/>
              </w:rPr>
            </w:pPr>
          </w:p>
        </w:tc>
      </w:tr>
      <w:tr>
        <w:trPr>
          <w:trHeight w:val="180"/>
        </w:trPr>
        <w:tc>
          <w:tcPr>
            <w:tcW w:w="1720" w:type="dxa"/>
            <w:vAlign w:val="bottom"/>
          </w:tcPr>
          <w:p>
            <w:pPr>
              <w:spacing w:after="0" w:line="180" w:lineRule="exact"/>
              <w:rPr>
                <w:sz w:val="20"/>
                <w:szCs w:val="20"/>
                <w:color w:val="auto"/>
              </w:rPr>
            </w:pPr>
            <w:r>
              <w:rPr>
                <w:rFonts w:ascii="Arial" w:cs="Arial" w:eastAsia="Arial" w:hAnsi="Arial"/>
                <w:sz w:val="16"/>
                <w:szCs w:val="16"/>
                <w:b w:val="1"/>
                <w:bCs w:val="1"/>
                <w:color w:val="auto"/>
              </w:rPr>
              <w:t>Trading During</w:t>
            </w: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8"/>
              </w:rPr>
              <w:t>this Section B shall not engage in any purchase or sale of the stock or other securities of Ashland during any Blackout</w:t>
            </w:r>
          </w:p>
        </w:tc>
        <w:tc>
          <w:tcPr>
            <w:tcW w:w="0" w:type="dxa"/>
            <w:vAlign w:val="bottom"/>
          </w:tcPr>
          <w:p>
            <w:pPr>
              <w:spacing w:after="0"/>
              <w:rPr>
                <w:sz w:val="1"/>
                <w:szCs w:val="1"/>
                <w:color w:val="auto"/>
              </w:rPr>
            </w:pPr>
          </w:p>
        </w:tc>
      </w:tr>
      <w:tr>
        <w:trPr>
          <w:trHeight w:val="180"/>
        </w:trPr>
        <w:tc>
          <w:tcPr>
            <w:tcW w:w="1720" w:type="dxa"/>
            <w:vAlign w:val="bottom"/>
          </w:tcPr>
          <w:p>
            <w:pPr>
              <w:spacing w:after="0" w:line="180" w:lineRule="exact"/>
              <w:rPr>
                <w:sz w:val="20"/>
                <w:szCs w:val="20"/>
                <w:color w:val="auto"/>
              </w:rPr>
            </w:pPr>
            <w:r>
              <w:rPr>
                <w:rFonts w:ascii="Arial" w:cs="Arial" w:eastAsia="Arial" w:hAnsi="Arial"/>
                <w:sz w:val="16"/>
                <w:szCs w:val="16"/>
                <w:b w:val="1"/>
                <w:bCs w:val="1"/>
                <w:color w:val="auto"/>
              </w:rPr>
              <w:t>Blackout Periods</w:t>
            </w: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rPr>
              <w:t>Period (defined below).</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20"/>
                <w:szCs w:val="20"/>
                <w:color w:val="auto"/>
              </w:rPr>
            </w:pPr>
            <w:r>
              <w:rPr>
                <w:rFonts w:ascii="Arial" w:cs="Arial" w:eastAsia="Arial" w:hAnsi="Arial"/>
                <w:sz w:val="16"/>
                <w:szCs w:val="16"/>
                <w:b w:val="1"/>
                <w:bCs w:val="1"/>
                <w:color w:val="auto"/>
              </w:rPr>
              <w:t>(“Section B”)</w:t>
            </w:r>
          </w:p>
        </w:tc>
        <w:tc>
          <w:tcPr>
            <w:tcW w:w="8440" w:type="dxa"/>
            <w:vAlign w:val="bottom"/>
            <w:vMerge w:val="restart"/>
          </w:tcPr>
          <w:p>
            <w:pPr>
              <w:ind w:left="180"/>
              <w:spacing w:after="0"/>
              <w:rPr>
                <w:sz w:val="20"/>
                <w:szCs w:val="20"/>
                <w:color w:val="auto"/>
              </w:rPr>
            </w:pPr>
            <w:r>
              <w:rPr>
                <w:rFonts w:ascii="Arial" w:cs="Arial" w:eastAsia="Arial" w:hAnsi="Arial"/>
                <w:sz w:val="16"/>
                <w:szCs w:val="16"/>
                <w:color w:val="auto"/>
              </w:rPr>
              <w:t>This Section B applies to the following Covered Persons:</w:t>
            </w: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1720" w:type="dxa"/>
            <w:vAlign w:val="bottom"/>
          </w:tcPr>
          <w:p>
            <w:pPr>
              <w:spacing w:after="0"/>
              <w:rPr>
                <w:sz w:val="24"/>
                <w:szCs w:val="24"/>
                <w:color w:val="auto"/>
              </w:rPr>
            </w:pPr>
          </w:p>
        </w:tc>
        <w:tc>
          <w:tcPr>
            <w:tcW w:w="8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Section 16 Persons and their respective Family Members; and</w:t>
            </w:r>
          </w:p>
        </w:tc>
        <w:tc>
          <w:tcPr>
            <w:tcW w:w="0" w:type="dxa"/>
            <w:vAlign w:val="bottom"/>
          </w:tcPr>
          <w:p>
            <w:pPr>
              <w:spacing w:after="0"/>
              <w:rPr>
                <w:sz w:val="1"/>
                <w:szCs w:val="1"/>
                <w:color w:val="auto"/>
              </w:rPr>
            </w:pPr>
          </w:p>
        </w:tc>
      </w:tr>
      <w:tr>
        <w:trPr>
          <w:trHeight w:val="335"/>
        </w:trPr>
        <w:tc>
          <w:tcPr>
            <w:tcW w:w="1720" w:type="dxa"/>
            <w:vAlign w:val="bottom"/>
          </w:tcPr>
          <w:p>
            <w:pPr>
              <w:spacing w:after="0"/>
              <w:rPr>
                <w:sz w:val="24"/>
                <w:szCs w:val="24"/>
                <w:color w:val="auto"/>
              </w:rPr>
            </w:pPr>
          </w:p>
        </w:tc>
        <w:tc>
          <w:tcPr>
            <w:tcW w:w="8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officers and employees of Ashland listed on Schedule B, as maintained by the Law Department, and their</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460"/>
              <w:spacing w:after="0" w:line="180" w:lineRule="exact"/>
              <w:rPr>
                <w:sz w:val="20"/>
                <w:szCs w:val="20"/>
                <w:color w:val="auto"/>
              </w:rPr>
            </w:pPr>
            <w:r>
              <w:rPr>
                <w:rFonts w:ascii="Arial" w:cs="Arial" w:eastAsia="Arial" w:hAnsi="Arial"/>
                <w:sz w:val="16"/>
                <w:szCs w:val="16"/>
                <w:color w:val="auto"/>
                <w:w w:val="99"/>
              </w:rPr>
              <w:t>respective Family Members. Schedule B may be amended from time to time by the General Counsel or his or her</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460"/>
              <w:spacing w:after="0" w:line="180" w:lineRule="exact"/>
              <w:rPr>
                <w:sz w:val="20"/>
                <w:szCs w:val="20"/>
                <w:color w:val="auto"/>
              </w:rPr>
            </w:pPr>
            <w:r>
              <w:rPr>
                <w:rFonts w:ascii="Arial" w:cs="Arial" w:eastAsia="Arial" w:hAnsi="Arial"/>
                <w:sz w:val="16"/>
                <w:szCs w:val="16"/>
                <w:color w:val="auto"/>
              </w:rPr>
              <w:t>designee. Each officer and employee listed on Schedule B will be notified by the General Counsel or his or her</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8440" w:type="dxa"/>
            <w:vAlign w:val="bottom"/>
          </w:tcPr>
          <w:p>
            <w:pPr>
              <w:ind w:left="460"/>
              <w:spacing w:after="0"/>
              <w:rPr>
                <w:sz w:val="20"/>
                <w:szCs w:val="20"/>
                <w:color w:val="auto"/>
              </w:rPr>
            </w:pPr>
            <w:r>
              <w:rPr>
                <w:rFonts w:ascii="Arial" w:cs="Arial" w:eastAsia="Arial" w:hAnsi="Arial"/>
                <w:sz w:val="16"/>
                <w:szCs w:val="16"/>
                <w:color w:val="auto"/>
              </w:rPr>
              <w:t>designee of the restrictions under this section.</w:t>
            </w:r>
          </w:p>
        </w:tc>
        <w:tc>
          <w:tcPr>
            <w:tcW w:w="0" w:type="dxa"/>
            <w:vAlign w:val="bottom"/>
          </w:tcPr>
          <w:p>
            <w:pPr>
              <w:spacing w:after="0"/>
              <w:rPr>
                <w:sz w:val="1"/>
                <w:szCs w:val="1"/>
                <w:color w:val="auto"/>
              </w:rPr>
            </w:pPr>
          </w:p>
        </w:tc>
      </w:tr>
      <w:tr>
        <w:trPr>
          <w:trHeight w:val="335"/>
        </w:trPr>
        <w:tc>
          <w:tcPr>
            <w:tcW w:w="1720" w:type="dxa"/>
            <w:vAlign w:val="bottom"/>
          </w:tcPr>
          <w:p>
            <w:pPr>
              <w:spacing w:after="0"/>
              <w:rPr>
                <w:sz w:val="24"/>
                <w:szCs w:val="24"/>
                <w:color w:val="auto"/>
              </w:rPr>
            </w:pPr>
          </w:p>
        </w:tc>
        <w:tc>
          <w:tcPr>
            <w:tcW w:w="8440" w:type="dxa"/>
            <w:vAlign w:val="bottom"/>
          </w:tcPr>
          <w:p>
            <w:pPr>
              <w:ind w:left="180"/>
              <w:spacing w:after="0"/>
              <w:rPr>
                <w:sz w:val="20"/>
                <w:szCs w:val="20"/>
                <w:color w:val="auto"/>
              </w:rPr>
            </w:pPr>
            <w:r>
              <w:rPr>
                <w:rFonts w:ascii="Arial" w:cs="Arial" w:eastAsia="Arial" w:hAnsi="Arial"/>
                <w:sz w:val="16"/>
                <w:szCs w:val="16"/>
                <w:color w:val="auto"/>
                <w:w w:val="98"/>
              </w:rPr>
              <w:t>A “Blackout Period” is any period during which designated Covered Persons are prohibited from trading in the stock or</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8"/>
              </w:rPr>
              <w:t>other securities of Ashland. Ashland has four quarterly Blackout Periods which commence, respectively, when the New</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9"/>
              </w:rPr>
              <w:t>York Stock Exchange (“NYSE”) closes on March 1, June 1, September 1, and December 1 of each year. If any of the</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9"/>
              </w:rPr>
              <w:t>preceding dates fall on a weekend or a NYSE holiday, then the applicable Blackout Period shall commence when the</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8"/>
              </w:rPr>
              <w:t>NYSE closes on the last trading day prior to such weekend or NYSE holiday. Each Blackout Period shall end when the</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8"/>
              </w:rPr>
              <w:t>market opens on the third trading day after Ashland publicly issues its earnings release for the preceding fiscal period.</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8"/>
              </w:rPr>
              <w:t>In very limited hardship circumstances and subject to the pre-clearance procedures in Section A, the General Counsel</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7"/>
              </w:rPr>
              <w:t>may in their discretion permit a Covered Person subject to this Section B to trade during a quarterly Blackout Period, but</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rPr>
              <w:t>only if the General Counsel concludes that such person does not possess any material, non-public information</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8440" w:type="dxa"/>
            <w:vAlign w:val="bottom"/>
          </w:tcPr>
          <w:p>
            <w:pPr>
              <w:ind w:left="180"/>
              <w:spacing w:after="0"/>
              <w:rPr>
                <w:sz w:val="20"/>
                <w:szCs w:val="20"/>
                <w:color w:val="auto"/>
              </w:rPr>
            </w:pPr>
            <w:r>
              <w:rPr>
                <w:rFonts w:ascii="Arial" w:cs="Arial" w:eastAsia="Arial" w:hAnsi="Arial"/>
                <w:sz w:val="16"/>
                <w:szCs w:val="16"/>
                <w:color w:val="auto"/>
              </w:rPr>
              <w:t>concerning Ashland.</w:t>
            </w:r>
          </w:p>
        </w:tc>
        <w:tc>
          <w:tcPr>
            <w:tcW w:w="0" w:type="dxa"/>
            <w:vAlign w:val="bottom"/>
          </w:tcPr>
          <w:p>
            <w:pPr>
              <w:spacing w:after="0"/>
              <w:rPr>
                <w:sz w:val="1"/>
                <w:szCs w:val="1"/>
                <w:color w:val="auto"/>
              </w:rPr>
            </w:pPr>
          </w:p>
        </w:tc>
      </w:tr>
      <w:tr>
        <w:trPr>
          <w:trHeight w:val="323"/>
        </w:trPr>
        <w:tc>
          <w:tcPr>
            <w:tcW w:w="1720" w:type="dxa"/>
            <w:vAlign w:val="bottom"/>
          </w:tcPr>
          <w:p>
            <w:pPr>
              <w:spacing w:after="0"/>
              <w:rPr>
                <w:sz w:val="24"/>
                <w:szCs w:val="24"/>
                <w:color w:val="auto"/>
              </w:rPr>
            </w:pPr>
          </w:p>
        </w:tc>
        <w:tc>
          <w:tcPr>
            <w:tcW w:w="8440" w:type="dxa"/>
            <w:vAlign w:val="bottom"/>
          </w:tcPr>
          <w:p>
            <w:pPr>
              <w:ind w:left="180"/>
              <w:spacing w:after="0"/>
              <w:rPr>
                <w:sz w:val="20"/>
                <w:szCs w:val="20"/>
                <w:color w:val="auto"/>
              </w:rPr>
            </w:pPr>
            <w:r>
              <w:rPr>
                <w:rFonts w:ascii="Arial" w:cs="Arial" w:eastAsia="Arial" w:hAnsi="Arial"/>
                <w:sz w:val="16"/>
                <w:szCs w:val="16"/>
                <w:color w:val="auto"/>
                <w:w w:val="97"/>
              </w:rPr>
              <w:t>In addition to the quarterly Blackout Periods, Ashland may from time to time designate other periods as special blackout</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7"/>
              </w:rPr>
              <w:t>periods in anticipation of the release of potentially material information (for example, updates to earnings guidance prior</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8"/>
              </w:rPr>
              <w:t>to an earnings release) or because of the occurrence of a potentially material event (for example, the announcement of</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rPr>
              <w:t>a major acquisition) (a blackout for any such events, a “Special Blackout”). Covered Persons (which may include</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rPr>
              <w:t>Covered Persons who are not subject to quarterly Blackout Periods) will be notified that they are subject to a Special</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9"/>
              </w:rPr>
              <w:t>Blackout. An individual who becomes subject to a Special Blackout, may not purchase or sell Ashland stock, and may</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9"/>
              </w:rPr>
              <w:t>not disclose the fact that they are subject to a Special Blackout to any other person without the express permission of</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440" w:type="dxa"/>
            <w:vAlign w:val="bottom"/>
          </w:tcPr>
          <w:p>
            <w:pPr>
              <w:ind w:left="180"/>
              <w:spacing w:after="0" w:line="180" w:lineRule="exact"/>
              <w:rPr>
                <w:sz w:val="20"/>
                <w:szCs w:val="20"/>
                <w:color w:val="auto"/>
              </w:rPr>
            </w:pPr>
            <w:r>
              <w:rPr>
                <w:rFonts w:ascii="Arial" w:cs="Arial" w:eastAsia="Arial" w:hAnsi="Arial"/>
                <w:sz w:val="16"/>
                <w:szCs w:val="16"/>
                <w:color w:val="auto"/>
                <w:w w:val="99"/>
              </w:rPr>
              <w:t>the General Counsel. The Special Blackout will continue until the individual is notified by the General Counsel that the</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8440" w:type="dxa"/>
            <w:vAlign w:val="bottom"/>
          </w:tcPr>
          <w:p>
            <w:pPr>
              <w:ind w:left="180"/>
              <w:spacing w:after="0"/>
              <w:rPr>
                <w:sz w:val="20"/>
                <w:szCs w:val="20"/>
                <w:color w:val="auto"/>
              </w:rPr>
            </w:pPr>
            <w:r>
              <w:rPr>
                <w:rFonts w:ascii="Arial" w:cs="Arial" w:eastAsia="Arial" w:hAnsi="Arial"/>
                <w:sz w:val="16"/>
                <w:szCs w:val="16"/>
                <w:color w:val="auto"/>
              </w:rPr>
              <w:t>Special Blackout has been lifted.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860" w:val="left"/>
        </w:tabs>
        <w:rPr>
          <w:sz w:val="20"/>
          <w:szCs w:val="20"/>
          <w:color w:val="auto"/>
        </w:rPr>
      </w:pPr>
      <w:r>
        <w:rPr>
          <w:rFonts w:ascii="Arial" w:cs="Arial" w:eastAsia="Arial" w:hAnsi="Arial"/>
          <w:sz w:val="16"/>
          <w:szCs w:val="16"/>
          <w:b w:val="1"/>
          <w:bCs w:val="1"/>
          <w:color w:val="auto"/>
        </w:rPr>
        <w:t>Use of Pre-Approved</w:t>
      </w:r>
      <w:r>
        <w:rPr>
          <w:sz w:val="20"/>
          <w:szCs w:val="20"/>
          <w:color w:val="auto"/>
        </w:rPr>
        <w:tab/>
      </w:r>
      <w:r>
        <w:rPr>
          <w:rFonts w:ascii="Arial" w:cs="Arial" w:eastAsia="Arial" w:hAnsi="Arial"/>
          <w:sz w:val="14"/>
          <w:szCs w:val="14"/>
          <w:color w:val="auto"/>
        </w:rPr>
        <w:t>Notwithstanding anything else in this Policy, in the event persons subject to Section B of this Policy desire to enter into</w:t>
      </w:r>
    </w:p>
    <w:p>
      <w:pPr>
        <w:spacing w:after="0" w:line="12" w:lineRule="exact"/>
        <w:rPr>
          <w:sz w:val="20"/>
          <w:szCs w:val="20"/>
          <w:color w:val="auto"/>
        </w:rPr>
      </w:pPr>
    </w:p>
    <w:p>
      <w:pPr>
        <w:ind w:left="1880" w:right="160" w:hanging="1872"/>
        <w:spacing w:after="0" w:line="236" w:lineRule="auto"/>
        <w:tabs>
          <w:tab w:leader="none" w:pos="1860" w:val="left"/>
        </w:tabs>
        <w:rPr>
          <w:sz w:val="20"/>
          <w:szCs w:val="20"/>
          <w:color w:val="auto"/>
        </w:rPr>
      </w:pPr>
      <w:r>
        <w:rPr>
          <w:rFonts w:ascii="Arial" w:cs="Arial" w:eastAsia="Arial" w:hAnsi="Arial"/>
          <w:sz w:val="16"/>
          <w:szCs w:val="16"/>
          <w:b w:val="1"/>
          <w:bCs w:val="1"/>
          <w:color w:val="auto"/>
        </w:rPr>
        <w:t>Trading Plans</w:t>
      </w:r>
      <w:r>
        <w:rPr>
          <w:sz w:val="20"/>
          <w:szCs w:val="20"/>
          <w:color w:val="auto"/>
        </w:rPr>
        <w:tab/>
      </w:r>
      <w:r>
        <w:rPr>
          <w:rFonts w:ascii="Arial" w:cs="Arial" w:eastAsia="Arial" w:hAnsi="Arial"/>
          <w:sz w:val="16"/>
          <w:szCs w:val="16"/>
          <w:color w:val="auto"/>
        </w:rPr>
        <w:t>a trading plan, such trading plan must (i) comply with the requirements set forth on Appendix A; (ii) be adopted at a time when such person would otherwise have been permitted to trade under this Policy (i.e., the individual is not subject to blackout and is not in possession of material, non -public information at the time the trading plan is adopted); and (iii) only be adopted following review and receipt of the express authorization of the General Counsel or their designee. Any modification, amendment, or premature termination of a trading plan must also be reviewed and authorized by the General Counsel or their designee. Once a trading plan has been approved, no further pre-approval will be required for transactions conducted pursuant to that plan and no pre-clearance will be required for individuals subject to Section A of this Policy; provided, that all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521970</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60"/>
          </w:cols>
          <w:pgMar w:left="820" w:top="1440" w:right="920" w:bottom="1440"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349" w:lineRule="auto"/>
        <w:rPr>
          <w:sz w:val="20"/>
          <w:szCs w:val="20"/>
          <w:color w:val="auto"/>
        </w:rPr>
      </w:pPr>
      <w:r>
        <w:rPr>
          <w:rFonts w:ascii="Arial" w:cs="Arial" w:eastAsia="Arial" w:hAnsi="Arial"/>
          <w:sz w:val="14"/>
          <w:szCs w:val="14"/>
          <w:b w:val="1"/>
          <w:bCs w:val="1"/>
          <w:color w:val="auto"/>
        </w:rPr>
        <w:t>Certain Hedging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349" w:lineRule="auto"/>
        <w:rPr>
          <w:sz w:val="20"/>
          <w:szCs w:val="20"/>
          <w:color w:val="auto"/>
        </w:rPr>
      </w:pPr>
      <w:r>
        <w:rPr>
          <w:rFonts w:ascii="Arial" w:cs="Arial" w:eastAsia="Arial" w:hAnsi="Arial"/>
          <w:sz w:val="14"/>
          <w:szCs w:val="14"/>
          <w:b w:val="1"/>
          <w:bCs w:val="1"/>
          <w:color w:val="auto"/>
        </w:rPr>
        <w:t>Certain Pledging Transactions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transactions must be reported by Section 16 Persons to the General Counsel in accordance with the requirements on Section 16 persons described below.</w:t>
      </w:r>
    </w:p>
    <w:p>
      <w:pPr>
        <w:spacing w:after="0" w:line="200" w:lineRule="exact"/>
        <w:rPr>
          <w:sz w:val="20"/>
          <w:szCs w:val="20"/>
          <w:color w:val="auto"/>
        </w:rPr>
      </w:pPr>
    </w:p>
    <w:p>
      <w:pPr>
        <w:spacing w:after="0" w:line="203"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No Covered Person (or their designee) may purchase any financial instruments (including prepaid variable forward contracts, equity swaps, collars, and exchange funds) that are designed to hedge or offset any decrease in the market value of equity securities of Ashland: (i) granted to the Covered Person by Ashland as part of the Covered Person’s compensation or (ii) held, directly or indirectly, by the Covered Person.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All Board members and officers of Ashland (as designated by the Board) are prohibited from, directly or indirectly, pledging equity securities of Ashland. For these purposes, "pledging" includes the intentional creation of any form of pledge, security interest, deposit, lien or other hypothecation, including the holding of shares in a margin account, that entitles a third party to foreclose against, or otherwise sell, any equity securities, whether with or without notice, consent, default or otherwise, but does not include either the involuntary imposition of liens, such as tax liens or liens arising from legal proceedings, or customary purchase and sale agreements, such as Rule 10b5- 1 Trading Plans. "Equity securities" include common stock, voting preferred stock and options and other securities exercisable for, or convertible into, settled in, or measured by reference to, any other equity security determined on an as-exercised and as-converted basis.</w:t>
      </w:r>
    </w:p>
    <w:p>
      <w:pPr>
        <w:spacing w:after="0" w:line="146"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The equity securities attributable to a Board member or officer for these purposes shall include equity securities attributable to the Board member or officer under either Section 13 or Section 16 of the Securities Exchange Act of 1934, as amended.</w:t>
      </w:r>
    </w:p>
    <w:p>
      <w:pPr>
        <w:spacing w:after="0" w:line="200" w:lineRule="exact"/>
        <w:rPr>
          <w:sz w:val="20"/>
          <w:szCs w:val="20"/>
          <w:color w:val="auto"/>
        </w:rPr>
      </w:pPr>
    </w:p>
    <w:p>
      <w:pPr>
        <w:sectPr>
          <w:pgSz w:w="11900" w:h="16840" w:orient="portrait"/>
          <w:cols w:equalWidth="0" w:num="2">
            <w:col w:w="1240" w:space="640"/>
            <w:col w:w="8220"/>
          </w:cols>
          <w:pgMar w:left="820" w:top="1440" w:right="9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Additional Requirements Applicable Only to Section 16 Persons</w:t>
      </w:r>
    </w:p>
    <w:p>
      <w:pPr>
        <w:spacing w:after="0" w:line="140" w:lineRule="exact"/>
        <w:rPr>
          <w:sz w:val="20"/>
          <w:szCs w:val="20"/>
          <w:color w:val="auto"/>
        </w:rPr>
      </w:pPr>
    </w:p>
    <w:p>
      <w:pPr>
        <w:ind w:left="1920" w:right="20" w:hanging="1908"/>
        <w:spacing w:after="0" w:line="241" w:lineRule="auto"/>
        <w:tabs>
          <w:tab w:leader="none" w:pos="1900" w:val="left"/>
        </w:tabs>
        <w:rPr>
          <w:sz w:val="20"/>
          <w:szCs w:val="20"/>
          <w:color w:val="auto"/>
        </w:rPr>
      </w:pPr>
      <w:r>
        <w:rPr>
          <w:rFonts w:ascii="Arial" w:cs="Arial" w:eastAsia="Arial" w:hAnsi="Arial"/>
          <w:sz w:val="16"/>
          <w:szCs w:val="16"/>
          <w:b w:val="1"/>
          <w:bCs w:val="1"/>
          <w:color w:val="auto"/>
        </w:rPr>
        <w:t>Section 16 Reporting</w:t>
      </w:r>
      <w:r>
        <w:rPr>
          <w:sz w:val="20"/>
          <w:szCs w:val="20"/>
          <w:color w:val="auto"/>
        </w:rPr>
        <w:tab/>
      </w:r>
      <w:r>
        <w:rPr>
          <w:rFonts w:ascii="Arial" w:cs="Arial" w:eastAsia="Arial" w:hAnsi="Arial"/>
          <w:sz w:val="16"/>
          <w:szCs w:val="16"/>
          <w:color w:val="auto"/>
        </w:rPr>
        <w:t>U.S. securities laws require Section 16 Persons to report their beneficial ownership of Ashland securities, and any changes to that ownership or transactions in Ashland securities, to the SEC. At a high level, “beneficial ownership” means having, directly or indirectly, the right to vote or direct the voting of a security and/or the power to sell a security. Nearly all transactions in Ashland securities by a Section 16 Person must be reported to the SEC under Section 16, including:</w:t>
      </w:r>
    </w:p>
    <w:p>
      <w:pPr>
        <w:spacing w:after="0" w:line="7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Purchases and sales of Ashland securities;</w:t>
      </w:r>
    </w:p>
    <w:p>
      <w:pPr>
        <w:spacing w:after="0" w:line="91" w:lineRule="exact"/>
        <w:rPr>
          <w:sz w:val="20"/>
          <w:szCs w:val="20"/>
          <w:color w:val="auto"/>
        </w:rPr>
      </w:pPr>
    </w:p>
    <w:p>
      <w:pPr>
        <w:ind w:left="222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Receiving a grant of, and the vesting of, stock options, restricted stock, restricted stock units, performance shares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and other equity-based awards;</w:t>
      </w:r>
    </w:p>
    <w:p>
      <w:pPr>
        <w:spacing w:after="0" w:line="5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Stock option exercises;</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Transactions involving family members or family trusts; and</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Gifts of Ashland securities.</w:t>
      </w:r>
    </w:p>
    <w:p>
      <w:pPr>
        <w:spacing w:after="0" w:line="93" w:lineRule="exact"/>
        <w:rPr>
          <w:sz w:val="20"/>
          <w:szCs w:val="20"/>
          <w:color w:val="auto"/>
        </w:rPr>
      </w:pPr>
    </w:p>
    <w:p>
      <w:pPr>
        <w:ind w:left="1920"/>
        <w:spacing w:after="0" w:line="242" w:lineRule="auto"/>
        <w:rPr>
          <w:sz w:val="20"/>
          <w:szCs w:val="20"/>
          <w:color w:val="auto"/>
        </w:rPr>
      </w:pPr>
      <w:r>
        <w:rPr>
          <w:rFonts w:ascii="Arial" w:cs="Arial" w:eastAsia="Arial" w:hAnsi="Arial"/>
          <w:sz w:val="16"/>
          <w:szCs w:val="16"/>
          <w:color w:val="auto"/>
        </w:rPr>
        <w:t xml:space="preserve">In addition to obtaining pre-clearance in accordance with this Policy, Section 16 Persons should arrange for details of the transaction (or a copy of the executed trade order) including the trade date, type of transaction, shares traded, and the price per share, to be submitted to the General Counsel or their designee as soon as possible after the trade is completed. Section 16 requires that most reportable transactions by Section 16 Persons be reported to the SEC within two (2) trading days after the date of the transaction. </w:t>
      </w:r>
      <w:r>
        <w:rPr>
          <w:rFonts w:ascii="Arial" w:cs="Arial" w:eastAsia="Arial" w:hAnsi="Arial"/>
          <w:sz w:val="16"/>
          <w:szCs w:val="16"/>
          <w:b w:val="1"/>
          <w:bCs w:val="1"/>
          <w:color w:val="auto"/>
        </w:rPr>
        <w:t>The SEC holds individual Section 16 Persons responsible for</w:t>
      </w:r>
      <w:r>
        <w:rPr>
          <w:rFonts w:ascii="Arial" w:cs="Arial" w:eastAsia="Arial" w:hAnsi="Arial"/>
          <w:sz w:val="16"/>
          <w:szCs w:val="16"/>
          <w:color w:val="auto"/>
        </w:rPr>
        <w:t xml:space="preserve"> </w:t>
      </w:r>
      <w:r>
        <w:rPr>
          <w:rFonts w:ascii="Arial" w:cs="Arial" w:eastAsia="Arial" w:hAnsi="Arial"/>
          <w:sz w:val="16"/>
          <w:szCs w:val="16"/>
          <w:b w:val="1"/>
          <w:bCs w:val="1"/>
          <w:color w:val="auto"/>
        </w:rPr>
        <w:t>their failure to file Section 16 reports, even when a company assists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614045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00"/>
          </w:cols>
          <w:pgMar w:left="820" w:top="1440" w:right="980" w:bottom="1440" w:gutter="0" w:footer="0" w:header="0"/>
          <w:type w:val="continuous"/>
        </w:sectPr>
      </w:pPr>
    </w:p>
    <w:bookmarkStart w:id="223" w:name="page224"/>
    <w:bookmarkEnd w:id="223"/>
    <w:p>
      <w:pPr>
        <w:spacing w:after="0" w:line="281" w:lineRule="exact"/>
        <w:rPr>
          <w:sz w:val="20"/>
          <w:szCs w:val="20"/>
          <w:color w:val="auto"/>
        </w:rPr>
      </w:pPr>
    </w:p>
    <w:p>
      <w:pPr>
        <w:ind w:left="2080" w:right="260"/>
        <w:spacing w:after="0" w:line="337" w:lineRule="auto"/>
        <w:rPr>
          <w:sz w:val="20"/>
          <w:szCs w:val="20"/>
          <w:color w:val="auto"/>
        </w:rPr>
      </w:pPr>
      <w:r>
        <w:rPr>
          <w:rFonts w:ascii="Arial" w:cs="Arial" w:eastAsia="Arial" w:hAnsi="Arial"/>
          <w:sz w:val="14"/>
          <w:szCs w:val="14"/>
          <w:b w:val="1"/>
          <w:bCs w:val="1"/>
          <w:color w:val="auto"/>
        </w:rPr>
        <w:t xml:space="preserve">filing of the reports. </w:t>
      </w:r>
      <w:r>
        <w:rPr>
          <w:rFonts w:ascii="Arial" w:cs="Arial" w:eastAsia="Arial" w:hAnsi="Arial"/>
          <w:sz w:val="14"/>
          <w:szCs w:val="14"/>
          <w:color w:val="auto"/>
        </w:rPr>
        <w:t>It is therefore critical that Section 16 Persons communicate transaction information to the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Counsel or their designee promptly to ensure that all transactions are properly and timely reported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right="320"/>
        <w:spacing w:after="0" w:line="280" w:lineRule="auto"/>
        <w:rPr>
          <w:sz w:val="20"/>
          <w:szCs w:val="20"/>
          <w:color w:val="auto"/>
        </w:rPr>
      </w:pPr>
      <w:r>
        <w:rPr>
          <w:rFonts w:ascii="Arial" w:cs="Arial" w:eastAsia="Arial" w:hAnsi="Arial"/>
          <w:sz w:val="14"/>
          <w:szCs w:val="14"/>
          <w:b w:val="1"/>
          <w:bCs w:val="1"/>
          <w:color w:val="auto"/>
        </w:rPr>
        <w:t xml:space="preserve">Cautionary Note </w:t>
      </w:r>
      <w:r>
        <w:rPr>
          <w:rFonts w:ascii="Arial" w:cs="Arial" w:eastAsia="Arial" w:hAnsi="Arial"/>
          <w:sz w:val="14"/>
          <w:szCs w:val="14"/>
          <w:color w:val="auto"/>
        </w:rPr>
        <w:t>Section 16 Persons are required by U.S. securities laws to return to Ashland, any profits made from a purchase and a</w:t>
      </w:r>
      <w:r>
        <w:rPr>
          <w:rFonts w:ascii="Arial" w:cs="Arial" w:eastAsia="Arial" w:hAnsi="Arial"/>
          <w:sz w:val="14"/>
          <w:szCs w:val="14"/>
          <w:b w:val="1"/>
          <w:bCs w:val="1"/>
          <w:color w:val="auto"/>
        </w:rPr>
        <w:t xml:space="preserve"> Regarding Short-Swing </w:t>
      </w:r>
      <w:r>
        <w:rPr>
          <w:rFonts w:ascii="Arial" w:cs="Arial" w:eastAsia="Arial" w:hAnsi="Arial"/>
          <w:sz w:val="14"/>
          <w:szCs w:val="14"/>
          <w:color w:val="auto"/>
        </w:rPr>
        <w:t>subsequent sale, or the sale and subsequent purchase, of Ashland securities if both transactions occur within a six (6)-</w:t>
      </w:r>
    </w:p>
    <w:tbl>
      <w:tblPr>
        <w:tblLayout w:type="fixed"/>
        <w:tblInd w:w="0" w:type="dxa"/>
        <w:tblCellMar>
          <w:top w:w="0" w:type="dxa"/>
          <w:left w:w="0" w:type="dxa"/>
          <w:bottom w:w="0" w:type="dxa"/>
          <w:right w:w="0" w:type="dxa"/>
        </w:tblCellMar>
      </w:tblPr>
      <w:tr>
        <w:trPr>
          <w:trHeight w:val="166"/>
        </w:trPr>
        <w:tc>
          <w:tcPr>
            <w:tcW w:w="1660" w:type="dxa"/>
            <w:vAlign w:val="bottom"/>
          </w:tcPr>
          <w:p>
            <w:pPr>
              <w:ind w:left="160"/>
              <w:spacing w:after="0" w:line="167" w:lineRule="exact"/>
              <w:rPr>
                <w:sz w:val="20"/>
                <w:szCs w:val="20"/>
                <w:color w:val="auto"/>
              </w:rPr>
            </w:pPr>
            <w:r>
              <w:rPr>
                <w:rFonts w:ascii="Arial" w:cs="Arial" w:eastAsia="Arial" w:hAnsi="Arial"/>
                <w:sz w:val="16"/>
                <w:szCs w:val="16"/>
                <w:b w:val="1"/>
                <w:bCs w:val="1"/>
                <w:color w:val="auto"/>
              </w:rPr>
              <w:t>Transactions</w:t>
            </w:r>
          </w:p>
        </w:tc>
        <w:tc>
          <w:tcPr>
            <w:tcW w:w="8900" w:type="dxa"/>
            <w:vAlign w:val="bottom"/>
            <w:gridSpan w:val="3"/>
          </w:tcPr>
          <w:p>
            <w:pPr>
              <w:ind w:left="420"/>
              <w:spacing w:after="0" w:line="167" w:lineRule="exact"/>
              <w:rPr>
                <w:sz w:val="20"/>
                <w:szCs w:val="20"/>
                <w:color w:val="auto"/>
              </w:rPr>
            </w:pPr>
            <w:r>
              <w:rPr>
                <w:rFonts w:ascii="Arial" w:cs="Arial" w:eastAsia="Arial" w:hAnsi="Arial"/>
                <w:sz w:val="16"/>
                <w:szCs w:val="16"/>
                <w:color w:val="auto"/>
              </w:rPr>
              <w:t>month period (“short-swing profits”). The terms “purchase” and “sale” are interpreted broadly in this context and may</w:t>
            </w:r>
          </w:p>
        </w:tc>
      </w:tr>
      <w:tr>
        <w:trPr>
          <w:trHeight w:val="180"/>
        </w:trPr>
        <w:tc>
          <w:tcPr>
            <w:tcW w:w="1660" w:type="dxa"/>
            <w:vAlign w:val="bottom"/>
          </w:tcPr>
          <w:p>
            <w:pPr>
              <w:spacing w:after="0"/>
              <w:rPr>
                <w:sz w:val="15"/>
                <w:szCs w:val="15"/>
                <w:color w:val="auto"/>
              </w:rPr>
            </w:pPr>
          </w:p>
        </w:tc>
        <w:tc>
          <w:tcPr>
            <w:tcW w:w="8900" w:type="dxa"/>
            <w:vAlign w:val="bottom"/>
            <w:gridSpan w:val="3"/>
          </w:tcPr>
          <w:p>
            <w:pPr>
              <w:ind w:left="420"/>
              <w:spacing w:after="0" w:line="180" w:lineRule="exact"/>
              <w:rPr>
                <w:sz w:val="20"/>
                <w:szCs w:val="20"/>
                <w:color w:val="auto"/>
              </w:rPr>
            </w:pPr>
            <w:r>
              <w:rPr>
                <w:rFonts w:ascii="Arial" w:cs="Arial" w:eastAsia="Arial" w:hAnsi="Arial"/>
                <w:sz w:val="16"/>
                <w:szCs w:val="16"/>
                <w:color w:val="auto"/>
              </w:rPr>
              <w:t>apply in situations that would not ordinarily be considered a “purchase” or “sale” (such as a gift or a transaction by a</w:t>
            </w:r>
          </w:p>
        </w:tc>
      </w:tr>
      <w:tr>
        <w:trPr>
          <w:trHeight w:val="180"/>
        </w:trPr>
        <w:tc>
          <w:tcPr>
            <w:tcW w:w="1660" w:type="dxa"/>
            <w:vAlign w:val="bottom"/>
          </w:tcPr>
          <w:p>
            <w:pPr>
              <w:spacing w:after="0"/>
              <w:rPr>
                <w:sz w:val="15"/>
                <w:szCs w:val="15"/>
                <w:color w:val="auto"/>
              </w:rPr>
            </w:pPr>
          </w:p>
        </w:tc>
        <w:tc>
          <w:tcPr>
            <w:tcW w:w="8900" w:type="dxa"/>
            <w:vAlign w:val="bottom"/>
            <w:gridSpan w:val="3"/>
          </w:tcPr>
          <w:p>
            <w:pPr>
              <w:ind w:left="420"/>
              <w:spacing w:after="0" w:line="180" w:lineRule="exact"/>
              <w:rPr>
                <w:sz w:val="20"/>
                <w:szCs w:val="20"/>
                <w:color w:val="auto"/>
              </w:rPr>
            </w:pPr>
            <w:r>
              <w:rPr>
                <w:rFonts w:ascii="Arial" w:cs="Arial" w:eastAsia="Arial" w:hAnsi="Arial"/>
                <w:sz w:val="16"/>
                <w:szCs w:val="16"/>
                <w:color w:val="auto"/>
              </w:rPr>
              <w:t>Family Member). SEC rules specifically authorize any shareholder of Ashland to seek recovery of short-swing profits on</w:t>
            </w:r>
          </w:p>
        </w:tc>
      </w:tr>
      <w:tr>
        <w:trPr>
          <w:trHeight w:val="180"/>
        </w:trPr>
        <w:tc>
          <w:tcPr>
            <w:tcW w:w="1660" w:type="dxa"/>
            <w:vAlign w:val="bottom"/>
          </w:tcPr>
          <w:p>
            <w:pPr>
              <w:spacing w:after="0"/>
              <w:rPr>
                <w:sz w:val="15"/>
                <w:szCs w:val="15"/>
                <w:color w:val="auto"/>
              </w:rPr>
            </w:pPr>
          </w:p>
        </w:tc>
        <w:tc>
          <w:tcPr>
            <w:tcW w:w="8900" w:type="dxa"/>
            <w:vAlign w:val="bottom"/>
            <w:gridSpan w:val="3"/>
          </w:tcPr>
          <w:p>
            <w:pPr>
              <w:ind w:left="420"/>
              <w:spacing w:after="0" w:line="180" w:lineRule="exact"/>
              <w:rPr>
                <w:sz w:val="20"/>
                <w:szCs w:val="20"/>
                <w:color w:val="auto"/>
              </w:rPr>
            </w:pPr>
            <w:r>
              <w:rPr>
                <w:rFonts w:ascii="Arial" w:cs="Arial" w:eastAsia="Arial" w:hAnsi="Arial"/>
                <w:sz w:val="16"/>
                <w:szCs w:val="16"/>
                <w:color w:val="auto"/>
              </w:rPr>
              <w:t>Ashland’s behalf if Ashland fails or refuses to do so. Section 16 filings are regularly monitored by shareholders and</w:t>
            </w:r>
          </w:p>
        </w:tc>
      </w:tr>
      <w:tr>
        <w:trPr>
          <w:trHeight w:val="180"/>
        </w:trPr>
        <w:tc>
          <w:tcPr>
            <w:tcW w:w="1660" w:type="dxa"/>
            <w:vAlign w:val="bottom"/>
          </w:tcPr>
          <w:p>
            <w:pPr>
              <w:spacing w:after="0"/>
              <w:rPr>
                <w:sz w:val="15"/>
                <w:szCs w:val="15"/>
                <w:color w:val="auto"/>
              </w:rPr>
            </w:pPr>
          </w:p>
        </w:tc>
        <w:tc>
          <w:tcPr>
            <w:tcW w:w="8900" w:type="dxa"/>
            <w:vAlign w:val="bottom"/>
            <w:gridSpan w:val="3"/>
          </w:tcPr>
          <w:p>
            <w:pPr>
              <w:ind w:left="420"/>
              <w:spacing w:after="0" w:line="180" w:lineRule="exact"/>
              <w:rPr>
                <w:sz w:val="20"/>
                <w:szCs w:val="20"/>
                <w:color w:val="auto"/>
              </w:rPr>
            </w:pPr>
            <w:r>
              <w:rPr>
                <w:rFonts w:ascii="Arial" w:cs="Arial" w:eastAsia="Arial" w:hAnsi="Arial"/>
                <w:sz w:val="16"/>
                <w:szCs w:val="16"/>
                <w:color w:val="auto"/>
              </w:rPr>
              <w:t>plaintiff’s counsel, who frequently threaten litigation to recover short-swing profits (and for payment of their attorneys’</w:t>
            </w:r>
          </w:p>
        </w:tc>
      </w:tr>
      <w:tr>
        <w:trPr>
          <w:trHeight w:val="180"/>
        </w:trPr>
        <w:tc>
          <w:tcPr>
            <w:tcW w:w="1660" w:type="dxa"/>
            <w:vAlign w:val="bottom"/>
          </w:tcPr>
          <w:p>
            <w:pPr>
              <w:spacing w:after="0"/>
              <w:rPr>
                <w:sz w:val="15"/>
                <w:szCs w:val="15"/>
                <w:color w:val="auto"/>
              </w:rPr>
            </w:pPr>
          </w:p>
        </w:tc>
        <w:tc>
          <w:tcPr>
            <w:tcW w:w="8900" w:type="dxa"/>
            <w:vAlign w:val="bottom"/>
            <w:gridSpan w:val="3"/>
          </w:tcPr>
          <w:p>
            <w:pPr>
              <w:ind w:left="420"/>
              <w:spacing w:after="0" w:line="180" w:lineRule="exact"/>
              <w:rPr>
                <w:sz w:val="20"/>
                <w:szCs w:val="20"/>
                <w:color w:val="auto"/>
              </w:rPr>
            </w:pPr>
            <w:r>
              <w:rPr>
                <w:rFonts w:ascii="Arial" w:cs="Arial" w:eastAsia="Arial" w:hAnsi="Arial"/>
                <w:sz w:val="16"/>
                <w:szCs w:val="16"/>
                <w:color w:val="auto"/>
              </w:rPr>
              <w:t>fees). Accordingly, it is critical that Section 16 Persons timely provide all information about a potential transaction in</w:t>
            </w:r>
          </w:p>
        </w:tc>
      </w:tr>
      <w:tr>
        <w:trPr>
          <w:trHeight w:val="180"/>
        </w:trPr>
        <w:tc>
          <w:tcPr>
            <w:tcW w:w="1660" w:type="dxa"/>
            <w:vAlign w:val="bottom"/>
          </w:tcPr>
          <w:p>
            <w:pPr>
              <w:spacing w:after="0"/>
              <w:rPr>
                <w:sz w:val="15"/>
                <w:szCs w:val="15"/>
                <w:color w:val="auto"/>
              </w:rPr>
            </w:pPr>
          </w:p>
        </w:tc>
        <w:tc>
          <w:tcPr>
            <w:tcW w:w="8900" w:type="dxa"/>
            <w:vAlign w:val="bottom"/>
            <w:gridSpan w:val="3"/>
          </w:tcPr>
          <w:p>
            <w:pPr>
              <w:ind w:left="420"/>
              <w:spacing w:after="0" w:line="180" w:lineRule="exact"/>
              <w:rPr>
                <w:sz w:val="20"/>
                <w:szCs w:val="20"/>
                <w:color w:val="auto"/>
              </w:rPr>
            </w:pPr>
            <w:r>
              <w:rPr>
                <w:rFonts w:ascii="Arial" w:cs="Arial" w:eastAsia="Arial" w:hAnsi="Arial"/>
                <w:sz w:val="16"/>
                <w:szCs w:val="16"/>
                <w:color w:val="auto"/>
              </w:rPr>
              <w:t>Ashland securities, in advance, to the General Counsel or their designee so that Section 16 reports may be timely filed</w:t>
            </w:r>
          </w:p>
        </w:tc>
      </w:tr>
      <w:tr>
        <w:trPr>
          <w:trHeight w:val="205"/>
        </w:trPr>
        <w:tc>
          <w:tcPr>
            <w:tcW w:w="1660" w:type="dxa"/>
            <w:vAlign w:val="bottom"/>
          </w:tcPr>
          <w:p>
            <w:pPr>
              <w:spacing w:after="0"/>
              <w:rPr>
                <w:sz w:val="17"/>
                <w:szCs w:val="17"/>
                <w:color w:val="auto"/>
              </w:rPr>
            </w:pPr>
          </w:p>
        </w:tc>
        <w:tc>
          <w:tcPr>
            <w:tcW w:w="6620" w:type="dxa"/>
            <w:vAlign w:val="bottom"/>
            <w:gridSpan w:val="2"/>
          </w:tcPr>
          <w:p>
            <w:pPr>
              <w:ind w:left="420"/>
              <w:spacing w:after="0"/>
              <w:rPr>
                <w:sz w:val="20"/>
                <w:szCs w:val="20"/>
                <w:color w:val="auto"/>
              </w:rPr>
            </w:pPr>
            <w:r>
              <w:rPr>
                <w:rFonts w:ascii="Arial" w:cs="Arial" w:eastAsia="Arial" w:hAnsi="Arial"/>
                <w:sz w:val="16"/>
                <w:szCs w:val="16"/>
                <w:color w:val="auto"/>
              </w:rPr>
              <w:t>and short-swing profit liability can be assessed.</w:t>
            </w:r>
          </w:p>
        </w:tc>
        <w:tc>
          <w:tcPr>
            <w:tcW w:w="2280" w:type="dxa"/>
            <w:vAlign w:val="bottom"/>
          </w:tcPr>
          <w:p>
            <w:pPr>
              <w:spacing w:after="0"/>
              <w:rPr>
                <w:sz w:val="17"/>
                <w:szCs w:val="17"/>
                <w:color w:val="auto"/>
              </w:rPr>
            </w:pPr>
          </w:p>
        </w:tc>
      </w:tr>
      <w:tr>
        <w:trPr>
          <w:trHeight w:val="551"/>
        </w:trPr>
        <w:tc>
          <w:tcPr>
            <w:tcW w:w="1660" w:type="dxa"/>
            <w:vAlign w:val="bottom"/>
          </w:tcPr>
          <w:p>
            <w:pPr>
              <w:ind w:left="160"/>
              <w:spacing w:after="0"/>
              <w:rPr>
                <w:sz w:val="20"/>
                <w:szCs w:val="20"/>
                <w:color w:val="auto"/>
              </w:rPr>
            </w:pPr>
            <w:r>
              <w:rPr>
                <w:rFonts w:ascii="Arial" w:cs="Arial" w:eastAsia="Arial" w:hAnsi="Arial"/>
                <w:sz w:val="16"/>
                <w:szCs w:val="16"/>
                <w:b w:val="1"/>
                <w:bCs w:val="1"/>
                <w:color w:val="auto"/>
              </w:rPr>
              <w:t>Responsible Party</w:t>
            </w:r>
          </w:p>
        </w:tc>
        <w:tc>
          <w:tcPr>
            <w:tcW w:w="8900" w:type="dxa"/>
            <w:vAlign w:val="bottom"/>
            <w:gridSpan w:val="3"/>
          </w:tcPr>
          <w:p>
            <w:pPr>
              <w:ind w:left="360"/>
              <w:spacing w:after="0"/>
              <w:rPr>
                <w:sz w:val="20"/>
                <w:szCs w:val="20"/>
                <w:color w:val="auto"/>
              </w:rPr>
            </w:pPr>
            <w:r>
              <w:rPr>
                <w:rFonts w:ascii="Arial" w:cs="Arial" w:eastAsia="Arial" w:hAnsi="Arial"/>
                <w:sz w:val="16"/>
                <w:szCs w:val="16"/>
                <w:color w:val="auto"/>
              </w:rPr>
              <w:t>Ashland’s General Counsel is responsible for the implementation of, and amendments to, this Policy. Any questions</w:t>
            </w:r>
          </w:p>
        </w:tc>
      </w:tr>
      <w:tr>
        <w:trPr>
          <w:trHeight w:val="180"/>
        </w:trPr>
        <w:tc>
          <w:tcPr>
            <w:tcW w:w="1660" w:type="dxa"/>
            <w:vAlign w:val="bottom"/>
          </w:tcPr>
          <w:p>
            <w:pPr>
              <w:spacing w:after="0"/>
              <w:rPr>
                <w:sz w:val="15"/>
                <w:szCs w:val="15"/>
                <w:color w:val="auto"/>
              </w:rPr>
            </w:pPr>
          </w:p>
        </w:tc>
        <w:tc>
          <w:tcPr>
            <w:tcW w:w="6620" w:type="dxa"/>
            <w:vAlign w:val="bottom"/>
            <w:gridSpan w:val="2"/>
          </w:tcPr>
          <w:p>
            <w:pPr>
              <w:ind w:left="360"/>
              <w:spacing w:after="0" w:line="180" w:lineRule="exact"/>
              <w:rPr>
                <w:sz w:val="20"/>
                <w:szCs w:val="20"/>
                <w:color w:val="auto"/>
              </w:rPr>
            </w:pPr>
            <w:r>
              <w:rPr>
                <w:rFonts w:ascii="Arial" w:cs="Arial" w:eastAsia="Arial" w:hAnsi="Arial"/>
                <w:sz w:val="16"/>
                <w:szCs w:val="16"/>
                <w:color w:val="auto"/>
              </w:rPr>
              <w:t>about this Policy, its application to a</w:t>
            </w:r>
          </w:p>
        </w:tc>
        <w:tc>
          <w:tcPr>
            <w:tcW w:w="2280" w:type="dxa"/>
            <w:vAlign w:val="bottom"/>
          </w:tcPr>
          <w:p>
            <w:pPr>
              <w:spacing w:after="0"/>
              <w:rPr>
                <w:sz w:val="15"/>
                <w:szCs w:val="15"/>
                <w:color w:val="auto"/>
              </w:rPr>
            </w:pPr>
          </w:p>
        </w:tc>
      </w:tr>
      <w:tr>
        <w:trPr>
          <w:trHeight w:val="180"/>
        </w:trPr>
        <w:tc>
          <w:tcPr>
            <w:tcW w:w="1660" w:type="dxa"/>
            <w:vAlign w:val="bottom"/>
          </w:tcPr>
          <w:p>
            <w:pPr>
              <w:spacing w:after="0"/>
              <w:rPr>
                <w:sz w:val="15"/>
                <w:szCs w:val="15"/>
                <w:color w:val="auto"/>
              </w:rPr>
            </w:pPr>
          </w:p>
        </w:tc>
        <w:tc>
          <w:tcPr>
            <w:tcW w:w="8900" w:type="dxa"/>
            <w:vAlign w:val="bottom"/>
            <w:gridSpan w:val="3"/>
          </w:tcPr>
          <w:p>
            <w:pPr>
              <w:ind w:left="360"/>
              <w:spacing w:after="0" w:line="180" w:lineRule="exact"/>
              <w:rPr>
                <w:sz w:val="20"/>
                <w:szCs w:val="20"/>
                <w:color w:val="auto"/>
              </w:rPr>
            </w:pPr>
            <w:r>
              <w:rPr>
                <w:rFonts w:ascii="Arial" w:cs="Arial" w:eastAsia="Arial" w:hAnsi="Arial"/>
                <w:sz w:val="16"/>
                <w:szCs w:val="16"/>
                <w:color w:val="auto"/>
              </w:rPr>
              <w:t>proposed transaction, or the requirements of applicable laws should be directed to the General Counsel or their</w:t>
            </w:r>
          </w:p>
        </w:tc>
      </w:tr>
      <w:tr>
        <w:trPr>
          <w:trHeight w:val="205"/>
        </w:trPr>
        <w:tc>
          <w:tcPr>
            <w:tcW w:w="1660" w:type="dxa"/>
            <w:vAlign w:val="bottom"/>
          </w:tcPr>
          <w:p>
            <w:pPr>
              <w:spacing w:after="0"/>
              <w:rPr>
                <w:sz w:val="17"/>
                <w:szCs w:val="17"/>
                <w:color w:val="auto"/>
              </w:rPr>
            </w:pPr>
          </w:p>
        </w:tc>
        <w:tc>
          <w:tcPr>
            <w:tcW w:w="1980" w:type="dxa"/>
            <w:vAlign w:val="bottom"/>
          </w:tcPr>
          <w:p>
            <w:pPr>
              <w:ind w:left="360"/>
              <w:spacing w:after="0"/>
              <w:rPr>
                <w:sz w:val="20"/>
                <w:szCs w:val="20"/>
                <w:color w:val="auto"/>
              </w:rPr>
            </w:pPr>
            <w:r>
              <w:rPr>
                <w:rFonts w:ascii="Arial" w:cs="Arial" w:eastAsia="Arial" w:hAnsi="Arial"/>
                <w:sz w:val="16"/>
                <w:szCs w:val="16"/>
                <w:color w:val="auto"/>
              </w:rPr>
              <w:t>designee.</w:t>
            </w:r>
          </w:p>
        </w:tc>
        <w:tc>
          <w:tcPr>
            <w:tcW w:w="46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584"/>
        </w:trPr>
        <w:tc>
          <w:tcPr>
            <w:tcW w:w="1660" w:type="dxa"/>
            <w:vAlign w:val="bottom"/>
          </w:tcPr>
          <w:p>
            <w:pPr>
              <w:ind w:left="160"/>
              <w:spacing w:after="0"/>
              <w:rPr>
                <w:sz w:val="20"/>
                <w:szCs w:val="20"/>
                <w:color w:val="auto"/>
              </w:rPr>
            </w:pPr>
            <w:r>
              <w:rPr>
                <w:rFonts w:ascii="Arial" w:cs="Arial" w:eastAsia="Arial" w:hAnsi="Arial"/>
                <w:sz w:val="16"/>
                <w:szCs w:val="16"/>
                <w:b w:val="1"/>
                <w:bCs w:val="1"/>
                <w:color w:val="auto"/>
              </w:rPr>
              <w:t>Scope</w:t>
            </w:r>
          </w:p>
        </w:tc>
        <w:tc>
          <w:tcPr>
            <w:tcW w:w="6620" w:type="dxa"/>
            <w:vAlign w:val="bottom"/>
            <w:gridSpan w:val="2"/>
          </w:tcPr>
          <w:p>
            <w:pPr>
              <w:ind w:left="140"/>
              <w:spacing w:after="0"/>
              <w:rPr>
                <w:sz w:val="20"/>
                <w:szCs w:val="20"/>
                <w:color w:val="auto"/>
              </w:rPr>
            </w:pPr>
            <w:r>
              <w:rPr>
                <w:rFonts w:ascii="Arial" w:cs="Arial" w:eastAsia="Arial" w:hAnsi="Arial"/>
                <w:sz w:val="16"/>
                <w:szCs w:val="16"/>
                <w:color w:val="auto"/>
              </w:rPr>
              <w:t>This Policy applies to Ashland and all Covered Persons.</w:t>
            </w:r>
          </w:p>
        </w:tc>
        <w:tc>
          <w:tcPr>
            <w:tcW w:w="2280" w:type="dxa"/>
            <w:vAlign w:val="bottom"/>
          </w:tcPr>
          <w:p>
            <w:pPr>
              <w:spacing w:after="0"/>
              <w:rPr>
                <w:sz w:val="24"/>
                <w:szCs w:val="24"/>
                <w:color w:val="auto"/>
              </w:rPr>
            </w:pPr>
          </w:p>
        </w:tc>
      </w:tr>
      <w:tr>
        <w:trPr>
          <w:trHeight w:val="576"/>
        </w:trPr>
        <w:tc>
          <w:tcPr>
            <w:tcW w:w="1660" w:type="dxa"/>
            <w:vAlign w:val="bottom"/>
          </w:tcPr>
          <w:p>
            <w:pPr>
              <w:ind w:left="160"/>
              <w:spacing w:after="0"/>
              <w:rPr>
                <w:sz w:val="20"/>
                <w:szCs w:val="20"/>
                <w:color w:val="auto"/>
              </w:rPr>
            </w:pPr>
            <w:r>
              <w:rPr>
                <w:rFonts w:ascii="Arial" w:cs="Arial" w:eastAsia="Arial" w:hAnsi="Arial"/>
                <w:sz w:val="16"/>
                <w:szCs w:val="16"/>
                <w:b w:val="1"/>
                <w:bCs w:val="1"/>
                <w:color w:val="auto"/>
              </w:rPr>
              <w:t>Effective Date</w:t>
            </w:r>
          </w:p>
        </w:tc>
        <w:tc>
          <w:tcPr>
            <w:tcW w:w="1980" w:type="dxa"/>
            <w:vAlign w:val="bottom"/>
          </w:tcPr>
          <w:p>
            <w:pPr>
              <w:ind w:left="320"/>
              <w:spacing w:after="0"/>
              <w:rPr>
                <w:sz w:val="20"/>
                <w:szCs w:val="20"/>
                <w:color w:val="auto"/>
              </w:rPr>
            </w:pPr>
            <w:r>
              <w:rPr>
                <w:rFonts w:ascii="Arial" w:cs="Arial" w:eastAsia="Arial" w:hAnsi="Arial"/>
                <w:sz w:val="16"/>
                <w:szCs w:val="16"/>
                <w:color w:val="auto"/>
              </w:rPr>
              <w:t>November 13, 2024</w:t>
            </w:r>
          </w:p>
        </w:tc>
        <w:tc>
          <w:tcPr>
            <w:tcW w:w="4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576"/>
        </w:trPr>
        <w:tc>
          <w:tcPr>
            <w:tcW w:w="1660" w:type="dxa"/>
            <w:vAlign w:val="bottom"/>
          </w:tcPr>
          <w:p>
            <w:pPr>
              <w:ind w:left="160"/>
              <w:spacing w:after="0"/>
              <w:rPr>
                <w:sz w:val="20"/>
                <w:szCs w:val="20"/>
                <w:color w:val="auto"/>
              </w:rPr>
            </w:pPr>
            <w:r>
              <w:rPr>
                <w:rFonts w:ascii="Arial" w:cs="Arial" w:eastAsia="Arial" w:hAnsi="Arial"/>
                <w:sz w:val="16"/>
                <w:szCs w:val="16"/>
                <w:b w:val="1"/>
                <w:bCs w:val="1"/>
                <w:color w:val="auto"/>
              </w:rPr>
              <w:t>References</w:t>
            </w:r>
          </w:p>
        </w:tc>
        <w:tc>
          <w:tcPr>
            <w:tcW w:w="6620" w:type="dxa"/>
            <w:vAlign w:val="bottom"/>
            <w:gridSpan w:val="2"/>
          </w:tcPr>
          <w:p>
            <w:pPr>
              <w:ind w:left="240"/>
              <w:spacing w:after="0"/>
              <w:rPr>
                <w:sz w:val="20"/>
                <w:szCs w:val="20"/>
                <w:color w:val="auto"/>
              </w:rPr>
            </w:pPr>
            <w:r>
              <w:rPr>
                <w:rFonts w:ascii="Arial" w:cs="Arial" w:eastAsia="Arial" w:hAnsi="Arial"/>
                <w:sz w:val="16"/>
                <w:szCs w:val="16"/>
                <w:color w:val="auto"/>
              </w:rPr>
              <w:t>The following reference documents apply to this policy:</w:t>
            </w:r>
          </w:p>
        </w:tc>
        <w:tc>
          <w:tcPr>
            <w:tcW w:w="2280" w:type="dxa"/>
            <w:vAlign w:val="bottom"/>
          </w:tcPr>
          <w:p>
            <w:pPr>
              <w:spacing w:after="0"/>
              <w:rPr>
                <w:sz w:val="24"/>
                <w:szCs w:val="24"/>
                <w:color w:val="auto"/>
              </w:rPr>
            </w:pPr>
          </w:p>
        </w:tc>
      </w:tr>
      <w:tr>
        <w:trPr>
          <w:trHeight w:val="351"/>
        </w:trPr>
        <w:tc>
          <w:tcPr>
            <w:tcW w:w="1660" w:type="dxa"/>
            <w:vAlign w:val="bottom"/>
          </w:tcPr>
          <w:p>
            <w:pPr>
              <w:spacing w:after="0"/>
              <w:rPr>
                <w:sz w:val="24"/>
                <w:szCs w:val="24"/>
                <w:color w:val="auto"/>
              </w:rPr>
            </w:pPr>
          </w:p>
        </w:tc>
        <w:tc>
          <w:tcPr>
            <w:tcW w:w="1980" w:type="dxa"/>
            <w:vAlign w:val="bottom"/>
          </w:tcPr>
          <w:p>
            <w:pPr>
              <w:ind w:left="120"/>
              <w:spacing w:after="0"/>
              <w:rPr>
                <w:sz w:val="20"/>
                <w:szCs w:val="20"/>
                <w:color w:val="auto"/>
              </w:rPr>
            </w:pPr>
            <w:r>
              <w:rPr>
                <w:rFonts w:ascii="Arial" w:cs="Arial" w:eastAsia="Arial" w:hAnsi="Arial"/>
                <w:sz w:val="16"/>
                <w:szCs w:val="16"/>
                <w:b w:val="1"/>
                <w:bCs w:val="1"/>
                <w:color w:val="auto"/>
              </w:rPr>
              <w:t>Document Number</w:t>
            </w:r>
          </w:p>
        </w:tc>
        <w:tc>
          <w:tcPr>
            <w:tcW w:w="4640" w:type="dxa"/>
            <w:vAlign w:val="bottom"/>
          </w:tcPr>
          <w:p>
            <w:pPr>
              <w:ind w:left="300"/>
              <w:spacing w:after="0"/>
              <w:rPr>
                <w:sz w:val="20"/>
                <w:szCs w:val="20"/>
                <w:color w:val="auto"/>
              </w:rPr>
            </w:pPr>
            <w:r>
              <w:rPr>
                <w:rFonts w:ascii="Arial" w:cs="Arial" w:eastAsia="Arial" w:hAnsi="Arial"/>
                <w:sz w:val="16"/>
                <w:szCs w:val="16"/>
                <w:b w:val="1"/>
                <w:bCs w:val="1"/>
                <w:color w:val="auto"/>
              </w:rPr>
              <w:t>Document Title</w:t>
            </w:r>
          </w:p>
        </w:tc>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Document Type</w:t>
            </w:r>
          </w:p>
        </w:tc>
      </w:tr>
      <w:tr>
        <w:trPr>
          <w:trHeight w:val="205"/>
        </w:trPr>
        <w:tc>
          <w:tcPr>
            <w:tcW w:w="1660" w:type="dxa"/>
            <w:vAlign w:val="bottom"/>
          </w:tcPr>
          <w:p>
            <w:pPr>
              <w:spacing w:after="0"/>
              <w:rPr>
                <w:sz w:val="17"/>
                <w:szCs w:val="17"/>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AI-POL-001.000</w:t>
            </w:r>
          </w:p>
        </w:tc>
        <w:tc>
          <w:tcPr>
            <w:tcW w:w="4640" w:type="dxa"/>
            <w:vAlign w:val="bottom"/>
          </w:tcPr>
          <w:p>
            <w:pPr>
              <w:ind w:left="300"/>
              <w:spacing w:after="0"/>
              <w:rPr>
                <w:sz w:val="20"/>
                <w:szCs w:val="20"/>
                <w:color w:val="auto"/>
              </w:rPr>
            </w:pPr>
            <w:r>
              <w:rPr>
                <w:rFonts w:ascii="Arial" w:cs="Arial" w:eastAsia="Arial" w:hAnsi="Arial"/>
                <w:sz w:val="16"/>
                <w:szCs w:val="16"/>
                <w:color w:val="auto"/>
              </w:rPr>
              <w:t>Establishment and Application of Ashland Policies</w:t>
            </w:r>
          </w:p>
        </w:tc>
        <w:tc>
          <w:tcPr>
            <w:tcW w:w="2280" w:type="dxa"/>
            <w:vAlign w:val="bottom"/>
          </w:tcPr>
          <w:p>
            <w:pPr>
              <w:ind w:left="60"/>
              <w:spacing w:after="0"/>
              <w:rPr>
                <w:sz w:val="20"/>
                <w:szCs w:val="20"/>
                <w:color w:val="auto"/>
              </w:rPr>
            </w:pPr>
            <w:r>
              <w:rPr>
                <w:rFonts w:ascii="Arial" w:cs="Arial" w:eastAsia="Arial" w:hAnsi="Arial"/>
                <w:sz w:val="16"/>
                <w:szCs w:val="16"/>
                <w:color w:val="auto"/>
              </w:rPr>
              <w:t>Policy</w:t>
            </w:r>
          </w:p>
        </w:tc>
      </w:tr>
      <w:tr>
        <w:trPr>
          <w:trHeight w:val="335"/>
        </w:trPr>
        <w:tc>
          <w:tcPr>
            <w:tcW w:w="1660" w:type="dxa"/>
            <w:vAlign w:val="bottom"/>
          </w:tcPr>
          <w:p>
            <w:pPr>
              <w:spacing w:after="0"/>
              <w:rPr>
                <w:sz w:val="24"/>
                <w:szCs w:val="24"/>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AI-POL-002.012</w:t>
            </w:r>
          </w:p>
        </w:tc>
        <w:tc>
          <w:tcPr>
            <w:tcW w:w="4640" w:type="dxa"/>
            <w:vAlign w:val="bottom"/>
          </w:tcPr>
          <w:p>
            <w:pPr>
              <w:ind w:left="300"/>
              <w:spacing w:after="0"/>
              <w:rPr>
                <w:sz w:val="20"/>
                <w:szCs w:val="20"/>
                <w:color w:val="auto"/>
              </w:rPr>
            </w:pPr>
            <w:r>
              <w:rPr>
                <w:rFonts w:ascii="Arial" w:cs="Arial" w:eastAsia="Arial" w:hAnsi="Arial"/>
                <w:sz w:val="16"/>
                <w:szCs w:val="16"/>
                <w:color w:val="auto"/>
              </w:rPr>
              <w:t>Public Disclosure of Information</w:t>
            </w:r>
          </w:p>
        </w:tc>
        <w:tc>
          <w:tcPr>
            <w:tcW w:w="2280" w:type="dxa"/>
            <w:vAlign w:val="bottom"/>
          </w:tcPr>
          <w:p>
            <w:pPr>
              <w:ind w:left="60"/>
              <w:spacing w:after="0"/>
              <w:rPr>
                <w:sz w:val="20"/>
                <w:szCs w:val="20"/>
                <w:color w:val="auto"/>
              </w:rPr>
            </w:pPr>
            <w:r>
              <w:rPr>
                <w:rFonts w:ascii="Arial" w:cs="Arial" w:eastAsia="Arial" w:hAnsi="Arial"/>
                <w:sz w:val="16"/>
                <w:szCs w:val="16"/>
                <w:color w:val="auto"/>
              </w:rPr>
              <w:t>Policy</w:t>
            </w:r>
          </w:p>
        </w:tc>
      </w:tr>
      <w:tr>
        <w:trPr>
          <w:trHeight w:val="180"/>
        </w:trPr>
        <w:tc>
          <w:tcPr>
            <w:tcW w:w="1660" w:type="dxa"/>
            <w:vAlign w:val="bottom"/>
          </w:tcPr>
          <w:p>
            <w:pPr>
              <w:spacing w:after="0"/>
              <w:rPr>
                <w:sz w:val="15"/>
                <w:szCs w:val="15"/>
                <w:color w:val="auto"/>
              </w:rPr>
            </w:pPr>
          </w:p>
        </w:tc>
        <w:tc>
          <w:tcPr>
            <w:tcW w:w="1980" w:type="dxa"/>
            <w:vAlign w:val="bottom"/>
          </w:tcPr>
          <w:p>
            <w:pPr>
              <w:ind w:left="120"/>
              <w:spacing w:after="0" w:line="180" w:lineRule="exact"/>
              <w:rPr>
                <w:sz w:val="20"/>
                <w:szCs w:val="20"/>
                <w:color w:val="auto"/>
              </w:rPr>
            </w:pPr>
            <w:r>
              <w:rPr>
                <w:rFonts w:ascii="Arial" w:cs="Arial" w:eastAsia="Arial" w:hAnsi="Arial"/>
                <w:sz w:val="16"/>
                <w:szCs w:val="16"/>
                <w:color w:val="auto"/>
              </w:rPr>
              <w:t>AI-POL-004.000</w:t>
            </w:r>
          </w:p>
        </w:tc>
        <w:tc>
          <w:tcPr>
            <w:tcW w:w="4640" w:type="dxa"/>
            <w:vAlign w:val="bottom"/>
          </w:tcPr>
          <w:p>
            <w:pPr>
              <w:ind w:left="300"/>
              <w:spacing w:after="0" w:line="180" w:lineRule="exact"/>
              <w:rPr>
                <w:sz w:val="20"/>
                <w:szCs w:val="20"/>
                <w:color w:val="auto"/>
              </w:rPr>
            </w:pPr>
            <w:r>
              <w:rPr>
                <w:rFonts w:ascii="Arial" w:cs="Arial" w:eastAsia="Arial" w:hAnsi="Arial"/>
                <w:sz w:val="16"/>
                <w:szCs w:val="16"/>
                <w:color w:val="auto"/>
              </w:rPr>
              <w:t>Legal Compliance</w:t>
            </w:r>
          </w:p>
        </w:tc>
        <w:tc>
          <w:tcPr>
            <w:tcW w:w="2280" w:type="dxa"/>
            <w:vAlign w:val="bottom"/>
          </w:tcPr>
          <w:p>
            <w:pPr>
              <w:ind w:left="60"/>
              <w:spacing w:after="0" w:line="180" w:lineRule="exact"/>
              <w:rPr>
                <w:sz w:val="20"/>
                <w:szCs w:val="20"/>
                <w:color w:val="auto"/>
              </w:rPr>
            </w:pPr>
            <w:r>
              <w:rPr>
                <w:rFonts w:ascii="Arial" w:cs="Arial" w:eastAsia="Arial" w:hAnsi="Arial"/>
                <w:sz w:val="16"/>
                <w:szCs w:val="16"/>
                <w:color w:val="auto"/>
              </w:rPr>
              <w:t>Policy</w:t>
            </w:r>
          </w:p>
        </w:tc>
      </w:tr>
      <w:tr>
        <w:trPr>
          <w:trHeight w:val="180"/>
        </w:trPr>
        <w:tc>
          <w:tcPr>
            <w:tcW w:w="1660" w:type="dxa"/>
            <w:vAlign w:val="bottom"/>
          </w:tcPr>
          <w:p>
            <w:pPr>
              <w:spacing w:after="0"/>
              <w:rPr>
                <w:sz w:val="15"/>
                <w:szCs w:val="15"/>
                <w:color w:val="auto"/>
              </w:rPr>
            </w:pPr>
          </w:p>
        </w:tc>
        <w:tc>
          <w:tcPr>
            <w:tcW w:w="1980" w:type="dxa"/>
            <w:vAlign w:val="bottom"/>
          </w:tcPr>
          <w:p>
            <w:pPr>
              <w:ind w:left="120"/>
              <w:spacing w:after="0" w:line="180" w:lineRule="exact"/>
              <w:rPr>
                <w:sz w:val="20"/>
                <w:szCs w:val="20"/>
                <w:color w:val="auto"/>
              </w:rPr>
            </w:pPr>
            <w:r>
              <w:rPr>
                <w:rFonts w:ascii="Arial" w:cs="Arial" w:eastAsia="Arial" w:hAnsi="Arial"/>
                <w:sz w:val="16"/>
                <w:szCs w:val="16"/>
                <w:color w:val="auto"/>
              </w:rPr>
              <w:t>AI-POL-007.004</w:t>
            </w:r>
          </w:p>
        </w:tc>
        <w:tc>
          <w:tcPr>
            <w:tcW w:w="4640" w:type="dxa"/>
            <w:vAlign w:val="bottom"/>
          </w:tcPr>
          <w:p>
            <w:pPr>
              <w:ind w:left="300"/>
              <w:spacing w:after="0" w:line="180" w:lineRule="exact"/>
              <w:rPr>
                <w:sz w:val="20"/>
                <w:szCs w:val="20"/>
                <w:color w:val="auto"/>
              </w:rPr>
            </w:pPr>
            <w:r>
              <w:rPr>
                <w:rFonts w:ascii="Arial" w:cs="Arial" w:eastAsia="Arial" w:hAnsi="Arial"/>
                <w:sz w:val="16"/>
                <w:szCs w:val="16"/>
                <w:color w:val="auto"/>
              </w:rPr>
              <w:t>Reporting Obligations</w:t>
            </w:r>
          </w:p>
        </w:tc>
        <w:tc>
          <w:tcPr>
            <w:tcW w:w="2280" w:type="dxa"/>
            <w:vAlign w:val="bottom"/>
          </w:tcPr>
          <w:p>
            <w:pPr>
              <w:ind w:left="60"/>
              <w:spacing w:after="0" w:line="180" w:lineRule="exact"/>
              <w:rPr>
                <w:sz w:val="20"/>
                <w:szCs w:val="20"/>
                <w:color w:val="auto"/>
              </w:rPr>
            </w:pPr>
            <w:r>
              <w:rPr>
                <w:rFonts w:ascii="Arial" w:cs="Arial" w:eastAsia="Arial" w:hAnsi="Arial"/>
                <w:sz w:val="16"/>
                <w:szCs w:val="16"/>
                <w:color w:val="auto"/>
              </w:rPr>
              <w:t>Policy</w:t>
            </w:r>
          </w:p>
        </w:tc>
      </w:tr>
      <w:tr>
        <w:trPr>
          <w:trHeight w:val="205"/>
        </w:trPr>
        <w:tc>
          <w:tcPr>
            <w:tcW w:w="1660" w:type="dxa"/>
            <w:vAlign w:val="bottom"/>
          </w:tcPr>
          <w:p>
            <w:pPr>
              <w:spacing w:after="0"/>
              <w:rPr>
                <w:sz w:val="17"/>
                <w:szCs w:val="17"/>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AI-POL-004.024</w:t>
            </w:r>
          </w:p>
        </w:tc>
        <w:tc>
          <w:tcPr>
            <w:tcW w:w="4640" w:type="dxa"/>
            <w:vAlign w:val="bottom"/>
          </w:tcPr>
          <w:p>
            <w:pPr>
              <w:ind w:left="300"/>
              <w:spacing w:after="0"/>
              <w:rPr>
                <w:sz w:val="20"/>
                <w:szCs w:val="20"/>
                <w:color w:val="auto"/>
              </w:rPr>
            </w:pPr>
            <w:r>
              <w:rPr>
                <w:rFonts w:ascii="Arial" w:cs="Arial" w:eastAsia="Arial" w:hAnsi="Arial"/>
                <w:sz w:val="16"/>
                <w:szCs w:val="16"/>
                <w:color w:val="auto"/>
                <w:w w:val="98"/>
              </w:rPr>
              <w:t>Securities Laws and Insider Trading International Translations</w:t>
            </w:r>
          </w:p>
        </w:tc>
        <w:tc>
          <w:tcPr>
            <w:tcW w:w="2280" w:type="dxa"/>
            <w:vAlign w:val="bottom"/>
          </w:tcPr>
          <w:p>
            <w:pPr>
              <w:ind w:left="60"/>
              <w:spacing w:after="0"/>
              <w:rPr>
                <w:sz w:val="20"/>
                <w:szCs w:val="20"/>
                <w:color w:val="auto"/>
              </w:rPr>
            </w:pPr>
            <w:r>
              <w:rPr>
                <w:rFonts w:ascii="Arial" w:cs="Arial" w:eastAsia="Arial" w:hAnsi="Arial"/>
                <w:sz w:val="16"/>
                <w:szCs w:val="16"/>
                <w:color w:val="auto"/>
              </w:rPr>
              <w:t>Reference</w:t>
            </w:r>
          </w:p>
        </w:tc>
      </w:tr>
      <w:tr>
        <w:trPr>
          <w:trHeight w:val="335"/>
        </w:trPr>
        <w:tc>
          <w:tcPr>
            <w:tcW w:w="1660" w:type="dxa"/>
            <w:vAlign w:val="bottom"/>
          </w:tcPr>
          <w:p>
            <w:pPr>
              <w:spacing w:after="0"/>
              <w:rPr>
                <w:sz w:val="24"/>
                <w:szCs w:val="24"/>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FirstHand Link</w:t>
            </w:r>
          </w:p>
        </w:tc>
        <w:tc>
          <w:tcPr>
            <w:tcW w:w="4640" w:type="dxa"/>
            <w:vAlign w:val="bottom"/>
          </w:tcPr>
          <w:p>
            <w:pPr>
              <w:ind w:left="300"/>
              <w:spacing w:after="0"/>
              <w:rPr>
                <w:sz w:val="20"/>
                <w:szCs w:val="20"/>
                <w:color w:val="auto"/>
              </w:rPr>
            </w:pPr>
            <w:r>
              <w:rPr>
                <w:rFonts w:ascii="Arial" w:cs="Arial" w:eastAsia="Arial" w:hAnsi="Arial"/>
                <w:sz w:val="16"/>
                <w:szCs w:val="16"/>
                <w:color w:val="auto"/>
              </w:rPr>
              <w:t>Global Code of Conduct</w:t>
            </w:r>
          </w:p>
        </w:tc>
        <w:tc>
          <w:tcPr>
            <w:tcW w:w="2280" w:type="dxa"/>
            <w:vAlign w:val="bottom"/>
          </w:tcPr>
          <w:p>
            <w:pPr>
              <w:ind w:left="60"/>
              <w:spacing w:after="0"/>
              <w:rPr>
                <w:sz w:val="20"/>
                <w:szCs w:val="20"/>
                <w:color w:val="auto"/>
              </w:rPr>
            </w:pPr>
            <w:r>
              <w:rPr>
                <w:rFonts w:ascii="Arial" w:cs="Arial" w:eastAsia="Arial" w:hAnsi="Arial"/>
                <w:sz w:val="16"/>
                <w:szCs w:val="16"/>
                <w:color w:val="auto"/>
              </w:rPr>
              <w:t>Reference</w:t>
            </w:r>
          </w:p>
        </w:tc>
      </w:tr>
      <w:tr>
        <w:trPr>
          <w:trHeight w:val="205"/>
        </w:trPr>
        <w:tc>
          <w:tcPr>
            <w:tcW w:w="1660" w:type="dxa"/>
            <w:vAlign w:val="bottom"/>
          </w:tcPr>
          <w:p>
            <w:pPr>
              <w:spacing w:after="0"/>
              <w:rPr>
                <w:sz w:val="17"/>
                <w:szCs w:val="17"/>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REF-000004</w:t>
            </w:r>
          </w:p>
        </w:tc>
        <w:tc>
          <w:tcPr>
            <w:tcW w:w="4640" w:type="dxa"/>
            <w:vAlign w:val="bottom"/>
          </w:tcPr>
          <w:p>
            <w:pPr>
              <w:ind w:left="300"/>
              <w:spacing w:after="0"/>
              <w:rPr>
                <w:sz w:val="20"/>
                <w:szCs w:val="20"/>
                <w:color w:val="auto"/>
              </w:rPr>
            </w:pPr>
            <w:r>
              <w:rPr>
                <w:rFonts w:ascii="Arial" w:cs="Arial" w:eastAsia="Arial" w:hAnsi="Arial"/>
                <w:sz w:val="16"/>
                <w:szCs w:val="16"/>
                <w:color w:val="auto"/>
              </w:rPr>
              <w:t>Glossary</w:t>
            </w:r>
          </w:p>
        </w:tc>
        <w:tc>
          <w:tcPr>
            <w:tcW w:w="2280" w:type="dxa"/>
            <w:vAlign w:val="bottom"/>
          </w:tcPr>
          <w:p>
            <w:pPr>
              <w:ind w:left="60"/>
              <w:spacing w:after="0"/>
              <w:rPr>
                <w:sz w:val="20"/>
                <w:szCs w:val="20"/>
                <w:color w:val="auto"/>
              </w:rPr>
            </w:pPr>
            <w:r>
              <w:rPr>
                <w:rFonts w:ascii="Arial" w:cs="Arial" w:eastAsia="Arial" w:hAnsi="Arial"/>
                <w:sz w:val="16"/>
                <w:szCs w:val="16"/>
                <w:color w:val="auto"/>
              </w:rPr>
              <w:t>Reference</w:t>
            </w:r>
          </w:p>
        </w:tc>
      </w:tr>
      <w:tr>
        <w:trPr>
          <w:trHeight w:val="1030"/>
        </w:trPr>
        <w:tc>
          <w:tcPr>
            <w:tcW w:w="166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4640" w:type="dxa"/>
            <w:vAlign w:val="bottom"/>
            <w:tcBorders>
              <w:bottom w:val="single" w:sz="8" w:color="EEEEEE"/>
            </w:tcBorders>
          </w:tcPr>
          <w:p>
            <w:pPr>
              <w:spacing w:after="0"/>
              <w:rPr>
                <w:sz w:val="24"/>
                <w:szCs w:val="24"/>
                <w:color w:val="auto"/>
              </w:rPr>
            </w:pPr>
          </w:p>
        </w:tc>
        <w:tc>
          <w:tcPr>
            <w:tcW w:w="22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4" w:name="page225"/>
    <w:bookmarkEnd w:id="224"/>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Appendix A</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Pre-Approved Trading Plans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w:t>
      </w:r>
      <w:r>
        <w:rPr>
          <w:rFonts w:ascii="Arial" w:cs="Arial" w:eastAsia="Arial" w:hAnsi="Arial"/>
          <w:sz w:val="16"/>
          <w:szCs w:val="16"/>
          <w:b w:val="1"/>
          <w:bCs w:val="1"/>
          <w:color w:val="auto"/>
        </w:rPr>
        <w:t>RULE 10B5-1 TRADING PLANS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w:t>
      </w:r>
      <w:r>
        <w:rPr>
          <w:rFonts w:ascii="Arial" w:cs="Arial" w:eastAsia="Arial" w:hAnsi="Arial"/>
          <w:sz w:val="16"/>
          <w:szCs w:val="16"/>
          <w:b w:val="1"/>
          <w:bCs w:val="1"/>
          <w:color w:val="auto"/>
        </w:rPr>
        <w:t>Overview</w:t>
      </w:r>
      <w:r>
        <w:rPr>
          <w:rFonts w:ascii="Arial" w:cs="Arial" w:eastAsia="Arial" w:hAnsi="Arial"/>
          <w:sz w:val="16"/>
          <w:szCs w:val="16"/>
          <w:color w:val="auto"/>
        </w:rPr>
        <w:t>.</w:t>
      </w:r>
    </w:p>
    <w:p>
      <w:pPr>
        <w:spacing w:after="0" w:line="190" w:lineRule="exact"/>
        <w:rPr>
          <w:sz w:val="20"/>
          <w:szCs w:val="20"/>
          <w:color w:val="auto"/>
        </w:rPr>
      </w:pPr>
    </w:p>
    <w:p>
      <w:pPr>
        <w:ind w:firstLine="1404"/>
        <w:spacing w:after="0" w:line="301" w:lineRule="auto"/>
        <w:rPr>
          <w:sz w:val="20"/>
          <w:szCs w:val="20"/>
          <w:color w:val="auto"/>
        </w:rPr>
      </w:pPr>
      <w:r>
        <w:rPr>
          <w:rFonts w:ascii="Arial" w:cs="Arial" w:eastAsia="Arial" w:hAnsi="Arial"/>
          <w:sz w:val="14"/>
          <w:szCs w:val="14"/>
          <w:color w:val="auto"/>
        </w:rPr>
        <w:t>(i)SEC Rule 10b5-1(c) provides an affirmative defense from insider trading liability for securities transactions that occur pursuant to a prearranged contract, plan, or instruction to trade (a “</w:t>
      </w:r>
      <w:r>
        <w:rPr>
          <w:rFonts w:ascii="Arial" w:cs="Arial" w:eastAsia="Arial" w:hAnsi="Arial"/>
          <w:sz w:val="14"/>
          <w:szCs w:val="14"/>
          <w:b w:val="1"/>
          <w:bCs w:val="1"/>
          <w:color w:val="auto"/>
        </w:rPr>
        <w:t>Rule 10b5- 1 Trading Plan</w:t>
      </w:r>
      <w:r>
        <w:rPr>
          <w:rFonts w:ascii="Arial" w:cs="Arial" w:eastAsia="Arial" w:hAnsi="Arial"/>
          <w:sz w:val="14"/>
          <w:szCs w:val="14"/>
          <w:color w:val="auto"/>
        </w:rPr>
        <w:t>”) which was adopted in good faith at a time when the person was not aware of material non-public information, and which trading plan complies with the requirements set forth in Rule 10b5-1 and all applicable state laws.</w:t>
      </w:r>
    </w:p>
    <w:p>
      <w:pPr>
        <w:spacing w:after="0" w:line="126" w:lineRule="exact"/>
        <w:rPr>
          <w:sz w:val="20"/>
          <w:szCs w:val="20"/>
          <w:color w:val="auto"/>
        </w:rPr>
      </w:pPr>
    </w:p>
    <w:p>
      <w:pPr>
        <w:ind w:right="20" w:firstLine="1404"/>
        <w:spacing w:after="0" w:line="244" w:lineRule="auto"/>
        <w:rPr>
          <w:sz w:val="20"/>
          <w:szCs w:val="20"/>
          <w:color w:val="auto"/>
        </w:rPr>
      </w:pPr>
      <w:r>
        <w:rPr>
          <w:rFonts w:ascii="Arial" w:cs="Arial" w:eastAsia="Arial" w:hAnsi="Arial"/>
          <w:sz w:val="16"/>
          <w:szCs w:val="16"/>
          <w:color w:val="auto"/>
        </w:rPr>
        <w:t>(ii)If a Rule 10b5-1 Trading Plan meets all of the requirements of SEC Rule 10b5-1(c), as described below, and transactions in Ashland securities are made in accordance with the terms and conditions of that plan, the trades will not be deemed to have been made “on the basis of” material non-public information, even if the Covered Person who established the Rule 10b5-1 Trading Plan is actually aware of material non-public information at the time plan-based transactions are executed.</w:t>
      </w:r>
    </w:p>
    <w:p>
      <w:pPr>
        <w:spacing w:after="0" w:line="164" w:lineRule="exact"/>
        <w:rPr>
          <w:sz w:val="20"/>
          <w:szCs w:val="20"/>
          <w:color w:val="auto"/>
        </w:rPr>
      </w:pPr>
    </w:p>
    <w:p>
      <w:pPr>
        <w:ind w:right="360" w:firstLine="1404"/>
        <w:spacing w:after="0" w:line="262" w:lineRule="auto"/>
        <w:rPr>
          <w:sz w:val="20"/>
          <w:szCs w:val="20"/>
          <w:color w:val="auto"/>
        </w:rPr>
      </w:pPr>
      <w:r>
        <w:rPr>
          <w:rFonts w:ascii="Arial" w:cs="Arial" w:eastAsia="Arial" w:hAnsi="Arial"/>
          <w:sz w:val="16"/>
          <w:szCs w:val="16"/>
          <w:color w:val="auto"/>
        </w:rPr>
        <w:t>(iii)Any Covered Person may adopt a Rule 10b5- 1 Trading Plan. Officers and members of the Board who intend to regularly sell Ashland securities to meet liquidity needs are encouraged to adopt a Rule 10b5-1 Trading Plan for that purpose.</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w:t>
      </w:r>
      <w:r>
        <w:rPr>
          <w:rFonts w:ascii="Arial" w:cs="Arial" w:eastAsia="Arial" w:hAnsi="Arial"/>
          <w:sz w:val="16"/>
          <w:szCs w:val="16"/>
          <w:b w:val="1"/>
          <w:bCs w:val="1"/>
          <w:color w:val="auto"/>
        </w:rPr>
        <w:t>Rule 10b5-1 Trading Plan Requirements</w:t>
      </w:r>
      <w:r>
        <w:rPr>
          <w:rFonts w:ascii="Arial" w:cs="Arial" w:eastAsia="Arial" w:hAnsi="Arial"/>
          <w:sz w:val="16"/>
          <w:szCs w:val="16"/>
          <w:color w:val="auto"/>
        </w:rPr>
        <w:t>.</w:t>
      </w:r>
    </w:p>
    <w:p>
      <w:pPr>
        <w:spacing w:after="0" w:line="190" w:lineRule="exact"/>
        <w:rPr>
          <w:sz w:val="20"/>
          <w:szCs w:val="20"/>
          <w:color w:val="auto"/>
        </w:rPr>
      </w:pPr>
    </w:p>
    <w:p>
      <w:pPr>
        <w:ind w:right="120" w:firstLine="1404"/>
        <w:spacing w:after="0" w:line="239" w:lineRule="auto"/>
        <w:rPr>
          <w:sz w:val="20"/>
          <w:szCs w:val="20"/>
          <w:color w:val="auto"/>
        </w:rPr>
      </w:pPr>
      <w:r>
        <w:rPr>
          <w:rFonts w:ascii="Arial" w:cs="Arial" w:eastAsia="Arial" w:hAnsi="Arial"/>
          <w:sz w:val="16"/>
          <w:szCs w:val="16"/>
          <w:color w:val="auto"/>
        </w:rPr>
        <w:t>(i)Pre-Approval. Each Rule 10b5-1 Trading Plan must be reviewed and pre-authorized by the General Counsel or his or her designee to ensure compliance with these requirements. Any amendments or modifications to an existing Rule 10b5 -1 Trading Plan, or any premature termination of a Rule 10b5-1 Trading Plan, must also be reviewed and pre-authorized by the General Counsel or his or her designee. Notwithstanding any review or pre-authorization of a Rule 10b5-1 Trading Plan, none of Ashland or its directors, officers, or other employees assume any liability for any trades made pursuant to such plan. Transactions entered into pursuant to a pre-approved Rule 10b5-1 Trading Plan will not require any further pre-approval at the time of the transaction (including pre-clearance for the Rule 10b5-1 Trading Plan transactions for persons subject to Section A of the Policy).</w:t>
      </w:r>
    </w:p>
    <w:p>
      <w:pPr>
        <w:spacing w:after="0" w:line="170" w:lineRule="exact"/>
        <w:rPr>
          <w:sz w:val="20"/>
          <w:szCs w:val="20"/>
          <w:color w:val="auto"/>
        </w:rPr>
      </w:pPr>
    </w:p>
    <w:p>
      <w:pPr>
        <w:ind w:right="160" w:firstLine="1404"/>
        <w:spacing w:after="0" w:line="248" w:lineRule="auto"/>
        <w:rPr>
          <w:sz w:val="20"/>
          <w:szCs w:val="20"/>
          <w:color w:val="auto"/>
        </w:rPr>
      </w:pPr>
      <w:r>
        <w:rPr>
          <w:rFonts w:ascii="Arial" w:cs="Arial" w:eastAsia="Arial" w:hAnsi="Arial"/>
          <w:sz w:val="16"/>
          <w:szCs w:val="16"/>
          <w:color w:val="auto"/>
        </w:rPr>
        <w:t>(ii)Certification. Each Rule 10b5-1 Trading Plan must include a representation certifying that, at the time of the adoption or modification of the plan, the person entering into such plan (A) is doing so in good faith and not as part of a plan or scheme to evade the prohibitions of Rule 10b-5 and (B) is not aware of any material non-public information concerning Ashland.</w:t>
      </w:r>
    </w:p>
    <w:p>
      <w:pPr>
        <w:spacing w:after="0" w:line="162" w:lineRule="exact"/>
        <w:rPr>
          <w:sz w:val="20"/>
          <w:szCs w:val="20"/>
          <w:color w:val="auto"/>
        </w:rPr>
      </w:pPr>
    </w:p>
    <w:p>
      <w:pPr>
        <w:ind w:right="60" w:firstLine="1404"/>
        <w:spacing w:after="0"/>
        <w:rPr>
          <w:sz w:val="20"/>
          <w:szCs w:val="20"/>
          <w:color w:val="auto"/>
        </w:rPr>
      </w:pPr>
      <w:r>
        <w:rPr>
          <w:rFonts w:ascii="Arial" w:cs="Arial" w:eastAsia="Arial" w:hAnsi="Arial"/>
          <w:sz w:val="16"/>
          <w:szCs w:val="16"/>
          <w:color w:val="auto"/>
        </w:rPr>
        <w:t>(iii)Plan Terms. Each Rule 10b5-1 Trading Plan must either (A) specify the amount, price, and dates of the trades or (B) provide a formula, algorithm, or computer program for determining the amount, price, and dates of the trades. Alternatively, the Covered Person may exclusively authorize a third party (such as a designated broker) to determine the timing, amount, and price of transactions under the Rule 10b5-1 Trading Plan, without any exercise of influence or control by the Covered Person. Until the expiration of the Rule 10b5-1 Trading Plan, communications between the Covered Person and such third party regarding the Rule 10b5-1 Trading Plan should be limited to information about transactions that have already been conducted by such third party.</w:t>
      </w:r>
    </w:p>
    <w:p>
      <w:pPr>
        <w:spacing w:after="0" w:line="168" w:lineRule="exact"/>
        <w:rPr>
          <w:sz w:val="20"/>
          <w:szCs w:val="20"/>
          <w:color w:val="auto"/>
        </w:rPr>
      </w:pPr>
    </w:p>
    <w:p>
      <w:pPr>
        <w:jc w:val="both"/>
        <w:ind w:right="20" w:firstLine="1404"/>
        <w:spacing w:after="0" w:line="244" w:lineRule="auto"/>
        <w:rPr>
          <w:sz w:val="20"/>
          <w:szCs w:val="20"/>
          <w:color w:val="auto"/>
        </w:rPr>
      </w:pPr>
      <w:r>
        <w:rPr>
          <w:rFonts w:ascii="Arial" w:cs="Arial" w:eastAsia="Arial" w:hAnsi="Arial"/>
          <w:sz w:val="16"/>
          <w:szCs w:val="16"/>
          <w:color w:val="auto"/>
        </w:rPr>
        <w:t>(iv)Cooling-Off Periods. The first transaction under a new Rule 10b5-1 Trading Plan may not begin until the expiration of a “cooling-off” period. For Section 16 Persons, the cooling-off period expires on the later of (A) ninety (90) days after the plan is adopted or modified and (B) two (2) business days following Ashland’s filing of its Form 10-Q or Form 10-K, as applicable, for the fiscal quarter in which the plan was adopted or modified, up to a maximum of one hundred twenty (120) days. For all other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891540</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25" w:name="page226"/>
    <w:bookmarkEnd w:id="225"/>
    <w:p>
      <w:pPr>
        <w:spacing w:after="0" w:line="27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Persons who enter into a Rule 10b5-1 Trading Plan, the cooling-off period shall be at least thirty (30) days from the date on which the plan was adopted or modified.</w:t>
      </w:r>
    </w:p>
    <w:p>
      <w:pPr>
        <w:spacing w:after="0" w:line="150" w:lineRule="exact"/>
        <w:rPr>
          <w:sz w:val="20"/>
          <w:szCs w:val="20"/>
          <w:color w:val="auto"/>
        </w:rPr>
      </w:pPr>
    </w:p>
    <w:p>
      <w:pPr>
        <w:ind w:right="140" w:firstLine="1404"/>
        <w:spacing w:after="0" w:line="248" w:lineRule="auto"/>
        <w:rPr>
          <w:sz w:val="20"/>
          <w:szCs w:val="20"/>
          <w:color w:val="auto"/>
        </w:rPr>
      </w:pPr>
      <w:r>
        <w:rPr>
          <w:rFonts w:ascii="Arial" w:cs="Arial" w:eastAsia="Arial" w:hAnsi="Arial"/>
          <w:sz w:val="16"/>
          <w:szCs w:val="16"/>
          <w:color w:val="auto"/>
        </w:rPr>
        <w:t>(v)Good Faith. All Covered Persons entering into a Rule 10b5- 1 Trading Plan must act in good faith with respect to that plan. This means that the person not only has an obligation to act in good faith in entering the Rule 10b5-1 Trading Plan but also an ongoing and continuous obligation to act good faith with respect to such plan.</w:t>
      </w:r>
    </w:p>
    <w:p>
      <w:pPr>
        <w:spacing w:after="0" w:line="160" w:lineRule="exact"/>
        <w:rPr>
          <w:sz w:val="20"/>
          <w:szCs w:val="20"/>
          <w:color w:val="auto"/>
        </w:rPr>
      </w:pPr>
    </w:p>
    <w:p>
      <w:pPr>
        <w:ind w:firstLine="696"/>
        <w:spacing w:after="0" w:line="265" w:lineRule="auto"/>
        <w:rPr>
          <w:sz w:val="20"/>
          <w:szCs w:val="20"/>
          <w:color w:val="auto"/>
        </w:rPr>
      </w:pPr>
      <w:r>
        <w:rPr>
          <w:rFonts w:ascii="Arial" w:cs="Arial" w:eastAsia="Arial" w:hAnsi="Arial"/>
          <w:sz w:val="16"/>
          <w:szCs w:val="16"/>
          <w:color w:val="auto"/>
        </w:rPr>
        <w:t>(c)</w:t>
      </w:r>
      <w:r>
        <w:rPr>
          <w:rFonts w:ascii="Arial" w:cs="Arial" w:eastAsia="Arial" w:hAnsi="Arial"/>
          <w:sz w:val="16"/>
          <w:szCs w:val="16"/>
          <w:b w:val="1"/>
          <w:bCs w:val="1"/>
          <w:color w:val="auto"/>
        </w:rPr>
        <w:t>Restrictions on Rule 10b5-1 Trading Plans</w:t>
      </w:r>
      <w:r>
        <w:rPr>
          <w:rFonts w:ascii="Arial" w:cs="Arial" w:eastAsia="Arial" w:hAnsi="Arial"/>
          <w:sz w:val="16"/>
          <w:szCs w:val="16"/>
          <w:color w:val="auto"/>
        </w:rPr>
        <w:t>. No Covered Person may enter into (i) multiple, overlapping Rule 10b5-1 Trading Plans or (ii) multiple Rule 10b5-1 Trading Plans within a consecutive twelve (12)-month period, each of which authorizes only a single transaction.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w:t>
      </w:r>
      <w:r>
        <w:rPr>
          <w:rFonts w:ascii="Arial" w:cs="Arial" w:eastAsia="Arial" w:hAnsi="Arial"/>
          <w:sz w:val="16"/>
          <w:szCs w:val="16"/>
          <w:b w:val="1"/>
          <w:bCs w:val="1"/>
          <w:color w:val="auto"/>
        </w:rPr>
        <w:t>NON-RULE 10B5-1 TRADING ARRANGEMENT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w:t>
      </w:r>
      <w:r>
        <w:rPr>
          <w:rFonts w:ascii="Arial" w:cs="Arial" w:eastAsia="Arial" w:hAnsi="Arial"/>
          <w:sz w:val="16"/>
          <w:szCs w:val="16"/>
          <w:b w:val="1"/>
          <w:bCs w:val="1"/>
          <w:color w:val="auto"/>
        </w:rPr>
        <w:t>Overview</w:t>
      </w:r>
      <w:r>
        <w:rPr>
          <w:rFonts w:ascii="Arial" w:cs="Arial" w:eastAsia="Arial" w:hAnsi="Arial"/>
          <w:sz w:val="16"/>
          <w:szCs w:val="16"/>
          <w:color w:val="auto"/>
        </w:rPr>
        <w:t>.</w:t>
      </w:r>
    </w:p>
    <w:p>
      <w:pPr>
        <w:spacing w:after="0" w:line="190" w:lineRule="exact"/>
        <w:rPr>
          <w:sz w:val="20"/>
          <w:szCs w:val="20"/>
          <w:color w:val="auto"/>
        </w:rPr>
      </w:pPr>
    </w:p>
    <w:p>
      <w:pPr>
        <w:ind w:right="180" w:firstLine="1404"/>
        <w:spacing w:after="0" w:line="247" w:lineRule="auto"/>
        <w:rPr>
          <w:sz w:val="20"/>
          <w:szCs w:val="20"/>
          <w:color w:val="auto"/>
        </w:rPr>
      </w:pPr>
      <w:r>
        <w:rPr>
          <w:rFonts w:ascii="Arial" w:cs="Arial" w:eastAsia="Arial" w:hAnsi="Arial"/>
          <w:sz w:val="16"/>
          <w:szCs w:val="16"/>
          <w:color w:val="auto"/>
        </w:rPr>
        <w:t>(i)Covered Persons may also enter into a written arrangement for the trading of Ashland securities pursuant to which the Covered Person asserts that such person entered into the trading arrangement at a time when such person was not aware of material non-public information about Ashland or its securities, but which does not otherwise comply with other requirements of Rule 10b5-1(c) (such as its cooling-off period requirements) (such an arrangement, a “</w:t>
      </w:r>
      <w:r>
        <w:rPr>
          <w:rFonts w:ascii="Arial" w:cs="Arial" w:eastAsia="Arial" w:hAnsi="Arial"/>
          <w:sz w:val="16"/>
          <w:szCs w:val="16"/>
          <w:b w:val="1"/>
          <w:bCs w:val="1"/>
          <w:color w:val="auto"/>
        </w:rPr>
        <w:t>Non-Rule 10b5-1 Trading Arrangement</w:t>
      </w:r>
      <w:r>
        <w:rPr>
          <w:rFonts w:ascii="Arial" w:cs="Arial" w:eastAsia="Arial" w:hAnsi="Arial"/>
          <w:sz w:val="16"/>
          <w:szCs w:val="16"/>
          <w:color w:val="auto"/>
        </w:rPr>
        <w:t>”).</w:t>
      </w:r>
    </w:p>
    <w:p>
      <w:pPr>
        <w:spacing w:after="0" w:line="155" w:lineRule="exact"/>
        <w:rPr>
          <w:sz w:val="20"/>
          <w:szCs w:val="20"/>
          <w:color w:val="auto"/>
        </w:rPr>
      </w:pPr>
    </w:p>
    <w:p>
      <w:pPr>
        <w:ind w:right="200" w:firstLine="1404"/>
        <w:spacing w:after="0" w:line="248" w:lineRule="auto"/>
        <w:rPr>
          <w:sz w:val="20"/>
          <w:szCs w:val="20"/>
          <w:color w:val="auto"/>
        </w:rPr>
      </w:pPr>
      <w:r>
        <w:rPr>
          <w:rFonts w:ascii="Arial" w:cs="Arial" w:eastAsia="Arial" w:hAnsi="Arial"/>
          <w:sz w:val="16"/>
          <w:szCs w:val="16"/>
          <w:color w:val="auto"/>
        </w:rPr>
        <w:t>(ii)A Non-Rule 10b5-1 Trading Arrangement does not provide an affirmative defense to insider trading, and while there are valid reasons why a Covered Person may desire or need to enter a Non-Rule 10b5-1 Trading Arrangement, Covered Persons are encouraged to enter into Rule 10b5-1 Trading Plans whenever possible.</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w:t>
      </w:r>
      <w:r>
        <w:rPr>
          <w:rFonts w:ascii="Arial" w:cs="Arial" w:eastAsia="Arial" w:hAnsi="Arial"/>
          <w:sz w:val="16"/>
          <w:szCs w:val="16"/>
          <w:b w:val="1"/>
          <w:bCs w:val="1"/>
          <w:color w:val="auto"/>
        </w:rPr>
        <w:t>Non-Rule 10b5-1 Trading Arrangement Requirements</w:t>
      </w:r>
      <w:r>
        <w:rPr>
          <w:rFonts w:ascii="Arial" w:cs="Arial" w:eastAsia="Arial" w:hAnsi="Arial"/>
          <w:sz w:val="16"/>
          <w:szCs w:val="16"/>
          <w:color w:val="auto"/>
        </w:rPr>
        <w:t>.</w:t>
      </w:r>
    </w:p>
    <w:p>
      <w:pPr>
        <w:spacing w:after="0" w:line="190" w:lineRule="exact"/>
        <w:rPr>
          <w:sz w:val="20"/>
          <w:szCs w:val="20"/>
          <w:color w:val="auto"/>
        </w:rPr>
      </w:pPr>
    </w:p>
    <w:p>
      <w:pPr>
        <w:ind w:right="80" w:firstLine="1404"/>
        <w:spacing w:after="0"/>
        <w:rPr>
          <w:sz w:val="20"/>
          <w:szCs w:val="20"/>
          <w:color w:val="auto"/>
        </w:rPr>
      </w:pPr>
      <w:r>
        <w:rPr>
          <w:rFonts w:ascii="Arial" w:cs="Arial" w:eastAsia="Arial" w:hAnsi="Arial"/>
          <w:sz w:val="16"/>
          <w:szCs w:val="16"/>
          <w:color w:val="auto"/>
        </w:rPr>
        <w:t>(i)Pre-Approval. Each Non-Rule 10b5-1 Trading Arrangement must be pre-approved by the General Counsel. Any amendments or modifications to an existing Non-Rule 10b5- 1 Trading Arrangement must also be pre-approved by the General Counsel. Notwithstanding any review or pre-approval of a Non- Rule 10b5-1 Trading Arrangement, none of Ashland or its directors, officers, or other employees assume any liability for any trades made pursuant to such arrangement. Transactions entered into pursuant to a pre-approved Non-Rule 10b5-1 Trading Arrangement will not require any further pre-approval at the time of the transaction (including pre-clearance for the Non-Rule 10b5-1 Trading Arrangement transactions for persons subject to Section A of the Policy).</w:t>
      </w:r>
    </w:p>
    <w:p>
      <w:pPr>
        <w:spacing w:after="0" w:line="168" w:lineRule="exact"/>
        <w:rPr>
          <w:sz w:val="20"/>
          <w:szCs w:val="20"/>
          <w:color w:val="auto"/>
        </w:rPr>
      </w:pPr>
    </w:p>
    <w:p>
      <w:pPr>
        <w:ind w:right="100" w:firstLine="1404"/>
        <w:spacing w:after="0" w:line="284" w:lineRule="auto"/>
        <w:rPr>
          <w:sz w:val="20"/>
          <w:szCs w:val="20"/>
          <w:color w:val="auto"/>
        </w:rPr>
      </w:pPr>
      <w:r>
        <w:rPr>
          <w:rFonts w:ascii="Arial" w:cs="Arial" w:eastAsia="Arial" w:hAnsi="Arial"/>
          <w:sz w:val="14"/>
          <w:szCs w:val="14"/>
          <w:color w:val="auto"/>
        </w:rPr>
        <w:t xml:space="preserve">(ii)Plan Terms. The Non-Rule 10b5-1 Trading Arrangement must (A) specify the amount of securities to be purchased or sold and the price at which and the date on which the securities are to be purchased or sold; (B) include a written formula or algorithm, or computer program, for determining the amount of securities to be purchased or sold and the price at which the securities are to be purchased or sold; or (C) not permit the Covered Person to exercise any subsequent influence over how, when, or whether to effect purchases or sales; </w:t>
      </w:r>
      <w:r>
        <w:rPr>
          <w:rFonts w:ascii="Arial" w:cs="Arial" w:eastAsia="Arial" w:hAnsi="Arial"/>
          <w:sz w:val="14"/>
          <w:szCs w:val="14"/>
          <w:i w:val="1"/>
          <w:iCs w:val="1"/>
          <w:color w:val="auto"/>
        </w:rPr>
        <w:t>provided</w:t>
      </w:r>
      <w:r>
        <w:rPr>
          <w:rFonts w:ascii="Arial" w:cs="Arial" w:eastAsia="Arial" w:hAnsi="Arial"/>
          <w:sz w:val="14"/>
          <w:szCs w:val="14"/>
          <w:color w:val="auto"/>
        </w:rPr>
        <w:t>, that any other person who, pursuant to the trading arrangement, does exercise such influence must not have been aware of any material non-public information when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875665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26" w:name="page227"/>
    <w:bookmarkEnd w:id="226"/>
    <w:p>
      <w:pPr>
        <w:ind w:left="9700"/>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 OF SUBSIDIARIES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Subsidiaries of Ashland Inc. (“Ashland”) at September 30, 2025, included the companies listed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Company</w:t>
            </w:r>
          </w:p>
        </w:tc>
        <w:tc>
          <w:tcPr>
            <w:tcW w:w="600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Jurisdiction of Incorporation</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565 Corporation</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 GH One Inc.</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 GH Switzerland GmbH</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 GP INC.</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 Junior Global Holding One LLC</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 Junior Global Holding Two LLC</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 Swiss Holding Two GmbH</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(Australasia) Pty. Limited</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(China) Holdings Co., Ltd.</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China, Peoples Republic of</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(Gibraltar) One Holding, Inc.</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(Thailand) Co., Ltd</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Thailand</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Argentina S.R.L.</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Argentina</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Canada Corp./Corporation Ashland Canada</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Province of Nova Scotia</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Canada Holdings B.V.</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Chemical De Mexico S.A. De C.V.</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Chemical Trading (Shanghai) Company Limited</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China, Peoples Republic of</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Chemicals (Nanjing) Company Limited</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China, Peoples Republic of</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Colombia S.A.S.</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Colombia</w:t>
            </w:r>
          </w:p>
        </w:tc>
        <w:tc>
          <w:tcPr>
            <w:tcW w:w="0" w:type="dxa"/>
            <w:vAlign w:val="bottom"/>
          </w:tcPr>
          <w:p>
            <w:pPr>
              <w:spacing w:after="0"/>
              <w:rPr>
                <w:sz w:val="1"/>
                <w:szCs w:val="1"/>
                <w:color w:val="auto"/>
              </w:rPr>
            </w:pPr>
          </w:p>
        </w:tc>
      </w:tr>
      <w:tr>
        <w:trPr>
          <w:trHeight w:val="227"/>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Ashland Comercio de Especialidades Quimicas do Brasil Ltda.</w:t>
            </w:r>
          </w:p>
        </w:tc>
        <w:tc>
          <w:tcPr>
            <w:tcW w:w="60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81"/>
        </w:trPr>
        <w:tc>
          <w:tcPr>
            <w:tcW w:w="45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Ashland CZ s.r.o.</w:t>
            </w:r>
          </w:p>
        </w:tc>
        <w:tc>
          <w:tcPr>
            <w:tcW w:w="6000" w:type="dxa"/>
            <w:vAlign w:val="bottom"/>
          </w:tcPr>
          <w:p>
            <w:pPr>
              <w:ind w:left="620"/>
              <w:spacing w:after="0" w:line="181" w:lineRule="exact"/>
              <w:rPr>
                <w:sz w:val="20"/>
                <w:szCs w:val="20"/>
                <w:color w:val="auto"/>
              </w:rPr>
            </w:pPr>
            <w:r>
              <w:rPr>
                <w:rFonts w:ascii="Times New Roman" w:cs="Times New Roman" w:eastAsia="Times New Roman" w:hAnsi="Times New Roman"/>
                <w:sz w:val="16"/>
                <w:szCs w:val="16"/>
                <w:color w:val="auto"/>
              </w:rPr>
              <w:t>Czech Republic</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Ethanol, Inc.</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Inc.</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India Private Limited</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India</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Industria de Ingredientes do Brasil Ltda.</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Industries Deutschland GmbH</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Industries Europe GmbH</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Industries France SAS</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Industries Italia S.r.l.</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Italy</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Ashland Industries Nederland B.V.</w:t>
            </w:r>
          </w:p>
        </w:tc>
        <w:tc>
          <w:tcPr>
            <w:tcW w:w="600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60"/>
        </w:trPr>
        <w:tc>
          <w:tcPr>
            <w:tcW w:w="4560" w:type="dxa"/>
            <w:vAlign w:val="bottom"/>
          </w:tcPr>
          <w:p>
            <w:pPr>
              <w:spacing w:after="0"/>
              <w:rPr>
                <w:sz w:val="5"/>
                <w:szCs w:val="5"/>
                <w:color w:val="auto"/>
              </w:rPr>
            </w:pPr>
          </w:p>
        </w:tc>
        <w:tc>
          <w:tcPr>
            <w:tcW w:w="6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Ashland Ingredients Poland Sp. z.o.o.</w:t>
            </w:r>
          </w:p>
        </w:tc>
        <w:tc>
          <w:tcPr>
            <w:tcW w:w="60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Poland</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International Receivables DAC</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Italia S.r.l.</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Italy</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Japan Ltd.</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Japan</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Licensing and Intellectual Property LLC</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Nigeria Exploration Unlimited</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Nigeria</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Oil (Nigeria) Company Unlimited</w:t>
            </w:r>
          </w:p>
        </w:tc>
        <w:tc>
          <w:tcPr>
            <w:tcW w:w="600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Nigeria</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Ashland Oil, Inc.</w:t>
            </w:r>
          </w:p>
        </w:tc>
        <w:tc>
          <w:tcPr>
            <w:tcW w:w="60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Kentucky</w:t>
            </w:r>
          </w:p>
        </w:tc>
        <w:tc>
          <w:tcPr>
            <w:tcW w:w="0" w:type="dxa"/>
            <w:vAlign w:val="bottom"/>
          </w:tcPr>
          <w:p>
            <w:pPr>
              <w:spacing w:after="0"/>
              <w:rPr>
                <w:sz w:val="1"/>
                <w:szCs w:val="1"/>
                <w:color w:val="auto"/>
              </w:rPr>
            </w:pPr>
          </w:p>
        </w:tc>
      </w:tr>
      <w:tr>
        <w:trPr>
          <w:trHeight w:val="890"/>
        </w:trPr>
        <w:tc>
          <w:tcPr>
            <w:tcW w:w="4560" w:type="dxa"/>
            <w:vAlign w:val="bottom"/>
            <w:tcBorders>
              <w:bottom w:val="single" w:sz="8" w:color="EEEEEE"/>
            </w:tcBorders>
          </w:tcPr>
          <w:p>
            <w:pPr>
              <w:spacing w:after="0"/>
              <w:rPr>
                <w:sz w:val="24"/>
                <w:szCs w:val="24"/>
                <w:color w:val="auto"/>
              </w:rPr>
            </w:pPr>
          </w:p>
        </w:tc>
        <w:tc>
          <w:tcPr>
            <w:tcW w:w="60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84"/>
        </w:trPr>
        <w:tc>
          <w:tcPr>
            <w:tcW w:w="43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Company</w:t>
            </w:r>
          </w:p>
        </w:tc>
        <w:tc>
          <w:tcPr>
            <w:tcW w:w="622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Jurisdiction of Incorporation</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Services B.V.</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Netherlands</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Singapore Pte. Ltd.</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Singapore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Spain Real Estate Holdings, S.L.</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Spain</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Specialties Austria GmbH</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Austria</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Specialties Belgium BVBA</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Belgium</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Specialties Deutschland GmbH</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Germany</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Specialties France S.a.r.l.</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France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Specialties Hispania S.L.</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Spain</w:t>
            </w: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Ashland Specialties Ireland Limited</w:t>
            </w:r>
          </w:p>
        </w:tc>
        <w:tc>
          <w:tcPr>
            <w:tcW w:w="622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Ireland</w:t>
            </w:r>
          </w:p>
        </w:tc>
      </w:tr>
      <w:tr>
        <w:trPr>
          <w:trHeight w:val="19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Ashland Specialties (Shanghai) Co. Ltd</w:t>
            </w:r>
          </w:p>
        </w:tc>
        <w:tc>
          <w:tcPr>
            <w:tcW w:w="622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China, Peoples Republic of</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Specialties Sverige AB</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Sweden</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Specialties UK Limited</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United Kingdom</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Specialty Chemical (Singapore) PTE LTD</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Singapore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Specialty Chemicals Commerce Limited</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Turkey</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Specialty Chemical Korea Co., Ltd.</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Korea, Republic of</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Specialty Chemicals (Malaysia) SDN BHD</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Malaysia</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Ashland Specialty Ingredients G.P.</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Ashmont Insurance Company, Inc.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Vermont</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Ashprop Two LLC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Avoca LLC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North Carolina</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Belleville Realty Corp.</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Blazer Properties LLC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Bluegrass Insurance Company Limited</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Bermuda</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CLTA LLC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Curtis Bay Insurance Co. Ltd</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Bermuda</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CVG Capital III LLC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East Bay Realty Services, Inc.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FJR, Inc.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Georgia</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Hercofina</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Hercules Holding BVBA</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Belgium</w:t>
            </w:r>
          </w:p>
        </w:tc>
      </w:tr>
      <w:tr>
        <w:trPr>
          <w:trHeight w:val="215"/>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Hercules Hydrocarbon Holdings, Inc.</w:t>
            </w:r>
          </w:p>
        </w:tc>
        <w:tc>
          <w:tcPr>
            <w:tcW w:w="622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r>
      <w:tr>
        <w:trPr>
          <w:trHeight w:val="181"/>
        </w:trPr>
        <w:tc>
          <w:tcPr>
            <w:tcW w:w="43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Hercules International Limited, LLC</w:t>
            </w:r>
          </w:p>
        </w:tc>
        <w:tc>
          <w:tcPr>
            <w:tcW w:w="6220" w:type="dxa"/>
            <w:vAlign w:val="bottom"/>
          </w:tcPr>
          <w:p>
            <w:pPr>
              <w:ind w:left="840"/>
              <w:spacing w:after="0" w:line="181"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Hercules Investment ApS</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Denmark</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Hercules Investments Netherlands B.V.</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Netherlands</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Hercules Islands Corporation</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Virgin Islands (US)</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Hercules LLC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Hercules Paper Holdings, Inc.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International Specialty Holdings LLC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International Specialty Products (India) Private Limited</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India</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International Specialty Products Funding Corporation</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International Specialty Products Inc.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Alginates Inc.</w:t>
            </w:r>
          </w:p>
        </w:tc>
        <w:tc>
          <w:tcPr>
            <w:tcW w:w="622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ISP Capital LLC</w:t>
            </w:r>
          </w:p>
        </w:tc>
        <w:tc>
          <w:tcPr>
            <w:tcW w:w="622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Delaware</w:t>
            </w:r>
          </w:p>
        </w:tc>
      </w:tr>
      <w:tr>
        <w:trPr>
          <w:trHeight w:val="890"/>
        </w:trPr>
        <w:tc>
          <w:tcPr>
            <w:tcW w:w="4340" w:type="dxa"/>
            <w:vAlign w:val="bottom"/>
            <w:tcBorders>
              <w:bottom w:val="single" w:sz="8" w:color="EEEEEE"/>
            </w:tcBorders>
          </w:tcPr>
          <w:p>
            <w:pPr>
              <w:spacing w:after="0"/>
              <w:rPr>
                <w:sz w:val="24"/>
                <w:szCs w:val="24"/>
                <w:color w:val="auto"/>
              </w:rPr>
            </w:pPr>
          </w:p>
        </w:tc>
        <w:tc>
          <w:tcPr>
            <w:tcW w:w="62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9" w:right="680"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184"/>
        </w:trPr>
        <w:tc>
          <w:tcPr>
            <w:tcW w:w="468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Company</w:t>
            </w:r>
          </w:p>
        </w:tc>
        <w:tc>
          <w:tcPr>
            <w:tcW w:w="58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Jurisdiction of Incorporation</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Chemco LLC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Chemical Products LLC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Chemicals LLC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Environmental Services Inc.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France Holding SARL</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ISP Freetown Fine Chemicals Inc.</w:t>
            </w:r>
          </w:p>
        </w:tc>
        <w:tc>
          <w:tcPr>
            <w:tcW w:w="58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5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ISP Freight Services N.V.</w:t>
            </w:r>
          </w:p>
        </w:tc>
        <w:tc>
          <w:tcPr>
            <w:tcW w:w="5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Belgium</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Global Technologies Deutschland Unterstutzungskasse GmbH</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Global Technologies Inc.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ISP Global Technologies LLC</w:t>
            </w:r>
          </w:p>
        </w:tc>
        <w:tc>
          <w:tcPr>
            <w:tcW w:w="5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ISP Holdings (U.K.) Ltd.</w:t>
            </w:r>
          </w:p>
        </w:tc>
        <w:tc>
          <w:tcPr>
            <w:tcW w:w="5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International Corp.</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Investments LLC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Lima LLC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Management Company, Inc.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Microcaps (U.K.) Limited</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ISP Pharma Systems LLC</w:t>
            </w:r>
          </w:p>
        </w:tc>
        <w:tc>
          <w:tcPr>
            <w:tcW w:w="5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Real Estate Company, Inc.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Singapore Holding LLC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Technologies Inc.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ISP Technologies LLC</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Pakistan Gum Industries (Private) Limited</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Pakistan</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PT. Ashland Specialty Chemicals Indonesia</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Indonesia</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Shanghai Ashland Chemical Technology Development Co., Ltd.</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China, Peoples Republic of</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Taiwan Ashland Co., Ltd.</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Taiwan</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Tamaulipas Property Holdings S. de R.L. de C.V.</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Techwax Limited</w:t>
            </w:r>
          </w:p>
        </w:tc>
        <w:tc>
          <w:tcPr>
            <w:tcW w:w="5880" w:type="dxa"/>
            <w:vAlign w:val="bottom"/>
          </w:tcPr>
          <w:p>
            <w:pPr>
              <w:ind w:left="500"/>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WSP LLC</w:t>
            </w:r>
          </w:p>
        </w:tc>
        <w:tc>
          <w:tcPr>
            <w:tcW w:w="5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50"/>
        </w:trPr>
        <w:tc>
          <w:tcPr>
            <w:tcW w:w="4680" w:type="dxa"/>
            <w:vAlign w:val="bottom"/>
            <w:tcBorders>
              <w:bottom w:val="single" w:sz="8" w:color="EEEEEE"/>
            </w:tcBorders>
          </w:tcPr>
          <w:p>
            <w:pPr>
              <w:spacing w:after="0"/>
              <w:rPr>
                <w:sz w:val="24"/>
                <w:szCs w:val="24"/>
                <w:color w:val="auto"/>
              </w:rPr>
            </w:pPr>
          </w:p>
        </w:tc>
        <w:tc>
          <w:tcPr>
            <w:tcW w:w="58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9" w:right="680"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1.Registration Statement on Form S-8 (No. 333-131792-01) pertaining to the 2006 Ashland Inc. Incentive Plan,</w:t>
      </w:r>
    </w:p>
    <w:p>
      <w:pPr>
        <w:spacing w:after="0" w:line="27" w:lineRule="exact"/>
        <w:rPr>
          <w:sz w:val="20"/>
          <w:szCs w:val="20"/>
          <w:color w:val="auto"/>
        </w:rPr>
      </w:pPr>
    </w:p>
    <w:p>
      <w:pPr>
        <w:ind w:left="360" w:right="300"/>
        <w:spacing w:after="0" w:line="250" w:lineRule="auto"/>
        <w:rPr>
          <w:sz w:val="20"/>
          <w:szCs w:val="20"/>
          <w:color w:val="auto"/>
        </w:rPr>
      </w:pPr>
      <w:r>
        <w:rPr>
          <w:rFonts w:ascii="Times New Roman" w:cs="Times New Roman" w:eastAsia="Times New Roman" w:hAnsi="Times New Roman"/>
          <w:sz w:val="18"/>
          <w:szCs w:val="18"/>
          <w:color w:val="auto"/>
        </w:rPr>
        <w:t>2.Registration Statements on Form S-8 (Nos. 333-172019-01 and 333-186408-01) pertaining to the Amended and Restated 2011 Ashland Inc. Incentive Plan,</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3.Registration Statement on Form S-8 (No. 333-201895-01) pertaining to the Amended and Restated 2015 Ashland Inc. Incentive Plan,</w:t>
      </w:r>
    </w:p>
    <w:p>
      <w:pPr>
        <w:spacing w:after="0" w:line="9" w:lineRule="exact"/>
        <w:rPr>
          <w:sz w:val="20"/>
          <w:szCs w:val="20"/>
          <w:color w:val="auto"/>
        </w:rPr>
      </w:pPr>
    </w:p>
    <w:p>
      <w:pPr>
        <w:ind w:left="360" w:right="880"/>
        <w:spacing w:after="0" w:line="250" w:lineRule="auto"/>
        <w:rPr>
          <w:sz w:val="20"/>
          <w:szCs w:val="20"/>
          <w:color w:val="auto"/>
        </w:rPr>
      </w:pPr>
      <w:r>
        <w:rPr>
          <w:rFonts w:ascii="Times New Roman" w:cs="Times New Roman" w:eastAsia="Times New Roman" w:hAnsi="Times New Roman"/>
          <w:sz w:val="18"/>
          <w:szCs w:val="18"/>
          <w:color w:val="auto"/>
        </w:rPr>
        <w:t>4.Registration Statement on Form S-8 (No. 333-253296) pertaining to the Ashland Global Holdings Inc. 2021 Omnibus Incentive Compensation Plan,</w:t>
      </w:r>
    </w:p>
    <w:p>
      <w:pPr>
        <w:spacing w:after="0" w:line="1" w:lineRule="exact"/>
        <w:rPr>
          <w:sz w:val="20"/>
          <w:szCs w:val="20"/>
          <w:color w:val="auto"/>
        </w:rPr>
      </w:pPr>
    </w:p>
    <w:p>
      <w:pPr>
        <w:ind w:left="360" w:right="880"/>
        <w:spacing w:after="0" w:line="250" w:lineRule="auto"/>
        <w:rPr>
          <w:sz w:val="20"/>
          <w:szCs w:val="20"/>
          <w:color w:val="auto"/>
        </w:rPr>
      </w:pPr>
      <w:r>
        <w:rPr>
          <w:rFonts w:ascii="Times New Roman" w:cs="Times New Roman" w:eastAsia="Times New Roman" w:hAnsi="Times New Roman"/>
          <w:sz w:val="18"/>
          <w:szCs w:val="18"/>
          <w:color w:val="auto"/>
        </w:rPr>
        <w:t>5.Registration Statement on Form S-8 (No. 333-222841) pertaining to the Ashland Global Holdings Inc. 2021 Omnibus Incentive Compensation Plan and the Ashland Global Holdings Inc. 2018 Omnibus Incentive Compensation Plan,</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6.Registration Statement on Form S-8 (No. 33-62091-01) pertaining to the Ashland Inc. Deferred Compensation Plan,</w:t>
      </w:r>
    </w:p>
    <w:p>
      <w:pPr>
        <w:spacing w:after="0" w:line="9" w:lineRule="exact"/>
        <w:rPr>
          <w:sz w:val="20"/>
          <w:szCs w:val="20"/>
          <w:color w:val="auto"/>
        </w:rPr>
      </w:pPr>
    </w:p>
    <w:p>
      <w:pPr>
        <w:ind w:left="360" w:right="360"/>
        <w:spacing w:after="0" w:line="265" w:lineRule="auto"/>
        <w:rPr>
          <w:sz w:val="20"/>
          <w:szCs w:val="20"/>
          <w:color w:val="auto"/>
        </w:rPr>
      </w:pPr>
      <w:r>
        <w:rPr>
          <w:rFonts w:ascii="Times New Roman" w:cs="Times New Roman" w:eastAsia="Times New Roman" w:hAnsi="Times New Roman"/>
          <w:sz w:val="17"/>
          <w:szCs w:val="17"/>
          <w:color w:val="auto"/>
        </w:rPr>
        <w:t>7.Registration Statement on Form S-8 (No. 33-52125-01) pertaining to the Ashland Inc. Deferred Compensation Plan for Non-Employee Directors (Formerly known as Ashland Oil, Inc. Deferred Compensation and Stock Incentive Plan for Non-Employee Directors),</w:t>
      </w:r>
    </w:p>
    <w:p>
      <w:pPr>
        <w:ind w:left="360"/>
        <w:spacing w:after="0"/>
        <w:rPr>
          <w:sz w:val="20"/>
          <w:szCs w:val="20"/>
          <w:color w:val="auto"/>
        </w:rPr>
      </w:pPr>
      <w:r>
        <w:rPr>
          <w:rFonts w:ascii="Times New Roman" w:cs="Times New Roman" w:eastAsia="Times New Roman" w:hAnsi="Times New Roman"/>
          <w:sz w:val="18"/>
          <w:szCs w:val="18"/>
          <w:color w:val="auto"/>
        </w:rPr>
        <w:t>8.Registration Statement on Form S-8 (No. 333-122269-01) pertaining to the Ashland Inc. Deferred Compensation Plan for Employees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(2005),</w:t>
      </w:r>
    </w:p>
    <w:p>
      <w:pPr>
        <w:spacing w:after="0" w:line="9" w:lineRule="exact"/>
        <w:rPr>
          <w:sz w:val="20"/>
          <w:szCs w:val="20"/>
          <w:color w:val="auto"/>
        </w:rPr>
      </w:pPr>
    </w:p>
    <w:p>
      <w:pPr>
        <w:ind w:left="360" w:right="180"/>
        <w:spacing w:after="0" w:line="250" w:lineRule="auto"/>
        <w:rPr>
          <w:sz w:val="20"/>
          <w:szCs w:val="20"/>
          <w:color w:val="auto"/>
        </w:rPr>
      </w:pPr>
      <w:r>
        <w:rPr>
          <w:rFonts w:ascii="Times New Roman" w:cs="Times New Roman" w:eastAsia="Times New Roman" w:hAnsi="Times New Roman"/>
          <w:sz w:val="18"/>
          <w:szCs w:val="18"/>
          <w:color w:val="auto"/>
        </w:rPr>
        <w:t>9.Registration Statement on Form S-8 (No. 333-122270-01) pertaining to the Ashland Inc. Deferred Compensation Plan for Non-Employee Directors (2005),</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10.Registration Statements on Form S-8 (Nos. 33-32612-100, and 333-157040-01) pertaining to the Ashland Employee Savings Plan,</w:t>
      </w:r>
    </w:p>
    <w:p>
      <w:pPr>
        <w:spacing w:after="0" w:line="9" w:lineRule="exact"/>
        <w:rPr>
          <w:sz w:val="20"/>
          <w:szCs w:val="20"/>
          <w:color w:val="auto"/>
        </w:rPr>
      </w:pPr>
    </w:p>
    <w:p>
      <w:pPr>
        <w:ind w:left="360" w:right="180"/>
        <w:spacing w:after="0" w:line="250" w:lineRule="auto"/>
        <w:rPr>
          <w:sz w:val="20"/>
          <w:szCs w:val="20"/>
          <w:color w:val="auto"/>
        </w:rPr>
      </w:pPr>
      <w:r>
        <w:rPr>
          <w:rFonts w:ascii="Times New Roman" w:cs="Times New Roman" w:eastAsia="Times New Roman" w:hAnsi="Times New Roman"/>
          <w:sz w:val="18"/>
          <w:szCs w:val="18"/>
          <w:color w:val="auto"/>
        </w:rPr>
        <w:t>11.Registration Statement on Form S-8 (No. 333-155396-01) pertaining to the Ashland Union Employee Savings Plan (Formerly known as the Hercules Incorporated Savings and Investment Plan),</w:t>
      </w:r>
    </w:p>
    <w:p>
      <w:pPr>
        <w:spacing w:after="0" w:line="1" w:lineRule="exact"/>
        <w:rPr>
          <w:sz w:val="20"/>
          <w:szCs w:val="20"/>
          <w:color w:val="auto"/>
        </w:rPr>
      </w:pPr>
    </w:p>
    <w:p>
      <w:pPr>
        <w:ind w:left="360" w:right="400"/>
        <w:spacing w:after="0" w:line="250" w:lineRule="auto"/>
        <w:rPr>
          <w:sz w:val="20"/>
          <w:szCs w:val="20"/>
          <w:color w:val="auto"/>
        </w:rPr>
      </w:pPr>
      <w:r>
        <w:rPr>
          <w:rFonts w:ascii="Times New Roman" w:cs="Times New Roman" w:eastAsia="Times New Roman" w:hAnsi="Times New Roman"/>
          <w:sz w:val="18"/>
          <w:szCs w:val="18"/>
          <w:color w:val="auto"/>
        </w:rPr>
        <w:t>12.Registration Statement on Form S-8 (No. 333-184109-01) pertaining to the Ashland Inc. International Specialty Products Inc. 401(k) Plan,</w:t>
      </w:r>
    </w:p>
    <w:p>
      <w:pPr>
        <w:spacing w:after="0" w:line="1" w:lineRule="exact"/>
        <w:rPr>
          <w:sz w:val="20"/>
          <w:szCs w:val="20"/>
          <w:color w:val="auto"/>
        </w:rPr>
      </w:pPr>
    </w:p>
    <w:p>
      <w:pPr>
        <w:ind w:left="360" w:right="120"/>
        <w:spacing w:after="0" w:line="250" w:lineRule="auto"/>
        <w:rPr>
          <w:sz w:val="20"/>
          <w:szCs w:val="20"/>
          <w:color w:val="auto"/>
        </w:rPr>
      </w:pPr>
      <w:r>
        <w:rPr>
          <w:rFonts w:ascii="Times New Roman" w:cs="Times New Roman" w:eastAsia="Times New Roman" w:hAnsi="Times New Roman"/>
          <w:sz w:val="18"/>
          <w:szCs w:val="18"/>
          <w:color w:val="auto"/>
        </w:rPr>
        <w:t>13.Registration Statement on Form S-8 (No. 333-203840-01) pertaining to the Ashland Inc. Employee Savings Plan, International Specialty Products Inc. 401(k) Plan, and Ashland Inc. Union Employee Savings Plan,</w:t>
      </w:r>
    </w:p>
    <w:p>
      <w:pPr>
        <w:spacing w:after="0" w:line="1"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14.Registration Statement on Form S-8 (No. 333-215077) pertaining to the Amended and Restated Ashland Inc. Deferred Compensation Plan for Employees (2005) and the Amended and Restated Ashland Inc. Deferred Compensation Plan for Non-Employee Directors (2005);</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of our reports dated November 20, 2025, with respect to the consolidated financial statements of Ashland Inc. and Consolidated Subsidiaries and the effectiveness of internal control over financial reporting of Ashland Inc. and Consolidated Subsidiaries included in this Annual Report (Form 10-K) of Ashland Inc. for the year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530225</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230" w:name="page231"/>
    <w:bookmarkEnd w:id="230"/>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23.2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CONSENT OF GNARUS ADVISORS LLC</w:t>
      </w:r>
    </w:p>
    <w:p>
      <w:pPr>
        <w:spacing w:after="0" w:line="190"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9"/>
          <w:szCs w:val="19"/>
          <w:color w:val="auto"/>
        </w:rPr>
        <w:t>We hereby consent to being named in Ashland Inc.’s Annual Report on Form 10-K for the year ended September 30, 2025 in the form and context in which we are named. We do not authorize or cause the filing of such Annual Report and do not make or purport to make any statement other than as reflected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Jessica B. Horewitz</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Gnarus Advisors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1108075</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1" w:name="page232"/>
    <w:bookmarkEnd w:id="231"/>
    <w:p>
      <w:pPr>
        <w:ind w:left="9560"/>
        <w:spacing w:after="0"/>
        <w:rPr>
          <w:sz w:val="20"/>
          <w:szCs w:val="20"/>
          <w:color w:val="auto"/>
        </w:rPr>
      </w:pPr>
      <w:r>
        <w:rPr>
          <w:rFonts w:ascii="Times New Roman" w:cs="Times New Roman" w:eastAsia="Times New Roman" w:hAnsi="Times New Roman"/>
          <w:sz w:val="19"/>
          <w:szCs w:val="19"/>
          <w:color w:val="auto"/>
        </w:rPr>
        <w:t>EXHIBIT 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68"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9"/>
          <w:szCs w:val="19"/>
          <w:color w:val="auto"/>
        </w:rPr>
        <w:t>Each of the undersigned Directors and Officers of ASHLAND INC., a Delaware corporation (the “Corporation”), which anticipates filing an Annual Report on Form 10-K with the Securities and Exchange Commission, under the provisions of the Securities Act of 1933, as amended, hereby constitute and appoint GUILLERMO NOVO and ROBIN LAMPKIN, and each of them, his or her true and lawful attorneys-in -fact and agents, with full power to act without the others to sign and file such Annual Report and the exhibits thereto and any and all other documents in connection therewith, and any such amendments thereto, with the Securities and Exchange Commission, and to do and perform any and all acts and things requisite and necessary to be done in connection with the foregoing as fully as he or she might or could do in person, hereby ratifying and confirming all that said attorneys-in-fact and agents, or any of them, may lawfully do or cause to be done by virtue 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November 20, 2025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/s/ Guillermo Novo</w:t>
            </w:r>
          </w:p>
        </w:tc>
        <w:tc>
          <w:tcPr>
            <w:tcW w:w="106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Suzan F. Harrison</w:t>
            </w: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Guillermo Novo, Chair of the Board</w:t>
            </w:r>
          </w:p>
        </w:tc>
        <w:tc>
          <w:tcPr>
            <w:tcW w:w="106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Suzan F. Harrison, Director</w:t>
            </w: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and Chief Executive Officer</w:t>
            </w:r>
          </w:p>
        </w:tc>
        <w:tc>
          <w:tcPr>
            <w:tcW w:w="10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1"/>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(Principal Executive Officer)</w:t>
            </w:r>
          </w:p>
        </w:tc>
        <w:tc>
          <w:tcPr>
            <w:tcW w:w="10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613"/>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/s/ William C. Whitaker</w:t>
            </w:r>
          </w:p>
        </w:tc>
        <w:tc>
          <w:tcPr>
            <w:tcW w:w="10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Ashish K. Kulkarni</w:t>
            </w: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William C. Whitaker, Senior Vice President and Chief</w:t>
            </w:r>
          </w:p>
        </w:tc>
        <w:tc>
          <w:tcPr>
            <w:tcW w:w="106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Ashish K. Kulkarni, Director</w:t>
            </w: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Financial Officer</w:t>
            </w:r>
          </w:p>
        </w:tc>
        <w:tc>
          <w:tcPr>
            <w:tcW w:w="10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1"/>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(Principal Financial Officer)</w:t>
            </w:r>
          </w:p>
        </w:tc>
        <w:tc>
          <w:tcPr>
            <w:tcW w:w="10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637"/>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/s/ Samuel A. Richardson</w:t>
            </w:r>
          </w:p>
        </w:tc>
        <w:tc>
          <w:tcPr>
            <w:tcW w:w="10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Susan L. Main</w:t>
            </w: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Samuel A. Richardson, Vice President and Controller</w:t>
            </w:r>
          </w:p>
        </w:tc>
        <w:tc>
          <w:tcPr>
            <w:tcW w:w="106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Susan L. Main, Director</w:t>
            </w:r>
          </w:p>
        </w:tc>
      </w:tr>
      <w:tr>
        <w:trPr>
          <w:trHeight w:val="251"/>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(Principal Accounting Officer)</w:t>
            </w:r>
          </w:p>
        </w:tc>
        <w:tc>
          <w:tcPr>
            <w:tcW w:w="10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756"/>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/s/ Steven D. Bishop</w:t>
            </w:r>
          </w:p>
        </w:tc>
        <w:tc>
          <w:tcPr>
            <w:tcW w:w="10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Jerome A. Peribere</w:t>
            </w:r>
          </w:p>
        </w:tc>
      </w:tr>
      <w:tr>
        <w:trPr>
          <w:trHeight w:val="245"/>
        </w:trPr>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Steven D. Bishop, Director</w:t>
            </w:r>
          </w:p>
        </w:tc>
        <w:tc>
          <w:tcPr>
            <w:tcW w:w="1060" w:type="dxa"/>
            <w:vAlign w:val="bottom"/>
          </w:tcPr>
          <w:p>
            <w:pPr>
              <w:spacing w:after="0"/>
              <w:rPr>
                <w:sz w:val="21"/>
                <w:szCs w:val="21"/>
                <w:color w:val="auto"/>
              </w:rPr>
            </w:pPr>
          </w:p>
        </w:tc>
        <w:tc>
          <w:tcPr>
            <w:tcW w:w="4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Jerome A. Peribere, Director</w:t>
            </w:r>
          </w:p>
        </w:tc>
        <w:tc>
          <w:tcPr>
            <w:tcW w:w="300" w:type="dxa"/>
            <w:vAlign w:val="bottom"/>
          </w:tcPr>
          <w:p>
            <w:pPr>
              <w:spacing w:after="0"/>
              <w:rPr>
                <w:sz w:val="21"/>
                <w:szCs w:val="21"/>
                <w:color w:val="auto"/>
              </w:rPr>
            </w:pPr>
          </w:p>
        </w:tc>
      </w:tr>
      <w:tr>
        <w:trPr>
          <w:trHeight w:val="780"/>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/s/ Sanat Chattopadhyay</w:t>
            </w:r>
          </w:p>
        </w:tc>
        <w:tc>
          <w:tcPr>
            <w:tcW w:w="10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Scott A. Tozier</w:t>
            </w:r>
          </w:p>
        </w:tc>
      </w:tr>
      <w:tr>
        <w:trPr>
          <w:trHeight w:val="251"/>
        </w:trPr>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Sanat Chattopadhyay, Director</w:t>
            </w:r>
          </w:p>
        </w:tc>
        <w:tc>
          <w:tcPr>
            <w:tcW w:w="106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Scott A. Tozier, Director</w:t>
            </w:r>
          </w:p>
        </w:tc>
      </w:tr>
      <w:tr>
        <w:trPr>
          <w:trHeight w:val="1899"/>
        </w:trPr>
        <w:tc>
          <w:tcPr>
            <w:tcW w:w="45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46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3" w:right="680" w:bottom="1440" w:gutter="0" w:footer="0" w:header="0"/>
        </w:sectPr>
      </w:pPr>
    </w:p>
    <w:bookmarkStart w:id="232" w:name="page233"/>
    <w:bookmarkEnd w:id="232"/>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Guillermo Novo, certify that:</w:t>
      </w:r>
    </w:p>
    <w:p>
      <w:pPr>
        <w:spacing w:after="0" w:line="333" w:lineRule="exact"/>
        <w:rPr>
          <w:sz w:val="20"/>
          <w:szCs w:val="20"/>
          <w:color w:val="auto"/>
        </w:rPr>
      </w:pPr>
    </w:p>
    <w:p>
      <w:pPr>
        <w:ind w:left="280" w:hanging="274"/>
        <w:spacing w:after="0"/>
        <w:tabs>
          <w:tab w:leader="none" w:pos="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Ashland Inc.;</w:t>
      </w:r>
    </w:p>
    <w:p>
      <w:pPr>
        <w:spacing w:after="0" w:line="93" w:lineRule="exact"/>
        <w:rPr>
          <w:rFonts w:ascii="Times New Roman" w:cs="Times New Roman" w:eastAsia="Times New Roman" w:hAnsi="Times New Roman"/>
          <w:sz w:val="18"/>
          <w:szCs w:val="18"/>
          <w:color w:val="auto"/>
        </w:rPr>
      </w:pPr>
    </w:p>
    <w:p>
      <w:pPr>
        <w:jc w:val="both"/>
        <w:ind w:left="280" w:right="80" w:hanging="274"/>
        <w:spacing w:after="0" w:line="266" w:lineRule="auto"/>
        <w:tabs>
          <w:tab w:leader="none" w:pos="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8"/>
          <w:szCs w:val="18"/>
          <w:color w:val="auto"/>
        </w:rPr>
      </w:pPr>
    </w:p>
    <w:p>
      <w:pPr>
        <w:ind w:left="280" w:right="60" w:hanging="274"/>
        <w:spacing w:after="0" w:line="282" w:lineRule="auto"/>
        <w:tabs>
          <w:tab w:leader="none" w:pos="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Times New Roman" w:cs="Times New Roman" w:eastAsia="Times New Roman" w:hAnsi="Times New Roman"/>
          <w:sz w:val="18"/>
          <w:szCs w:val="18"/>
          <w:color w:val="auto"/>
        </w:rPr>
      </w:pPr>
    </w:p>
    <w:p>
      <w:pPr>
        <w:ind w:left="280" w:hanging="274"/>
        <w:spacing w:after="0" w:line="276" w:lineRule="auto"/>
        <w:tabs>
          <w:tab w:leader="none" w:pos="2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ind w:left="600" w:right="140"/>
        <w:spacing w:after="0" w:line="257"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sz w:val="20"/>
          <w:szCs w:val="20"/>
          <w:color w:val="auto"/>
        </w:rPr>
      </w:pPr>
    </w:p>
    <w:p>
      <w:pPr>
        <w:jc w:val="both"/>
        <w:ind w:left="600" w:right="20"/>
        <w:spacing w:after="0" w:line="250"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0" w:right="80"/>
        <w:spacing w:after="0" w:line="253"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 xml:space="preserve">effectiveness of the disclosure controls and procedures, as of the end of the period covered by this report based on such evaluation; and </w:t>
      </w:r>
      <w:r>
        <w:rPr>
          <w:rFonts w:ascii="Times New Roman" w:cs="Times New Roman" w:eastAsia="Times New Roman" w:hAnsi="Times New Roman"/>
          <w:sz w:val="15"/>
          <w:szCs w:val="15"/>
          <w:color w:val="auto"/>
        </w:rPr>
        <w:t>d.</w:t>
      </w: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822960</wp:posOffset>
            </wp:positionV>
            <wp:extent cx="673290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3" w:name="page234"/>
    <w:bookmarkEnd w:id="233"/>
    <w:p>
      <w:pPr>
        <w:spacing w:after="0" w:line="294" w:lineRule="exact"/>
        <w:rPr>
          <w:sz w:val="20"/>
          <w:szCs w:val="20"/>
          <w:color w:val="auto"/>
        </w:rPr>
      </w:pPr>
    </w:p>
    <w:p>
      <w:pPr>
        <w:ind w:left="280" w:right="80" w:hanging="274"/>
        <w:spacing w:after="0" w:line="313" w:lineRule="auto"/>
        <w:tabs>
          <w:tab w:leader="none" w:pos="2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7"/>
          <w:szCs w:val="17"/>
          <w:color w:val="auto"/>
        </w:rPr>
      </w:pPr>
    </w:p>
    <w:p>
      <w:pPr>
        <w:ind w:left="580" w:right="280" w:firstLine="2"/>
        <w:spacing w:after="0" w:line="261" w:lineRule="auto"/>
        <w:tabs>
          <w:tab w:leader="none" w:pos="733"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8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2025</w:t>
      </w:r>
    </w:p>
    <w:p>
      <w:pPr>
        <w:spacing w:after="0" w:line="27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28575</wp:posOffset>
            </wp:positionV>
            <wp:extent cx="281241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0">
                      <a:extLst>
                        <a:ext uri="{28A0092B-C50C-407E-A947-70E740481C1C}"/>
                      </a:extLst>
                    </a:blip>
                    <a:srcRect/>
                    <a:stretch>
                      <a:fillRect/>
                    </a:stretch>
                  </pic:blipFill>
                  <pic:spPr bwMode="auto">
                    <a:xfrm>
                      <a:off x="0" y="0"/>
                      <a:ext cx="2812415" cy="7620"/>
                    </a:xfrm>
                    <a:prstGeom prst="rect">
                      <a:avLst/>
                    </a:prstGeom>
                    <a:noFill/>
                  </pic:spPr>
                </pic:pic>
              </a:graphicData>
            </a:graphic>
          </wp:anchor>
        </w:drawing>
      </w:r>
    </w:p>
    <w:p>
      <w:pPr>
        <w:spacing w:after="0" w:line="4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Guillermo Novo</w:t>
      </w:r>
    </w:p>
    <w:p>
      <w:pPr>
        <w:spacing w:after="0" w:line="5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5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1022350</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34" w:name="page235"/>
    <w:bookmarkEnd w:id="234"/>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Whitaker, certify that:</w:t>
      </w:r>
    </w:p>
    <w:p>
      <w:pPr>
        <w:spacing w:after="0" w:line="333" w:lineRule="exact"/>
        <w:rPr>
          <w:sz w:val="20"/>
          <w:szCs w:val="20"/>
          <w:color w:val="auto"/>
        </w:rPr>
      </w:pPr>
    </w:p>
    <w:p>
      <w:pPr>
        <w:ind w:left="280" w:hanging="274"/>
        <w:spacing w:after="0"/>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Ashland Inc.;</w:t>
      </w:r>
    </w:p>
    <w:p>
      <w:pPr>
        <w:spacing w:after="0" w:line="93" w:lineRule="exact"/>
        <w:rPr>
          <w:rFonts w:ascii="Times New Roman" w:cs="Times New Roman" w:eastAsia="Times New Roman" w:hAnsi="Times New Roman"/>
          <w:sz w:val="18"/>
          <w:szCs w:val="18"/>
          <w:color w:val="auto"/>
        </w:rPr>
      </w:pPr>
    </w:p>
    <w:p>
      <w:pPr>
        <w:jc w:val="both"/>
        <w:ind w:left="280" w:right="80" w:hanging="274"/>
        <w:spacing w:after="0" w:line="266" w:lineRule="auto"/>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8"/>
          <w:szCs w:val="18"/>
          <w:color w:val="auto"/>
        </w:rPr>
      </w:pPr>
    </w:p>
    <w:p>
      <w:pPr>
        <w:ind w:left="280" w:right="60" w:hanging="274"/>
        <w:spacing w:after="0" w:line="282" w:lineRule="auto"/>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Times New Roman" w:cs="Times New Roman" w:eastAsia="Times New Roman" w:hAnsi="Times New Roman"/>
          <w:sz w:val="18"/>
          <w:szCs w:val="18"/>
          <w:color w:val="auto"/>
        </w:rPr>
      </w:pPr>
    </w:p>
    <w:p>
      <w:pPr>
        <w:ind w:left="280" w:hanging="274"/>
        <w:spacing w:after="0" w:line="276" w:lineRule="auto"/>
        <w:tabs>
          <w:tab w:leader="none" w:pos="2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ind w:left="600" w:right="140"/>
        <w:spacing w:after="0" w:line="257"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sz w:val="20"/>
          <w:szCs w:val="20"/>
          <w:color w:val="auto"/>
        </w:rPr>
      </w:pPr>
    </w:p>
    <w:p>
      <w:pPr>
        <w:jc w:val="both"/>
        <w:ind w:left="600" w:right="20"/>
        <w:spacing w:after="0" w:line="250"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0" w:right="80"/>
        <w:spacing w:after="0" w:line="253"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 xml:space="preserve">effectiveness of the disclosure controls and procedures, as of the end of the period covered by this report based on such evaluation; and </w:t>
      </w:r>
      <w:r>
        <w:rPr>
          <w:rFonts w:ascii="Times New Roman" w:cs="Times New Roman" w:eastAsia="Times New Roman" w:hAnsi="Times New Roman"/>
          <w:sz w:val="15"/>
          <w:szCs w:val="15"/>
          <w:color w:val="auto"/>
        </w:rPr>
        <w:t>d.</w:t>
      </w: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822960</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5" w:name="page236"/>
    <w:bookmarkEnd w:id="235"/>
    <w:p>
      <w:pPr>
        <w:spacing w:after="0" w:line="294" w:lineRule="exact"/>
        <w:rPr>
          <w:sz w:val="20"/>
          <w:szCs w:val="20"/>
          <w:color w:val="auto"/>
        </w:rPr>
      </w:pPr>
    </w:p>
    <w:p>
      <w:pPr>
        <w:ind w:left="280" w:right="80" w:hanging="274"/>
        <w:spacing w:after="0" w:line="313" w:lineRule="auto"/>
        <w:tabs>
          <w:tab w:leader="none" w:pos="2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580" w:right="280"/>
        <w:spacing w:after="0" w:line="261"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reasonably likely to adversely affect the registrant’s ability to record, process, summarize and report financial information; and</w:t>
      </w:r>
    </w:p>
    <w:p>
      <w:pPr>
        <w:ind w:left="580"/>
        <w:spacing w:after="0" w:line="261"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2025</w:t>
      </w:r>
    </w:p>
    <w:p>
      <w:pPr>
        <w:spacing w:after="0" w:line="27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28575</wp:posOffset>
            </wp:positionV>
            <wp:extent cx="281241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3">
                      <a:extLst>
                        <a:ext uri="{28A0092B-C50C-407E-A947-70E740481C1C}"/>
                      </a:extLst>
                    </a:blip>
                    <a:srcRect/>
                    <a:stretch>
                      <a:fillRect/>
                    </a:stretch>
                  </pic:blipFill>
                  <pic:spPr bwMode="auto">
                    <a:xfrm>
                      <a:off x="0" y="0"/>
                      <a:ext cx="2812415" cy="7620"/>
                    </a:xfrm>
                    <a:prstGeom prst="rect">
                      <a:avLst/>
                    </a:prstGeom>
                    <a:noFill/>
                  </pic:spPr>
                </pic:pic>
              </a:graphicData>
            </a:graphic>
          </wp:anchor>
        </w:drawing>
      </w:r>
    </w:p>
    <w:p>
      <w:pPr>
        <w:spacing w:after="0" w:line="4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William C. Whitaker</w:t>
      </w:r>
    </w:p>
    <w:p>
      <w:pPr>
        <w:spacing w:after="0" w:line="5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1022350</wp:posOffset>
            </wp:positionV>
            <wp:extent cx="67329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36" w:name="page237"/>
    <w:bookmarkEnd w:id="236"/>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32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ASHLAND INC.</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ADOPTED PURSUANT TO</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SECTION 906 OF THE SARBANES-OXLEY ACT OF 2002</w:t>
      </w:r>
    </w:p>
    <w:p>
      <w:pPr>
        <w:spacing w:after="0" w:line="34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In connection with the Annual Report of Ashland Inc. (the “Company”) on Form 10-K for the period ended September 30, 2025 as filed with the Securities and Exchange Commission on the date hereof (the “Report”), each of the undersigned, Guillermo Novo, Chief Executive Officer of the Company, and William C. Whitaker, Chief Financial Officer of the Company, certify, pursuant to 18 U.S.C. Section 1350, as adopted pursuant to Section 906 of the Sarbanes-Oxley Act of 2002, that:</w:t>
      </w:r>
    </w:p>
    <w:p>
      <w:pPr>
        <w:spacing w:after="0" w:line="162" w:lineRule="exact"/>
        <w:rPr>
          <w:sz w:val="20"/>
          <w:szCs w:val="20"/>
          <w:color w:val="auto"/>
        </w:rPr>
      </w:pPr>
    </w:p>
    <w:p>
      <w:pPr>
        <w:ind w:left="1060" w:right="680" w:hanging="706"/>
        <w:spacing w:after="0" w:line="286" w:lineRule="auto"/>
        <w:tabs>
          <w:tab w:leader="none" w:pos="10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127" w:lineRule="exact"/>
        <w:rPr>
          <w:rFonts w:ascii="Times New Roman" w:cs="Times New Roman" w:eastAsia="Times New Roman" w:hAnsi="Times New Roman"/>
          <w:sz w:val="19"/>
          <w:szCs w:val="19"/>
          <w:color w:val="auto"/>
        </w:rPr>
      </w:pPr>
    </w:p>
    <w:p>
      <w:pPr>
        <w:ind w:left="1060" w:right="740" w:hanging="706"/>
        <w:spacing w:after="0" w:line="286" w:lineRule="auto"/>
        <w:tabs>
          <w:tab w:leader="none" w:pos="10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429895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5">
                      <a:extLst>
                        <a:ext uri="{28A0092B-C50C-407E-A947-70E740481C1C}"/>
                      </a:extLst>
                    </a:blip>
                    <a:srcRect/>
                    <a:stretch>
                      <a:fillRect/>
                    </a:stretch>
                  </pic:blipFill>
                  <pic:spPr bwMode="auto">
                    <a:xfrm>
                      <a:off x="0" y="0"/>
                      <a:ext cx="4298950" cy="762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Guillermo Novo</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November 20, 2025</w:t>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429895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6">
                      <a:extLst>
                        <a:ext uri="{28A0092B-C50C-407E-A947-70E740481C1C}"/>
                      </a:extLst>
                    </a:blip>
                    <a:srcRect/>
                    <a:stretch>
                      <a:fillRect/>
                    </a:stretch>
                  </pic:blipFill>
                  <pic:spPr bwMode="auto">
                    <a:xfrm>
                      <a:off x="0" y="0"/>
                      <a:ext cx="4298950" cy="762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William C. Whitaker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November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1153795</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6"/>
          <w:szCs w:val="16"/>
          <w:color w:val="auto"/>
        </w:rPr>
        <w:t>EXHIBIT 97</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3"/>
          <w:szCs w:val="23"/>
          <w:b w:val="1"/>
          <w:bCs w:val="1"/>
          <w:color w:val="2F2F2F"/>
        </w:rPr>
        <w:t>DODD-FRANK COMPENSATION RECOUPMENT POLICY</w:t>
      </w:r>
    </w:p>
    <w:p>
      <w:pPr>
        <w:spacing w:after="0" w:line="19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2F2F2F"/>
        </w:rPr>
        <w:t xml:space="preserve">The purpose of this Dodd-Frank Compensation Recoupment Policy, which has been adopted by the Board of Directors of Ashland Inc., is to </w:t>
      </w:r>
      <w:r>
        <w:rPr>
          <w:rFonts w:ascii="Times New Roman" w:cs="Times New Roman" w:eastAsia="Times New Roman" w:hAnsi="Times New Roman"/>
          <w:sz w:val="19"/>
          <w:szCs w:val="19"/>
          <w:color w:val="000000"/>
        </w:rPr>
        <w:t>describe the</w:t>
      </w:r>
      <w:r>
        <w:rPr>
          <w:rFonts w:ascii="Times New Roman" w:cs="Times New Roman" w:eastAsia="Times New Roman" w:hAnsi="Times New Roman"/>
          <w:sz w:val="19"/>
          <w:szCs w:val="19"/>
          <w:color w:val="2F2F2F"/>
        </w:rPr>
        <w:t xml:space="preserve"> circumstances in which Executive Officers will be required to repay or return Excess Incentive -Based Compensation to Ashland Inc. (the “Company”). It is the intention of the Board of Directors that this Dodd-Frank Recoupment Policy be interpreted and administered by the Compensation Committee in a manner consistent with applicable laws and regulations and Securities Exchange listing requirements, including without limitation Section 954 of the Dodd-Frank Wall Street Reform and Consumer Protection Act of 2010, Rule 10D-1 of the Securities Exchange Act of 1934, and Section 303A.14 of the New York Stock Exchange Listed Company Manual. This Dodd-Frank Recoupment Policy applies to awards of Incentive-Based Compensation received on or after the Effective Date by Executive Officers of the Company. The prior Executive Compensation Recovery Policy shall apply to awards of Incentive-Based Compensation received before the Effective Date.</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2F2F2F"/>
        </w:rPr>
        <w:t>Definitions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F2F2F"/>
        </w:rPr>
        <w:t>“Board” means the Board of Directors of the Company.</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F2F2F"/>
        </w:rPr>
        <w:t>“Committee” means the Compensation Committee of the Board of Directors of the Company.</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F2F2F"/>
        </w:rPr>
        <w:t>“Company” means Ashland, Inc.</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2F2F2F"/>
        </w:rPr>
        <w:t>“Effective Date” means October 2, 2023</w:t>
      </w:r>
    </w:p>
    <w:p>
      <w:pPr>
        <w:spacing w:after="0" w:line="238" w:lineRule="exact"/>
        <w:rPr>
          <w:sz w:val="20"/>
          <w:szCs w:val="20"/>
          <w:color w:val="auto"/>
        </w:rPr>
      </w:pPr>
    </w:p>
    <w:p>
      <w:pPr>
        <w:ind w:left="20" w:right="100"/>
        <w:spacing w:after="0" w:line="262" w:lineRule="auto"/>
        <w:rPr>
          <w:sz w:val="20"/>
          <w:szCs w:val="20"/>
          <w:color w:val="auto"/>
        </w:rPr>
      </w:pPr>
      <w:r>
        <w:rPr>
          <w:rFonts w:ascii="Times New Roman" w:cs="Times New Roman" w:eastAsia="Times New Roman" w:hAnsi="Times New Roman"/>
          <w:sz w:val="19"/>
          <w:szCs w:val="19"/>
          <w:color w:val="2F2F2F"/>
        </w:rPr>
        <w:t>“Executive Officer” means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policymaking functions for the Company.</w:t>
      </w:r>
    </w:p>
    <w:p>
      <w:pPr>
        <w:spacing w:after="0" w:line="210" w:lineRule="exact"/>
        <w:rPr>
          <w:sz w:val="20"/>
          <w:szCs w:val="20"/>
          <w:color w:val="auto"/>
        </w:rPr>
      </w:pPr>
    </w:p>
    <w:p>
      <w:pPr>
        <w:ind w:left="20" w:right="140"/>
        <w:spacing w:after="0" w:line="255" w:lineRule="auto"/>
        <w:rPr>
          <w:sz w:val="20"/>
          <w:szCs w:val="20"/>
          <w:color w:val="auto"/>
        </w:rPr>
      </w:pPr>
      <w:r>
        <w:rPr>
          <w:rFonts w:ascii="Times New Roman" w:cs="Times New Roman" w:eastAsia="Times New Roman" w:hAnsi="Times New Roman"/>
          <w:sz w:val="19"/>
          <w:szCs w:val="19"/>
          <w:color w:val="2F2F2F"/>
        </w:rPr>
        <w:t>“Excess Incentive -Based Compensation” means the amount of Incentive-Based Compensation received by a current or former Executive Officer that exceeds the amount of Incentive-Based Compensation that otherwise would have been received had the amount of such Incentive -Based Compensation been determined based on the accounting restatement, computed without regard to taxes paid by the Executive Officer. For Incentive -Based Compensation based on stock price or total shareholder return, where the amount of Excess Incentive-Based Compensation is not subject to mathematical recalculation directly from the information in an accounting restatement, Excess Incentive-Based Compensation means a reasonable estimate of the effect of the accounting restatement on the applicable Financial Reporting Measure. The Committee must maintain documentation of the determination of such reasonable estimate and provide such documentation to the Securities Exchange.</w:t>
      </w:r>
    </w:p>
    <w:p>
      <w:pPr>
        <w:spacing w:after="0" w:line="196" w:lineRule="exact"/>
        <w:rPr>
          <w:sz w:val="20"/>
          <w:szCs w:val="20"/>
          <w:color w:val="auto"/>
        </w:rPr>
      </w:pPr>
    </w:p>
    <w:p>
      <w:pPr>
        <w:ind w:left="20" w:right="100"/>
        <w:spacing w:after="0" w:line="268" w:lineRule="auto"/>
        <w:rPr>
          <w:sz w:val="20"/>
          <w:szCs w:val="20"/>
          <w:color w:val="auto"/>
        </w:rPr>
      </w:pPr>
      <w:r>
        <w:rPr>
          <w:rFonts w:ascii="Times New Roman" w:cs="Times New Roman" w:eastAsia="Times New Roman" w:hAnsi="Times New Roman"/>
          <w:sz w:val="19"/>
          <w:szCs w:val="19"/>
          <w:color w:val="2F2F2F"/>
        </w:rPr>
        <w:t>“Financial Reporting Measure” means any measure that is determined and presented in accordance with the accounting principles used to preparing the Company’s financial statements, and any measures that are derived wholly or in part from such measures. “Stock price” and “total shareholder return” metrics are also Financial Reporting Measures. For the avoidance of doubt,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506730</wp:posOffset>
            </wp:positionV>
            <wp:extent cx="673290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760" w:top="1133" w:right="660" w:bottom="1440" w:gutter="0" w:footer="0" w:header="0"/>
        </w:sectPr>
      </w:pPr>
    </w:p>
    <w:bookmarkStart w:id="238" w:name="page239"/>
    <w:bookmarkEnd w:id="238"/>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2F2F2F"/>
        </w:rPr>
        <w:t>Financial Reporting Measure need not be presented in the Company’s financial statements or included in a filing with the U.S.</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2F2F2F"/>
        </w:rPr>
        <w:t>Securities and Exchange Commission.</w:t>
      </w:r>
    </w:p>
    <w:p>
      <w:pPr>
        <w:spacing w:after="0" w:line="240" w:lineRule="exact"/>
        <w:rPr>
          <w:sz w:val="20"/>
          <w:szCs w:val="20"/>
          <w:color w:val="auto"/>
        </w:rPr>
      </w:pPr>
    </w:p>
    <w:p>
      <w:pPr>
        <w:ind w:left="80" w:right="760"/>
        <w:spacing w:after="0" w:line="286" w:lineRule="auto"/>
        <w:rPr>
          <w:sz w:val="20"/>
          <w:szCs w:val="20"/>
          <w:color w:val="auto"/>
        </w:rPr>
      </w:pPr>
      <w:r>
        <w:rPr>
          <w:rFonts w:ascii="Times New Roman" w:cs="Times New Roman" w:eastAsia="Times New Roman" w:hAnsi="Times New Roman"/>
          <w:sz w:val="19"/>
          <w:szCs w:val="19"/>
          <w:color w:val="2F2F2F"/>
        </w:rPr>
        <w:t>“Incentive-Based Compensation” means any compensation that is granted, earned, or vested based wholly or in part upon the attainment of a Financial Reporting Measure.</w:t>
      </w:r>
    </w:p>
    <w:p>
      <w:pPr>
        <w:spacing w:after="0" w:line="187" w:lineRule="exact"/>
        <w:rPr>
          <w:sz w:val="20"/>
          <w:szCs w:val="20"/>
          <w:color w:val="auto"/>
        </w:rPr>
      </w:pPr>
    </w:p>
    <w:p>
      <w:pPr>
        <w:ind w:left="80" w:right="40"/>
        <w:spacing w:after="0" w:line="257" w:lineRule="auto"/>
        <w:rPr>
          <w:sz w:val="20"/>
          <w:szCs w:val="20"/>
          <w:color w:val="auto"/>
        </w:rPr>
      </w:pPr>
      <w:r>
        <w:rPr>
          <w:rFonts w:ascii="Times New Roman" w:cs="Times New Roman" w:eastAsia="Times New Roman" w:hAnsi="Times New Roman"/>
          <w:sz w:val="19"/>
          <w:szCs w:val="19"/>
          <w:color w:val="2F2F2F"/>
        </w:rPr>
        <w:t xml:space="preserve">“Lookback Period” means the three-year period preceding the date on which the Company is required to prepare an accounting restatement. </w:t>
      </w:r>
      <w:r>
        <w:rPr>
          <w:rFonts w:ascii="Times New Roman" w:cs="Times New Roman" w:eastAsia="Times New Roman" w:hAnsi="Times New Roman"/>
          <w:sz w:val="19"/>
          <w:szCs w:val="19"/>
          <w:color w:val="000000"/>
        </w:rPr>
        <w:t>For purposes of this definition, the date on which the Company is required to prepare an accounting restatement shall be</w:t>
      </w:r>
      <w:r>
        <w:rPr>
          <w:rFonts w:ascii="Times New Roman" w:cs="Times New Roman" w:eastAsia="Times New Roman" w:hAnsi="Times New Roman"/>
          <w:sz w:val="19"/>
          <w:szCs w:val="19"/>
          <w:color w:val="2F2F2F"/>
        </w:rPr>
        <w:t xml:space="preserve"> </w:t>
      </w:r>
      <w:r>
        <w:rPr>
          <w:rFonts w:ascii="Times New Roman" w:cs="Times New Roman" w:eastAsia="Times New Roman" w:hAnsi="Times New Roman"/>
          <w:sz w:val="19"/>
          <w:szCs w:val="19"/>
          <w:color w:val="000000"/>
        </w:rPr>
        <w:t>deemed to be the earlier of (i) the date the Company’s Board, a committee of the Board, or the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“Securities Exchange” means the securities exchange upon which the Company’s Common Stock, par value $0.01 per share, trades.</w:t>
      </w:r>
    </w:p>
    <w:p>
      <w:pPr>
        <w:spacing w:after="0" w:line="2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2F2F2F"/>
        </w:rPr>
        <w:t>Recoupment for an Accounting Restatement</w:t>
      </w:r>
    </w:p>
    <w:p>
      <w:pPr>
        <w:spacing w:after="0" w:line="264" w:lineRule="exact"/>
        <w:rPr>
          <w:sz w:val="20"/>
          <w:szCs w:val="20"/>
          <w:color w:val="auto"/>
        </w:rPr>
      </w:pPr>
    </w:p>
    <w:p>
      <w:pPr>
        <w:ind w:left="80" w:right="20"/>
        <w:spacing w:after="0" w:line="254" w:lineRule="auto"/>
        <w:rPr>
          <w:sz w:val="20"/>
          <w:szCs w:val="20"/>
          <w:color w:val="auto"/>
        </w:rPr>
      </w:pPr>
      <w:r>
        <w:rPr>
          <w:rFonts w:ascii="Times New Roman" w:cs="Times New Roman" w:eastAsia="Times New Roman" w:hAnsi="Times New Roman"/>
          <w:sz w:val="19"/>
          <w:szCs w:val="19"/>
          <w:color w:val="auto"/>
        </w:rPr>
        <w:t>The Company shall recover reasonably promptly any Excess Incentive -Based Compensation in the event that the Company is required to restate its financial statements due to the material noncompliance of the Company with any financial reporting requirement under the federal securities laws, including any required accounting restatement to correct an error (i) in previously issued financial statements that is material to the previously issued financial statements or (ii) that would result in a material misstatement if the error were corrected in the current period or left uncorrected in the current period. The preceding sentence shall apply to Excess Incentive-Based Compensation received by any current or former Executive Officer: (a) after beginning service as an Executive Officer; (b) who served as an Executive Officer at any time during the performance period for the applicable Incentive-Based Compensation; (c) while the Company has a class of securities listed on a national securities exchange or a national securities association; and (d) during the Lookback Period. For purposes of this paragraph, Incentive -Based Compensation is deemed “received” in the Company’s fiscal period during which the Financial Reporting Measure specified in the Incentive-Based Compensation is attained, even if the payment or grant of the Incentive-Based Compensation occurs after the end of that period.</w:t>
      </w:r>
    </w:p>
    <w:p>
      <w:pPr>
        <w:spacing w:after="0" w:line="193" w:lineRule="exact"/>
        <w:rPr>
          <w:sz w:val="20"/>
          <w:szCs w:val="20"/>
          <w:color w:val="auto"/>
        </w:rPr>
      </w:pPr>
    </w:p>
    <w:p>
      <w:pPr>
        <w:ind w:left="80" w:right="760"/>
        <w:spacing w:after="0" w:line="286" w:lineRule="auto"/>
        <w:rPr>
          <w:sz w:val="20"/>
          <w:szCs w:val="20"/>
          <w:color w:val="auto"/>
        </w:rPr>
      </w:pPr>
      <w:r>
        <w:rPr>
          <w:rFonts w:ascii="Times New Roman" w:cs="Times New Roman" w:eastAsia="Times New Roman" w:hAnsi="Times New Roman"/>
          <w:sz w:val="19"/>
          <w:szCs w:val="19"/>
          <w:color w:val="auto"/>
        </w:rPr>
        <w:t>Notwithstanding the foregoing, if the Committee makes a determination that recovery would be impracticable, and one of the following enumerated conditions is satisfied, the Company need not recover such Excess Incentive-Based Compensation.</w:t>
      </w:r>
    </w:p>
    <w:p>
      <w:pPr>
        <w:spacing w:after="0" w:line="163" w:lineRule="exact"/>
        <w:rPr>
          <w:sz w:val="20"/>
          <w:szCs w:val="20"/>
          <w:color w:val="auto"/>
        </w:rPr>
      </w:pPr>
    </w:p>
    <w:p>
      <w:pPr>
        <w:ind w:left="420"/>
        <w:spacing w:after="0" w:line="257" w:lineRule="auto"/>
        <w:rPr>
          <w:sz w:val="20"/>
          <w:szCs w:val="20"/>
          <w:color w:val="auto"/>
        </w:rPr>
      </w:pPr>
      <w:r>
        <w:rPr>
          <w:rFonts w:ascii="Times New Roman" w:cs="Times New Roman" w:eastAsia="Times New Roman" w:hAnsi="Times New Roman"/>
          <w:sz w:val="19"/>
          <w:szCs w:val="19"/>
          <w:color w:val="auto"/>
        </w:rPr>
        <w:t>•Expenses Exceed Recovery Amount: The Company need not recover the Excess Incentive- Based Compensation at issue if the direct expense to be paid to a third party to assist in enforcing this Dodd-Frank Recoupment Policy would exceed the amount to be recovered; provided, however, that the Company must make a reasonable attempt to recover the Excess Incentive-Based Compensation and document such attempt(s) prior to the Committee’s determination that recovery would be impracticable. The Company must provide the documentation evidencing the attempt(s) to the Securities Exchange consistent with the listing standards of the Securities Exchange.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F2F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428625</wp:posOffset>
            </wp:positionV>
            <wp:extent cx="673290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00" w:top="1440" w:right="740" w:bottom="1440" w:gutter="0" w:footer="0" w:header="0"/>
        </w:sectPr>
      </w:pPr>
    </w:p>
    <w:bookmarkStart w:id="239" w:name="page240"/>
    <w:bookmarkEnd w:id="239"/>
    <w:p>
      <w:pPr>
        <w:spacing w:after="0" w:line="281" w:lineRule="exact"/>
        <w:rPr>
          <w:sz w:val="20"/>
          <w:szCs w:val="20"/>
          <w:color w:val="auto"/>
        </w:rPr>
      </w:pPr>
    </w:p>
    <w:p>
      <w:pPr>
        <w:ind w:left="420"/>
        <w:spacing w:after="0" w:line="259" w:lineRule="auto"/>
        <w:rPr>
          <w:sz w:val="20"/>
          <w:szCs w:val="20"/>
          <w:color w:val="auto"/>
        </w:rPr>
      </w:pPr>
      <w:r>
        <w:rPr>
          <w:rFonts w:ascii="Times New Roman" w:cs="Times New Roman" w:eastAsia="Times New Roman" w:hAnsi="Times New Roman"/>
          <w:sz w:val="19"/>
          <w:szCs w:val="19"/>
          <w:color w:val="auto"/>
        </w:rPr>
        <w:t>•Recovery Would Violate Home Country Law: The Company need not recover the Excess Incentive-Based Compensation at issue if recovery would violate home country law where that law was adopted prior to November 28, 2022; provided, however, that the Company must obtain an opinion of home country counsel, in a form acceptable to the Securities Exchange, that recovery would result in such violation. The Company must provide the opinion to the Securities Exchange consistent with the listing standards of the Securities Exchange.</w:t>
      </w:r>
    </w:p>
    <w:p>
      <w:pPr>
        <w:spacing w:after="0" w:line="190"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9"/>
          <w:szCs w:val="19"/>
          <w:color w:val="auto"/>
        </w:rPr>
        <w:t>•Recovery Would Violate ERISA Anti-Alienation Provisions: The Company need not recover the Excess Incentive -Based Compensation at issue if recovery would violate the anti-alienation provisions of the Employee Retirement Income Security Act of 1974, as amended, contained in 26 U.S.C. § 401(a)(13) or 26 U.S.C. § 411(a), or regulations promulgated thereunder.</w:t>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2F2F2F"/>
        </w:rPr>
        <w:t>Method of Recoupment</w:t>
      </w:r>
    </w:p>
    <w:p>
      <w:pPr>
        <w:spacing w:after="0" w:line="240" w:lineRule="exact"/>
        <w:rPr>
          <w:sz w:val="20"/>
          <w:szCs w:val="20"/>
          <w:color w:val="auto"/>
        </w:rPr>
      </w:pPr>
    </w:p>
    <w:p>
      <w:pPr>
        <w:ind w:left="80" w:right="20"/>
        <w:spacing w:after="0" w:line="254" w:lineRule="auto"/>
        <w:rPr>
          <w:sz w:val="20"/>
          <w:szCs w:val="20"/>
          <w:color w:val="auto"/>
        </w:rPr>
      </w:pPr>
      <w:r>
        <w:rPr>
          <w:rFonts w:ascii="Times New Roman" w:cs="Times New Roman" w:eastAsia="Times New Roman" w:hAnsi="Times New Roman"/>
          <w:sz w:val="19"/>
          <w:szCs w:val="19"/>
          <w:color w:val="auto"/>
        </w:rPr>
        <w:t>The Committee shall have the sole discretion and authority to determine the means, timing (which shall in all circumstances be reasonably prompt) and any other requirements by which any recoupment required by this Dodd -Frank Recoupment Policy shall occur and impose any other terms, conditions or procedures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the imposition of interest charges on un-repaid amounts) to govern the current or former Executive Officer’s repayment of Excess Incentive-Based Compensation. Such methods for recoupment may include, without limitation, (i) seeking reimbursement of all or part of any cash or equity-based award, (ii) cancelling prior cash or equity-based awards, whether vested or unvested or paid or unpaid, (iii) cancelling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Committee may affect recovery under this Dodd-Frank Recoupment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2F2F2F"/>
        </w:rPr>
        <w:t>Other Policy Terms</w:t>
      </w:r>
    </w:p>
    <w:p>
      <w:pPr>
        <w:spacing w:after="0" w:line="264" w:lineRule="exact"/>
        <w:rPr>
          <w:sz w:val="20"/>
          <w:szCs w:val="20"/>
          <w:color w:val="auto"/>
        </w:rPr>
      </w:pPr>
    </w:p>
    <w:p>
      <w:pPr>
        <w:ind w:left="80" w:right="80"/>
        <w:spacing w:after="0" w:line="259" w:lineRule="auto"/>
        <w:rPr>
          <w:sz w:val="20"/>
          <w:szCs w:val="20"/>
          <w:color w:val="auto"/>
        </w:rPr>
      </w:pPr>
      <w:r>
        <w:rPr>
          <w:rFonts w:ascii="Times New Roman" w:cs="Times New Roman" w:eastAsia="Times New Roman" w:hAnsi="Times New Roman"/>
          <w:sz w:val="19"/>
          <w:szCs w:val="19"/>
          <w:color w:val="auto"/>
        </w:rPr>
        <w:t>Any applicable award agreement, plan or other document setting forth the terms and conditions of any Incentive- Based Compensation covered by this Dodd-Frank Recoupment Policy shall be deemed to (i) incorporate this Dodd -Frank Recoupment Policy by reference; and (ii) be governed by the terms of this Dodd- Frank Recoupment Policy in the event of any inconsistency with the terms of the Incentive-Based Compensation. Acceptance of any Incentive-Based Compensation shall be deemed to include acceptance of this Dodd-Frank Recoupment Policy.</w:t>
      </w:r>
    </w:p>
    <w:p>
      <w:pPr>
        <w:spacing w:after="0" w:line="214" w:lineRule="exact"/>
        <w:rPr>
          <w:sz w:val="20"/>
          <w:szCs w:val="20"/>
          <w:color w:val="auto"/>
        </w:rPr>
      </w:pPr>
    </w:p>
    <w:p>
      <w:pPr>
        <w:ind w:left="80" w:right="80"/>
        <w:spacing w:after="0" w:line="262" w:lineRule="auto"/>
        <w:rPr>
          <w:sz w:val="20"/>
          <w:szCs w:val="20"/>
          <w:color w:val="auto"/>
        </w:rPr>
      </w:pPr>
      <w:r>
        <w:rPr>
          <w:rFonts w:ascii="Times New Roman" w:cs="Times New Roman" w:eastAsia="Times New Roman" w:hAnsi="Times New Roman"/>
          <w:sz w:val="19"/>
          <w:szCs w:val="19"/>
          <w:color w:val="auto"/>
        </w:rPr>
        <w:t>Any recoupment under this Dodd- Frank Recoupment Policy is in addition to, and not in lieu of, any other remedies or rights that may be available to the Company or its affiliates under applicable law, including, without limitation: (i) dismissing the current or former Executive Officer; (ii) adjusting the future compensation of the current or former Executive Officer; or (iii) authorizing legal action or taking such other action to enforce the current or former Executive Officer’s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F2F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428625</wp:posOffset>
            </wp:positionV>
            <wp:extent cx="673290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00" w:top="1440" w:right="740" w:bottom="1440" w:gutter="0" w:footer="0" w:header="0"/>
        </w:sectPr>
      </w:pPr>
    </w:p>
    <w:bookmarkStart w:id="240" w:name="page241"/>
    <w:bookmarkEnd w:id="240"/>
    <w:p>
      <w:pPr>
        <w:spacing w:after="0" w:line="53" w:lineRule="exact"/>
        <w:rPr>
          <w:sz w:val="20"/>
          <w:szCs w:val="20"/>
          <w:color w:val="auto"/>
        </w:rPr>
      </w:pPr>
    </w:p>
    <w:p>
      <w:pPr>
        <w:ind w:left="80" w:right="240"/>
        <w:spacing w:after="0" w:line="286" w:lineRule="auto"/>
        <w:rPr>
          <w:sz w:val="20"/>
          <w:szCs w:val="20"/>
          <w:color w:val="auto"/>
        </w:rPr>
      </w:pPr>
      <w:r>
        <w:rPr>
          <w:rFonts w:ascii="Times New Roman" w:cs="Times New Roman" w:eastAsia="Times New Roman" w:hAnsi="Times New Roman"/>
          <w:sz w:val="19"/>
          <w:szCs w:val="19"/>
          <w:color w:val="auto"/>
        </w:rPr>
        <w:t>obligations to the Company or its affiliates as it may deem appropriate in view of all of the facts and circumstances surrounding the particular case.</w:t>
      </w:r>
    </w:p>
    <w:p>
      <w:pPr>
        <w:spacing w:after="0" w:line="163" w:lineRule="exact"/>
        <w:rPr>
          <w:sz w:val="20"/>
          <w:szCs w:val="20"/>
          <w:color w:val="auto"/>
        </w:rPr>
      </w:pPr>
    </w:p>
    <w:p>
      <w:pPr>
        <w:ind w:left="80" w:right="40"/>
        <w:spacing w:after="0" w:line="262" w:lineRule="auto"/>
        <w:rPr>
          <w:sz w:val="20"/>
          <w:szCs w:val="20"/>
          <w:color w:val="auto"/>
        </w:rPr>
      </w:pPr>
      <w:r>
        <w:rPr>
          <w:rFonts w:ascii="Times New Roman" w:cs="Times New Roman" w:eastAsia="Times New Roman" w:hAnsi="Times New Roman"/>
          <w:sz w:val="19"/>
          <w:szCs w:val="19"/>
          <w:color w:val="auto"/>
        </w:rPr>
        <w:t>Incentive-Based Compensation and other compensation paid to employees of the Company and its affiliates may also be subject to other recoupment or similar policies, and this policy does not supersede any such other policies. However, in the event of any conflict between any such policy and this Dodd-Frank Recoupment Policy, this policy shall govern. In addition, no Executive Officer shall be subject to recoupment more than one time with respect to the same compensation.</w:t>
      </w:r>
    </w:p>
    <w:p>
      <w:pPr>
        <w:spacing w:after="0" w:line="186" w:lineRule="exact"/>
        <w:rPr>
          <w:sz w:val="20"/>
          <w:szCs w:val="20"/>
          <w:color w:val="auto"/>
        </w:rPr>
      </w:pPr>
    </w:p>
    <w:p>
      <w:pPr>
        <w:ind w:left="80" w:right="80"/>
        <w:spacing w:after="0" w:line="259" w:lineRule="auto"/>
        <w:rPr>
          <w:sz w:val="20"/>
          <w:szCs w:val="20"/>
          <w:color w:val="auto"/>
        </w:rPr>
      </w:pPr>
      <w:r>
        <w:rPr>
          <w:rFonts w:ascii="Times New Roman" w:cs="Times New Roman" w:eastAsia="Times New Roman" w:hAnsi="Times New Roman"/>
          <w:sz w:val="19"/>
          <w:szCs w:val="19"/>
          <w:color w:val="auto"/>
        </w:rPr>
        <w:t>Notwithstanding the terms of any indemnification or insurance policy for any Executive Officer, or any contractual arrangement between the Company and any Executive Officer that may be interpreted to the contrary, the Company shall not indemnify any Executive Officer against the loss of any amounts subject to recoupment pursuant to this Dodd-Frank Recoupment Policy, including any payment or reimbursement for the cost of third-party insurance purchased by any Executive Officer to fund potential recoupment obligations under this Dodd-Frank Recoupment Policy.</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2F2F2F"/>
        </w:rPr>
        <w:t>Administration</w:t>
      </w:r>
    </w:p>
    <w:p>
      <w:pPr>
        <w:spacing w:after="0" w:line="240" w:lineRule="exact"/>
        <w:rPr>
          <w:sz w:val="20"/>
          <w:szCs w:val="20"/>
          <w:color w:val="auto"/>
        </w:rPr>
      </w:pPr>
    </w:p>
    <w:p>
      <w:pPr>
        <w:ind w:left="80"/>
        <w:spacing w:after="0" w:line="256" w:lineRule="auto"/>
        <w:rPr>
          <w:sz w:val="20"/>
          <w:szCs w:val="20"/>
          <w:color w:val="auto"/>
        </w:rPr>
      </w:pPr>
      <w:r>
        <w:rPr>
          <w:rFonts w:ascii="Times New Roman" w:cs="Times New Roman" w:eastAsia="Times New Roman" w:hAnsi="Times New Roman"/>
          <w:sz w:val="19"/>
          <w:szCs w:val="19"/>
          <w:color w:val="auto"/>
        </w:rPr>
        <w:t>The Board has delegated the administration of this policy to the Committee. The Committee is responsible for monitoring the application of this Dodd-Frank Recoupment Policy with respect to all Executive Officers. The Committee shall have the sole authority to review, interpret, construe, and implement the provisions of this Dodd-Frank Recoupment Policy and to delegate to one or more executive officers and/or employees, certain administrative and record-keeping responsibilities, as appropriate, with respect to the implementation of this Dodd -Frank Recoupment Policy; provided, however, that no such action shall contravene the federal securities laws. Any determinations of the Board or Committee under this Dodd-Frank Recoupment Policy shall be binding on the applicable individual.</w:t>
      </w:r>
    </w:p>
    <w:p>
      <w:pPr>
        <w:spacing w:after="0" w:line="145" w:lineRule="exact"/>
        <w:rPr>
          <w:sz w:val="20"/>
          <w:szCs w:val="20"/>
          <w:color w:val="auto"/>
        </w:rPr>
      </w:pPr>
    </w:p>
    <w:p>
      <w:pPr>
        <w:ind w:left="80" w:right="220"/>
        <w:spacing w:after="0" w:line="286" w:lineRule="auto"/>
        <w:rPr>
          <w:sz w:val="20"/>
          <w:szCs w:val="20"/>
          <w:color w:val="auto"/>
        </w:rPr>
      </w:pPr>
      <w:r>
        <w:rPr>
          <w:rFonts w:ascii="Times New Roman" w:cs="Times New Roman" w:eastAsia="Times New Roman" w:hAnsi="Times New Roman"/>
          <w:sz w:val="19"/>
          <w:szCs w:val="19"/>
          <w:color w:val="auto"/>
        </w:rPr>
        <w:t>The Committee may amend, modify, or change this Dodd -Frank Recoupment Policy, as well as any related rules and procedures, at any time and from time to time as it may determine, in its sole discretion, is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F2F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428625</wp:posOffset>
            </wp:positionV>
            <wp:extent cx="673290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700" w:top="1440" w:right="800" w:bottom="1440" w:gutter="0" w:footer="0" w:header="0"/>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3060065</wp:posOffset>
            </wp:positionH>
            <wp:positionV relativeFrom="page">
              <wp:posOffset>956310</wp:posOffset>
            </wp:positionV>
            <wp:extent cx="1440815" cy="4495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44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9"/>
          <w:szCs w:val="19"/>
          <w:b w:val="1"/>
          <w:bCs w:val="1"/>
          <w:color w:val="auto"/>
        </w:rPr>
        <w:t>DODD-FRANK COMPENSATION RECOUPMENT POLICY</w:t>
      </w:r>
    </w:p>
    <w:p>
      <w:pPr>
        <w:spacing w:after="0" w:line="3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9"/>
          <w:szCs w:val="19"/>
          <w:b w:val="1"/>
          <w:bCs w:val="1"/>
          <w:color w:val="auto"/>
        </w:rPr>
        <w:t>CONFIRMATION OF RECEIPT</w:t>
      </w:r>
    </w:p>
    <w:p>
      <w:pPr>
        <w:spacing w:after="0" w:line="200" w:lineRule="exact"/>
        <w:rPr>
          <w:sz w:val="20"/>
          <w:szCs w:val="20"/>
          <w:color w:val="auto"/>
        </w:rPr>
      </w:pPr>
    </w:p>
    <w:p>
      <w:pPr>
        <w:spacing w:after="0" w:line="208"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color w:val="auto"/>
        </w:rPr>
        <w:t>I understand that Ashland Inc. has adopted the Dodd-Frank Compensation Recoupment Policy which will be interpreted and administered by the Compensation Committee in a manner consistent with applicable laws and regulations of the Securities and Exchange Commission and the Listed Company Manual of the New York Stock Exchange. This Dodd-Frank Recoupment Policy applies to awards of Incentive-Based Compensation received on or after the Effective Date by Executive Officers of the Company. The prior Executive Compensation Recovery Policy shall apply to awards of Incentive-Based Compensation received before the Effective Date.</w:t>
      </w:r>
    </w:p>
    <w:p>
      <w:pPr>
        <w:spacing w:after="0" w:line="154" w:lineRule="exact"/>
        <w:rPr>
          <w:sz w:val="20"/>
          <w:szCs w:val="20"/>
          <w:color w:val="auto"/>
        </w:rPr>
      </w:pPr>
    </w:p>
    <w:p>
      <w:pPr>
        <w:ind w:right="280" w:firstLine="696"/>
        <w:spacing w:after="0" w:line="286" w:lineRule="auto"/>
        <w:rPr>
          <w:sz w:val="20"/>
          <w:szCs w:val="20"/>
          <w:color w:val="auto"/>
        </w:rPr>
      </w:pPr>
      <w:r>
        <w:rPr>
          <w:rFonts w:ascii="Times New Roman" w:cs="Times New Roman" w:eastAsia="Times New Roman" w:hAnsi="Times New Roman"/>
          <w:sz w:val="19"/>
          <w:szCs w:val="19"/>
          <w:color w:val="auto"/>
        </w:rPr>
        <w:t>I hereby acknowledge that I have received said policy and agree that it applies to myself as an Executive Officer of Ashland, Inc. and have been able to resolve any questions regarding the same with the General Counsel of Ashland.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Executed this _________ day of ___________________, 20 ___.</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Signature_______________________________</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Print Name: ____________________________</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Received and accepted by the Company on this _____ day of ________________, 20 ___.</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Name:_________________________________</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2F2F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428625</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2" w:name="page243"/>
    <w:bookmarkEnd w:id="24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Letter"/>
      <w:start w:val="1"/>
    </w:lvl>
    <w:lvl w:ilvl="1">
      <w:lvlJc w:val="left"/>
      <w:lvlText w:val="(%2)"/>
      <w:numFmt w:val="lowerLetter"/>
      <w:start w:val="2"/>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Letter"/>
      <w:start w:val="1"/>
    </w:lvl>
    <w:lvl w:ilvl="1">
      <w:lvlJc w:val="left"/>
      <w:lvlText w:val="(%2)"/>
      <w:numFmt w:val="decimal"/>
      <w:start w:val="1"/>
    </w:lvl>
  </w:abstractNum>
  <w:abstractNum w:abstractNumId="5">
    <w:nsid w:val="836C40E"/>
    <w:multiLevelType w:val="hybridMultilevel"/>
    <w:lvl w:ilvl="0">
      <w:lvlJc w:val="left"/>
      <w:lvlText w:val="*"/>
      <w:numFmt w:val="bullet"/>
      <w:start w:val="1"/>
    </w:lvl>
    <w:lvl w:ilvl="1">
      <w:lvlJc w:val="left"/>
      <w:lvlText w:val="%2"/>
      <w:numFmt w:val="decimal"/>
      <w:start w:val="104"/>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upperLetter"/>
      <w:start w:val="2"/>
    </w:lvl>
  </w:abstractNum>
  <w:abstractNum w:abstractNumId="16">
    <w:nsid w:val="614FD4A1"/>
    <w:multiLevelType w:val="hybridMultilevel"/>
    <w:lvl w:ilvl="0">
      <w:lvlJc w:val="left"/>
      <w:lvlText w:val="(%1)"/>
      <w:numFmt w:val="lowerLetter"/>
      <w:start w:val="2"/>
    </w:lvl>
  </w:abstractNum>
  <w:abstractNum w:abstractNumId="17">
    <w:nsid w:val="419AC241"/>
    <w:multiLevelType w:val="hybridMultilevel"/>
    <w:lvl w:ilvl="0">
      <w:lvlJc w:val="left"/>
      <w:lvlText w:val="(%1)"/>
      <w:numFmt w:val="lowerRoman"/>
      <w:start w:val="5"/>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2"/>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2"/>
    </w:lvl>
  </w:abstractNum>
  <w:abstractNum w:abstractNumId="30">
    <w:nsid w:val="153EA438"/>
    <w:multiLevelType w:val="hybridMultilevel"/>
    <w:lvl w:ilvl="0">
      <w:lvlJc w:val="left"/>
      <w:lvlText w:val="(%1)"/>
      <w:numFmt w:val="upperLetter"/>
      <w:start w:val="2"/>
    </w:lvl>
  </w:abstractNum>
  <w:abstractNum w:abstractNumId="31">
    <w:nsid w:val="3855585C"/>
    <w:multiLevelType w:val="hybridMultilevel"/>
    <w:lvl w:ilvl="0">
      <w:lvlJc w:val="left"/>
      <w:lvlText w:val="(%1)"/>
      <w:numFmt w:val="lowerRoman"/>
      <w:start w:val="5"/>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2"/>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2"/>
    </w:lvl>
  </w:abstractNum>
  <w:abstractNum w:abstractNumId="43">
    <w:nsid w:val="38437FDB"/>
    <w:multiLevelType w:val="hybridMultilevel"/>
    <w:lvl w:ilvl="0">
      <w:lvlJc w:val="left"/>
      <w:lvlText w:val="(%1)"/>
      <w:numFmt w:val="lowerLetter"/>
      <w:start w:val="26"/>
    </w:lvl>
  </w:abstractNum>
  <w:abstractNum w:abstractNumId="44">
    <w:nsid w:val="7644A45C"/>
    <w:multiLevelType w:val="hybridMultilevel"/>
    <w:lvl w:ilvl="0">
      <w:lvlJc w:val="left"/>
      <w:lvlText w:val="(%1)"/>
      <w:numFmt w:val="lowerRoman"/>
      <w:start w:val="5"/>
    </w:lvl>
  </w:abstractNum>
  <w:abstractNum w:abstractNumId="45">
    <w:nsid w:val="32FFF902"/>
    <w:multiLevelType w:val="hybridMultilevel"/>
    <w:lvl w:ilvl="0">
      <w:lvlJc w:val="left"/>
      <w:lvlText w:val="(%1)"/>
      <w:numFmt w:val="lowerLetter"/>
      <w:start w:val="3"/>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5"/>
    </w:lvl>
    <w:lvl w:ilvl="1">
      <w:lvlJc w:val="left"/>
      <w:lvlText w:val="%2."/>
      <w:numFmt w:val="lowerLetter"/>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5"/>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9"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81" Type="http://schemas.openxmlformats.org/officeDocument/2006/relationships/image" Target="media/image38.png"/><Relationship Id="rId98" Type="http://schemas.openxmlformats.org/officeDocument/2006/relationships/image" Target="media/image39.png"/><Relationship Id="rId115" Type="http://schemas.openxmlformats.org/officeDocument/2006/relationships/image" Target="media/image40.png"/><Relationship Id="rId128" Type="http://schemas.openxmlformats.org/officeDocument/2006/relationships/image" Target="media/image41.png"/><Relationship Id="rId140" Type="http://schemas.openxmlformats.org/officeDocument/2006/relationships/image" Target="media/image42.png"/><Relationship Id="rId142" Type="http://schemas.openxmlformats.org/officeDocument/2006/relationships/image" Target="media/image43.png"/><Relationship Id="rId143" Type="http://schemas.openxmlformats.org/officeDocument/2006/relationships/image" Target="media/image44.png"/><Relationship Id="rId144" Type="http://schemas.openxmlformats.org/officeDocument/2006/relationships/image" Target="media/image45.png"/><Relationship Id="rId145" Type="http://schemas.openxmlformats.org/officeDocument/2006/relationships/image" Target="media/image46.png"/><Relationship Id="rId146" Type="http://schemas.openxmlformats.org/officeDocument/2006/relationships/image" Target="media/image47.png"/><Relationship Id="rId147" Type="http://schemas.openxmlformats.org/officeDocument/2006/relationships/image" Target="media/image48.png"/><Relationship Id="rId148" Type="http://schemas.openxmlformats.org/officeDocument/2006/relationships/image" Target="media/image49.png"/><Relationship Id="rId149" Type="http://schemas.openxmlformats.org/officeDocument/2006/relationships/image" Target="media/image50.png"/><Relationship Id="rId150" Type="http://schemas.openxmlformats.org/officeDocument/2006/relationships/image" Target="media/image51.png"/><Relationship Id="rId151" Type="http://schemas.openxmlformats.org/officeDocument/2006/relationships/image" Target="media/image52.png"/><Relationship Id="rId152" Type="http://schemas.openxmlformats.org/officeDocument/2006/relationships/image" Target="media/image53.png"/><Relationship Id="rId153" Type="http://schemas.openxmlformats.org/officeDocument/2006/relationships/image" Target="media/image54.png"/><Relationship Id="rId154" Type="http://schemas.openxmlformats.org/officeDocument/2006/relationships/image" Target="media/image55.png"/><Relationship Id="rId155" Type="http://schemas.openxmlformats.org/officeDocument/2006/relationships/image" Target="media/image56.png"/><Relationship Id="rId156" Type="http://schemas.openxmlformats.org/officeDocument/2006/relationships/image" Target="media/image57.png"/><Relationship Id="rId157" Type="http://schemas.openxmlformats.org/officeDocument/2006/relationships/image" Target="media/image58.png"/><Relationship Id="rId158" Type="http://schemas.openxmlformats.org/officeDocument/2006/relationships/image" Target="media/image59.png"/><Relationship Id="rId159" Type="http://schemas.openxmlformats.org/officeDocument/2006/relationships/image" Target="media/image60.png"/><Relationship Id="rId160" Type="http://schemas.openxmlformats.org/officeDocument/2006/relationships/image" Target="media/image61.png"/><Relationship Id="rId161" Type="http://schemas.openxmlformats.org/officeDocument/2006/relationships/image" Target="media/image62.png"/><Relationship Id="rId162" Type="http://schemas.openxmlformats.org/officeDocument/2006/relationships/image" Target="media/image63.png"/><Relationship Id="rId163" Type="http://schemas.openxmlformats.org/officeDocument/2006/relationships/image" Target="media/image64.png"/><Relationship Id="rId164" Type="http://schemas.openxmlformats.org/officeDocument/2006/relationships/image" Target="media/image65.png"/><Relationship Id="rId165" Type="http://schemas.openxmlformats.org/officeDocument/2006/relationships/image" Target="media/image66.png"/><Relationship Id="rId166" Type="http://schemas.openxmlformats.org/officeDocument/2006/relationships/image" Target="media/image67.png"/><Relationship Id="rId167" Type="http://schemas.openxmlformats.org/officeDocument/2006/relationships/image" Target="media/image68.png"/><Relationship Id="rId168" Type="http://schemas.openxmlformats.org/officeDocument/2006/relationships/image" Target="media/image69.png"/><Relationship Id="rId169" Type="http://schemas.openxmlformats.org/officeDocument/2006/relationships/image" Target="media/image70.png"/><Relationship Id="rId170" Type="http://schemas.openxmlformats.org/officeDocument/2006/relationships/image" Target="media/image71.png"/><Relationship Id="rId171" Type="http://schemas.openxmlformats.org/officeDocument/2006/relationships/image" Target="media/image72.png"/><Relationship Id="rId172" Type="http://schemas.openxmlformats.org/officeDocument/2006/relationships/image" Target="media/image73.png"/><Relationship Id="rId173" Type="http://schemas.openxmlformats.org/officeDocument/2006/relationships/image" Target="media/image74.png"/><Relationship Id="rId174" Type="http://schemas.openxmlformats.org/officeDocument/2006/relationships/image" Target="media/image75.png"/><Relationship Id="rId175" Type="http://schemas.openxmlformats.org/officeDocument/2006/relationships/image" Target="media/image76.png"/><Relationship Id="rId176" Type="http://schemas.openxmlformats.org/officeDocument/2006/relationships/image" Target="media/image77.png"/><Relationship Id="rId177" Type="http://schemas.openxmlformats.org/officeDocument/2006/relationships/image" Target="media/image78.png"/><Relationship Id="rId178" Type="http://schemas.openxmlformats.org/officeDocument/2006/relationships/image" Target="media/image79.png"/><Relationship Id="rId179" Type="http://schemas.openxmlformats.org/officeDocument/2006/relationships/image" Target="media/image80.png"/><Relationship Id="rId180" Type="http://schemas.openxmlformats.org/officeDocument/2006/relationships/image" Target="media/image81.png"/><Relationship Id="rId181" Type="http://schemas.openxmlformats.org/officeDocument/2006/relationships/image" Target="media/image82.png"/><Relationship Id="rId182" Type="http://schemas.openxmlformats.org/officeDocument/2006/relationships/image" Target="media/image83.png"/><Relationship Id="rId183" Type="http://schemas.openxmlformats.org/officeDocument/2006/relationships/image" Target="media/image84.png"/><Relationship Id="rId184" Type="http://schemas.openxmlformats.org/officeDocument/2006/relationships/image" Target="media/image85.png"/><Relationship Id="rId185" Type="http://schemas.openxmlformats.org/officeDocument/2006/relationships/image" Target="media/image86.png"/><Relationship Id="rId186" Type="http://schemas.openxmlformats.org/officeDocument/2006/relationships/image" Target="media/image87.png"/><Relationship Id="rId187" Type="http://schemas.openxmlformats.org/officeDocument/2006/relationships/image" Target="media/image88.png"/><Relationship Id="rId188" Type="http://schemas.openxmlformats.org/officeDocument/2006/relationships/image" Target="media/image89.png"/><Relationship Id="rId189" Type="http://schemas.openxmlformats.org/officeDocument/2006/relationships/image" Target="media/image90.png"/><Relationship Id="rId190" Type="http://schemas.openxmlformats.org/officeDocument/2006/relationships/image" Target="media/image91.png"/><Relationship Id="rId191" Type="http://schemas.openxmlformats.org/officeDocument/2006/relationships/image" Target="media/image92.png"/><Relationship Id="rId192" Type="http://schemas.openxmlformats.org/officeDocument/2006/relationships/image" Target="media/image93.png"/><Relationship Id="rId193" Type="http://schemas.openxmlformats.org/officeDocument/2006/relationships/image" Target="media/image94.png"/><Relationship Id="rId194" Type="http://schemas.openxmlformats.org/officeDocument/2006/relationships/image" Target="media/image95.png"/><Relationship Id="rId195" Type="http://schemas.openxmlformats.org/officeDocument/2006/relationships/image" Target="media/image96.png"/><Relationship Id="rId196" Type="http://schemas.openxmlformats.org/officeDocument/2006/relationships/image" Target="media/image97.png"/><Relationship Id="rId197" Type="http://schemas.openxmlformats.org/officeDocument/2006/relationships/image" Target="media/image98.png"/><Relationship Id="rId198" Type="http://schemas.openxmlformats.org/officeDocument/2006/relationships/image" Target="media/image99.png"/><Relationship Id="rId199" Type="http://schemas.openxmlformats.org/officeDocument/2006/relationships/image" Target="media/image100.png"/><Relationship Id="rId200" Type="http://schemas.openxmlformats.org/officeDocument/2006/relationships/image" Target="media/image101.png"/><Relationship Id="rId201" Type="http://schemas.openxmlformats.org/officeDocument/2006/relationships/image" Target="media/image102.png"/><Relationship Id="rId202" Type="http://schemas.openxmlformats.org/officeDocument/2006/relationships/image" Target="media/image103.png"/><Relationship Id="rId203" Type="http://schemas.openxmlformats.org/officeDocument/2006/relationships/image" Target="media/image104.png"/><Relationship Id="rId204" Type="http://schemas.openxmlformats.org/officeDocument/2006/relationships/image" Target="media/image105.png"/><Relationship Id="rId205" Type="http://schemas.openxmlformats.org/officeDocument/2006/relationships/image" Target="media/image106.png"/><Relationship Id="rId206" Type="http://schemas.openxmlformats.org/officeDocument/2006/relationships/image" Target="media/image107.png"/><Relationship Id="rId207" Type="http://schemas.openxmlformats.org/officeDocument/2006/relationships/image" Target="media/image108.png"/><Relationship Id="rId208" Type="http://schemas.openxmlformats.org/officeDocument/2006/relationships/image" Target="media/image109.png"/><Relationship Id="rId209" Type="http://schemas.openxmlformats.org/officeDocument/2006/relationships/image" Target="media/image110.png"/><Relationship Id="rId210" Type="http://schemas.openxmlformats.org/officeDocument/2006/relationships/image" Target="media/image111.png"/><Relationship Id="rId211" Type="http://schemas.openxmlformats.org/officeDocument/2006/relationships/image" Target="media/image112.png"/><Relationship Id="rId212" Type="http://schemas.openxmlformats.org/officeDocument/2006/relationships/image" Target="media/image113.png"/><Relationship Id="rId213" Type="http://schemas.openxmlformats.org/officeDocument/2006/relationships/image" Target="media/image114.png"/><Relationship Id="rId214" Type="http://schemas.openxmlformats.org/officeDocument/2006/relationships/image" Target="media/image115.png"/><Relationship Id="rId215" Type="http://schemas.openxmlformats.org/officeDocument/2006/relationships/image" Target="media/image116.png"/><Relationship Id="rId216" Type="http://schemas.openxmlformats.org/officeDocument/2006/relationships/image" Target="media/image117.png"/><Relationship Id="rId217" Type="http://schemas.openxmlformats.org/officeDocument/2006/relationships/image" Target="media/image118.png"/><Relationship Id="rId218" Type="http://schemas.openxmlformats.org/officeDocument/2006/relationships/image" Target="media/image119.png"/><Relationship Id="rId219" Type="http://schemas.openxmlformats.org/officeDocument/2006/relationships/image" Target="media/image120.png"/><Relationship Id="rId220" Type="http://schemas.openxmlformats.org/officeDocument/2006/relationships/image" Target="media/image121.png"/><Relationship Id="rId221" Type="http://schemas.openxmlformats.org/officeDocument/2006/relationships/image" Target="media/image122.png"/><Relationship Id="rId222" Type="http://schemas.openxmlformats.org/officeDocument/2006/relationships/image" Target="media/image123.png"/><Relationship Id="rId223" Type="http://schemas.openxmlformats.org/officeDocument/2006/relationships/image" Target="media/image124.png"/><Relationship Id="rId224" Type="http://schemas.openxmlformats.org/officeDocument/2006/relationships/image" Target="media/image125.png"/><Relationship Id="rId225" Type="http://schemas.openxmlformats.org/officeDocument/2006/relationships/image" Target="media/image126.png"/><Relationship Id="rId226" Type="http://schemas.openxmlformats.org/officeDocument/2006/relationships/image" Target="media/image127.png"/><Relationship Id="rId227" Type="http://schemas.openxmlformats.org/officeDocument/2006/relationships/image" Target="media/image128.png"/><Relationship Id="rId228" Type="http://schemas.openxmlformats.org/officeDocument/2006/relationships/image" Target="media/image129.png"/><Relationship Id="rId229" Type="http://schemas.openxmlformats.org/officeDocument/2006/relationships/image" Target="media/image130.png"/><Relationship Id="rId230" Type="http://schemas.openxmlformats.org/officeDocument/2006/relationships/image" Target="media/image131.png"/><Relationship Id="rId231" Type="http://schemas.openxmlformats.org/officeDocument/2006/relationships/image" Target="media/image132.png"/><Relationship Id="rId232" Type="http://schemas.openxmlformats.org/officeDocument/2006/relationships/image" Target="media/image133.png"/><Relationship Id="rId233" Type="http://schemas.openxmlformats.org/officeDocument/2006/relationships/image" Target="media/image134.png"/><Relationship Id="rId234" Type="http://schemas.openxmlformats.org/officeDocument/2006/relationships/image" Target="media/image135.png"/><Relationship Id="rId235" Type="http://schemas.openxmlformats.org/officeDocument/2006/relationships/image" Target="media/image136.png"/><Relationship Id="rId236" Type="http://schemas.openxmlformats.org/officeDocument/2006/relationships/image" Target="media/image137.png"/><Relationship Id="rId237" Type="http://schemas.openxmlformats.org/officeDocument/2006/relationships/image" Target="media/image138.png"/><Relationship Id="rId238" Type="http://schemas.openxmlformats.org/officeDocument/2006/relationships/image" Target="media/image139.png"/><Relationship Id="rId239" Type="http://schemas.openxmlformats.org/officeDocument/2006/relationships/image" Target="media/image140.png"/><Relationship Id="rId240" Type="http://schemas.openxmlformats.org/officeDocument/2006/relationships/image" Target="media/image141.png"/><Relationship Id="rId241" Type="http://schemas.openxmlformats.org/officeDocument/2006/relationships/image" Target="media/image142.png"/><Relationship Id="rId242" Type="http://schemas.openxmlformats.org/officeDocument/2006/relationships/image" Target="media/image143.png"/><Relationship Id="rId243" Type="http://schemas.openxmlformats.org/officeDocument/2006/relationships/image" Target="media/image144.png"/><Relationship Id="rId244" Type="http://schemas.openxmlformats.org/officeDocument/2006/relationships/image" Target="media/image145.png"/><Relationship Id="rId245" Type="http://schemas.openxmlformats.org/officeDocument/2006/relationships/image" Target="media/image146.png"/><Relationship Id="rId246" Type="http://schemas.openxmlformats.org/officeDocument/2006/relationships/image" Target="media/image147.png"/><Relationship Id="rId247" Type="http://schemas.openxmlformats.org/officeDocument/2006/relationships/image" Target="media/image148.png"/><Relationship Id="rId248" Type="http://schemas.openxmlformats.org/officeDocument/2006/relationships/image" Target="media/image149.png"/><Relationship Id="rId249" Type="http://schemas.openxmlformats.org/officeDocument/2006/relationships/image" Target="media/image150.png"/><Relationship Id="rId250" Type="http://schemas.openxmlformats.org/officeDocument/2006/relationships/image" Target="media/image151.jpeg"/><Relationship Id="rId251" Type="http://schemas.openxmlformats.org/officeDocument/2006/relationships/image" Target="media/image152.png"/><Relationship Id="rId252" Type="http://schemas.openxmlformats.org/officeDocument/2006/relationships/image" Target="media/image153.png"/><Relationship Id="rId253" Type="http://schemas.openxmlformats.org/officeDocument/2006/relationships/image" Target="media/image154.png"/><Relationship Id="rId254" Type="http://schemas.openxmlformats.org/officeDocument/2006/relationships/image" Target="media/image155.png"/><Relationship Id="rId255" Type="http://schemas.openxmlformats.org/officeDocument/2006/relationships/image" Target="media/image156.png"/><Relationship Id="rId256" Type="http://schemas.openxmlformats.org/officeDocument/2006/relationships/image" Target="media/image157.png"/><Relationship Id="rId257" Type="http://schemas.openxmlformats.org/officeDocument/2006/relationships/image" Target="media/image158.jpeg"/><Relationship Id="rId258" Type="http://schemas.openxmlformats.org/officeDocument/2006/relationships/image" Target="media/image159.png"/><Relationship Id="rId259" Type="http://schemas.openxmlformats.org/officeDocument/2006/relationships/image" Target="media/image160.png"/><Relationship Id="rId260" Type="http://schemas.openxmlformats.org/officeDocument/2006/relationships/image" Target="media/image161.png"/><Relationship Id="rId261" Type="http://schemas.openxmlformats.org/officeDocument/2006/relationships/image" Target="media/image162.png"/><Relationship Id="rId262" Type="http://schemas.openxmlformats.org/officeDocument/2006/relationships/image" Target="media/image163.png"/><Relationship Id="rId263" Type="http://schemas.openxmlformats.org/officeDocument/2006/relationships/image" Target="media/image164.png"/><Relationship Id="rId264" Type="http://schemas.openxmlformats.org/officeDocument/2006/relationships/image" Target="media/image165.png"/><Relationship Id="rId265" Type="http://schemas.openxmlformats.org/officeDocument/2006/relationships/image" Target="media/image166.png"/><Relationship Id="rId266" Type="http://schemas.openxmlformats.org/officeDocument/2006/relationships/image" Target="media/image167.png"/><Relationship Id="rId267" Type="http://schemas.openxmlformats.org/officeDocument/2006/relationships/image" Target="media/image168.png"/><Relationship Id="rId268" Type="http://schemas.openxmlformats.org/officeDocument/2006/relationships/image" Target="media/image169.png"/><Relationship Id="rId269" Type="http://schemas.openxmlformats.org/officeDocument/2006/relationships/image" Target="media/image170.png"/><Relationship Id="rId270" Type="http://schemas.openxmlformats.org/officeDocument/2006/relationships/image" Target="media/image171.png"/><Relationship Id="rId271" Type="http://schemas.openxmlformats.org/officeDocument/2006/relationships/image" Target="media/image172.png"/><Relationship Id="rId272" Type="http://schemas.openxmlformats.org/officeDocument/2006/relationships/image" Target="media/image173.png"/><Relationship Id="rId273" Type="http://schemas.openxmlformats.org/officeDocument/2006/relationships/image" Target="media/image174.png"/><Relationship Id="rId274" Type="http://schemas.openxmlformats.org/officeDocument/2006/relationships/image" Target="media/image175.png"/><Relationship Id="rId275" Type="http://schemas.openxmlformats.org/officeDocument/2006/relationships/image" Target="media/image176.jpeg"/><Relationship Id="rId276" Type="http://schemas.openxmlformats.org/officeDocument/2006/relationships/image" Target="media/image177.png"/><Relationship Id="rId277" Type="http://schemas.openxmlformats.org/officeDocument/2006/relationships/image" Target="media/image178.png"/><Relationship Id="rId278" Type="http://schemas.openxmlformats.org/officeDocument/2006/relationships/image" Target="media/image179.png"/><Relationship Id="rId279" Type="http://schemas.openxmlformats.org/officeDocument/2006/relationships/image" Target="media/image180.png"/><Relationship Id="rId280" Type="http://schemas.openxmlformats.org/officeDocument/2006/relationships/image" Target="media/image181.png"/><Relationship Id="rId281" Type="http://schemas.openxmlformats.org/officeDocument/2006/relationships/image" Target="media/image182.png"/><Relationship Id="rId282" Type="http://schemas.openxmlformats.org/officeDocument/2006/relationships/image" Target="media/image183.png"/><Relationship Id="rId283" Type="http://schemas.openxmlformats.org/officeDocument/2006/relationships/image" Target="media/image184.png"/><Relationship Id="rId284" Type="http://schemas.openxmlformats.org/officeDocument/2006/relationships/image" Target="media/image185.png"/><Relationship Id="rId285" Type="http://schemas.openxmlformats.org/officeDocument/2006/relationships/image" Target="media/image186.jpeg"/><Relationship Id="rId286" Type="http://schemas.openxmlformats.org/officeDocument/2006/relationships/image" Target="media/image187.png"/><Relationship Id="rId287" Type="http://schemas.openxmlformats.org/officeDocument/2006/relationships/image" Target="media/image188.png"/><Relationship Id="rId288" Type="http://schemas.openxmlformats.org/officeDocument/2006/relationships/image" Target="media/image189.png"/><Relationship Id="rId289" Type="http://schemas.openxmlformats.org/officeDocument/2006/relationships/image" Target="media/image190.png"/><Relationship Id="rId290" Type="http://schemas.openxmlformats.org/officeDocument/2006/relationships/image" Target="media/image191.png"/><Relationship Id="rId291" Type="http://schemas.openxmlformats.org/officeDocument/2006/relationships/image" Target="media/image192.png"/><Relationship Id="rId292" Type="http://schemas.openxmlformats.org/officeDocument/2006/relationships/image" Target="media/image193.png"/><Relationship Id="rId293" Type="http://schemas.openxmlformats.org/officeDocument/2006/relationships/image" Target="media/image194.png"/><Relationship Id="rId294" Type="http://schemas.openxmlformats.org/officeDocument/2006/relationships/image" Target="media/image195.png"/><Relationship Id="rId295" Type="http://schemas.openxmlformats.org/officeDocument/2006/relationships/image" Target="media/image196.png"/><Relationship Id="rId296" Type="http://schemas.openxmlformats.org/officeDocument/2006/relationships/image" Target="media/image197.png"/><Relationship Id="rId297" Type="http://schemas.openxmlformats.org/officeDocument/2006/relationships/image" Target="media/image198.png"/><Relationship Id="rId298" Type="http://schemas.openxmlformats.org/officeDocument/2006/relationships/image" Target="media/image199.png"/><Relationship Id="rId299" Type="http://schemas.openxmlformats.org/officeDocument/2006/relationships/image" Target="media/image200.png"/><Relationship Id="rId300" Type="http://schemas.openxmlformats.org/officeDocument/2006/relationships/image" Target="media/image201.png"/><Relationship Id="rId301" Type="http://schemas.openxmlformats.org/officeDocument/2006/relationships/image" Target="media/image202.png"/><Relationship Id="rId302" Type="http://schemas.openxmlformats.org/officeDocument/2006/relationships/image" Target="media/image203.png"/><Relationship Id="rId303" Type="http://schemas.openxmlformats.org/officeDocument/2006/relationships/image" Target="media/image204.png"/><Relationship Id="rId304" Type="http://schemas.openxmlformats.org/officeDocument/2006/relationships/image" Target="media/image205.png"/><Relationship Id="rId305" Type="http://schemas.openxmlformats.org/officeDocument/2006/relationships/image" Target="media/image206.jpeg"/><Relationship Id="rId306" Type="http://schemas.openxmlformats.org/officeDocument/2006/relationships/image" Target="media/image207.png"/><Relationship Id="rId307" Type="http://schemas.openxmlformats.org/officeDocument/2006/relationships/image" Target="media/image208.png"/><Relationship Id="rId308" Type="http://schemas.openxmlformats.org/officeDocument/2006/relationships/image" Target="media/image209.png"/><Relationship Id="rId309" Type="http://schemas.openxmlformats.org/officeDocument/2006/relationships/image" Target="media/image210.png"/><Relationship Id="rId310" Type="http://schemas.openxmlformats.org/officeDocument/2006/relationships/image" Target="media/image211.jpeg"/><Relationship Id="rId311" Type="http://schemas.openxmlformats.org/officeDocument/2006/relationships/image" Target="media/image212.png"/><Relationship Id="rId312" Type="http://schemas.openxmlformats.org/officeDocument/2006/relationships/image" Target="media/image213.png"/><Relationship Id="rId313" Type="http://schemas.openxmlformats.org/officeDocument/2006/relationships/image" Target="media/image214.png"/><Relationship Id="rId314" Type="http://schemas.openxmlformats.org/officeDocument/2006/relationships/image" Target="media/image215.png"/><Relationship Id="rId315" Type="http://schemas.openxmlformats.org/officeDocument/2006/relationships/image" Target="media/image216.png"/><Relationship Id="rId316" Type="http://schemas.openxmlformats.org/officeDocument/2006/relationships/image" Target="media/image217.png"/><Relationship Id="rId317" Type="http://schemas.openxmlformats.org/officeDocument/2006/relationships/image" Target="media/image218.png"/><Relationship Id="rId318" Type="http://schemas.openxmlformats.org/officeDocument/2006/relationships/image" Target="media/image219.png"/><Relationship Id="rId319" Type="http://schemas.openxmlformats.org/officeDocument/2006/relationships/image" Target="media/image220.png"/><Relationship Id="rId320" Type="http://schemas.openxmlformats.org/officeDocument/2006/relationships/image" Target="media/image221.png"/><Relationship Id="rId321" Type="http://schemas.openxmlformats.org/officeDocument/2006/relationships/image" Target="media/image222.jpeg"/><Relationship Id="rId322" Type="http://schemas.openxmlformats.org/officeDocument/2006/relationships/image" Target="media/image223.png"/><Relationship Id="rId323" Type="http://schemas.openxmlformats.org/officeDocument/2006/relationships/image" Target="media/image224.png"/><Relationship Id="rId324" Type="http://schemas.openxmlformats.org/officeDocument/2006/relationships/image" Target="media/image225.png"/><Relationship Id="rId325" Type="http://schemas.openxmlformats.org/officeDocument/2006/relationships/image" Target="media/image226.png"/><Relationship Id="rId326" Type="http://schemas.openxmlformats.org/officeDocument/2006/relationships/image" Target="media/image227.png"/><Relationship Id="rId327" Type="http://schemas.openxmlformats.org/officeDocument/2006/relationships/image" Target="media/image228.png"/><Relationship Id="rId328" Type="http://schemas.openxmlformats.org/officeDocument/2006/relationships/image" Target="media/image229.png"/><Relationship Id="rId329" Type="http://schemas.openxmlformats.org/officeDocument/2006/relationships/image" Target="media/image230.png"/><Relationship Id="rId330" Type="http://schemas.openxmlformats.org/officeDocument/2006/relationships/image" Target="media/image231.png"/><Relationship Id="rId331" Type="http://schemas.openxmlformats.org/officeDocument/2006/relationships/image" Target="media/image232.png"/><Relationship Id="rId332" Type="http://schemas.openxmlformats.org/officeDocument/2006/relationships/image" Target="media/image233.png"/><Relationship Id="rId333" Type="http://schemas.openxmlformats.org/officeDocument/2006/relationships/image" Target="media/image234.png"/><Relationship Id="rId334" Type="http://schemas.openxmlformats.org/officeDocument/2006/relationships/image" Target="media/image235.png"/><Relationship Id="rId335" Type="http://schemas.openxmlformats.org/officeDocument/2006/relationships/image" Target="media/image236.png"/><Relationship Id="rId336" Type="http://schemas.openxmlformats.org/officeDocument/2006/relationships/image" Target="media/image237.png"/><Relationship Id="rId337" Type="http://schemas.openxmlformats.org/officeDocument/2006/relationships/image" Target="media/image238.png"/><Relationship Id="rId338" Type="http://schemas.openxmlformats.org/officeDocument/2006/relationships/image" Target="media/image239.png"/><Relationship Id="rId339" Type="http://schemas.openxmlformats.org/officeDocument/2006/relationships/image" Target="media/image240.png"/><Relationship Id="rId340" Type="http://schemas.openxmlformats.org/officeDocument/2006/relationships/image" Target="media/image241.png"/><Relationship Id="rId341" Type="http://schemas.openxmlformats.org/officeDocument/2006/relationships/image" Target="media/image242.png"/><Relationship Id="rId342" Type="http://schemas.openxmlformats.org/officeDocument/2006/relationships/image" Target="media/image243.png"/><Relationship Id="rId343" Type="http://schemas.openxmlformats.org/officeDocument/2006/relationships/image" Target="media/image244.png"/><Relationship Id="rId344" Type="http://schemas.openxmlformats.org/officeDocument/2006/relationships/image" Target="media/image245.png"/><Relationship Id="rId345" Type="http://schemas.openxmlformats.org/officeDocument/2006/relationships/image" Target="media/image246.png"/><Relationship Id="rId346" Type="http://schemas.openxmlformats.org/officeDocument/2006/relationships/image" Target="media/image247.png"/><Relationship Id="rId347" Type="http://schemas.openxmlformats.org/officeDocument/2006/relationships/image" Target="media/image248.png"/><Relationship Id="rId348" Type="http://schemas.openxmlformats.org/officeDocument/2006/relationships/image" Target="media/image249.png"/><Relationship Id="rId349" Type="http://schemas.openxmlformats.org/officeDocument/2006/relationships/image" Target="media/image250.png"/><Relationship Id="rId350" Type="http://schemas.openxmlformats.org/officeDocument/2006/relationships/image" Target="media/image251.png"/><Relationship Id="rId351" Type="http://schemas.openxmlformats.org/officeDocument/2006/relationships/image" Target="media/image252.png"/><Relationship Id="rId352" Type="http://schemas.openxmlformats.org/officeDocument/2006/relationships/image" Target="media/image253.png"/><Relationship Id="rId353" Type="http://schemas.openxmlformats.org/officeDocument/2006/relationships/image" Target="media/image254.png"/><Relationship Id="rId354" Type="http://schemas.openxmlformats.org/officeDocument/2006/relationships/image" Target="media/image255.png"/><Relationship Id="rId355" Type="http://schemas.openxmlformats.org/officeDocument/2006/relationships/image" Target="media/image256.png"/><Relationship Id="rId356" Type="http://schemas.openxmlformats.org/officeDocument/2006/relationships/image" Target="media/image257.png"/><Relationship Id="rId357" Type="http://schemas.openxmlformats.org/officeDocument/2006/relationships/image" Target="media/image258.png"/><Relationship Id="rId358" Type="http://schemas.openxmlformats.org/officeDocument/2006/relationships/image" Target="media/image259.png"/><Relationship Id="rId359" Type="http://schemas.openxmlformats.org/officeDocument/2006/relationships/image" Target="media/image260.png"/><Relationship Id="rId360" Type="http://schemas.openxmlformats.org/officeDocument/2006/relationships/image" Target="media/image261.png"/><Relationship Id="rId361" Type="http://schemas.openxmlformats.org/officeDocument/2006/relationships/image" Target="media/image262.png"/><Relationship Id="rId362" Type="http://schemas.openxmlformats.org/officeDocument/2006/relationships/image" Target="media/image263.jpeg"/><Relationship Id="rId363" Type="http://schemas.openxmlformats.org/officeDocument/2006/relationships/image" Target="media/image264.png"/><Relationship Id="rId41" Type="http://schemas.openxmlformats.org/officeDocument/2006/relationships/hyperlink" Target="https://www.sec.gov/Archives/edgar/data/1305014/000095015714000168/ex2-1.htm" TargetMode="External"/><Relationship Id="rId42" Type="http://schemas.openxmlformats.org/officeDocument/2006/relationships/hyperlink" Target="https://www.sec.gov/Archives/edgar/data/1305014/000114036114016654/ex2_1.htm" TargetMode="External"/><Relationship Id="rId43" Type="http://schemas.openxmlformats.org/officeDocument/2006/relationships/hyperlink" Target="https://www.sec.gov/Archives/edgar/data/1305014/000130501416000155/ex2-1.htm" TargetMode="External"/><Relationship Id="rId44" Type="http://schemas.openxmlformats.org/officeDocument/2006/relationships/hyperlink" Target="https://www.sec.gov/Archives/edgar/data/1674862/000119312518331340/d653933dex21.htm" TargetMode="External"/><Relationship Id="rId45" Type="http://schemas.openxmlformats.org/officeDocument/2006/relationships/hyperlink" Target="https://www.sec.gov/Archives/edgar/data/1674862/000119312519190623/d752828dex21.htm" TargetMode="External"/><Relationship Id="rId46" Type="http://schemas.openxmlformats.org/officeDocument/2006/relationships/hyperlink" Target="https://www.sec.gov/Archives/edgar/data/1674862/000156459019028139/ash-ex21_7.htm" TargetMode="External"/><Relationship Id="rId47" Type="http://schemas.openxmlformats.org/officeDocument/2006/relationships/hyperlink" Target="https://www.sec.gov/Archives/edgar/data/0001674862/000156459020033450/ash-ex21_6.htm" TargetMode="External"/><Relationship Id="rId48" Type="http://schemas.openxmlformats.org/officeDocument/2006/relationships/hyperlink" Target="https://www.sec.gov/Archives/edgar/data/1674862/000119312521014797/d80286dex21.htm" TargetMode="External"/><Relationship Id="rId50" Type="http://schemas.openxmlformats.org/officeDocument/2006/relationships/hyperlink" Target="https://www.sec.gov/Archives/edgar/data/1674862/000095017021000603/ash-20210630ex2_2.htm" TargetMode="External"/><Relationship Id="rId51" Type="http://schemas.openxmlformats.org/officeDocument/2006/relationships/hyperlink" Target="https://www.sec.gov/Archives/edgar/data/1674862/000095015721000909/ex2-1.htm" TargetMode="External"/><Relationship Id="rId52" Type="http://schemas.openxmlformats.org/officeDocument/2006/relationships/hyperlink" Target="https://www.sec.gov/Archives/edgar/data/1674862/000095015722000200/ex2-1.htm" TargetMode="External"/><Relationship Id="rId53" Type="http://schemas.openxmlformats.org/officeDocument/2006/relationships/hyperlink" Target="https://www.sec.gov/Archives/edgar/data/1674862/000095015717000674/ex2-1.htm" TargetMode="External"/><Relationship Id="rId54" Type="http://schemas.openxmlformats.org/officeDocument/2006/relationships/hyperlink" Target="https://www.sec.gov/Archives/edgar/data/1674862/000095015717000674/ex2-2.htm" TargetMode="External"/><Relationship Id="rId55" Type="http://schemas.openxmlformats.org/officeDocument/2006/relationships/hyperlink" Target="https://www.sec.gov/Archives/edgar/data/1674862/000167486217000090/a9302017exhibit1084.htm" TargetMode="External"/><Relationship Id="rId56" Type="http://schemas.openxmlformats.org/officeDocument/2006/relationships/hyperlink" Target="https://www.sec.gov/Archives/edgar/data/1674862/000119312516714093/d246354dex31.htm" TargetMode="External"/><Relationship Id="rId57" Type="http://schemas.openxmlformats.org/officeDocument/2006/relationships/hyperlink" Target="https://www.sec.gov/Archives/edgar/data/1674862/000167486217000083/ex3_1.htm" TargetMode="External"/><Relationship Id="rId58" Type="http://schemas.openxmlformats.org/officeDocument/2006/relationships/hyperlink" Target="https://www.sec.gov/Archives/edgar/data/1674862/000095017022018687/ash-ex3_1.htm" TargetMode="External"/><Relationship Id="rId59" Type="http://schemas.openxmlformats.org/officeDocument/2006/relationships/hyperlink" Target="https://www.sec.gov/Archives/edgar/data/1305014/000119312513077448/d491459dex43.htm" TargetMode="External"/><Relationship Id="rId60" Type="http://schemas.openxmlformats.org/officeDocument/2006/relationships/hyperlink" Target="https://www.sec.gov/Archives/edgar/data/1305014/000119312513077448/d491459dex44.htm" TargetMode="External"/><Relationship Id="rId61" Type="http://schemas.openxmlformats.org/officeDocument/2006/relationships/hyperlink" Target="https://www.sec.gov/Archives/edgar/data/1305014/000095015713000133/ex4-2.htm" TargetMode="External"/><Relationship Id="rId62" Type="http://schemas.openxmlformats.org/officeDocument/2006/relationships/hyperlink" Target="https://www.sec.gov/Archives/edgar/data/1674862/000095017022025539/ash-ex4_12.htm" TargetMode="External"/><Relationship Id="rId66" Type="http://schemas.openxmlformats.org/officeDocument/2006/relationships/hyperlink" Target="https://www.sec.gov/Archives/edgar/data/1674862/000119312516742818/d272512dex42.htm" TargetMode="External"/><Relationship Id="rId67" Type="http://schemas.openxmlformats.org/officeDocument/2006/relationships/hyperlink" Target="https://www.sec.gov/Archives/edgar/data/1674862/000095017022025539/ash-ex4_14.htm" TargetMode="External"/><Relationship Id="rId68" Type="http://schemas.openxmlformats.org/officeDocument/2006/relationships/hyperlink" Target="https://www.sec.gov/Archives/edgar/data/1674862/000095015720000093/ex4-1.htm" TargetMode="External"/><Relationship Id="rId69" Type="http://schemas.openxmlformats.org/officeDocument/2006/relationships/hyperlink" Target="https://www.sec.gov/Archives/edgar/data/0001674862/000156459019044315/ash-ex414_230.htm" TargetMode="External"/><Relationship Id="rId70" Type="http://schemas.openxmlformats.org/officeDocument/2006/relationships/hyperlink" Target="https://www.sec.gov/Archives/edgar/data/0001674862/000156459019044315/ash-ex414_228.htm" TargetMode="External"/><Relationship Id="rId71" Type="http://schemas.openxmlformats.org/officeDocument/2006/relationships/hyperlink" Target="https://www.sec.gov/ix?doc=/Archives/edgar/data/0001674862/000095017024128009/ash-20240930.htm" TargetMode="External"/><Relationship Id="rId72" Type="http://schemas.openxmlformats.org/officeDocument/2006/relationships/hyperlink" Target="https://www.sec.gov/Archives/edgar/data/1674862/000095015721000851/ex4-1.htm" TargetMode="External"/><Relationship Id="rId73" Type="http://schemas.openxmlformats.org/officeDocument/2006/relationships/hyperlink" Target="https://www.sec.gov/Archives/edgar/data/1305014/000130501408000364/ex10-4dirdcp.htm" TargetMode="External"/><Relationship Id="rId74" Type="http://schemas.openxmlformats.org/officeDocument/2006/relationships/hyperlink" Target="https://www.sec.gov/Archives/edgar/data/1305014/000130501415000033/a3312015exhibit104.htm" TargetMode="External"/><Relationship Id="rId75" Type="http://schemas.openxmlformats.org/officeDocument/2006/relationships/hyperlink" Target="https://www.sec.gov/Archives/edgar/data/1674862/000167486217000006/a12312016exhibit104.htm" TargetMode="External"/><Relationship Id="rId76" Type="http://schemas.openxmlformats.org/officeDocument/2006/relationships/hyperlink" Target="https://www.sec.gov/Archives/edgar/data/1305014/000130501408000364/ex103eedcp.htm" TargetMode="External"/><Relationship Id="rId77" Type="http://schemas.openxmlformats.org/officeDocument/2006/relationships/hyperlink" Target="https://www.sec.gov/Archives/edgar/data/1674862/000156459019027524/ash-ex101_32.htm" TargetMode="External"/><Relationship Id="rId78" Type="http://schemas.openxmlformats.org/officeDocument/2006/relationships/hyperlink" Target="https://www.sec.gov/Archives/edgar/data/1674862/000156459019027524/ash-ex102_31.htm" TargetMode="External"/><Relationship Id="rId79" Type="http://schemas.openxmlformats.org/officeDocument/2006/relationships/hyperlink" Target="https://www.sec.gov/Archives/edgar/data/1305014/000130501411000034/ex103.htm" TargetMode="External"/><Relationship Id="rId80" Type="http://schemas.openxmlformats.org/officeDocument/2006/relationships/hyperlink" Target="https://www.sec.gov/Archives/edgar/data/1305014/000130501413000021/ex102.htm" TargetMode="External"/><Relationship Id="rId82" Type="http://schemas.openxmlformats.org/officeDocument/2006/relationships/hyperlink" Target="https://www.sec.gov/Archives/edgar/data/1674862/000167486216000008/a9302016exhibit1021.htm" TargetMode="External"/><Relationship Id="rId83" Type="http://schemas.openxmlformats.org/officeDocument/2006/relationships/hyperlink" Target="https://www.sec.gov/Archives/edgar/data/1305014/000130501414000097/a9302014exhibit1016.htm" TargetMode="External"/><Relationship Id="rId84" Type="http://schemas.openxmlformats.org/officeDocument/2006/relationships/hyperlink" Target="https://www.sec.gov/Archives/edgar/data/1674862/000167486216000008/a9302016exhibit1039.htm" TargetMode="External"/><Relationship Id="rId85" Type="http://schemas.openxmlformats.org/officeDocument/2006/relationships/hyperlink" Target="https://www.sec.gov/Archives/edgar/data/1674862/000119312516714093/d246354dex102.htm" TargetMode="External"/><Relationship Id="rId86" Type="http://schemas.openxmlformats.org/officeDocument/2006/relationships/hyperlink" Target="https://www.sec.gov/Archives/edgar/data/1674862/000167486216000008/a9302016exhibit1059.htm" TargetMode="External"/><Relationship Id="rId87" Type="http://schemas.openxmlformats.org/officeDocument/2006/relationships/hyperlink" Target="https://www.sec.gov/Archives/edgar/data/1305014/000130501410000079/dcplan.htm" TargetMode="External"/><Relationship Id="rId88" Type="http://schemas.openxmlformats.org/officeDocument/2006/relationships/hyperlink" Target="https://www.sec.gov/Archives/edgar/data/1674862/000167486216000008/a9302016exhibit1061.htm" TargetMode="External"/><Relationship Id="rId89" Type="http://schemas.openxmlformats.org/officeDocument/2006/relationships/hyperlink" Target="https://www.sec.gov/Archives/edgar/data/1674862/000167486218000003/ex10-1.htm" TargetMode="External"/><Relationship Id="rId90" Type="http://schemas.openxmlformats.org/officeDocument/2006/relationships/hyperlink" Target="https://www.sec.gov/Archives/edgar/data/1674862/000167486218000003/ex10-2.htm" TargetMode="External"/><Relationship Id="rId91" Type="http://schemas.openxmlformats.org/officeDocument/2006/relationships/hyperlink" Target="https://www.sec.gov/Archives/edgar/data/1674862/000167486218000003/ex10-3.htm" TargetMode="External"/><Relationship Id="rId92" Type="http://schemas.openxmlformats.org/officeDocument/2006/relationships/hyperlink" Target="https://www.sec.gov/Archives/edgar/data/1674862/000167486218000003/ex10-4.htm" TargetMode="External"/><Relationship Id="rId93" Type="http://schemas.openxmlformats.org/officeDocument/2006/relationships/hyperlink" Target="https://www.sec.gov/Archives/edgar/data/1674862/000167486218000003/ex10-5.htm" TargetMode="External"/><Relationship Id="rId94" Type="http://schemas.openxmlformats.org/officeDocument/2006/relationships/hyperlink" Target="https://www.sec.gov/Archives/edgar/data/1674862/000167486218000003/ex10-6.htm" TargetMode="External"/><Relationship Id="rId95" Type="http://schemas.openxmlformats.org/officeDocument/2006/relationships/hyperlink" Target="https://www.sec.gov/Archives/edgar/data/1674862/000156459019027524/ash-ex103_30.htm" TargetMode="External"/><Relationship Id="rId96" Type="http://schemas.openxmlformats.org/officeDocument/2006/relationships/hyperlink" Target="https://www.sec.gov/Archives/edgar/data/0001674862/000156459019044315/ash-ex1039_425.htm" TargetMode="External"/><Relationship Id="rId97" Type="http://schemas.openxmlformats.org/officeDocument/2006/relationships/hyperlink" Target="https://www.sec.gov/Archives/edgar/data/1674862/000156459019027524/ash-ex105_28.htm" TargetMode="External"/><Relationship Id="rId99" Type="http://schemas.openxmlformats.org/officeDocument/2006/relationships/hyperlink" Target="https://www.sec.gov/Archives/edgar/data/1674862/000156459019027524/ash-ex106_27.htm" TargetMode="External"/><Relationship Id="rId100" Type="http://schemas.openxmlformats.org/officeDocument/2006/relationships/hyperlink" Target="https://www.sec.gov/Archives/edgar/data/1674862/000156459019027524/ash-ex107_33.htm" TargetMode="External"/><Relationship Id="rId101" Type="http://schemas.openxmlformats.org/officeDocument/2006/relationships/hyperlink" Target="https://www.sec.gov/Archives/edgar/data/1674862/000156459019027524/ash-ex108_26.htm" TargetMode="External"/><Relationship Id="rId102" Type="http://schemas.openxmlformats.org/officeDocument/2006/relationships/hyperlink" Target="https://www.sec.gov/Archives/edgar/data/1674862/000095015719001178/ex10-1.htm" TargetMode="External"/><Relationship Id="rId103" Type="http://schemas.openxmlformats.org/officeDocument/2006/relationships/hyperlink" Target="https://www.sec.gov/Archives/edgar/data/1674862/000156459021004018/ash-ex101_6.htm" TargetMode="External"/><Relationship Id="rId104" Type="http://schemas.openxmlformats.org/officeDocument/2006/relationships/hyperlink" Target="https://www.sec.gov/Archives/edgar/data/1674862/000156459021004018/ash-ex102_8.htm" TargetMode="External"/><Relationship Id="rId105" Type="http://schemas.openxmlformats.org/officeDocument/2006/relationships/hyperlink" Target="https://www.sec.gov/Archives/edgar/data/1674862/000156459021004018/ash-ex103_9.htm" TargetMode="External"/><Relationship Id="rId106" Type="http://schemas.openxmlformats.org/officeDocument/2006/relationships/hyperlink" Target="https://www.sec.gov/Archives/edgar/data/1674862/000156459021004018/ash-ex104_10.htm" TargetMode="External"/><Relationship Id="rId107" Type="http://schemas.openxmlformats.org/officeDocument/2006/relationships/hyperlink" Target="https://www.sec.gov/Archives/edgar/data/1674862/000156459021004018/ash-ex105_7.htm" TargetMode="External"/><Relationship Id="rId108" Type="http://schemas.openxmlformats.org/officeDocument/2006/relationships/hyperlink" Target="https://www.sec.gov/Archives/edgar/data/1674862/000156459021004018/ash-ex106_11.htm" TargetMode="External"/><Relationship Id="rId109" Type="http://schemas.openxmlformats.org/officeDocument/2006/relationships/hyperlink" Target="https://www.sec.gov/Archives/edgar/data/1674862/000095017021001020/ash-20210803ex10_2.htm" TargetMode="External"/><Relationship Id="rId110" Type="http://schemas.openxmlformats.org/officeDocument/2006/relationships/hyperlink" Target="https://www.sec.gov/Archives/edgar/data/1674862/000095017021001020/ash-20210803ex10_3.htm" TargetMode="External"/><Relationship Id="rId111" Type="http://schemas.openxmlformats.org/officeDocument/2006/relationships/hyperlink" Target="https://www.sec.gov/Archives/edgar/data/1674862/000095017021001020/ash-20210803ex10_4.htm" TargetMode="External"/><Relationship Id="rId112" Type="http://schemas.openxmlformats.org/officeDocument/2006/relationships/hyperlink" Target="https://www.sec.gov/Archives/edgar/data/1674862/000095017021001020/ash-20210803ex10_5.htm" TargetMode="External"/><Relationship Id="rId113" Type="http://schemas.openxmlformats.org/officeDocument/2006/relationships/hyperlink" Target="https://www.sec.gov/Archives/edgar/data/1674862/000095017021001020/ash-20210803ex10_6.htm" TargetMode="External"/><Relationship Id="rId114" Type="http://schemas.openxmlformats.org/officeDocument/2006/relationships/hyperlink" Target="https://www.sec.gov/Archives/edgar/data/1674862/000095017021001020/ash-20210803ex10_7.htm" TargetMode="External"/><Relationship Id="rId116" Type="http://schemas.openxmlformats.org/officeDocument/2006/relationships/hyperlink" Target="https://www.sec.gov/Archives/edgar/data/1674862/000095017021004843/ash-ex10_69.htm" TargetMode="External"/><Relationship Id="rId117" Type="http://schemas.openxmlformats.org/officeDocument/2006/relationships/hyperlink" Target="https://www.sec.gov/Archives/edgar/data/1674862/000095017022025539/ash-ex10_60.htm" TargetMode="External"/><Relationship Id="rId118" Type="http://schemas.openxmlformats.org/officeDocument/2006/relationships/hyperlink" Target="https://www.sec.gov/Archives/edgar/data/1674862/000095017022025539/ash-ex10_61.htm" TargetMode="External"/><Relationship Id="rId119" Type="http://schemas.openxmlformats.org/officeDocument/2006/relationships/hyperlink" Target="https://www.sec.gov/Archives/edgar/data/1674862/000095017022025539/ash-ex10_62.htm" TargetMode="External"/><Relationship Id="rId120" Type="http://schemas.openxmlformats.org/officeDocument/2006/relationships/hyperlink" Target="https://www.sec.gov/Archives/edgar/data/1674862/000095017022025539/ash-ex10_63.htm" TargetMode="External"/><Relationship Id="rId121" Type="http://schemas.openxmlformats.org/officeDocument/2006/relationships/hyperlink" Target="https://www.sec.gov/Archives/edgar/data/1674862/000095017022025539/ash-ex10_64.htm" TargetMode="External"/><Relationship Id="rId122" Type="http://schemas.openxmlformats.org/officeDocument/2006/relationships/hyperlink" Target="https://www.sec.gov/Archives/edgar/data/1674862/000095017022025539/ash-ex10_65.htm" TargetMode="External"/><Relationship Id="rId123" Type="http://schemas.openxmlformats.org/officeDocument/2006/relationships/hyperlink" Target="https://www.sec.gov/Archives/edgar/data/1674862/000095017022025539/ash-ex10_66.htm" TargetMode="External"/><Relationship Id="rId124" Type="http://schemas.openxmlformats.org/officeDocument/2006/relationships/hyperlink" Target="https://www.sec.gov/Archives/edgar/data/1674862/000095017022025539/ash-ex10_67.htm" TargetMode="External"/><Relationship Id="rId125" Type="http://schemas.openxmlformats.org/officeDocument/2006/relationships/hyperlink" Target="https://www.sec.gov/Archives/edgar/data/1674862/000095015720000057/ex10-1.htm" TargetMode="External"/><Relationship Id="rId126" Type="http://schemas.openxmlformats.org/officeDocument/2006/relationships/hyperlink" Target="https://www.sec.gov/Archives/edgar/data/1674862/000095015722000804/ex10-1.htm" TargetMode="External"/><Relationship Id="rId127" Type="http://schemas.openxmlformats.org/officeDocument/2006/relationships/hyperlink" Target="https://www.sec.gov/Archives/edgar/data/1674862/000156459021014162/ash-ex101_7.htm" TargetMode="External"/><Relationship Id="rId129" Type="http://schemas.openxmlformats.org/officeDocument/2006/relationships/hyperlink" Target="https://www.sec.gov/Archives/edgar/data/1674862/000156459021014162/ash-ex102_8.htm" TargetMode="External"/><Relationship Id="rId130" Type="http://schemas.openxmlformats.org/officeDocument/2006/relationships/hyperlink" Target="https://www.sec.gov/Archives/edgar/data/1674862/000095017022002325/ash-ex10_1.htm" TargetMode="External"/><Relationship Id="rId131" Type="http://schemas.openxmlformats.org/officeDocument/2006/relationships/hyperlink" Target="https://www.sec.gov/Archives/edgar/data/1674862/000095017022002325/ash-ex10_2.htm" TargetMode="External"/><Relationship Id="rId132" Type="http://schemas.openxmlformats.org/officeDocument/2006/relationships/hyperlink" Target="https://www.sec.gov/Archives/edgar/data/1674862/000095017022025539/ash-ex10_74.htm" TargetMode="External"/><Relationship Id="rId133" Type="http://schemas.openxmlformats.org/officeDocument/2006/relationships/hyperlink" Target="https://www.sec.gov/Archives/edgar/data/1674862/000095017022025539/ash-ex10_75.htm" TargetMode="External"/><Relationship Id="rId134" Type="http://schemas.openxmlformats.org/officeDocument/2006/relationships/hyperlink" Target="https://www.sec.gov/Archives/edgar/data/1674862/000119312516714093/d246354dex101.htm" TargetMode="External"/><Relationship Id="rId135" Type="http://schemas.openxmlformats.org/officeDocument/2006/relationships/hyperlink" Target="https://www.sec.gov/Archives/edgar/data/1305014/000119312516723813/d258812dex101.htm" TargetMode="External"/><Relationship Id="rId136" Type="http://schemas.openxmlformats.org/officeDocument/2006/relationships/hyperlink" Target="https://www.sec.gov/Archives/edgar/data/1305014/000119312516723813/d258812dex104.htm" TargetMode="External"/><Relationship Id="rId137" Type="http://schemas.openxmlformats.org/officeDocument/2006/relationships/hyperlink" Target="https://www.sec.gov/Archives/edgar/data/1305014/000119312516723813/d258812dex105.htm" TargetMode="External"/><Relationship Id="rId138" Type="http://schemas.openxmlformats.org/officeDocument/2006/relationships/hyperlink" Target="https://www.sec.gov/Archives/edgar/data/1674862/000095015721000976/ex10-1.htm" TargetMode="External"/><Relationship Id="rId139" Type="http://schemas.openxmlformats.org/officeDocument/2006/relationships/hyperlink" Target="https://www.sec.gov/Archives/edgar/data/1674862/000095017022000723/ash-ex10_1.htm" TargetMode="External"/><Relationship Id="rId141" Type="http://schemas.openxmlformats.org/officeDocument/2006/relationships/hyperlink" Target="https://www.sec.gov/ix?doc=/Archives/edgar/data/0001674862/000095017024106894/ash-202409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2025-11-20T12:01:32Z</dcterms:created>
  <dcterms:modified xsi:type="dcterms:W3CDTF">2025-11-20T12:01:32Z</dcterms:modified>
</cp:coreProperties>
</file>