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36" w:lineRule="exact"/>
        <w:rPr>
          <w:sz w:val="24"/>
          <w:szCs w:val="24"/>
          <w:color w:val="auto"/>
        </w:rPr>
      </w:pPr>
    </w:p>
    <w:p>
      <w:pPr>
        <w:ind w:left="460" w:right="240" w:hanging="452"/>
        <w:spacing w:after="0" w:line="262"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460" w:right="2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42" w:lineRule="exact"/>
        <w:rPr>
          <w:sz w:val="24"/>
          <w:szCs w:val="24"/>
          <w:color w:val="auto"/>
        </w:rPr>
      </w:pPr>
    </w:p>
    <w:tbl>
      <w:tblPr>
        <w:tblLayout w:type="fixed"/>
        <w:tblInd w:w="38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720" w:type="dxa"/>
            <w:vAlign w:val="bottom"/>
            <w:tcBorders>
              <w:bottom w:val="single" w:sz="8" w:color="auto"/>
            </w:tcBorders>
            <w:gridSpan w:val="2"/>
          </w:tcPr>
          <w:p>
            <w:pPr>
              <w:spacing w:after="0"/>
              <w:rPr>
                <w:sz w:val="17"/>
                <w:szCs w:val="17"/>
                <w:color w:val="auto"/>
              </w:rPr>
            </w:pPr>
          </w:p>
        </w:tc>
        <w:tc>
          <w:tcPr>
            <w:tcW w:w="4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w:t>
            </w:r>
          </w:p>
        </w:tc>
      </w:tr>
      <w:tr>
        <w:trPr>
          <w:trHeight w:val="345"/>
        </w:trPr>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00" w:type="dxa"/>
            <w:vAlign w:val="bottom"/>
            <w:gridSpan w:val="6"/>
          </w:tcPr>
          <w:p>
            <w:pPr>
              <w:jc w:val="center"/>
              <w:ind w:right="2839"/>
              <w:spacing w:after="0"/>
              <w:rPr>
                <w:sz w:val="20"/>
                <w:szCs w:val="20"/>
                <w:color w:val="auto"/>
              </w:rPr>
            </w:pPr>
            <w:r>
              <w:rPr>
                <w:rFonts w:ascii="Times New Roman" w:cs="Times New Roman" w:eastAsia="Times New Roman" w:hAnsi="Times New Roman"/>
                <w:sz w:val="18"/>
                <w:szCs w:val="18"/>
                <w:color w:val="auto"/>
                <w:w w:val="99"/>
              </w:rPr>
              <w:t>Commission file number 333-211719</w:t>
            </w:r>
          </w:p>
        </w:tc>
      </w:tr>
      <w:tr>
        <w:trPr>
          <w:trHeight w:val="672"/>
        </w:trPr>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00" w:type="dxa"/>
            <w:vAlign w:val="bottom"/>
            <w:gridSpan w:val="6"/>
          </w:tcPr>
          <w:p>
            <w:pPr>
              <w:jc w:val="center"/>
              <w:ind w:right="2859"/>
              <w:spacing w:after="0"/>
              <w:rPr>
                <w:sz w:val="20"/>
                <w:szCs w:val="20"/>
                <w:color w:val="auto"/>
              </w:rPr>
            </w:pPr>
            <w:r>
              <w:rPr>
                <w:rFonts w:ascii="Times New Roman" w:cs="Times New Roman" w:eastAsia="Times New Roman" w:hAnsi="Times New Roman"/>
                <w:sz w:val="43"/>
                <w:szCs w:val="43"/>
                <w:b w:val="1"/>
                <w:bCs w:val="1"/>
                <w:color w:val="auto"/>
              </w:rPr>
              <w:t>ASHLAND INC.</w:t>
            </w:r>
          </w:p>
        </w:tc>
      </w:tr>
      <w:tr>
        <w:trPr>
          <w:trHeight w:val="309"/>
        </w:trPr>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60" w:type="dxa"/>
            <w:vAlign w:val="bottom"/>
            <w:gridSpan w:val="4"/>
          </w:tcPr>
          <w:p>
            <w:pPr>
              <w:jc w:val="center"/>
              <w:ind w:left="1000"/>
              <w:spacing w:after="0"/>
              <w:rPr>
                <w:sz w:val="20"/>
                <w:szCs w:val="20"/>
                <w:color w:val="auto"/>
              </w:rPr>
            </w:pPr>
            <w:r>
              <w:rPr>
                <w:rFonts w:ascii="Times New Roman" w:cs="Times New Roman" w:eastAsia="Times New Roman" w:hAnsi="Times New Roman"/>
                <w:sz w:val="18"/>
                <w:szCs w:val="18"/>
                <w:color w:val="auto"/>
                <w:w w:val="99"/>
              </w:rPr>
              <w:t>(a Delaware corporation)</w:t>
            </w:r>
          </w:p>
        </w:tc>
        <w:tc>
          <w:tcPr>
            <w:tcW w:w="15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60" w:type="dxa"/>
            <w:vAlign w:val="bottom"/>
            <w:gridSpan w:val="4"/>
          </w:tcPr>
          <w:p>
            <w:pPr>
              <w:jc w:val="center"/>
              <w:ind w:left="1000"/>
              <w:spacing w:after="0"/>
              <w:rPr>
                <w:sz w:val="20"/>
                <w:szCs w:val="20"/>
                <w:color w:val="auto"/>
              </w:rPr>
            </w:pPr>
            <w:r>
              <w:rPr>
                <w:rFonts w:ascii="Times New Roman" w:cs="Times New Roman" w:eastAsia="Times New Roman" w:hAnsi="Times New Roman"/>
                <w:sz w:val="18"/>
                <w:szCs w:val="18"/>
                <w:color w:val="auto"/>
                <w:w w:val="99"/>
              </w:rPr>
              <w:t>I.R.S. No. 81-2587835</w:t>
            </w:r>
          </w:p>
        </w:tc>
        <w:tc>
          <w:tcPr>
            <w:tcW w:w="150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319"/>
        </w:trPr>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60" w:type="dxa"/>
            <w:vAlign w:val="bottom"/>
            <w:gridSpan w:val="4"/>
          </w:tcPr>
          <w:p>
            <w:pPr>
              <w:jc w:val="center"/>
              <w:ind w:left="1000"/>
              <w:spacing w:after="0"/>
              <w:rPr>
                <w:sz w:val="20"/>
                <w:szCs w:val="20"/>
                <w:color w:val="auto"/>
              </w:rPr>
            </w:pPr>
            <w:r>
              <w:rPr>
                <w:rFonts w:ascii="Times New Roman" w:cs="Times New Roman" w:eastAsia="Times New Roman" w:hAnsi="Times New Roman"/>
                <w:sz w:val="18"/>
                <w:szCs w:val="18"/>
                <w:color w:val="auto"/>
                <w:w w:val="99"/>
              </w:rPr>
              <w:t>8145 Blazer Drive</w:t>
            </w:r>
          </w:p>
        </w:tc>
        <w:tc>
          <w:tcPr>
            <w:tcW w:w="15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100" w:type="dxa"/>
            <w:vAlign w:val="bottom"/>
            <w:gridSpan w:val="6"/>
          </w:tcPr>
          <w:p>
            <w:pPr>
              <w:jc w:val="center"/>
              <w:ind w:right="2839"/>
              <w:spacing w:after="0"/>
              <w:rPr>
                <w:sz w:val="20"/>
                <w:szCs w:val="20"/>
                <w:color w:val="auto"/>
              </w:rPr>
            </w:pPr>
            <w:r>
              <w:rPr>
                <w:rFonts w:ascii="Times New Roman" w:cs="Times New Roman" w:eastAsia="Times New Roman" w:hAnsi="Times New Roman"/>
                <w:sz w:val="18"/>
                <w:szCs w:val="18"/>
                <w:color w:val="auto"/>
                <w:w w:val="99"/>
              </w:rPr>
              <w:t>Wilmington, Delaware 19808</w:t>
            </w:r>
          </w:p>
        </w:tc>
      </w:tr>
      <w:tr>
        <w:trPr>
          <w:trHeight w:val="220"/>
        </w:trPr>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100" w:type="dxa"/>
            <w:vAlign w:val="bottom"/>
            <w:gridSpan w:val="6"/>
          </w:tcPr>
          <w:p>
            <w:pPr>
              <w:jc w:val="center"/>
              <w:ind w:right="2859"/>
              <w:spacing w:after="0"/>
              <w:rPr>
                <w:sz w:val="20"/>
                <w:szCs w:val="20"/>
                <w:color w:val="auto"/>
              </w:rPr>
            </w:pPr>
            <w:r>
              <w:rPr>
                <w:rFonts w:ascii="Times New Roman" w:cs="Times New Roman" w:eastAsia="Times New Roman" w:hAnsi="Times New Roman"/>
                <w:sz w:val="18"/>
                <w:szCs w:val="18"/>
                <w:color w:val="auto"/>
                <w:w w:val="99"/>
              </w:rPr>
              <w:t>Telephone Number (302) 995-3000</w:t>
            </w:r>
          </w:p>
        </w:tc>
      </w:tr>
      <w:tr>
        <w:trPr>
          <w:trHeight w:val="210"/>
        </w:trPr>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100" w:type="dxa"/>
            <w:vAlign w:val="bottom"/>
            <w:gridSpan w:val="6"/>
          </w:tcPr>
          <w:p>
            <w:pPr>
              <w:jc w:val="center"/>
              <w:ind w:right="285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209"/>
        </w:trPr>
        <w:tc>
          <w:tcPr>
            <w:tcW w:w="980" w:type="dxa"/>
            <w:vAlign w:val="bottom"/>
          </w:tcPr>
          <w:p>
            <w:pPr>
              <w:spacing w:after="0"/>
              <w:rPr>
                <w:sz w:val="18"/>
                <w:szCs w:val="18"/>
                <w:color w:val="auto"/>
              </w:rPr>
            </w:pPr>
          </w:p>
        </w:tc>
        <w:tc>
          <w:tcPr>
            <w:tcW w:w="2180" w:type="dxa"/>
            <w:vAlign w:val="bottom"/>
            <w:gridSpan w:val="2"/>
          </w:tcPr>
          <w:p>
            <w:pPr>
              <w:jc w:val="center"/>
              <w:ind w:right="1140"/>
              <w:spacing w:after="0"/>
              <w:rPr>
                <w:sz w:val="20"/>
                <w:szCs w:val="20"/>
                <w:color w:val="auto"/>
              </w:rPr>
            </w:pPr>
            <w:r>
              <w:rPr>
                <w:rFonts w:ascii="Times New Roman" w:cs="Times New Roman" w:eastAsia="Times New Roman" w:hAnsi="Times New Roman"/>
                <w:sz w:val="14"/>
                <w:szCs w:val="14"/>
                <w:color w:val="auto"/>
              </w:rPr>
              <w:t>Title of each class</w:t>
            </w:r>
          </w:p>
        </w:tc>
        <w:tc>
          <w:tcPr>
            <w:tcW w:w="3060" w:type="dxa"/>
            <w:vAlign w:val="bottom"/>
            <w:gridSpan w:val="4"/>
          </w:tcPr>
          <w:p>
            <w:pPr>
              <w:jc w:val="center"/>
              <w:ind w:left="1020"/>
              <w:spacing w:after="0"/>
              <w:rPr>
                <w:sz w:val="20"/>
                <w:szCs w:val="20"/>
                <w:color w:val="auto"/>
              </w:rPr>
            </w:pPr>
            <w:r>
              <w:rPr>
                <w:rFonts w:ascii="Times New Roman" w:cs="Times New Roman" w:eastAsia="Times New Roman" w:hAnsi="Times New Roman"/>
                <w:sz w:val="14"/>
                <w:szCs w:val="14"/>
                <w:color w:val="auto"/>
              </w:rPr>
              <w:t>Trading Symbol</w:t>
            </w:r>
          </w:p>
        </w:tc>
        <w:tc>
          <w:tcPr>
            <w:tcW w:w="150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50"/>
        </w:trPr>
        <w:tc>
          <w:tcPr>
            <w:tcW w:w="31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620" w:type="dxa"/>
            <w:vAlign w:val="bottom"/>
          </w:tcPr>
          <w:p>
            <w:pPr>
              <w:spacing w:after="0"/>
              <w:rPr>
                <w:sz w:val="21"/>
                <w:szCs w:val="21"/>
                <w:color w:val="auto"/>
              </w:rPr>
            </w:pPr>
          </w:p>
        </w:tc>
        <w:tc>
          <w:tcPr>
            <w:tcW w:w="14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ASH</w:t>
            </w:r>
          </w:p>
        </w:tc>
        <w:tc>
          <w:tcPr>
            <w:tcW w:w="1500" w:type="dxa"/>
            <w:vAlign w:val="bottom"/>
          </w:tcPr>
          <w:p>
            <w:pPr>
              <w:spacing w:after="0"/>
              <w:rPr>
                <w:sz w:val="21"/>
                <w:szCs w:val="21"/>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122" w:lineRule="exact"/>
        <w:rPr>
          <w:sz w:val="24"/>
          <w:szCs w:val="24"/>
          <w:color w:val="auto"/>
        </w:rPr>
      </w:pPr>
    </w:p>
    <w:p>
      <w:pPr>
        <w:jc w:val="both"/>
        <w:ind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8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8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6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4"/>
          <w:szCs w:val="24"/>
          <w:color w:val="auto"/>
        </w:rPr>
      </w:pPr>
    </w:p>
    <w:p>
      <w:pPr>
        <w:jc w:val="both"/>
        <w:ind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520" w:right="130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 March 31, 2026, there were 45,787,777 shares of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1" w:name="page2"/>
    <w:bookmarkEnd w:id="1"/>
    <w:p>
      <w:pPr>
        <w:ind w:left="3880"/>
        <w:spacing w:after="0"/>
        <w:rPr>
          <w:sz w:val="20"/>
          <w:szCs w:val="20"/>
          <w:color w:val="auto"/>
        </w:rPr>
      </w:pPr>
      <w:r>
        <w:rPr>
          <w:rFonts w:ascii="Times New Roman" w:cs="Times New Roman" w:eastAsia="Times New Roman" w:hAnsi="Times New Roman"/>
          <w:sz w:val="20"/>
          <w:szCs w:val="20"/>
          <w:b w:val="1"/>
          <w:bCs w:val="1"/>
          <w:u w:val="single" w:color="auto"/>
          <w:color w:val="auto"/>
        </w:rPr>
        <w:t>PART I - FINANCIAL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ASHLAND INC. AND CONSOLIDATED SUBSIDIARIES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STATEMENTS OF CONDENSED CONSOLIDATED COMPREHENSIVE INCOME (LOSS)</w:t>
      </w:r>
    </w:p>
    <w:p>
      <w:pPr>
        <w:spacing w:after="0" w:line="102"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3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Three months ended</w:t>
            </w:r>
          </w:p>
        </w:tc>
        <w:tc>
          <w:tcPr>
            <w:tcW w:w="4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4"/>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 except per share data - unaudited)</w:t>
            </w:r>
          </w:p>
        </w:tc>
        <w:tc>
          <w:tcPr>
            <w:tcW w:w="5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March 31</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 Note P</w:t>
            </w:r>
          </w:p>
        </w:tc>
        <w:tc>
          <w:tcPr>
            <w:tcW w:w="1160" w:type="dxa"/>
            <w:vAlign w:val="bottom"/>
            <w:tcBorders>
              <w:top w:val="single" w:sz="8" w:color="auto"/>
            </w:tcBorders>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482</w:t>
            </w:r>
          </w:p>
        </w:tc>
        <w:tc>
          <w:tcPr>
            <w:tcW w:w="760" w:type="dxa"/>
            <w:vAlign w:val="bottom"/>
            <w:tcBorders>
              <w:top w:val="single" w:sz="8" w:color="auto"/>
            </w:tcBorders>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479</w:t>
            </w:r>
          </w:p>
        </w:tc>
        <w:tc>
          <w:tcPr>
            <w:tcW w:w="280" w:type="dxa"/>
            <w:vAlign w:val="bottom"/>
            <w:tcBorders>
              <w:top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868</w:t>
            </w:r>
          </w:p>
        </w:tc>
        <w:tc>
          <w:tcPr>
            <w:tcW w:w="380" w:type="dxa"/>
            <w:vAlign w:val="bottom"/>
            <w:tcBorders>
              <w:top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 Note Q</w:t>
            </w:r>
          </w:p>
        </w:tc>
        <w:tc>
          <w:tcPr>
            <w:tcW w:w="5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 - Note Q</w:t>
            </w:r>
          </w:p>
        </w:tc>
        <w:tc>
          <w:tcPr>
            <w:tcW w:w="5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 - Note Q</w:t>
            </w: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Intangibles amortization expense - Note G and Note Q</w:t>
            </w:r>
          </w:p>
        </w:tc>
        <w:tc>
          <w:tcPr>
            <w:tcW w:w="5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income - Note Q</w:t>
            </w: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on divestitures, net - Note B and Note Q</w:t>
            </w:r>
          </w:p>
        </w:tc>
        <w:tc>
          <w:tcPr>
            <w:tcW w:w="5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and other expense</w:t>
            </w: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 periodic benefit loss - Note K</w:t>
            </w:r>
          </w:p>
        </w:tc>
        <w:tc>
          <w:tcPr>
            <w:tcW w:w="5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 - Note J</w:t>
            </w:r>
          </w:p>
        </w:tc>
        <w:tc>
          <w:tcPr>
            <w:tcW w:w="5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income taxes - Note C</w:t>
            </w:r>
          </w:p>
        </w:tc>
        <w:tc>
          <w:tcPr>
            <w:tcW w:w="5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7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3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 (loss) per share - Note M</w:t>
            </w:r>
          </w:p>
        </w:tc>
        <w:tc>
          <w:tcPr>
            <w:tcW w:w="5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1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0.32</w:t>
            </w:r>
          </w:p>
        </w:tc>
        <w:tc>
          <w:tcPr>
            <w:tcW w:w="7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0.63</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5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5"/>
              </w:rPr>
              <w:t>0.02</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5"/>
              </w:rPr>
              <w:t>0.02</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(loss)</w:t>
            </w:r>
          </w:p>
        </w:tc>
        <w:tc>
          <w:tcPr>
            <w:tcW w:w="11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0.34</w:t>
            </w:r>
          </w:p>
        </w:tc>
        <w:tc>
          <w:tcPr>
            <w:tcW w:w="7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0.65</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 - Note M</w:t>
            </w: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16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5"/>
              </w:rPr>
              <w:t>0.32</w:t>
            </w:r>
          </w:p>
        </w:tc>
        <w:tc>
          <w:tcPr>
            <w:tcW w:w="76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5"/>
              </w:rPr>
              <w:t>0.63</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5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5"/>
              </w:rPr>
              <w:t>0.02</w:t>
            </w: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5"/>
              </w:rPr>
              <w:t>0.02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income (loss)</w:t>
            </w:r>
          </w:p>
        </w:tc>
        <w:tc>
          <w:tcPr>
            <w:tcW w:w="116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5"/>
              </w:rPr>
              <w:t>0.34</w:t>
            </w:r>
          </w:p>
        </w:tc>
        <w:tc>
          <w:tcPr>
            <w:tcW w:w="76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5"/>
              </w:rPr>
              <w:t>0.65</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0.08</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40" w:type="dxa"/>
            <w:vAlign w:val="bottom"/>
            <w:tcBorders>
              <w:top w:val="single" w:sz="8" w:color="CFF0FC"/>
            </w:tcBorders>
          </w:tcPr>
          <w:p>
            <w:pPr>
              <w:spacing w:after="0"/>
              <w:rPr>
                <w:sz w:val="17"/>
                <w:szCs w:val="17"/>
                <w:color w:val="auto"/>
              </w:rPr>
            </w:pPr>
          </w:p>
        </w:tc>
        <w:tc>
          <w:tcPr>
            <w:tcW w:w="500" w:type="dxa"/>
            <w:vAlign w:val="bottom"/>
            <w:tcBorders>
              <w:top w:val="single" w:sz="8" w:color="CFF0FC"/>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5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7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5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translation gain (loss)</w:t>
            </w: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Unrealized gain on commodity hedges</w:t>
            </w:r>
          </w:p>
        </w:tc>
        <w:tc>
          <w:tcPr>
            <w:tcW w:w="5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 Note N</w:t>
            </w:r>
          </w:p>
        </w:tc>
        <w:tc>
          <w:tcPr>
            <w:tcW w:w="5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16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340" w:type="dxa"/>
            <w:vAlign w:val="bottom"/>
            <w:tcBorders>
              <w:top w:val="single" w:sz="8" w:color="CFF0FC"/>
              <w:bottom w:val="single" w:sz="8" w:color="auto"/>
            </w:tcBorders>
          </w:tcPr>
          <w:p>
            <w:pPr>
              <w:spacing w:after="0"/>
              <w:rPr>
                <w:sz w:val="4"/>
                <w:szCs w:val="4"/>
                <w:color w:val="auto"/>
              </w:rPr>
            </w:pPr>
          </w:p>
        </w:tc>
        <w:tc>
          <w:tcPr>
            <w:tcW w:w="500" w:type="dxa"/>
            <w:vAlign w:val="bottom"/>
            <w:tcBorders>
              <w:top w:val="single" w:sz="8" w:color="CFF0FC"/>
              <w:bottom w:val="single" w:sz="8" w:color="auto"/>
            </w:tcBorders>
          </w:tcPr>
          <w:p>
            <w:pPr>
              <w:spacing w:after="0"/>
              <w:rPr>
                <w:sz w:val="4"/>
                <w:szCs w:val="4"/>
                <w:color w:val="auto"/>
              </w:rPr>
            </w:pPr>
          </w:p>
        </w:tc>
        <w:tc>
          <w:tcPr>
            <w:tcW w:w="660" w:type="dxa"/>
            <w:vAlign w:val="bottom"/>
            <w:tcBorders>
              <w:top w:val="single" w:sz="8" w:color="auto"/>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660" w:type="dxa"/>
            <w:vAlign w:val="bottom"/>
            <w:tcBorders>
              <w:top w:val="single" w:sz="8" w:color="auto"/>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280" w:type="dxa"/>
            <w:vAlign w:val="bottom"/>
            <w:tcBorders>
              <w:top w:val="single" w:sz="8" w:color="auto"/>
              <w:bottom w:val="single" w:sz="8" w:color="auto"/>
            </w:tcBorders>
          </w:tcPr>
          <w:p>
            <w:pPr>
              <w:spacing w:after="0"/>
              <w:rPr>
                <w:sz w:val="4"/>
                <w:szCs w:val="4"/>
                <w:color w:val="auto"/>
              </w:rPr>
            </w:pPr>
          </w:p>
        </w:tc>
        <w:tc>
          <w:tcPr>
            <w:tcW w:w="80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-4062730</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-4062730</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-4062730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-3505200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-3505200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-3505200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-3222625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-3222625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-3222625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-2939415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-2939415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-2939415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-2082165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-2082165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-2082165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-1216660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-1199515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-1216660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-1199515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-1216660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-1199515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-367665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-367665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-367665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-59055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-59055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-59055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NOTES TO CONDENSED CONSOLIDATED FINANCIAL STATEMENTS.</w:t>
      </w:r>
    </w:p>
    <w:p>
      <w:pPr>
        <w:spacing w:after="0" w:line="1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77" w:right="7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ASHLAND INC. AND CONSOLIDATED SUBSIDIARIES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5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5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7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(In millions - unaudited)</w:t>
            </w:r>
          </w:p>
        </w:tc>
        <w:tc>
          <w:tcPr>
            <w:tcW w:w="11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r>
      <w:tr>
        <w:trPr>
          <w:trHeight w:val="190"/>
        </w:trPr>
        <w:tc>
          <w:tcPr>
            <w:tcW w:w="68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7040" w:type="dxa"/>
            <w:vAlign w:val="bottom"/>
            <w:tcBorders>
              <w:bottom w:val="single" w:sz="8" w:color="CFF0FC"/>
            </w:tcBorders>
            <w:gridSpan w:val="2"/>
            <w:shd w:val="clear" w:color="auto" w:fill="CFF0FC"/>
          </w:tcPr>
          <w:p>
            <w:pPr>
              <w:spacing w:after="0"/>
              <w:rPr>
                <w:sz w:val="16"/>
                <w:szCs w:val="16"/>
                <w:color w:val="auto"/>
              </w:rPr>
            </w:pPr>
          </w:p>
        </w:tc>
        <w:tc>
          <w:tcPr>
            <w:tcW w:w="114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480" w:type="dxa"/>
            <w:vAlign w:val="bottom"/>
            <w:tcBorders>
              <w:bottom w:val="single" w:sz="8" w:color="CFF0FC"/>
            </w:tcBorders>
            <w:shd w:val="clear" w:color="auto" w:fill="CFF0FC"/>
          </w:tcPr>
          <w:p>
            <w:pPr>
              <w:spacing w:after="0"/>
              <w:rPr>
                <w:sz w:val="16"/>
                <w:szCs w:val="16"/>
                <w:color w:val="auto"/>
              </w:rPr>
            </w:pPr>
          </w:p>
        </w:tc>
      </w:tr>
      <w:tr>
        <w:trPr>
          <w:trHeight w:val="216"/>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shd w:val="clear" w:color="auto" w:fill="CFF0FC"/>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343</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7720" w:type="dxa"/>
            <w:vAlign w:val="bottom"/>
            <w:gridSpan w:val="3"/>
          </w:tcPr>
          <w:p>
            <w:pPr>
              <w:spacing w:after="0" w:line="216" w:lineRule="exact"/>
              <w:rPr>
                <w:sz w:val="20"/>
                <w:szCs w:val="20"/>
                <w:color w:val="auto"/>
              </w:rPr>
            </w:pPr>
            <w:r>
              <w:rPr>
                <w:rFonts w:ascii="Times New Roman" w:cs="Times New Roman" w:eastAsia="Times New Roman" w:hAnsi="Times New Roman"/>
                <w:sz w:val="18"/>
                <w:szCs w:val="18"/>
                <w:color w:val="auto"/>
              </w:rPr>
              <w:t>Accounts receivable, net</w:t>
            </w:r>
            <w:r>
              <w:rPr>
                <w:rFonts w:ascii="Times New Roman" w:cs="Times New Roman" w:eastAsia="Times New Roman" w:hAnsi="Times New Roman"/>
                <w:sz w:val="24"/>
                <w:szCs w:val="24"/>
                <w:color w:val="auto"/>
                <w:vertAlign w:val="superscript"/>
              </w:rPr>
              <w:t>(a)</w:t>
            </w:r>
            <w:r>
              <w:rPr>
                <w:rFonts w:ascii="Times New Roman" w:cs="Times New Roman" w:eastAsia="Times New Roman" w:hAnsi="Times New Roman"/>
                <w:sz w:val="18"/>
                <w:szCs w:val="18"/>
                <w:color w:val="auto"/>
              </w:rPr>
              <w:t xml:space="preserve"> - Note H</w:t>
            </w:r>
          </w:p>
        </w:tc>
        <w:tc>
          <w:tcPr>
            <w:tcW w:w="114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7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 - Note F</w:t>
            </w: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506</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568</w:t>
            </w:r>
          </w:p>
        </w:tc>
      </w:tr>
      <w:tr>
        <w:trPr>
          <w:trHeight w:val="216"/>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r>
      <w:tr>
        <w:trPr>
          <w:trHeight w:val="209"/>
        </w:trPr>
        <w:tc>
          <w:tcPr>
            <w:tcW w:w="77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3"/>
              </w:rPr>
              <w:t>1,209</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1,205</w:t>
            </w:r>
          </w:p>
        </w:tc>
      </w:tr>
      <w:tr>
        <w:trPr>
          <w:trHeight w:val="216"/>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w:t>
            </w:r>
          </w:p>
        </w:tc>
        <w:tc>
          <w:tcPr>
            <w:tcW w:w="114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3,362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3,355</w:t>
            </w:r>
          </w:p>
        </w:tc>
      </w:tr>
      <w:tr>
        <w:trPr>
          <w:trHeight w:val="216"/>
        </w:trPr>
        <w:tc>
          <w:tcPr>
            <w:tcW w:w="772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1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3"/>
              </w:rPr>
              <w:t>2,199</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2,154</w:t>
            </w:r>
          </w:p>
        </w:tc>
      </w:tr>
      <w:tr>
        <w:trPr>
          <w:trHeight w:val="209"/>
        </w:trPr>
        <w:tc>
          <w:tcPr>
            <w:tcW w:w="7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14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1,163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1,201</w:t>
            </w:r>
          </w:p>
        </w:tc>
      </w:tr>
      <w:tr>
        <w:trPr>
          <w:trHeight w:val="216"/>
        </w:trPr>
        <w:tc>
          <w:tcPr>
            <w:tcW w:w="7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 Note G</w:t>
            </w: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700</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705</w:t>
            </w:r>
          </w:p>
        </w:tc>
      </w:tr>
      <w:tr>
        <w:trPr>
          <w:trHeight w:val="216"/>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Intangibles - Note G</w:t>
            </w:r>
          </w:p>
        </w:tc>
        <w:tc>
          <w:tcPr>
            <w:tcW w:w="114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563</w:t>
            </w:r>
          </w:p>
        </w:tc>
      </w:tr>
      <w:tr>
        <w:trPr>
          <w:trHeight w:val="216"/>
        </w:trPr>
        <w:tc>
          <w:tcPr>
            <w:tcW w:w="7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assets, net - Note I</w:t>
            </w: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Restricted investments - Note E</w:t>
            </w:r>
          </w:p>
        </w:tc>
        <w:tc>
          <w:tcPr>
            <w:tcW w:w="114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7720" w:type="dxa"/>
            <w:vAlign w:val="bottom"/>
            <w:gridSpan w:val="3"/>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Asbestos insurance receivable, net</w:t>
            </w:r>
            <w:r>
              <w:rPr>
                <w:rFonts w:ascii="Times New Roman" w:cs="Times New Roman" w:eastAsia="Times New Roman" w:hAnsi="Times New Roman"/>
                <w:sz w:val="24"/>
                <w:szCs w:val="24"/>
                <w:color w:val="auto"/>
                <w:vertAlign w:val="superscript"/>
              </w:rPr>
              <w:t>(b)</w:t>
            </w:r>
            <w:r>
              <w:rPr>
                <w:rFonts w:ascii="Times New Roman" w:cs="Times New Roman" w:eastAsia="Times New Roman" w:hAnsi="Times New Roman"/>
                <w:sz w:val="18"/>
                <w:szCs w:val="18"/>
                <w:color w:val="auto"/>
              </w:rPr>
              <w:t xml:space="preserve"> - Note L</w:t>
            </w: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14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772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1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r>
      <w:tr>
        <w:trPr>
          <w:trHeight w:val="210"/>
        </w:trPr>
        <w:tc>
          <w:tcPr>
            <w:tcW w:w="7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noncurrent assets</w:t>
            </w:r>
          </w:p>
        </w:tc>
        <w:tc>
          <w:tcPr>
            <w:tcW w:w="1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3"/>
              </w:rPr>
              <w:t>3,290</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3,406</w:t>
            </w:r>
          </w:p>
        </w:tc>
      </w:tr>
      <w:tr>
        <w:trPr>
          <w:trHeight w:val="249"/>
        </w:trPr>
        <w:tc>
          <w:tcPr>
            <w:tcW w:w="7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40" w:type="dxa"/>
            <w:vAlign w:val="bottom"/>
            <w:shd w:val="clear" w:color="auto" w:fill="CFF0FC"/>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3"/>
              </w:rPr>
              <w:t>4,499</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4,611</w:t>
            </w:r>
          </w:p>
        </w:tc>
      </w:tr>
      <w:tr>
        <w:trPr>
          <w:trHeight w:val="197"/>
        </w:trPr>
        <w:tc>
          <w:tcPr>
            <w:tcW w:w="680" w:type="dxa"/>
            <w:vAlign w:val="bottom"/>
            <w:tcBorders>
              <w:top w:val="single" w:sz="8" w:color="CFF0FC"/>
            </w:tcBorders>
          </w:tcPr>
          <w:p>
            <w:pPr>
              <w:spacing w:after="0"/>
              <w:rPr>
                <w:sz w:val="17"/>
                <w:szCs w:val="17"/>
                <w:color w:val="auto"/>
              </w:rPr>
            </w:pPr>
          </w:p>
        </w:tc>
        <w:tc>
          <w:tcPr>
            <w:tcW w:w="1680" w:type="dxa"/>
            <w:vAlign w:val="bottom"/>
            <w:tcBorders>
              <w:top w:val="single" w:sz="8" w:color="CFF0FC"/>
            </w:tcBorders>
          </w:tcPr>
          <w:p>
            <w:pPr>
              <w:spacing w:after="0"/>
              <w:rPr>
                <w:sz w:val="17"/>
                <w:szCs w:val="17"/>
                <w:color w:val="auto"/>
              </w:rPr>
            </w:pPr>
          </w:p>
        </w:tc>
        <w:tc>
          <w:tcPr>
            <w:tcW w:w="5360" w:type="dxa"/>
            <w:vAlign w:val="bottom"/>
            <w:tcBorders>
              <w:top w:val="single" w:sz="8" w:color="CFF0FC"/>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r>
        <w:trPr>
          <w:trHeight w:val="196"/>
        </w:trPr>
        <w:tc>
          <w:tcPr>
            <w:tcW w:w="2360" w:type="dxa"/>
            <w:vAlign w:val="bottom"/>
            <w:tcBorders>
              <w:bottom w:val="single" w:sz="8" w:color="auto"/>
            </w:tcBorders>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536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spacing w:after="0"/>
              <w:rPr>
                <w:sz w:val="17"/>
                <w:szCs w:val="17"/>
                <w:color w:val="auto"/>
              </w:rPr>
            </w:pPr>
          </w:p>
        </w:tc>
      </w:tr>
      <w:tr>
        <w:trPr>
          <w:trHeight w:val="216"/>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140" w:type="dxa"/>
            <w:vAlign w:val="bottom"/>
            <w:shd w:val="clear" w:color="auto" w:fill="CFF0FC"/>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181</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14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772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operating lease obligations - Note I</w:t>
            </w:r>
          </w:p>
        </w:tc>
        <w:tc>
          <w:tcPr>
            <w:tcW w:w="11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r>
      <w:tr>
        <w:trPr>
          <w:trHeight w:val="210"/>
        </w:trPr>
        <w:tc>
          <w:tcPr>
            <w:tcW w:w="7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4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7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 Note H</w:t>
            </w:r>
          </w:p>
        </w:tc>
        <w:tc>
          <w:tcPr>
            <w:tcW w:w="114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1,374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1,384</w:t>
            </w:r>
          </w:p>
        </w:tc>
      </w:tr>
      <w:tr>
        <w:trPr>
          <w:trHeight w:val="216"/>
        </w:trPr>
        <w:tc>
          <w:tcPr>
            <w:tcW w:w="7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Asbestos litigation reserves - Note L</w:t>
            </w: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362</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14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benefit obligations - Note K</w:t>
            </w: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obligations - Note I</w:t>
            </w:r>
          </w:p>
        </w:tc>
        <w:tc>
          <w:tcPr>
            <w:tcW w:w="114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772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1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299</w:t>
            </w:r>
          </w:p>
        </w:tc>
      </w:tr>
      <w:tr>
        <w:trPr>
          <w:trHeight w:val="209"/>
        </w:trPr>
        <w:tc>
          <w:tcPr>
            <w:tcW w:w="7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14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2,238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2,284</w:t>
            </w:r>
          </w:p>
        </w:tc>
      </w:tr>
      <w:tr>
        <w:trPr>
          <w:trHeight w:val="216"/>
        </w:trPr>
        <w:tc>
          <w:tcPr>
            <w:tcW w:w="7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 Note I and L</w:t>
            </w: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Equity - Note N</w:t>
            </w:r>
          </w:p>
        </w:tc>
        <w:tc>
          <w:tcPr>
            <w:tcW w:w="114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1,866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1,904</w:t>
            </w:r>
          </w:p>
        </w:tc>
      </w:tr>
      <w:tr>
        <w:trPr>
          <w:trHeight w:val="216"/>
        </w:trPr>
        <w:tc>
          <w:tcPr>
            <w:tcW w:w="68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CFF0FC"/>
            </w:tcBorders>
            <w:shd w:val="clear" w:color="auto" w:fill="CFF0FC"/>
          </w:tcPr>
          <w:p>
            <w:pPr>
              <w:spacing w:after="0"/>
              <w:rPr>
                <w:sz w:val="18"/>
                <w:szCs w:val="18"/>
                <w:color w:val="auto"/>
              </w:rPr>
            </w:pPr>
          </w:p>
        </w:tc>
        <w:tc>
          <w:tcPr>
            <w:tcW w:w="536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spacing w:after="0"/>
              <w:rPr>
                <w:sz w:val="18"/>
                <w:szCs w:val="18"/>
                <w:color w:val="auto"/>
              </w:rPr>
            </w:pPr>
          </w:p>
        </w:tc>
      </w:tr>
      <w:tr>
        <w:trPr>
          <w:trHeight w:val="209"/>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14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4,499</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4,611</w:t>
            </w:r>
          </w:p>
        </w:tc>
      </w:tr>
      <w:tr>
        <w:trPr>
          <w:trHeight w:val="20"/>
        </w:trPr>
        <w:tc>
          <w:tcPr>
            <w:tcW w:w="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8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-4131310</wp:posOffset>
            </wp:positionV>
            <wp:extent cx="120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-3025140</wp:posOffset>
            </wp:positionV>
            <wp:extent cx="120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-2733675</wp:posOffset>
            </wp:positionV>
            <wp:extent cx="120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-2716530</wp:posOffset>
            </wp:positionV>
            <wp:extent cx="120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-1885315</wp:posOffset>
            </wp:positionV>
            <wp:extent cx="1200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-779145</wp:posOffset>
            </wp:positionV>
            <wp:extent cx="120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-222250</wp:posOffset>
            </wp:positionV>
            <wp:extent cx="120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5"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Accounts receivable, net includes an allowance for credit losses of $4 million and $2 million at March 31, 2026 and September 30, 2025, respectively.</w:t>
      </w:r>
    </w:p>
    <w:p>
      <w:pPr>
        <w:spacing w:after="0" w:line="28"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Asbestos insurance receivable, net includes an allowance for credit losses of $2 million at both March 31, 2026 and September 30,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NOTES TO CONDENSED CONSOLIDATED FINANCIAL STATEMENTS.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 w:name="page4"/>
    <w:bookmarkEnd w:id="3"/>
    <w:p>
      <w:pPr>
        <w:ind w:right="5240"/>
        <w:spacing w:after="0" w:line="300" w:lineRule="auto"/>
        <w:rPr>
          <w:sz w:val="20"/>
          <w:szCs w:val="20"/>
          <w:color w:val="auto"/>
        </w:rPr>
      </w:pPr>
      <w:r>
        <w:rPr>
          <w:rFonts w:ascii="Times New Roman" w:cs="Times New Roman" w:eastAsia="Times New Roman" w:hAnsi="Times New Roman"/>
          <w:sz w:val="19"/>
          <w:szCs w:val="19"/>
          <w:b w:val="1"/>
          <w:bCs w:val="1"/>
          <w:color w:val="auto"/>
        </w:rPr>
        <w:t>ASHLAND INC. AND CONSOLIDATED SUBSIDIARIES STATEMENTS OF CONDENSED CONSOLIDATED CASH FLOWS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6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320" w:type="dxa"/>
            <w:vAlign w:val="bottom"/>
            <w:tcBorders>
              <w:top w:val="single" w:sz="8" w:color="auto"/>
            </w:tcBorders>
            <w:gridSpan w:val="4"/>
          </w:tcPr>
          <w:p>
            <w:pPr>
              <w:jc w:val="right"/>
              <w:ind w:right="724"/>
              <w:spacing w:after="0" w:line="159" w:lineRule="exact"/>
              <w:rPr>
                <w:sz w:val="20"/>
                <w:szCs w:val="20"/>
                <w:color w:val="auto"/>
              </w:rPr>
            </w:pPr>
            <w:r>
              <w:rPr>
                <w:rFonts w:ascii="Times New Roman" w:cs="Times New Roman" w:eastAsia="Times New Roman" w:hAnsi="Times New Roman"/>
                <w:sz w:val="15"/>
                <w:szCs w:val="15"/>
                <w:color w:val="auto"/>
              </w:rPr>
              <w:t>Six months ended</w:t>
            </w:r>
          </w:p>
        </w:tc>
        <w:tc>
          <w:tcPr>
            <w:tcW w:w="0" w:type="dxa"/>
            <w:vAlign w:val="bottom"/>
          </w:tcPr>
          <w:p>
            <w:pPr>
              <w:spacing w:after="0"/>
              <w:rPr>
                <w:sz w:val="1"/>
                <w:szCs w:val="1"/>
                <w:color w:val="auto"/>
              </w:rPr>
            </w:pPr>
          </w:p>
        </w:tc>
      </w:tr>
      <w:tr>
        <w:trPr>
          <w:trHeight w:val="179"/>
        </w:trPr>
        <w:tc>
          <w:tcPr>
            <w:tcW w:w="86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(In millions - unaudited)</w:t>
            </w: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March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66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4"/>
              <w:spacing w:after="0" w:line="156" w:lineRule="exact"/>
              <w:rPr>
                <w:sz w:val="20"/>
                <w:szCs w:val="20"/>
                <w:color w:val="auto"/>
              </w:rPr>
            </w:pPr>
            <w:r>
              <w:rPr>
                <w:rFonts w:ascii="Times New Roman" w:cs="Times New Roman" w:eastAsia="Times New Roman" w:hAnsi="Times New Roman"/>
                <w:sz w:val="15"/>
                <w:szCs w:val="15"/>
                <w:color w:val="auto"/>
              </w:rPr>
              <w:t>2026</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24"/>
              <w:spacing w:after="0" w:line="156" w:lineRule="exact"/>
              <w:rPr>
                <w:sz w:val="20"/>
                <w:szCs w:val="20"/>
                <w:color w:val="auto"/>
              </w:rPr>
            </w:pPr>
            <w:r>
              <w:rPr>
                <w:rFonts w:ascii="Times New Roman" w:cs="Times New Roman" w:eastAsia="Times New Roman" w:hAnsi="Times New Roman"/>
                <w:sz w:val="15"/>
                <w:szCs w:val="15"/>
                <w:color w:val="auto"/>
              </w:rPr>
              <w:t>2025</w:t>
            </w:r>
          </w:p>
        </w:tc>
        <w:tc>
          <w:tcPr>
            <w:tcW w:w="0" w:type="dxa"/>
            <w:vAlign w:val="bottom"/>
          </w:tcPr>
          <w:p>
            <w:pPr>
              <w:spacing w:after="0"/>
              <w:rPr>
                <w:sz w:val="1"/>
                <w:szCs w:val="1"/>
                <w:color w:val="auto"/>
              </w:rPr>
            </w:pPr>
          </w:p>
        </w:tc>
      </w:tr>
      <w:tr>
        <w:trPr>
          <w:trHeight w:val="156"/>
        </w:trPr>
        <w:tc>
          <w:tcPr>
            <w:tcW w:w="86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PROVIDED (USED) BY OPERATING ACTIVITIES FROM CONTINUING OPERATIONS</w:t>
            </w:r>
          </w:p>
        </w:tc>
        <w:tc>
          <w:tcPr>
            <w:tcW w:w="2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6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income (loss)</w:t>
            </w:r>
          </w:p>
        </w:tc>
        <w:tc>
          <w:tcPr>
            <w:tcW w:w="260" w:type="dxa"/>
            <w:vAlign w:val="bottom"/>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4</w:t>
            </w:r>
          </w:p>
        </w:tc>
        <w:tc>
          <w:tcPr>
            <w:tcW w:w="36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(135)</w:t>
            </w:r>
          </w:p>
        </w:tc>
        <w:tc>
          <w:tcPr>
            <w:tcW w:w="0" w:type="dxa"/>
            <w:vAlign w:val="bottom"/>
          </w:tcPr>
          <w:p>
            <w:pPr>
              <w:spacing w:after="0"/>
              <w:rPr>
                <w:sz w:val="1"/>
                <w:szCs w:val="1"/>
                <w:color w:val="auto"/>
              </w:rPr>
            </w:pPr>
          </w:p>
        </w:tc>
      </w:tr>
      <w:tr>
        <w:trPr>
          <w:trHeight w:val="162"/>
        </w:trPr>
        <w:tc>
          <w:tcPr>
            <w:tcW w:w="86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Income from discontinued operations, net of income taxes</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62"/>
        </w:trPr>
        <w:tc>
          <w:tcPr>
            <w:tcW w:w="86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Adjustments to reconcile income (loss) from continuing operations to cash flows from operating activities: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93</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111</w:t>
            </w:r>
          </w:p>
        </w:tc>
        <w:tc>
          <w:tcPr>
            <w:tcW w:w="0" w:type="dxa"/>
            <w:vAlign w:val="bottom"/>
          </w:tcPr>
          <w:p>
            <w:pPr>
              <w:spacing w:after="0"/>
              <w:rPr>
                <w:sz w:val="1"/>
                <w:szCs w:val="1"/>
                <w:color w:val="auto"/>
              </w:rPr>
            </w:pPr>
          </w:p>
        </w:tc>
      </w:tr>
      <w:tr>
        <w:trPr>
          <w:trHeight w:val="162"/>
        </w:trPr>
        <w:tc>
          <w:tcPr>
            <w:tcW w:w="86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Original issue discount and debt issuance costs amortization</w:t>
            </w:r>
          </w:p>
        </w:tc>
        <w:tc>
          <w:tcPr>
            <w:tcW w:w="260" w:type="dxa"/>
            <w:vAlign w:val="bottom"/>
          </w:tcPr>
          <w:p>
            <w:pPr>
              <w:spacing w:after="0"/>
              <w:rPr>
                <w:sz w:val="14"/>
                <w:szCs w:val="14"/>
                <w:color w:val="auto"/>
              </w:rPr>
            </w:pPr>
          </w:p>
        </w:tc>
        <w:tc>
          <w:tcPr>
            <w:tcW w:w="102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62"/>
        </w:trPr>
        <w:tc>
          <w:tcPr>
            <w:tcW w:w="86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Deferred income taxes</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62"/>
        </w:trPr>
        <w:tc>
          <w:tcPr>
            <w:tcW w:w="86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Gain from sales of property, plant and equipment</w:t>
            </w:r>
          </w:p>
        </w:tc>
        <w:tc>
          <w:tcPr>
            <w:tcW w:w="26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162"/>
        </w:trPr>
        <w:tc>
          <w:tcPr>
            <w:tcW w:w="86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Income from affiliates</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62"/>
        </w:trPr>
        <w:tc>
          <w:tcPr>
            <w:tcW w:w="86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Stock based compensation expense</w:t>
            </w:r>
          </w:p>
        </w:tc>
        <w:tc>
          <w:tcPr>
            <w:tcW w:w="260" w:type="dxa"/>
            <w:vAlign w:val="bottom"/>
          </w:tcPr>
          <w:p>
            <w:pPr>
              <w:spacing w:after="0"/>
              <w:rPr>
                <w:sz w:val="14"/>
                <w:szCs w:val="14"/>
                <w:color w:val="auto"/>
              </w:rPr>
            </w:pPr>
          </w:p>
        </w:tc>
        <w:tc>
          <w:tcPr>
            <w:tcW w:w="102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162"/>
        </w:trPr>
        <w:tc>
          <w:tcPr>
            <w:tcW w:w="86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Loss from excess tax deduction on stock based compensation</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86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(Income) loss from restricted investments</w:t>
            </w:r>
          </w:p>
        </w:tc>
        <w:tc>
          <w:tcPr>
            <w:tcW w:w="26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162"/>
        </w:trPr>
        <w:tc>
          <w:tcPr>
            <w:tcW w:w="86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Loss on divestitures, net</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176</w:t>
            </w:r>
          </w:p>
        </w:tc>
        <w:tc>
          <w:tcPr>
            <w:tcW w:w="0" w:type="dxa"/>
            <w:vAlign w:val="bottom"/>
          </w:tcPr>
          <w:p>
            <w:pPr>
              <w:spacing w:after="0"/>
              <w:rPr>
                <w:sz w:val="1"/>
                <w:szCs w:val="1"/>
                <w:color w:val="auto"/>
              </w:rPr>
            </w:pPr>
          </w:p>
        </w:tc>
      </w:tr>
      <w:tr>
        <w:trPr>
          <w:trHeight w:val="162"/>
        </w:trPr>
        <w:tc>
          <w:tcPr>
            <w:tcW w:w="86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Pension contributions</w:t>
            </w:r>
          </w:p>
        </w:tc>
        <w:tc>
          <w:tcPr>
            <w:tcW w:w="26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162"/>
        </w:trPr>
        <w:tc>
          <w:tcPr>
            <w:tcW w:w="86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Loss on pension and other postretirement plan remeasurements</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62"/>
        </w:trPr>
        <w:tc>
          <w:tcPr>
            <w:tcW w:w="86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Change in operating assets and liabilities</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80</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(174)</w:t>
            </w:r>
          </w:p>
        </w:tc>
        <w:tc>
          <w:tcPr>
            <w:tcW w:w="0" w:type="dxa"/>
            <w:vAlign w:val="bottom"/>
          </w:tcPr>
          <w:p>
            <w:pPr>
              <w:spacing w:after="0"/>
              <w:rPr>
                <w:sz w:val="1"/>
                <w:szCs w:val="1"/>
                <w:color w:val="auto"/>
              </w:rPr>
            </w:pPr>
          </w:p>
        </w:tc>
      </w:tr>
      <w:tr>
        <w:trPr>
          <w:trHeight w:val="155"/>
        </w:trPr>
        <w:tc>
          <w:tcPr>
            <w:tcW w:w="86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Total cash flows provided (used) by operating activities from continuing operations</w:t>
            </w:r>
          </w:p>
        </w:tc>
        <w:tc>
          <w:tcPr>
            <w:tcW w:w="26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175</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162"/>
        </w:trPr>
        <w:tc>
          <w:tcPr>
            <w:tcW w:w="866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CASH FLOWS PROVIDED (USED) BY INVESTING ACTIVITIES FROM CONTINUING OPERATIONS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Additions to property, plant and equipment</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(31)</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(44)</w:t>
            </w:r>
          </w:p>
        </w:tc>
        <w:tc>
          <w:tcPr>
            <w:tcW w:w="0" w:type="dxa"/>
            <w:vAlign w:val="bottom"/>
          </w:tcPr>
          <w:p>
            <w:pPr>
              <w:spacing w:after="0"/>
              <w:rPr>
                <w:sz w:val="1"/>
                <w:szCs w:val="1"/>
                <w:color w:val="auto"/>
              </w:rPr>
            </w:pPr>
          </w:p>
        </w:tc>
      </w:tr>
      <w:tr>
        <w:trPr>
          <w:trHeight w:val="162"/>
        </w:trPr>
        <w:tc>
          <w:tcPr>
            <w:tcW w:w="86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Proceeds from disposal of property, plant and equipment</w:t>
            </w:r>
          </w:p>
        </w:tc>
        <w:tc>
          <w:tcPr>
            <w:tcW w:w="260" w:type="dxa"/>
            <w:vAlign w:val="bottom"/>
          </w:tcPr>
          <w:p>
            <w:pPr>
              <w:spacing w:after="0"/>
              <w:rPr>
                <w:sz w:val="14"/>
                <w:szCs w:val="14"/>
                <w:color w:val="auto"/>
              </w:rPr>
            </w:pPr>
          </w:p>
        </w:tc>
        <w:tc>
          <w:tcPr>
            <w:tcW w:w="102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162"/>
        </w:trPr>
        <w:tc>
          <w:tcPr>
            <w:tcW w:w="86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Proceeds from sale of operations</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162"/>
        </w:trPr>
        <w:tc>
          <w:tcPr>
            <w:tcW w:w="86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Proceeds from settlement of Company-owned life insurance contracts</w:t>
            </w:r>
          </w:p>
        </w:tc>
        <w:tc>
          <w:tcPr>
            <w:tcW w:w="260" w:type="dxa"/>
            <w:vAlign w:val="bottom"/>
          </w:tcPr>
          <w:p>
            <w:pPr>
              <w:spacing w:after="0"/>
              <w:rPr>
                <w:sz w:val="14"/>
                <w:szCs w:val="14"/>
                <w:color w:val="auto"/>
              </w:rPr>
            </w:pPr>
          </w:p>
        </w:tc>
        <w:tc>
          <w:tcPr>
            <w:tcW w:w="102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86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Company-owned life insurance payments</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62"/>
        </w:trPr>
        <w:tc>
          <w:tcPr>
            <w:tcW w:w="86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Funds restricted for specific transactions</w:t>
            </w:r>
          </w:p>
        </w:tc>
        <w:tc>
          <w:tcPr>
            <w:tcW w:w="26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162"/>
        </w:trPr>
        <w:tc>
          <w:tcPr>
            <w:tcW w:w="86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Reimbursements from restricted investments</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33</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162"/>
        </w:trPr>
        <w:tc>
          <w:tcPr>
            <w:tcW w:w="86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Proceeds from sale of securities</w:t>
            </w:r>
          </w:p>
        </w:tc>
        <w:tc>
          <w:tcPr>
            <w:tcW w:w="260" w:type="dxa"/>
            <w:vAlign w:val="bottom"/>
          </w:tcPr>
          <w:p>
            <w:pPr>
              <w:spacing w:after="0"/>
              <w:rPr>
                <w:sz w:val="14"/>
                <w:szCs w:val="14"/>
                <w:color w:val="auto"/>
              </w:rPr>
            </w:pPr>
          </w:p>
        </w:tc>
        <w:tc>
          <w:tcPr>
            <w:tcW w:w="102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162"/>
        </w:trPr>
        <w:tc>
          <w:tcPr>
            <w:tcW w:w="866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Purchases of securities</w:t>
            </w:r>
          </w:p>
        </w:tc>
        <w:tc>
          <w:tcPr>
            <w:tcW w:w="2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(27)</w:t>
            </w:r>
          </w:p>
        </w:tc>
        <w:tc>
          <w:tcPr>
            <w:tcW w:w="1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155"/>
        </w:trPr>
        <w:tc>
          <w:tcPr>
            <w:tcW w:w="866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Total cash flows provided (used) by investing activities from continuing operations</w:t>
            </w:r>
          </w:p>
        </w:tc>
        <w:tc>
          <w:tcPr>
            <w:tcW w:w="260" w:type="dxa"/>
            <w:vAlign w:val="bottom"/>
          </w:tcPr>
          <w:p>
            <w:pPr>
              <w:spacing w:after="0"/>
              <w:rPr>
                <w:sz w:val="13"/>
                <w:szCs w:val="13"/>
                <w:color w:val="auto"/>
              </w:rPr>
            </w:pPr>
          </w:p>
        </w:tc>
        <w:tc>
          <w:tcPr>
            <w:tcW w:w="1020" w:type="dxa"/>
            <w:vAlign w:val="bottom"/>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18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62"/>
        </w:trPr>
        <w:tc>
          <w:tcPr>
            <w:tcW w:w="86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CASH FLOWS PROVIDED (USED) BY FINANCING ACTIVITIES FROM CONTINUING OPERATIONS</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Repurchase of common stock</w:t>
            </w:r>
          </w:p>
        </w:tc>
        <w:tc>
          <w:tcPr>
            <w:tcW w:w="260" w:type="dxa"/>
            <w:vAlign w:val="bottom"/>
          </w:tcPr>
          <w:p>
            <w:pPr>
              <w:spacing w:after="0"/>
              <w:rPr>
                <w:sz w:val="14"/>
                <w:szCs w:val="14"/>
                <w:color w:val="auto"/>
              </w:rPr>
            </w:pPr>
          </w:p>
        </w:tc>
        <w:tc>
          <w:tcPr>
            <w:tcW w:w="102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62"/>
        </w:trPr>
        <w:tc>
          <w:tcPr>
            <w:tcW w:w="86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Proceeds from short-term debt</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50</w:t>
            </w:r>
          </w:p>
        </w:tc>
        <w:tc>
          <w:tcPr>
            <w:tcW w:w="0" w:type="dxa"/>
            <w:vAlign w:val="bottom"/>
          </w:tcPr>
          <w:p>
            <w:pPr>
              <w:spacing w:after="0"/>
              <w:rPr>
                <w:sz w:val="1"/>
                <w:szCs w:val="1"/>
                <w:color w:val="auto"/>
              </w:rPr>
            </w:pPr>
          </w:p>
        </w:tc>
      </w:tr>
      <w:tr>
        <w:trPr>
          <w:trHeight w:val="162"/>
        </w:trPr>
        <w:tc>
          <w:tcPr>
            <w:tcW w:w="86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Cash dividends paid</w:t>
            </w:r>
          </w:p>
        </w:tc>
        <w:tc>
          <w:tcPr>
            <w:tcW w:w="26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(38)</w:t>
            </w:r>
          </w:p>
        </w:tc>
        <w:tc>
          <w:tcPr>
            <w:tcW w:w="0" w:type="dxa"/>
            <w:vAlign w:val="bottom"/>
          </w:tcPr>
          <w:p>
            <w:pPr>
              <w:spacing w:after="0"/>
              <w:rPr>
                <w:sz w:val="1"/>
                <w:szCs w:val="1"/>
                <w:color w:val="auto"/>
              </w:rPr>
            </w:pPr>
          </w:p>
        </w:tc>
      </w:tr>
      <w:tr>
        <w:trPr>
          <w:trHeight w:val="162"/>
        </w:trPr>
        <w:tc>
          <w:tcPr>
            <w:tcW w:w="866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 based compensation employee withholding taxes paid in cash</w:t>
            </w:r>
          </w:p>
        </w:tc>
        <w:tc>
          <w:tcPr>
            <w:tcW w:w="2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55"/>
        </w:trPr>
        <w:tc>
          <w:tcPr>
            <w:tcW w:w="866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Total cash flows used by financing activities from continuing operations</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(40)</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(91)</w:t>
            </w:r>
          </w:p>
        </w:tc>
        <w:tc>
          <w:tcPr>
            <w:tcW w:w="0" w:type="dxa"/>
            <w:vAlign w:val="bottom"/>
          </w:tcPr>
          <w:p>
            <w:pPr>
              <w:spacing w:after="0"/>
              <w:rPr>
                <w:sz w:val="1"/>
                <w:szCs w:val="1"/>
                <w:color w:val="auto"/>
              </w:rPr>
            </w:pPr>
          </w:p>
        </w:tc>
      </w:tr>
      <w:tr>
        <w:trPr>
          <w:trHeight w:val="155"/>
        </w:trPr>
        <w:tc>
          <w:tcPr>
            <w:tcW w:w="86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PROVIDED (USED) BY CONTINUING OPERATIONS</w:t>
            </w:r>
          </w:p>
        </w:tc>
        <w:tc>
          <w:tcPr>
            <w:tcW w:w="26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153</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(113)</w:t>
            </w:r>
          </w:p>
        </w:tc>
        <w:tc>
          <w:tcPr>
            <w:tcW w:w="0" w:type="dxa"/>
            <w:vAlign w:val="bottom"/>
          </w:tcPr>
          <w:p>
            <w:pPr>
              <w:spacing w:after="0"/>
              <w:rPr>
                <w:sz w:val="1"/>
                <w:szCs w:val="1"/>
                <w:color w:val="auto"/>
              </w:rPr>
            </w:pPr>
          </w:p>
        </w:tc>
      </w:tr>
      <w:tr>
        <w:trPr>
          <w:trHeight w:val="162"/>
        </w:trPr>
        <w:tc>
          <w:tcPr>
            <w:tcW w:w="866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CASH USED BY DISCONTINUED OPERATIONS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6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Operating cash flows</w:t>
            </w:r>
          </w:p>
        </w:tc>
        <w:tc>
          <w:tcPr>
            <w:tcW w:w="2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(25)</w:t>
            </w:r>
          </w:p>
        </w:tc>
        <w:tc>
          <w:tcPr>
            <w:tcW w:w="1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128"/>
        </w:trPr>
        <w:tc>
          <w:tcPr>
            <w:tcW w:w="866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Total cash used by discontinued operations</w:t>
            </w:r>
          </w:p>
        </w:tc>
        <w:tc>
          <w:tcPr>
            <w:tcW w:w="260" w:type="dxa"/>
            <w:vAlign w:val="bottom"/>
          </w:tcPr>
          <w:p>
            <w:pPr>
              <w:spacing w:after="0"/>
              <w:rPr>
                <w:sz w:val="11"/>
                <w:szCs w:val="11"/>
                <w:color w:val="auto"/>
              </w:rPr>
            </w:pPr>
          </w:p>
        </w:tc>
        <w:tc>
          <w:tcPr>
            <w:tcW w:w="10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9"/>
        </w:trPr>
        <w:tc>
          <w:tcPr>
            <w:tcW w:w="8660" w:type="dxa"/>
            <w:vAlign w:val="bottom"/>
          </w:tcPr>
          <w:p>
            <w:pPr>
              <w:spacing w:after="0" w:line="189" w:lineRule="exact"/>
              <w:rPr>
                <w:sz w:val="20"/>
                <w:szCs w:val="20"/>
                <w:color w:val="auto"/>
              </w:rPr>
            </w:pPr>
            <w:r>
              <w:rPr>
                <w:rFonts w:ascii="Times New Roman" w:cs="Times New Roman" w:eastAsia="Times New Roman" w:hAnsi="Times New Roman"/>
                <w:sz w:val="14"/>
                <w:szCs w:val="14"/>
                <w:color w:val="auto"/>
              </w:rPr>
              <w:t>Effect of currency exchange rate changes on cash and cash equivalents</w:t>
            </w:r>
            <w:r>
              <w:rPr>
                <w:rFonts w:ascii="Times New Roman" w:cs="Times New Roman" w:eastAsia="Times New Roman" w:hAnsi="Times New Roman"/>
                <w:sz w:val="21"/>
                <w:szCs w:val="21"/>
                <w:color w:val="auto"/>
                <w:vertAlign w:val="superscript"/>
              </w:rPr>
              <w:t>(a)</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55"/>
        </w:trPr>
        <w:tc>
          <w:tcPr>
            <w:tcW w:w="866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INCREASE (DECREASE) IN CASH AND CASH EQUIVALENTS</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128</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(132)</w:t>
            </w:r>
          </w:p>
        </w:tc>
        <w:tc>
          <w:tcPr>
            <w:tcW w:w="0" w:type="dxa"/>
            <w:vAlign w:val="bottom"/>
          </w:tcPr>
          <w:p>
            <w:pPr>
              <w:spacing w:after="0"/>
              <w:rPr>
                <w:sz w:val="1"/>
                <w:szCs w:val="1"/>
                <w:color w:val="auto"/>
              </w:rPr>
            </w:pPr>
          </w:p>
        </w:tc>
      </w:tr>
      <w:tr>
        <w:trPr>
          <w:trHeight w:val="155"/>
        </w:trPr>
        <w:tc>
          <w:tcPr>
            <w:tcW w:w="866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AND CASH EQUIVALENTS - BEGINNING OF PERIOD</w:t>
            </w:r>
          </w:p>
        </w:tc>
        <w:tc>
          <w:tcPr>
            <w:tcW w:w="26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215</w:t>
            </w:r>
          </w:p>
        </w:tc>
        <w:tc>
          <w:tcPr>
            <w:tcW w:w="1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300</w:t>
            </w:r>
          </w:p>
        </w:tc>
        <w:tc>
          <w:tcPr>
            <w:tcW w:w="0" w:type="dxa"/>
            <w:vAlign w:val="bottom"/>
          </w:tcPr>
          <w:p>
            <w:pPr>
              <w:spacing w:after="0"/>
              <w:rPr>
                <w:sz w:val="1"/>
                <w:szCs w:val="1"/>
                <w:color w:val="auto"/>
              </w:rPr>
            </w:pPr>
          </w:p>
        </w:tc>
      </w:tr>
      <w:tr>
        <w:trPr>
          <w:trHeight w:val="155"/>
        </w:trPr>
        <w:tc>
          <w:tcPr>
            <w:tcW w:w="866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AND CASH EQUIVALENTS - END OF PERIOD</w:t>
            </w:r>
          </w:p>
        </w:tc>
        <w:tc>
          <w:tcPr>
            <w:tcW w:w="260" w:type="dxa"/>
            <w:vAlign w:val="bottom"/>
          </w:tcPr>
          <w:p>
            <w:pPr>
              <w:jc w:val="right"/>
              <w:ind w:right="10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343</w:t>
            </w:r>
          </w:p>
        </w:tc>
        <w:tc>
          <w:tcPr>
            <w:tcW w:w="36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168</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8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-1679575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-1053465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-624840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1111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-187960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5"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Zero denotes less than $1 million of activity.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NOTES TO CONDENSED CONSOLIDATED FINANCIAL STATEMENTS.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ASHLAND INC. AND CONSOLIDATED SUBSIDIARIES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A –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112"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20"/>
          <w:szCs w:val="20"/>
          <w:color w:val="auto"/>
        </w:rPr>
        <w:t>The accompanying unaudited Condensed Consolidated Financial Statements have been prepared in accordance with United States ("U.S.") generally accepted accounting principles for interim financial reporting ("U.S. GAAP") and U.S. Securities and Exchange Commission ("SEC") regulations. In the opinion of management, all adjustments considered necessary for a fair presentation have been included. These Condensed Consolidated Financial Statements omit certain information and footnote disclosures required for complete annual financial statements and, therefore, should be read in conjunction with the Ashland Inc. and consolidated subsidiaries ("Ashland" or the "Company") Annual Report on Form 10-K for the fiscal year ended September 30, 2025, filed with the SEC on November 20, 2025. Results of operations for the three and six months ended March 31, 2026, are not necessarily indicative of the expected results for the remainder of the fiscal year.</w:t>
      </w:r>
    </w:p>
    <w:p>
      <w:pPr>
        <w:spacing w:after="0" w:line="81"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Ashland is comprised of the following reportable segments: Life Sciences, Personal Care, Specialty Additives and Intermediates. Unallocated and other includes corporate governance activities and certain legacy matters. For additional information about Ashland's reportable segments, see Note Q.</w:t>
      </w:r>
    </w:p>
    <w:p>
      <w:pPr>
        <w:spacing w:after="0" w:line="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Use of estimates, risks and uncertainties</w:t>
      </w:r>
    </w:p>
    <w:p>
      <w:pPr>
        <w:spacing w:after="0" w:line="112"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0"/>
          <w:szCs w:val="20"/>
          <w:color w:val="auto"/>
        </w:rPr>
        <w:t>The preparation of the Condensed Consolidated Financial Statements in conformity with U.S. GAAP requires management to make estimates and assumptions that affect the reported amounts of assets, liabilities, revenues and expenses, and the disclosures of contingent assets and liabilities. Significant items that are subject to such estimates and assumptions include, but are not limited to, environmental remediation, asbestos litigation, accounting for goodwill and other indefinite-lived intangible assets and income taxes. Although management bases its estimates on historical experience and various other assumptions that are believed to be reasonable under the circumstances, actual results could differ significantly from the estimates under different assumptions or conditions.</w:t>
      </w:r>
    </w:p>
    <w:p>
      <w:pPr>
        <w:spacing w:after="0" w:line="78"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20"/>
          <w:szCs w:val="20"/>
          <w:color w:val="auto"/>
        </w:rPr>
        <w:t>Ashland’s results are affected by domestic and international economic, political, legislative, regulatory and legal actions. Economic conditions, such as recessionary trends, inflation, interest and monetary exchange rates, government fiscal policies and changes in the prices of certain key raw materials, can have a significant effect on operations. While Ashland maintains reserves for anticipated liabilities and carries various levels of insurance, Ashland could be affected by civil, criminal, regulatory or administrative actions, claims or proceedings relating to asbestos, environmental remediation, income taxes or other matters.</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New accounting pronouncements</w:t>
      </w:r>
    </w:p>
    <w:p>
      <w:pPr>
        <w:spacing w:after="0" w:line="112" w:lineRule="exact"/>
        <w:rPr>
          <w:sz w:val="20"/>
          <w:szCs w:val="20"/>
          <w:color w:val="auto"/>
        </w:rPr>
      </w:pPr>
    </w:p>
    <w:p>
      <w:pPr>
        <w:jc w:val="both"/>
        <w:ind w:left="380"/>
        <w:spacing w:after="0" w:line="249" w:lineRule="auto"/>
        <w:rPr>
          <w:sz w:val="20"/>
          <w:szCs w:val="20"/>
          <w:color w:val="auto"/>
        </w:rPr>
      </w:pPr>
      <w:r>
        <w:rPr>
          <w:rFonts w:ascii="Times New Roman" w:cs="Times New Roman" w:eastAsia="Times New Roman" w:hAnsi="Times New Roman"/>
          <w:sz w:val="20"/>
          <w:szCs w:val="20"/>
          <w:color w:val="auto"/>
        </w:rPr>
        <w:t>A description of new U.S. GAAP accounting standards issued or adopted during the current quarter is required in interim financial reporting. A detailed listing of new accounting standards relevant to Ashland is included in the Annual Report on Form 10-K for the fiscal year ended September 30, 2025. There were no new accounting pronouncements recently adopted or issued since then that are expected to have a material impact on the Condensed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B – DIVESTITURES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Avoca business sale</w:t>
      </w:r>
    </w:p>
    <w:p>
      <w:pPr>
        <w:spacing w:after="0" w:line="112"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On March 31, 2025, Ashland completed the sale of its Avoca business to Mane SA. Proceeds from the sale were $16 million, net of transaction costs.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Avoca business was included within Ashland's Personal Care reportable segment.</w:t>
      </w:r>
    </w:p>
    <w:p>
      <w:pPr>
        <w:spacing w:after="0" w:line="108"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Ashland determined this transaction did not qualify for discontinued operations treatment since it neither represented a strategic shift nor did it have a major effect on Ashland's operations and financial results.</w:t>
      </w:r>
    </w:p>
    <w:p>
      <w:pPr>
        <w:spacing w:after="0" w:line="51" w:lineRule="exact"/>
        <w:rPr>
          <w:sz w:val="20"/>
          <w:szCs w:val="20"/>
          <w:color w:val="auto"/>
        </w:rPr>
      </w:pPr>
    </w:p>
    <w:p>
      <w:pPr>
        <w:jc w:val="both"/>
        <w:ind w:left="380"/>
        <w:spacing w:after="0" w:line="249" w:lineRule="auto"/>
        <w:rPr>
          <w:sz w:val="20"/>
          <w:szCs w:val="20"/>
          <w:color w:val="auto"/>
        </w:rPr>
      </w:pPr>
      <w:r>
        <w:rPr>
          <w:rFonts w:ascii="Times New Roman" w:cs="Times New Roman" w:eastAsia="Times New Roman" w:hAnsi="Times New Roman"/>
          <w:sz w:val="20"/>
          <w:szCs w:val="20"/>
          <w:color w:val="auto"/>
        </w:rPr>
        <w:t>Ashland recorded an impairment charge of zero and $183 million ($1 million allocated to goodwill, $134 million to other intangible assets, $33 million to property, plant and equipment, $14 million to operating lease assets, net and $1 million to other current assets) within the income (loss) on divestitures, net caption of the Statement of Condensed Consolidated Comprehensive Income (Loss) for the three and six months ended March 31, 2025.</w:t>
      </w:r>
    </w:p>
    <w:p>
      <w:pPr>
        <w:spacing w:after="0" w:line="7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004" w:right="719" w:bottom="1440" w:gutter="0" w:footer="0" w:header="0"/>
        </w:sectPr>
      </w:pPr>
    </w:p>
    <w:bookmarkStart w:id="5" w:name="page6"/>
    <w:bookmarkEnd w:id="5"/>
    <w:p>
      <w:pPr>
        <w:jc w:val="both"/>
        <w:ind w:left="380" w:right="380"/>
        <w:spacing w:after="0" w:line="245" w:lineRule="auto"/>
        <w:rPr>
          <w:sz w:val="20"/>
          <w:szCs w:val="20"/>
          <w:color w:val="auto"/>
        </w:rPr>
      </w:pPr>
      <w:r>
        <w:rPr>
          <w:rFonts w:ascii="Times New Roman" w:cs="Times New Roman" w:eastAsia="Times New Roman" w:hAnsi="Times New Roman"/>
          <w:sz w:val="20"/>
          <w:szCs w:val="20"/>
          <w:color w:val="auto"/>
        </w:rPr>
        <w:t>The impairment charge includes the impact of the related inside tax basis differences associated with the impaired assets. The tax benefit associated with the sale is included within the income tax expense (benefit) caption of the Statement of Condensed Consolidated Comprehensive Income (Loss) for the six months ended March 31, 2025. Ashland also recorded a pre-tax gain on sale of $8 million following the completion of this sale, mainly related to working capital movements, within the income (loss) on divestitures, net caption of the Statements of Condensed Consolidated Comprehensive Income (Loss) for the three and six months ended March 31, 2025.</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Other corporate assets</w:t>
      </w:r>
    </w:p>
    <w:p>
      <w:pPr>
        <w:spacing w:after="0" w:line="112" w:lineRule="exact"/>
        <w:rPr>
          <w:sz w:val="20"/>
          <w:szCs w:val="20"/>
          <w:color w:val="auto"/>
        </w:rPr>
      </w:pPr>
    </w:p>
    <w:p>
      <w:pPr>
        <w:jc w:val="both"/>
        <w:ind w:left="380" w:right="380"/>
        <w:spacing w:after="0" w:line="249" w:lineRule="auto"/>
        <w:rPr>
          <w:sz w:val="20"/>
          <w:szCs w:val="20"/>
          <w:color w:val="auto"/>
        </w:rPr>
      </w:pPr>
      <w:r>
        <w:rPr>
          <w:rFonts w:ascii="Times New Roman" w:cs="Times New Roman" w:eastAsia="Times New Roman" w:hAnsi="Times New Roman"/>
          <w:sz w:val="20"/>
          <w:szCs w:val="20"/>
          <w:color w:val="auto"/>
        </w:rPr>
        <w:t>During the six months ended March 31, 2026, Ashland completed the sale of an excess land property with a net book value of $2 million. Ashland received net proceeds of $4 million and recorded a pre-tax gain of $2 million within the income (loss) on divestitures, net caption of the Statement of Condensed Consolidated Comprehensive Income (Loss) for the six months ended March 31, 2026.</w:t>
      </w:r>
    </w:p>
    <w:p>
      <w:pPr>
        <w:spacing w:after="0" w:line="72" w:lineRule="exact"/>
        <w:rPr>
          <w:sz w:val="20"/>
          <w:szCs w:val="20"/>
          <w:color w:val="auto"/>
        </w:rPr>
      </w:pPr>
    </w:p>
    <w:p>
      <w:pPr>
        <w:jc w:val="both"/>
        <w:ind w:left="380" w:right="380"/>
        <w:spacing w:after="0" w:line="274" w:lineRule="auto"/>
        <w:rPr>
          <w:sz w:val="20"/>
          <w:szCs w:val="20"/>
          <w:color w:val="auto"/>
        </w:rPr>
      </w:pPr>
      <w:r>
        <w:rPr>
          <w:rFonts w:ascii="Times New Roman" w:cs="Times New Roman" w:eastAsia="Times New Roman" w:hAnsi="Times New Roman"/>
          <w:sz w:val="19"/>
          <w:szCs w:val="19"/>
          <w:color w:val="auto"/>
        </w:rPr>
        <w:t>During the three months ended March 31, 2025, Ashland completed the sale of an excess land property with a net book value of zero. Ashland received net proceeds and recorded a pre-tax gain of $11 million within the income (loss) on divestitures, net caption of the Statements of Condensed Consolidated Comprehensive Income (Loss) for the three and six months ended March 31, 2025.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C – DISCONTINUED OPERATIONS</w:t>
      </w:r>
    </w:p>
    <w:p>
      <w:pPr>
        <w:spacing w:after="0" w:line="112" w:lineRule="exact"/>
        <w:rPr>
          <w:sz w:val="20"/>
          <w:szCs w:val="20"/>
          <w:color w:val="auto"/>
        </w:rPr>
      </w:pPr>
    </w:p>
    <w:p>
      <w:pPr>
        <w:jc w:val="both"/>
        <w:ind w:left="380" w:right="380"/>
        <w:spacing w:after="0" w:line="249" w:lineRule="auto"/>
        <w:rPr>
          <w:sz w:val="20"/>
          <w:szCs w:val="20"/>
          <w:color w:val="auto"/>
        </w:rPr>
      </w:pPr>
      <w:r>
        <w:rPr>
          <w:rFonts w:ascii="Times New Roman" w:cs="Times New Roman" w:eastAsia="Times New Roman" w:hAnsi="Times New Roman"/>
          <w:sz w:val="20"/>
          <w:szCs w:val="20"/>
          <w:color w:val="auto"/>
        </w:rPr>
        <w:t>Ashland has divested certain businesses that have qualified as discontinued operations. The operating results from these divested businesses and subsequent adjustments related to ongoing assessments of certain retained liabilities and income tax items have been recorded within the income from discontinued operations, net of income taxes caption in the Statements of Condensed Consolidated Comprehensive Income (Loss) for all periods presented.</w:t>
      </w:r>
    </w:p>
    <w:p>
      <w:pPr>
        <w:spacing w:after="0" w:line="72" w:lineRule="exact"/>
        <w:rPr>
          <w:sz w:val="20"/>
          <w:szCs w:val="20"/>
          <w:color w:val="auto"/>
        </w:rPr>
      </w:pPr>
    </w:p>
    <w:p>
      <w:pPr>
        <w:jc w:val="both"/>
        <w:ind w:left="380" w:right="380"/>
        <w:spacing w:after="0" w:line="254" w:lineRule="auto"/>
        <w:rPr>
          <w:sz w:val="20"/>
          <w:szCs w:val="20"/>
          <w:color w:val="auto"/>
        </w:rPr>
      </w:pPr>
      <w:r>
        <w:rPr>
          <w:rFonts w:ascii="Times New Roman" w:cs="Times New Roman" w:eastAsia="Times New Roman" w:hAnsi="Times New Roman"/>
          <w:sz w:val="20"/>
          <w:szCs w:val="20"/>
          <w:color w:val="auto"/>
        </w:rPr>
        <w:t>Due to the ongoing assessment of certain matters associated with previous divestitures, subsequent adjustments to these divestitures may continue in future periods in the income from discontinued operations, net of income taxes caption in the Statements of Condensed Consolidated Comprehensive Income (Loss).</w:t>
      </w:r>
    </w:p>
    <w:p>
      <w:pPr>
        <w:spacing w:after="0" w:line="66"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The following divested businesses represent disposal groups that qualified as discontinued operations in previous periods and impacted discontinued operations for the three and six months ended March 31, 2026 and 2025:</w:t>
      </w:r>
    </w:p>
    <w:p>
      <w:pPr>
        <w:spacing w:after="0" w:line="51"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Adhesives business divested in 2022;</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separation of Valvoline Inc. (Valvoline) business divested in 2017; and</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of Ashland Water Technologies (Water Technologies) business divested in 2014.</w:t>
      </w:r>
    </w:p>
    <w:p>
      <w:pPr>
        <w:spacing w:after="0" w:line="108" w:lineRule="exact"/>
        <w:rPr>
          <w:sz w:val="20"/>
          <w:szCs w:val="20"/>
          <w:color w:val="auto"/>
        </w:rPr>
      </w:pPr>
    </w:p>
    <w:p>
      <w:pPr>
        <w:ind w:left="380" w:right="380"/>
        <w:spacing w:after="0" w:line="269" w:lineRule="auto"/>
        <w:rPr>
          <w:sz w:val="20"/>
          <w:szCs w:val="20"/>
          <w:color w:val="auto"/>
        </w:rPr>
      </w:pPr>
      <w:r>
        <w:rPr>
          <w:rFonts w:ascii="Times New Roman" w:cs="Times New Roman" w:eastAsia="Times New Roman" w:hAnsi="Times New Roman"/>
          <w:sz w:val="20"/>
          <w:szCs w:val="20"/>
          <w:color w:val="auto"/>
        </w:rPr>
        <w:t>Components of amounts reflected in the Statements of Condensed Consolidated Comprehensive Income (Loss) related to discontinued operations are presented in the following table: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33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Six months ended</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(In millions)</w:t>
            </w:r>
          </w:p>
        </w:tc>
        <w:tc>
          <w:tcPr>
            <w:tcW w:w="1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March 31</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March 31</w:t>
            </w:r>
          </w:p>
        </w:tc>
        <w:tc>
          <w:tcPr>
            <w:tcW w:w="96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60" w:type="dxa"/>
            <w:vAlign w:val="bottom"/>
            <w:gridSpan w:val="2"/>
            <w:vMerge w:val="continue"/>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3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Water Technologies</w:t>
            </w:r>
          </w:p>
        </w:tc>
        <w:tc>
          <w:tcPr>
            <w:tcW w:w="1780" w:type="dxa"/>
            <w:vAlign w:val="bottom"/>
            <w:tcBorders>
              <w:top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Borders>
              <w:top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Performance Adhesives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Valvoline</w:t>
            </w:r>
          </w:p>
        </w:tc>
        <w:tc>
          <w:tcPr>
            <w:tcW w:w="16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420" w:type="dxa"/>
            <w:vAlign w:val="bottom"/>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34"/>
        </w:trPr>
        <w:tc>
          <w:tcPr>
            <w:tcW w:w="4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-1062355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-1062355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-1062355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NOTE D – RESTRUCTURING ACTIVITIES</w:t>
      </w:r>
    </w:p>
    <w:p>
      <w:pPr>
        <w:spacing w:after="0" w:line="112"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Ashland periodically implements restructuring programs related to acquisitions, divestitures and other cost reduction programs in order to enhance profitability through streamlined operations and an improved overall cost structure.</w:t>
      </w:r>
    </w:p>
    <w:p>
      <w:pPr>
        <w:spacing w:after="0" w:line="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Restructuring costs</w:t>
      </w:r>
    </w:p>
    <w:p>
      <w:pPr>
        <w:spacing w:after="0" w:line="112"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20"/>
          <w:szCs w:val="20"/>
          <w:color w:val="auto"/>
        </w:rPr>
        <w:t>During fiscal 2025, Ashland initiated a restructuring plan to offset the impact from the Nutraceuticals business sale completed in fiscal 2024, the Avoca business sale completed in fiscal 2025, and other portfolio optimization actions ("2025 Restructuring Program"). As a part of the 2025 Restructuring Program, Ashland is also advancing a multi-year manufacturing network optimization to improve operational cost and strengthen its competitive position. The 2025 Restructuring Program continued into fiscal 2026.</w:t>
      </w:r>
    </w:p>
    <w:p>
      <w:pPr>
        <w:spacing w:after="0" w:line="77"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During fiscal 2023, Ashland implemented targeted organizational restructuring actions to reduce costs ("2023 Restructuring Program"). The 2023 Restructuring Program is now completed.</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tables detail the amount of restructuring severance expense related to these programs.</w:t>
      </w:r>
    </w:p>
    <w:p>
      <w:pPr>
        <w:spacing w:after="0" w:line="110"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000" w:type="dxa"/>
            <w:vAlign w:val="bottom"/>
            <w:tcBorders>
              <w:top w:val="single" w:sz="8" w:color="auto"/>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Three months ended March 31, 2026</w:t>
            </w:r>
          </w:p>
        </w:tc>
        <w:tc>
          <w:tcPr>
            <w:tcW w:w="4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98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4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Severance expense</w:t>
            </w:r>
            <w:r>
              <w:rPr>
                <w:rFonts w:ascii="Times New Roman" w:cs="Times New Roman" w:eastAsia="Times New Roman" w:hAnsi="Times New Roman"/>
                <w:sz w:val="24"/>
                <w:szCs w:val="24"/>
                <w:color w:val="auto"/>
                <w:vertAlign w:val="superscript"/>
              </w:rPr>
              <w:t>(a)</w:t>
            </w:r>
          </w:p>
        </w:tc>
        <w:tc>
          <w:tcPr>
            <w:tcW w:w="1440" w:type="dxa"/>
            <w:vAlign w:val="bottom"/>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Utilization (cash</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Severance expense</w:t>
            </w:r>
            <w:r>
              <w:rPr>
                <w:rFonts w:ascii="Times New Roman" w:cs="Times New Roman" w:eastAsia="Times New Roman" w:hAnsi="Times New Roman"/>
                <w:sz w:val="24"/>
                <w:szCs w:val="24"/>
                <w:color w:val="auto"/>
                <w:vertAlign w:val="superscript"/>
              </w:rPr>
              <w:t>(a)</w:t>
            </w:r>
          </w:p>
        </w:tc>
        <w:tc>
          <w:tcPr>
            <w:tcW w:w="1420" w:type="dxa"/>
            <w:vAlign w:val="bottom"/>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Utilization (cash</w:t>
            </w:r>
          </w:p>
        </w:tc>
        <w:tc>
          <w:tcPr>
            <w:tcW w:w="0" w:type="dxa"/>
            <w:vAlign w:val="bottom"/>
          </w:tcPr>
          <w:p>
            <w:pPr>
              <w:spacing w:after="0"/>
              <w:rPr>
                <w:sz w:val="1"/>
                <w:szCs w:val="1"/>
                <w:color w:val="auto"/>
              </w:rPr>
            </w:pPr>
          </w:p>
        </w:tc>
      </w:tr>
      <w:tr>
        <w:trPr>
          <w:trHeight w:val="234"/>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paid)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paid)</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Restructuring Program</w:t>
            </w:r>
          </w:p>
        </w:tc>
        <w:tc>
          <w:tcPr>
            <w:tcW w:w="720" w:type="dxa"/>
            <w:vAlign w:val="bottom"/>
            <w:tcBorders>
              <w:top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tcBorders>
              <w:top w:val="single" w:sz="8" w:color="auto"/>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top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80" w:type="dxa"/>
            <w:vAlign w:val="bottom"/>
            <w:tcBorders>
              <w:top w:val="single" w:sz="8" w:color="auto"/>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2023 Restructuring Program</w:t>
            </w:r>
          </w:p>
        </w:tc>
        <w:tc>
          <w:tcPr>
            <w:tcW w:w="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top w:val="single" w:sz="8" w:color="CFF0FC"/>
              <w:bottom w:val="single" w:sz="8" w:color="auto"/>
            </w:tcBorders>
          </w:tcPr>
          <w:p>
            <w:pPr>
              <w:spacing w:after="0"/>
              <w:rPr>
                <w:sz w:val="4"/>
                <w:szCs w:val="4"/>
                <w:color w:val="auto"/>
              </w:rPr>
            </w:pPr>
          </w:p>
        </w:tc>
        <w:tc>
          <w:tcPr>
            <w:tcW w:w="560" w:type="dxa"/>
            <w:vAlign w:val="bottom"/>
            <w:tcBorders>
              <w:top w:val="single" w:sz="8" w:color="CFF0FC"/>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198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920" w:type="dxa"/>
            <w:vAlign w:val="bottom"/>
            <w:tcBorders>
              <w:top w:val="single" w:sz="8" w:color="auto"/>
              <w:bottom w:val="single" w:sz="8" w:color="auto"/>
            </w:tcBorders>
          </w:tcPr>
          <w:p>
            <w:pPr>
              <w:spacing w:after="0"/>
              <w:rPr>
                <w:sz w:val="4"/>
                <w:szCs w:val="4"/>
                <w:color w:val="auto"/>
              </w:rPr>
            </w:pPr>
          </w:p>
        </w:tc>
        <w:tc>
          <w:tcPr>
            <w:tcW w:w="42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200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880" w:type="dxa"/>
            <w:vAlign w:val="bottom"/>
            <w:tcBorders>
              <w:top w:val="single" w:sz="8" w:color="auto"/>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-76835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-59055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-76835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-59055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-76835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-59055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740" w:hanging="358"/>
        <w:spacing w:after="0" w:line="261" w:lineRule="auto"/>
        <w:tabs>
          <w:tab w:leader="none" w:pos="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Severance expense is recorded within the selling, general and administrative expense caption of the Statements of Condensed Consolidated Comprehensive Income (Loss) for the three months ended March 31, 2026 and 2025.</w:t>
      </w:r>
    </w:p>
    <w:p>
      <w:pPr>
        <w:spacing w:after="0" w:line="71" w:lineRule="exact"/>
        <w:rPr>
          <w:sz w:val="20"/>
          <w:szCs w:val="20"/>
          <w:color w:val="auto"/>
        </w:rPr>
      </w:pPr>
    </w:p>
    <w:tbl>
      <w:tblPr>
        <w:tblLayout w:type="fixed"/>
        <w:tblInd w:w="40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5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340" w:type="dxa"/>
            <w:vAlign w:val="bottom"/>
            <w:tcBorders>
              <w:top w:val="single" w:sz="8" w:color="auto"/>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Six months ended March 31, 2026</w:t>
            </w:r>
          </w:p>
        </w:tc>
        <w:tc>
          <w:tcPr>
            <w:tcW w:w="2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3280" w:type="dxa"/>
            <w:vAlign w:val="bottom"/>
            <w:tcBorders>
              <w:top w:val="single" w:sz="8" w:color="auto"/>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Six months ended March 31, 2025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9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Severance expense</w:t>
            </w:r>
            <w:r>
              <w:rPr>
                <w:rFonts w:ascii="Times New Roman" w:cs="Times New Roman" w:eastAsia="Times New Roman" w:hAnsi="Times New Roman"/>
                <w:sz w:val="24"/>
                <w:szCs w:val="24"/>
                <w:color w:val="auto"/>
                <w:vertAlign w:val="superscript"/>
              </w:rPr>
              <w:t>(a)</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Utilization</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8"/>
                <w:szCs w:val="18"/>
                <w:color w:val="auto"/>
              </w:rPr>
              <w:t>Severance expense (income)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Utilization</w:t>
            </w:r>
          </w:p>
        </w:tc>
        <w:tc>
          <w:tcPr>
            <w:tcW w:w="0" w:type="dxa"/>
            <w:vAlign w:val="bottom"/>
          </w:tcPr>
          <w:p>
            <w:pPr>
              <w:spacing w:after="0"/>
              <w:rPr>
                <w:sz w:val="1"/>
                <w:szCs w:val="1"/>
                <w:color w:val="auto"/>
              </w:rPr>
            </w:pPr>
          </w:p>
        </w:tc>
      </w:tr>
      <w:tr>
        <w:trPr>
          <w:trHeight w:val="45"/>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540" w:type="dxa"/>
            <w:vAlign w:val="bottom"/>
          </w:tcPr>
          <w:p>
            <w:pPr>
              <w:spacing w:after="0"/>
              <w:rPr>
                <w:sz w:val="3"/>
                <w:szCs w:val="3"/>
                <w:color w:val="auto"/>
              </w:rPr>
            </w:pPr>
          </w:p>
        </w:tc>
        <w:tc>
          <w:tcPr>
            <w:tcW w:w="194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(cash paid)</w:t>
            </w: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(cash paid)</w:t>
            </w:r>
          </w:p>
        </w:tc>
        <w:tc>
          <w:tcPr>
            <w:tcW w:w="0" w:type="dxa"/>
            <w:vAlign w:val="bottom"/>
          </w:tcPr>
          <w:p>
            <w:pPr>
              <w:spacing w:after="0"/>
              <w:rPr>
                <w:sz w:val="1"/>
                <w:szCs w:val="1"/>
                <w:color w:val="auto"/>
              </w:rPr>
            </w:pPr>
          </w:p>
        </w:tc>
      </w:tr>
      <w:tr>
        <w:trPr>
          <w:trHeight w:val="189"/>
        </w:trPr>
        <w:tc>
          <w:tcPr>
            <w:tcW w:w="260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tcPr>
          <w:p>
            <w:pPr>
              <w:jc w:val="right"/>
              <w:ind w:right="1016"/>
              <w:spacing w:after="0"/>
              <w:rPr>
                <w:sz w:val="20"/>
                <w:szCs w:val="20"/>
                <w:color w:val="auto"/>
              </w:rPr>
            </w:pPr>
            <w:r>
              <w:rPr>
                <w:rFonts w:ascii="Times New Roman" w:cs="Times New Roman" w:eastAsia="Times New Roman" w:hAnsi="Times New Roman"/>
                <w:sz w:val="12"/>
                <w:szCs w:val="12"/>
                <w:color w:val="auto"/>
              </w:rPr>
              <w:t>(a)</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Restructuring Program</w:t>
            </w:r>
          </w:p>
        </w:tc>
        <w:tc>
          <w:tcPr>
            <w:tcW w:w="2480" w:type="dxa"/>
            <w:vAlign w:val="bottom"/>
            <w:tcBorders>
              <w:top w:val="single" w:sz="8" w:color="auto"/>
            </w:tcBorders>
            <w:gridSpan w:val="2"/>
            <w:shd w:val="clear" w:color="auto" w:fill="CFF0FC"/>
          </w:tcPr>
          <w:p>
            <w:pPr>
              <w:jc w:val="right"/>
              <w:ind w:right="17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tcBorders>
              <w:top w:val="single" w:sz="8" w:color="auto"/>
            </w:tcBorders>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top w:val="single" w:sz="8" w:color="auto"/>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top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2023 Restructuring Program</w:t>
            </w:r>
          </w:p>
        </w:tc>
        <w:tc>
          <w:tcPr>
            <w:tcW w:w="540" w:type="dxa"/>
            <w:vAlign w:val="bottom"/>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80" w:type="dxa"/>
            <w:vAlign w:val="bottom"/>
            <w:gridSpan w:val="2"/>
            <w:shd w:val="clear" w:color="auto" w:fill="CFF0FC"/>
          </w:tcPr>
          <w:p>
            <w:pPr>
              <w:jc w:val="right"/>
              <w:ind w:right="17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top w:val="single" w:sz="8" w:color="CFF0FC"/>
              <w:bottom w:val="single" w:sz="8" w:color="auto"/>
            </w:tcBorders>
          </w:tcPr>
          <w:p>
            <w:pPr>
              <w:spacing w:after="0"/>
              <w:rPr>
                <w:sz w:val="4"/>
                <w:szCs w:val="4"/>
                <w:color w:val="auto"/>
              </w:rPr>
            </w:pPr>
          </w:p>
        </w:tc>
        <w:tc>
          <w:tcPr>
            <w:tcW w:w="540" w:type="dxa"/>
            <w:vAlign w:val="bottom"/>
            <w:tcBorders>
              <w:top w:val="single" w:sz="8" w:color="CFF0FC"/>
              <w:bottom w:val="single" w:sz="8" w:color="auto"/>
            </w:tcBorders>
          </w:tcPr>
          <w:p>
            <w:pPr>
              <w:spacing w:after="0"/>
              <w:rPr>
                <w:sz w:val="4"/>
                <w:szCs w:val="4"/>
                <w:color w:val="auto"/>
              </w:rPr>
            </w:pPr>
          </w:p>
        </w:tc>
        <w:tc>
          <w:tcPr>
            <w:tcW w:w="1940" w:type="dxa"/>
            <w:vAlign w:val="bottom"/>
            <w:tcBorders>
              <w:top w:val="single" w:sz="8" w:color="auto"/>
              <w:bottom w:val="single" w:sz="8" w:color="auto"/>
            </w:tcBorders>
          </w:tcPr>
          <w:p>
            <w:pPr>
              <w:spacing w:after="0"/>
              <w:rPr>
                <w:sz w:val="4"/>
                <w:szCs w:val="4"/>
                <w:color w:val="auto"/>
              </w:rPr>
            </w:pPr>
          </w:p>
        </w:tc>
        <w:tc>
          <w:tcPr>
            <w:tcW w:w="32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980" w:type="dxa"/>
            <w:vAlign w:val="bottom"/>
            <w:tcBorders>
              <w:top w:val="single" w:sz="8" w:color="auto"/>
              <w:bottom w:val="single" w:sz="8" w:color="auto"/>
            </w:tcBorders>
          </w:tcPr>
          <w:p>
            <w:pPr>
              <w:spacing w:after="0"/>
              <w:rPr>
                <w:sz w:val="4"/>
                <w:szCs w:val="4"/>
                <w:color w:val="auto"/>
              </w:rPr>
            </w:pPr>
          </w:p>
        </w:tc>
        <w:tc>
          <w:tcPr>
            <w:tcW w:w="28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280" w:type="dxa"/>
            <w:vAlign w:val="bottom"/>
            <w:tcBorders>
              <w:top w:val="single" w:sz="8" w:color="auto"/>
              <w:bottom w:val="single" w:sz="8" w:color="auto"/>
            </w:tcBorders>
          </w:tcPr>
          <w:p>
            <w:pPr>
              <w:spacing w:after="0"/>
              <w:rPr>
                <w:sz w:val="4"/>
                <w:szCs w:val="4"/>
                <w:color w:val="auto"/>
              </w:rPr>
            </w:pPr>
          </w:p>
        </w:tc>
        <w:tc>
          <w:tcPr>
            <w:tcW w:w="194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12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-76835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-59690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-76835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-59690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-76835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-59690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740" w:hanging="358"/>
        <w:spacing w:after="0" w:line="261" w:lineRule="auto"/>
        <w:tabs>
          <w:tab w:leader="none" w:pos="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Severance expense (income) is recorded within the selling, general and administrative expense caption of the Statements of Condensed Consolidated Comprehensive Income (Loss) for the six months ended March 31, 2026 and 2025.</w:t>
      </w:r>
    </w:p>
    <w:p>
      <w:pPr>
        <w:spacing w:after="0" w:line="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details at March 31, 2026, the amount of restructuring severance liabilities related to these programs.</w:t>
      </w:r>
    </w:p>
    <w:p>
      <w:pPr>
        <w:spacing w:after="0" w:line="110"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4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0" w:type="dxa"/>
            <w:vAlign w:val="bottom"/>
            <w:tcBorders>
              <w:top w:val="single" w:sz="8" w:color="auto"/>
            </w:tcBorders>
          </w:tcPr>
          <w:p>
            <w:pPr>
              <w:spacing w:after="0"/>
              <w:rPr>
                <w:sz w:val="19"/>
                <w:szCs w:val="19"/>
                <w:color w:val="auto"/>
              </w:rPr>
            </w:pPr>
          </w:p>
        </w:tc>
        <w:tc>
          <w:tcPr>
            <w:tcW w:w="26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 Restructuring Program</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 Restructuring Program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9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Balance at September 30, 2025</w:t>
            </w:r>
            <w:r>
              <w:rPr>
                <w:rFonts w:ascii="Times New Roman" w:cs="Times New Roman" w:eastAsia="Times New Roman" w:hAnsi="Times New Roman"/>
                <w:sz w:val="24"/>
                <w:szCs w:val="24"/>
                <w:b w:val="1"/>
                <w:bCs w:val="1"/>
                <w:color w:val="auto"/>
                <w:vertAlign w:val="superscript"/>
              </w:rPr>
              <w:t>(a)</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reserve</w:t>
            </w:r>
          </w:p>
        </w:tc>
        <w:tc>
          <w:tcPr>
            <w:tcW w:w="200" w:type="dxa"/>
            <w:vAlign w:val="bottom"/>
          </w:tcPr>
          <w:p>
            <w:pPr>
              <w:spacing w:after="0"/>
              <w:rPr>
                <w:sz w:val="18"/>
                <w:szCs w:val="18"/>
                <w:color w:val="auto"/>
              </w:rPr>
            </w:pPr>
          </w:p>
        </w:tc>
        <w:tc>
          <w:tcPr>
            <w:tcW w:w="2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Utilization (cash paid)</w:t>
            </w:r>
          </w:p>
        </w:tc>
        <w:tc>
          <w:tcPr>
            <w:tcW w:w="200" w:type="dxa"/>
            <w:vAlign w:val="bottom"/>
            <w:tcBorders>
              <w:bottom w:val="single" w:sz="8" w:color="auto"/>
            </w:tcBorders>
            <w:shd w:val="clear" w:color="auto" w:fill="CFF0FC"/>
          </w:tcPr>
          <w:p>
            <w:pPr>
              <w:spacing w:after="0"/>
              <w:rPr>
                <w:sz w:val="18"/>
                <w:szCs w:val="18"/>
                <w:color w:val="auto"/>
              </w:rPr>
            </w:pPr>
          </w:p>
        </w:tc>
        <w:tc>
          <w:tcPr>
            <w:tcW w:w="2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Balance at March 31, 2026</w:t>
            </w:r>
            <w:r>
              <w:rPr>
                <w:rFonts w:ascii="Times New Roman" w:cs="Times New Roman" w:eastAsia="Times New Roman" w:hAnsi="Times New Roman"/>
                <w:sz w:val="24"/>
                <w:szCs w:val="24"/>
                <w:b w:val="1"/>
                <w:bCs w:val="1"/>
                <w:color w:val="auto"/>
                <w:vertAlign w:val="superscript"/>
              </w:rPr>
              <w:t>(a)</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-222250</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5" w:lineRule="exact"/>
        <w:rPr>
          <w:sz w:val="20"/>
          <w:szCs w:val="20"/>
          <w:color w:val="auto"/>
        </w:rPr>
      </w:pPr>
    </w:p>
    <w:p>
      <w:pPr>
        <w:ind w:left="740" w:hanging="358"/>
        <w:spacing w:after="0" w:line="261" w:lineRule="auto"/>
        <w:tabs>
          <w:tab w:leader="none" w:pos="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restructuring severance liabilities associated with these programs is recorded within accrued expenses and other liabilities in the Condensed Consolidated Balance Sheets at March 31, 2026 and September 30, 2025.</w:t>
      </w:r>
    </w:p>
    <w:p>
      <w:pPr>
        <w:spacing w:after="0" w:line="5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977" w:right="719" w:bottom="1440" w:gutter="0" w:footer="0" w:header="0"/>
        </w:sectPr>
      </w:pPr>
    </w:p>
    <w:bookmarkStart w:id="7" w:name="page8"/>
    <w:bookmarkEnd w:id="7"/>
    <w:p>
      <w:pPr>
        <w:ind w:left="380"/>
        <w:spacing w:after="0"/>
        <w:rPr>
          <w:sz w:val="20"/>
          <w:szCs w:val="20"/>
          <w:color w:val="auto"/>
        </w:rPr>
      </w:pPr>
      <w:r>
        <w:rPr>
          <w:rFonts w:ascii="Times New Roman" w:cs="Times New Roman" w:eastAsia="Times New Roman" w:hAnsi="Times New Roman"/>
          <w:sz w:val="20"/>
          <w:szCs w:val="20"/>
          <w:i w:val="1"/>
          <w:iCs w:val="1"/>
          <w:color w:val="auto"/>
        </w:rPr>
        <w:t>Plant optimization actions</w:t>
      </w:r>
    </w:p>
    <w:p>
      <w:pPr>
        <w:spacing w:after="0" w:line="112"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Ashland's portfolio optimization actions have included manufacturing network optimization projects associated with carboxymethylcellulose ("CMC"), industrial methylcellulose ("MC"), vinyl pyrrolidone and derivatives ("VP&amp;D") and hydroxyethylcellulose ("HEC").</w:t>
      </w:r>
    </w:p>
    <w:p>
      <w:pPr>
        <w:spacing w:after="0" w:line="66"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During the three and six months ended March 31, 2026, Ashland incurred zero and $3 million of accelerated depreciation for product line optimization activities associated with a Specialty Additives manufacturing facility, which was recorded within the cost of sales caption of the Statements of Condensed Consolidated Comprehensive Income (Loss).</w:t>
      </w:r>
    </w:p>
    <w:p>
      <w:pPr>
        <w:spacing w:after="0" w:line="66"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During both the three and six months ended March 31, 2025, Ashland incurred $13 million of accelerated depreciation for product line optimization activities associated with a Life Sciences manufacturing facility, which was recorded within the cost of sales caption of the Statements of Condensed Consolidated Comprehensive Income (Loss).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E – FAIR VALUE MEASUREMENTS</w:t>
      </w:r>
    </w:p>
    <w:p>
      <w:pPr>
        <w:spacing w:after="0" w:line="112"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0"/>
          <w:szCs w:val="20"/>
          <w:color w:val="auto"/>
        </w:rPr>
        <w:t>As required by U.S. GAAP, Ashland uses applicable guidance for defining fair value, the initial recording and periodic remeasurement of certain assets and liabilities measured at fair value and related disclosures for instruments measured at fair value. Fair value accounting guidance establishes a fair value hierarchy, which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An instrument’s categorization within the fair value hierarchy is based upon the lowest level of input that is significant to the instrument’s fair value measurement. The three levels within the fair value hierarchy are described as follows.</w:t>
      </w:r>
    </w:p>
    <w:p>
      <w:pPr>
        <w:spacing w:after="0" w:line="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Level 1 – Observable inputs such as unadjusted quoted prices in active markets for identical assets or liabilities.</w:t>
      </w:r>
    </w:p>
    <w:p>
      <w:pPr>
        <w:spacing w:after="0" w:line="108"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Level 2 – 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66"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20"/>
          <w:szCs w:val="20"/>
          <w:color w:val="auto"/>
        </w:rPr>
        <w:t>Level 3 – Unobservable inputs for the asset or liability for which there is little, if any, market activity at the measurement date. Unobservable inputs reflect Ashland’s own assumptions about what market participants would use to price the asset or liability. The inputs are developed based on the best information available in the circumstances, which might include Ashland’s own financial data such as internally developed pricing models, discounted cash flow methodologies, as well as instruments for which the fair value determination requires significant management judgment.</w:t>
      </w:r>
    </w:p>
    <w:p>
      <w:pPr>
        <w:spacing w:after="0" w:line="77"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20"/>
          <w:szCs w:val="20"/>
          <w:color w:val="auto"/>
        </w:rPr>
        <w:t>For assets that are measured using quoted prices in active markets (Level 1), the total fair value is the published market price per unit multiplied by the number of units held without consideration of transaction costs. Assets and liabilities that are measured using significant other observable inputs (Level 2) are primarily valued by reference to quoted prices of similar assets or liabilities in active markets, adjusted for any terms specific to that asset or liability. For all other assets and liabilities for which unobservable inputs are used (Level 3), fair value is derived through the use of fair value models, such as a discounted cash flow model or other standard pricing models that Ashland deems reasonable.</w:t>
      </w:r>
    </w:p>
    <w:p>
      <w:pPr>
        <w:spacing w:after="0" w:line="8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085" w:right="7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color w:val="auto"/>
        </w:rPr>
        <w:t>The following table summarizes financial instruments subject to recurring fair value measurements as of March 31, 2026:</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7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Carrying</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Restricted investments</w:t>
            </w:r>
            <w:r>
              <w:rPr>
                <w:rFonts w:ascii="Times New Roman" w:cs="Times New Roman" w:eastAsia="Times New Roman" w:hAnsi="Times New Roman"/>
                <w:sz w:val="24"/>
                <w:szCs w:val="24"/>
                <w:color w:val="auto"/>
                <w:vertAlign w:val="superscript"/>
              </w:rPr>
              <w:t>(a)(b)</w:t>
            </w: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Investment of captive insurance company</w:t>
            </w:r>
            <w:r>
              <w:rPr>
                <w:rFonts w:ascii="Times New Roman" w:cs="Times New Roman" w:eastAsia="Times New Roman" w:hAnsi="Times New Roman"/>
                <w:sz w:val="24"/>
                <w:szCs w:val="24"/>
                <w:color w:val="auto"/>
                <w:vertAlign w:val="superscript"/>
              </w:rPr>
              <w:t>(c)</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Commodity derivatives</w:t>
            </w:r>
            <w:r>
              <w:rPr>
                <w:rFonts w:ascii="Times New Roman" w:cs="Times New Roman" w:eastAsia="Times New Roman" w:hAnsi="Times New Roman"/>
                <w:sz w:val="24"/>
                <w:szCs w:val="24"/>
                <w:color w:val="auto"/>
                <w:vertAlign w:val="superscript"/>
              </w:rPr>
              <w:t>(d)</w:t>
            </w:r>
          </w:p>
        </w:tc>
        <w:tc>
          <w:tcPr>
            <w:tcW w:w="6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Foreign currency derivatives</w:t>
            </w:r>
            <w:r>
              <w:rPr>
                <w:rFonts w:ascii="Times New Roman" w:cs="Times New Roman" w:eastAsia="Times New Roman" w:hAnsi="Times New Roman"/>
                <w:sz w:val="24"/>
                <w:szCs w:val="24"/>
                <w:color w:val="auto"/>
                <w:vertAlign w:val="superscript"/>
              </w:rPr>
              <w:t>(e)</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Commodity derivatives</w:t>
            </w:r>
            <w:r>
              <w:rPr>
                <w:rFonts w:ascii="Times New Roman" w:cs="Times New Roman" w:eastAsia="Times New Roman" w:hAnsi="Times New Roman"/>
                <w:sz w:val="24"/>
                <w:szCs w:val="24"/>
                <w:color w:val="auto"/>
                <w:vertAlign w:val="superscript"/>
              </w:rPr>
              <w:t>(e)</w:t>
            </w:r>
          </w:p>
        </w:tc>
        <w:tc>
          <w:tcPr>
            <w:tcW w:w="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740" w:type="dxa"/>
            <w:vAlign w:val="bottom"/>
            <w:tcBorders>
              <w:top w:val="single" w:sz="8" w:color="CFF0FC"/>
              <w:bottom w:val="single" w:sz="8" w:color="auto"/>
            </w:tcBorders>
          </w:tcPr>
          <w:p>
            <w:pPr>
              <w:spacing w:after="0"/>
              <w:rPr>
                <w:sz w:val="4"/>
                <w:szCs w:val="4"/>
                <w:color w:val="auto"/>
              </w:rPr>
            </w:pPr>
          </w:p>
        </w:tc>
        <w:tc>
          <w:tcPr>
            <w:tcW w:w="640" w:type="dxa"/>
            <w:vAlign w:val="bottom"/>
            <w:tcBorders>
              <w:top w:val="single" w:sz="8" w:color="CFF0FC"/>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02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02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100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98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90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-942340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-942340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5113020</wp:posOffset>
            </wp:positionH>
            <wp:positionV relativeFrom="paragraph">
              <wp:posOffset>-942340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-942340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-76835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-59690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-76835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-59690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5113020</wp:posOffset>
            </wp:positionH>
            <wp:positionV relativeFrom="paragraph">
              <wp:posOffset>-76835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5113020</wp:posOffset>
            </wp:positionH>
            <wp:positionV relativeFrom="paragraph">
              <wp:posOffset>-59690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-76835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-59690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360" w:hanging="358"/>
        <w:spacing w:after="0"/>
        <w:tabs>
          <w:tab w:leader="none" w:pos="3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$276 million within restricted investments and $50 million within other current assets in the Condensed Consolidated Balance Sheet.</w:t>
      </w:r>
    </w:p>
    <w:p>
      <w:pPr>
        <w:spacing w:after="0" w:line="28"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$213 million related to the Asbestos trust and $113 million related to the Environmental trust.</w:t>
      </w:r>
    </w:p>
    <w:p>
      <w:pPr>
        <w:spacing w:after="0" w:line="27"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noncurrent assets in the Condensed Consolidated Balance Sheet.</w:t>
      </w:r>
    </w:p>
    <w:p>
      <w:pPr>
        <w:spacing w:after="0" w:line="15"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accounts receivable, net in the Condensed Consolidated Balance Sheet.</w:t>
      </w:r>
    </w:p>
    <w:p>
      <w:pPr>
        <w:spacing w:after="0" w:line="28"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expenses and other liabilities in the Condensed Consolidated Balance Sheet.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financial instruments subject to recurring fair value measurements as of September 30, 2025:</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7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Carrying</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4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gridSpan w:val="2"/>
          </w:tcPr>
          <w:p>
            <w:pPr>
              <w:jc w:val="right"/>
              <w:ind w:right="4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215</w:t>
            </w:r>
          </w:p>
        </w:tc>
        <w:tc>
          <w:tcPr>
            <w:tcW w:w="220" w:type="dxa"/>
            <w:vAlign w:val="bottom"/>
            <w:gridSpan w:val="2"/>
          </w:tcPr>
          <w:p>
            <w:pPr>
              <w:jc w:val="right"/>
              <w:ind w:right="4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215</w:t>
            </w:r>
          </w:p>
        </w:tc>
        <w:tc>
          <w:tcPr>
            <w:tcW w:w="260" w:type="dxa"/>
            <w:vAlign w:val="bottom"/>
            <w:gridSpan w:val="2"/>
          </w:tcPr>
          <w:p>
            <w:pPr>
              <w:jc w:val="right"/>
              <w:ind w:right="8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215</w:t>
            </w:r>
          </w:p>
        </w:tc>
        <w:tc>
          <w:tcPr>
            <w:tcW w:w="260" w:type="dxa"/>
            <w:vAlign w:val="bottom"/>
            <w:gridSpan w:val="2"/>
          </w:tcPr>
          <w:p>
            <w:pPr>
              <w:jc w:val="right"/>
              <w:ind w:right="80"/>
              <w:spacing w:after="0" w:line="164"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line="164"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line="164"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00"/>
              <w:spacing w:after="0" w:line="16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Restricted investments</w:t>
            </w:r>
            <w:r>
              <w:rPr>
                <w:rFonts w:ascii="Times New Roman" w:cs="Times New Roman" w:eastAsia="Times New Roman" w:hAnsi="Times New Roman"/>
                <w:sz w:val="24"/>
                <w:szCs w:val="24"/>
                <w:color w:val="auto"/>
                <w:vertAlign w:val="superscript"/>
              </w:rPr>
              <w:t>(a)(b)</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74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Investment of captive insurance company</w:t>
            </w:r>
            <w:r>
              <w:rPr>
                <w:rFonts w:ascii="Times New Roman" w:cs="Times New Roman" w:eastAsia="Times New Roman" w:hAnsi="Times New Roman"/>
                <w:sz w:val="24"/>
                <w:szCs w:val="24"/>
                <w:color w:val="auto"/>
                <w:vertAlign w:val="superscript"/>
              </w:rPr>
              <w:t>(c)</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Commodity derivatives</w:t>
            </w:r>
            <w:r>
              <w:rPr>
                <w:rFonts w:ascii="Times New Roman" w:cs="Times New Roman" w:eastAsia="Times New Roman" w:hAnsi="Times New Roman"/>
                <w:sz w:val="24"/>
                <w:szCs w:val="24"/>
                <w:color w:val="auto"/>
                <w:vertAlign w:val="superscript"/>
              </w:rPr>
              <w:t>(d)</w:t>
            </w:r>
          </w:p>
        </w:tc>
        <w:tc>
          <w:tcPr>
            <w:tcW w:w="6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3740" w:type="dxa"/>
            <w:vAlign w:val="bottom"/>
          </w:tcPr>
          <w:p>
            <w:pPr>
              <w:spacing w:after="0" w:line="164"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Foreign currency derivatives</w:t>
            </w:r>
            <w:r>
              <w:rPr>
                <w:rFonts w:ascii="Times New Roman" w:cs="Times New Roman" w:eastAsia="Times New Roman" w:hAnsi="Times New Roman"/>
                <w:sz w:val="24"/>
                <w:szCs w:val="24"/>
                <w:color w:val="auto"/>
                <w:vertAlign w:val="superscript"/>
              </w:rPr>
              <w:t>(e)</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74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Commodity derivatives</w:t>
            </w:r>
            <w:r>
              <w:rPr>
                <w:rFonts w:ascii="Times New Roman" w:cs="Times New Roman" w:eastAsia="Times New Roman" w:hAnsi="Times New Roman"/>
                <w:sz w:val="24"/>
                <w:szCs w:val="24"/>
                <w:color w:val="auto"/>
                <w:vertAlign w:val="superscript"/>
              </w:rPr>
              <w:t>(e)</w:t>
            </w:r>
          </w:p>
        </w:tc>
        <w:tc>
          <w:tcPr>
            <w:tcW w:w="6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740" w:type="dxa"/>
            <w:vAlign w:val="bottom"/>
            <w:tcBorders>
              <w:top w:val="single" w:sz="8" w:color="CFF0FC"/>
              <w:bottom w:val="single" w:sz="8" w:color="auto"/>
            </w:tcBorders>
          </w:tcPr>
          <w:p>
            <w:pPr>
              <w:spacing w:after="0"/>
              <w:rPr>
                <w:sz w:val="4"/>
                <w:szCs w:val="4"/>
                <w:color w:val="auto"/>
              </w:rPr>
            </w:pPr>
          </w:p>
        </w:tc>
        <w:tc>
          <w:tcPr>
            <w:tcW w:w="640" w:type="dxa"/>
            <w:vAlign w:val="bottom"/>
            <w:tcBorders>
              <w:top w:val="single" w:sz="8" w:color="CFF0FC"/>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02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02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100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98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90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-1353820</wp:posOffset>
            </wp:positionV>
            <wp:extent cx="662622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-496570</wp:posOffset>
            </wp:positionV>
            <wp:extent cx="6626225"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-942340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-942340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5113020</wp:posOffset>
            </wp:positionH>
            <wp:positionV relativeFrom="paragraph">
              <wp:posOffset>-942340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-942340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-76200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-59690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-76200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-59690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5113020</wp:posOffset>
            </wp:positionH>
            <wp:positionV relativeFrom="paragraph">
              <wp:posOffset>-76200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5113020</wp:posOffset>
            </wp:positionH>
            <wp:positionV relativeFrom="paragraph">
              <wp:posOffset>-59690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-76200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-59690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5" w:lineRule="exact"/>
        <w:rPr>
          <w:sz w:val="20"/>
          <w:szCs w:val="20"/>
          <w:color w:val="auto"/>
        </w:rPr>
      </w:pPr>
    </w:p>
    <w:p>
      <w:pPr>
        <w:ind w:left="360" w:hanging="358"/>
        <w:spacing w:after="0"/>
        <w:tabs>
          <w:tab w:leader="none" w:pos="3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$297 million within restricted investments and $50 million within other current assets in the Condensed Consolidated Balance Sheet.</w:t>
      </w:r>
    </w:p>
    <w:p>
      <w:pPr>
        <w:spacing w:after="0" w:line="27"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$231 million related to the Asbestos trust and $116 million related to the Environmental trust.</w:t>
      </w:r>
    </w:p>
    <w:p>
      <w:pPr>
        <w:spacing w:after="0" w:line="15"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noncurrent assets in the Condensed Consolidated Balance Sheet.</w:t>
      </w:r>
    </w:p>
    <w:p>
      <w:pPr>
        <w:spacing w:after="0" w:line="28"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accounts receivable, net in the Condensed Consolidated Balance Sheet.</w:t>
      </w:r>
    </w:p>
    <w:p>
      <w:pPr>
        <w:spacing w:after="0" w:line="27"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expenses and other liabilities in the Condensed Consolidated Balance Sheet.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Restricted investments</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Ashland maintains certain investments in Company restricted renewable annual trusts for the purpose of paying future asbestos indemnity and defense costs and future environmental remediation and related litigation costs. The financial instruments are designated as investment securities, classified as Level 1 measurements within the fair value hierarchy. These investment securities were classified primarily as noncurrent restricted investment assets, with $50 million classified within other current assets, in the Condensed Consolidated Balance Sheets at both March 31, 2026 and September 30, 2025.</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color w:val="auto"/>
        </w:rPr>
        <w:t>The following table presents gross unrealized gains and losses for the restricted investments as of:</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Gross</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71"/>
              <w:spacing w:after="0"/>
              <w:rPr>
                <w:sz w:val="20"/>
                <w:szCs w:val="20"/>
                <w:color w:val="auto"/>
              </w:rPr>
            </w:pPr>
            <w:r>
              <w:rPr>
                <w:rFonts w:ascii="Times New Roman" w:cs="Times New Roman" w:eastAsia="Times New Roman" w:hAnsi="Times New Roman"/>
                <w:sz w:val="17"/>
                <w:szCs w:val="17"/>
                <w:color w:val="auto"/>
              </w:rPr>
              <w:t>Gross</w:t>
            </w: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71"/>
              <w:spacing w:after="0"/>
              <w:rPr>
                <w:sz w:val="20"/>
                <w:szCs w:val="20"/>
                <w:color w:val="auto"/>
              </w:rPr>
            </w:pPr>
            <w:r>
              <w:rPr>
                <w:rFonts w:ascii="Times New Roman" w:cs="Times New Roman" w:eastAsia="Times New Roman" w:hAnsi="Times New Roman"/>
                <w:sz w:val="17"/>
                <w:szCs w:val="17"/>
                <w:color w:val="auto"/>
              </w:rPr>
              <w:t>Adjusted Cost</w:t>
            </w:r>
          </w:p>
        </w:tc>
        <w:tc>
          <w:tcPr>
            <w:tcW w:w="14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Unrealized Gain</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ind w:right="111"/>
              <w:spacing w:after="0"/>
              <w:rPr>
                <w:sz w:val="20"/>
                <w:szCs w:val="20"/>
                <w:color w:val="auto"/>
              </w:rPr>
            </w:pPr>
            <w:r>
              <w:rPr>
                <w:rFonts w:ascii="Times New Roman" w:cs="Times New Roman" w:eastAsia="Times New Roman" w:hAnsi="Times New Roman"/>
                <w:sz w:val="17"/>
                <w:szCs w:val="17"/>
                <w:color w:val="auto"/>
                <w:w w:val="99"/>
              </w:rPr>
              <w:t>Unrealized Loss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311"/>
              <w:spacing w:after="0"/>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Demand deposit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mutual fund</w:t>
            </w: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Fixed income mutual fund</w:t>
            </w:r>
          </w:p>
        </w:tc>
        <w:tc>
          <w:tcPr>
            <w:tcW w:w="1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299</w:t>
            </w:r>
          </w:p>
        </w:tc>
        <w:tc>
          <w:tcPr>
            <w:tcW w:w="40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60" w:type="dxa"/>
            <w:vAlign w:val="bottom"/>
            <w:tcBorders>
              <w:top w:val="single" w:sz="8" w:color="CFF0FC"/>
            </w:tcBorders>
          </w:tcPr>
          <w:p>
            <w:pPr>
              <w:spacing w:after="0"/>
              <w:rPr>
                <w:sz w:val="17"/>
                <w:szCs w:val="17"/>
                <w:color w:val="auto"/>
              </w:rPr>
            </w:pPr>
          </w:p>
        </w:tc>
        <w:tc>
          <w:tcPr>
            <w:tcW w:w="12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Demand deposit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mutual fund</w:t>
            </w: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Fixed income mutual fund</w:t>
            </w:r>
          </w:p>
        </w:tc>
        <w:tc>
          <w:tcPr>
            <w:tcW w:w="1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311</w:t>
            </w:r>
          </w:p>
        </w:tc>
        <w:tc>
          <w:tcPr>
            <w:tcW w:w="40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160" w:type="dxa"/>
            <w:vAlign w:val="bottom"/>
            <w:tcBorders>
              <w:top w:val="single" w:sz="8" w:color="CFF0FC"/>
              <w:bottom w:val="single" w:sz="8" w:color="auto"/>
            </w:tcBorders>
          </w:tcPr>
          <w:p>
            <w:pPr>
              <w:spacing w:after="0"/>
              <w:rPr>
                <w:sz w:val="4"/>
                <w:szCs w:val="4"/>
                <w:color w:val="auto"/>
              </w:rPr>
            </w:pPr>
          </w:p>
        </w:tc>
        <w:tc>
          <w:tcPr>
            <w:tcW w:w="1280" w:type="dxa"/>
            <w:vAlign w:val="bottom"/>
            <w:tcBorders>
              <w:top w:val="single" w:sz="8" w:color="CFF0FC"/>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26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CFF0FC"/>
              <w:bottom w:val="single" w:sz="8" w:color="auto"/>
            </w:tcBorders>
          </w:tcPr>
          <w:p>
            <w:pPr>
              <w:spacing w:after="0"/>
              <w:rPr>
                <w:sz w:val="4"/>
                <w:szCs w:val="4"/>
                <w:color w:val="auto"/>
              </w:rPr>
            </w:pPr>
          </w:p>
        </w:tc>
        <w:tc>
          <w:tcPr>
            <w:tcW w:w="260" w:type="dxa"/>
            <w:vAlign w:val="bottom"/>
            <w:tcBorders>
              <w:top w:val="single" w:sz="8" w:color="auto"/>
              <w:bottom w:val="single" w:sz="8" w:color="auto"/>
            </w:tcBorders>
          </w:tcPr>
          <w:p>
            <w:pPr>
              <w:spacing w:after="0"/>
              <w:rPr>
                <w:sz w:val="4"/>
                <w:szCs w:val="4"/>
                <w:color w:val="auto"/>
              </w:rPr>
            </w:pPr>
          </w:p>
        </w:tc>
        <w:tc>
          <w:tcPr>
            <w:tcW w:w="114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132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CFF0FC"/>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122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-933450</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3724275</wp:posOffset>
            </wp:positionH>
            <wp:positionV relativeFrom="paragraph">
              <wp:posOffset>-916305</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-933450</wp:posOffset>
            </wp:positionV>
            <wp:extent cx="85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-916305</wp:posOffset>
            </wp:positionV>
            <wp:extent cx="85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5661660</wp:posOffset>
            </wp:positionH>
            <wp:positionV relativeFrom="paragraph">
              <wp:posOffset>-933450</wp:posOffset>
            </wp:positionV>
            <wp:extent cx="85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5661660</wp:posOffset>
            </wp:positionH>
            <wp:positionV relativeFrom="paragraph">
              <wp:posOffset>-916305</wp:posOffset>
            </wp:positionV>
            <wp:extent cx="85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3724275</wp:posOffset>
            </wp:positionH>
            <wp:positionV relativeFrom="paragraph">
              <wp:posOffset>-76200</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3724275</wp:posOffset>
            </wp:positionH>
            <wp:positionV relativeFrom="paragraph">
              <wp:posOffset>-59055</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-76200</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-59055</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5661660</wp:posOffset>
            </wp:positionH>
            <wp:positionV relativeFrom="paragraph">
              <wp:posOffset>-76200</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5661660</wp:posOffset>
            </wp:positionH>
            <wp:positionV relativeFrom="paragraph">
              <wp:posOffset>-59055</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the investment income, net gains and losses realized, funds restricted for specific transactions, and disbursements related to restricted investments: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6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gridSpan w:val="3"/>
          </w:tcPr>
          <w:p>
            <w:pPr>
              <w:jc w:val="center"/>
              <w:ind w:right="35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gridSpan w:val="3"/>
          </w:tcPr>
          <w:p>
            <w:pPr>
              <w:jc w:val="center"/>
              <w:ind w:right="31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4"/>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left="570"/>
              <w:spacing w:after="0"/>
              <w:rPr>
                <w:sz w:val="20"/>
                <w:szCs w:val="20"/>
                <w:color w:val="auto"/>
              </w:rPr>
            </w:pPr>
            <w:r>
              <w:rPr>
                <w:rFonts w:ascii="Times New Roman" w:cs="Times New Roman" w:eastAsia="Times New Roman" w:hAnsi="Times New Roman"/>
                <w:sz w:val="18"/>
                <w:szCs w:val="18"/>
                <w:color w:val="auto"/>
              </w:rPr>
              <w:t>March 31</w:t>
            </w:r>
          </w:p>
        </w:tc>
        <w:tc>
          <w:tcPr>
            <w:tcW w:w="1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left="570"/>
              <w:spacing w:after="0"/>
              <w:rPr>
                <w:sz w:val="20"/>
                <w:szCs w:val="20"/>
                <w:color w:val="auto"/>
              </w:rPr>
            </w:pPr>
            <w:r>
              <w:rPr>
                <w:rFonts w:ascii="Times New Roman" w:cs="Times New Roman" w:eastAsia="Times New Roman" w:hAnsi="Times New Roman"/>
                <w:sz w:val="18"/>
                <w:szCs w:val="18"/>
                <w:color w:val="auto"/>
              </w:rPr>
              <w:t>March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68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18"/>
                <w:szCs w:val="18"/>
                <w:color w:val="auto"/>
              </w:rPr>
            </w:pPr>
          </w:p>
        </w:tc>
        <w:tc>
          <w:tcPr>
            <w:tcW w:w="11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18"/>
                <w:szCs w:val="18"/>
                <w:color w:val="auto"/>
              </w:rPr>
            </w:pPr>
          </w:p>
        </w:tc>
        <w:tc>
          <w:tcPr>
            <w:tcW w:w="11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18"/>
                <w:szCs w:val="18"/>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auto"/>
            </w:tcBorders>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Investment income</w:t>
            </w:r>
            <w:r>
              <w:rPr>
                <w:rFonts w:ascii="Times New Roman" w:cs="Times New Roman" w:eastAsia="Times New Roman" w:hAnsi="Times New Roman"/>
                <w:sz w:val="24"/>
                <w:szCs w:val="24"/>
                <w:color w:val="auto"/>
                <w:vertAlign w:val="superscript"/>
              </w:rPr>
              <w:t>(a)</w:t>
            </w:r>
          </w:p>
        </w:tc>
        <w:tc>
          <w:tcPr>
            <w:tcW w:w="1040" w:type="dxa"/>
            <w:vAlign w:val="bottom"/>
            <w:tcBorders>
              <w:top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Net gains (losses)</w:t>
            </w:r>
            <w:r>
              <w:rPr>
                <w:rFonts w:ascii="Times New Roman" w:cs="Times New Roman" w:eastAsia="Times New Roman" w:hAnsi="Times New Roman"/>
                <w:sz w:val="24"/>
                <w:szCs w:val="24"/>
                <w:color w:val="auto"/>
                <w:vertAlign w:val="superscript"/>
              </w:rPr>
              <w:t>(a)</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Funds restricted for specific transactions</w:t>
            </w: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Disbursements</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31115</wp:posOffset>
            </wp:positionV>
            <wp:extent cx="66262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128" w:lineRule="exact"/>
        <w:rPr>
          <w:sz w:val="20"/>
          <w:szCs w:val="20"/>
          <w:color w:val="auto"/>
        </w:rPr>
      </w:pPr>
    </w:p>
    <w:p>
      <w:pPr>
        <w:ind w:left="360" w:hanging="358"/>
        <w:spacing w:after="0"/>
        <w:tabs>
          <w:tab w:leader="none" w:pos="3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the net interest and other expense caption within the Statements of Condensed Consolidated Comprehensive Income (Loss).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derivatives</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of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within the Statements of Condensed Consolidated Comprehensive Income (Loss). The impacts of these contracts were largely offset by gains and losses resulting from the impact of changes in exchange rates on transactions denominated in non-functional currencies. The following table summarizes the gains (losses) recognized within the Statements of Condensed Consolidated Comprehensive Income (Loss):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7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80" w:type="dxa"/>
            <w:vAlign w:val="bottom"/>
            <w:tcBorders>
              <w:top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gridSpan w:val="3"/>
          </w:tcPr>
          <w:p>
            <w:pPr>
              <w:jc w:val="center"/>
              <w:ind w:right="31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4"/>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7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rPr>
              <w:t>March 31</w:t>
            </w: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left="570"/>
              <w:spacing w:after="0"/>
              <w:rPr>
                <w:sz w:val="20"/>
                <w:szCs w:val="20"/>
                <w:color w:val="auto"/>
              </w:rPr>
            </w:pPr>
            <w:r>
              <w:rPr>
                <w:rFonts w:ascii="Times New Roman" w:cs="Times New Roman" w:eastAsia="Times New Roman" w:hAnsi="Times New Roman"/>
                <w:sz w:val="18"/>
                <w:szCs w:val="18"/>
                <w:color w:val="auto"/>
              </w:rPr>
              <w:t>March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4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18"/>
                <w:szCs w:val="18"/>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derivative gains (losses)</w:t>
            </w:r>
          </w:p>
        </w:tc>
        <w:tc>
          <w:tcPr>
            <w:tcW w:w="164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7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fair values of the outstanding foreign currency derivatives included in accounts receivable, net and accrued expenses and other liabilities of the Condensed Consolidated Balance Sheets as of:</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48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March 31</w:t>
            </w:r>
          </w:p>
        </w:tc>
        <w:tc>
          <w:tcPr>
            <w:tcW w:w="6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tcBorders>
              <w:top w:val="single" w:sz="8" w:color="auto"/>
            </w:tcBorders>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Foreign currency derivative assets</w:t>
            </w:r>
            <w:r>
              <w:rPr>
                <w:rFonts w:ascii="Times New Roman" w:cs="Times New Roman" w:eastAsia="Times New Roman" w:hAnsi="Times New Roman"/>
                <w:sz w:val="24"/>
                <w:szCs w:val="24"/>
                <w:color w:val="auto"/>
                <w:vertAlign w:val="superscript"/>
              </w:rPr>
              <w:t>(a)</w:t>
            </w:r>
          </w:p>
        </w:tc>
        <w:tc>
          <w:tcPr>
            <w:tcW w:w="3220" w:type="dxa"/>
            <w:vAlign w:val="bottom"/>
            <w:tcBorders>
              <w:top w:val="single" w:sz="8" w:color="auto"/>
            </w:tcBorders>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Notional contract values</w:t>
            </w:r>
          </w:p>
        </w:tc>
        <w:tc>
          <w:tcPr>
            <w:tcW w:w="322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w:t>
            </w:r>
          </w:p>
        </w:tc>
        <w:tc>
          <w:tcPr>
            <w:tcW w:w="420" w:type="dxa"/>
            <w:vAlign w:val="bottom"/>
          </w:tcPr>
          <w:p>
            <w:pPr>
              <w:spacing w:after="0"/>
              <w:rPr>
                <w:sz w:val="18"/>
                <w:szCs w:val="18"/>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FF0FC"/>
          </w:tcPr>
          <w:p>
            <w:pPr>
              <w:spacing w:after="0"/>
              <w:rPr>
                <w:sz w:val="18"/>
                <w:szCs w:val="18"/>
                <w:color w:val="auto"/>
              </w:rPr>
            </w:pPr>
          </w:p>
        </w:tc>
        <w:tc>
          <w:tcPr>
            <w:tcW w:w="3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derivative liabilities</w:t>
            </w:r>
          </w:p>
        </w:tc>
        <w:tc>
          <w:tcPr>
            <w:tcW w:w="322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Notional contract values</w:t>
            </w:r>
          </w:p>
        </w:tc>
        <w:tc>
          <w:tcPr>
            <w:tcW w:w="32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171</w:t>
            </w:r>
          </w:p>
        </w:tc>
        <w:tc>
          <w:tcPr>
            <w:tcW w:w="42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480" w:type="dxa"/>
            <w:vAlign w:val="bottom"/>
            <w:tcBorders>
              <w:bottom w:val="single" w:sz="8" w:color="auto"/>
            </w:tcBorders>
          </w:tcPr>
          <w:p>
            <w:pPr>
              <w:spacing w:after="0"/>
              <w:rPr>
                <w:sz w:val="5"/>
                <w:szCs w:val="5"/>
                <w:color w:val="auto"/>
              </w:rPr>
            </w:pPr>
          </w:p>
        </w:tc>
        <w:tc>
          <w:tcPr>
            <w:tcW w:w="32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4"/>
          <w:szCs w:val="14"/>
          <w:color w:val="auto"/>
        </w:rPr>
        <w:t>(a)</w:t>
        <w:tab/>
        <w:t>Zero denotes less than $1 million of activity.</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10" w:name="page11"/>
    <w:bookmarkEnd w:id="10"/>
    <w:p>
      <w:pPr>
        <w:ind w:left="380"/>
        <w:spacing w:after="0"/>
        <w:rPr>
          <w:sz w:val="20"/>
          <w:szCs w:val="20"/>
          <w:color w:val="auto"/>
        </w:rPr>
      </w:pPr>
      <w:r>
        <w:rPr>
          <w:rFonts w:ascii="Times New Roman" w:cs="Times New Roman" w:eastAsia="Times New Roman" w:hAnsi="Times New Roman"/>
          <w:sz w:val="20"/>
          <w:szCs w:val="20"/>
          <w:b w:val="1"/>
          <w:bCs w:val="1"/>
          <w:color w:val="auto"/>
        </w:rPr>
        <w:t>Commodity derivatives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Natural gas derivatives</w:t>
      </w:r>
    </w:p>
    <w:p>
      <w:pPr>
        <w:spacing w:after="0" w:line="112" w:lineRule="exact"/>
        <w:rPr>
          <w:sz w:val="20"/>
          <w:szCs w:val="20"/>
          <w:color w:val="auto"/>
        </w:rPr>
      </w:pPr>
    </w:p>
    <w:p>
      <w:pPr>
        <w:ind w:left="380"/>
        <w:spacing w:after="0" w:line="269" w:lineRule="auto"/>
        <w:rPr>
          <w:sz w:val="20"/>
          <w:szCs w:val="20"/>
          <w:color w:val="auto"/>
        </w:rPr>
      </w:pPr>
      <w:r>
        <w:rPr>
          <w:rFonts w:ascii="Times New Roman" w:cs="Times New Roman" w:eastAsia="Times New Roman" w:hAnsi="Times New Roman"/>
          <w:sz w:val="20"/>
          <w:szCs w:val="20"/>
          <w:color w:val="auto"/>
        </w:rPr>
        <w:t>To manage its exposure to the market price volatility of natural gas consumed by its U.S. plants during the manufacturing process, Ashland regularly enters into forward contracts that are designated as cash flow hedges.</w:t>
      </w:r>
    </w:p>
    <w:p>
      <w:pPr>
        <w:spacing w:after="0" w:line="51"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net gains (losses) recognized within the cost of sales caption of the Statements of Condensed Consolidated Comprehensive Income (Loss):</w:t>
      </w:r>
    </w:p>
    <w:p>
      <w:pPr>
        <w:spacing w:after="0" w:line="54"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5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80" w:type="dxa"/>
            <w:vAlign w:val="bottom"/>
            <w:tcBorders>
              <w:top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gridSpan w:val="3"/>
          </w:tcPr>
          <w:p>
            <w:pPr>
              <w:jc w:val="center"/>
              <w:ind w:right="31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4"/>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9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rPr>
              <w:t>March 31</w:t>
            </w: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left="570"/>
              <w:spacing w:after="0"/>
              <w:rPr>
                <w:sz w:val="20"/>
                <w:szCs w:val="20"/>
                <w:color w:val="auto"/>
              </w:rPr>
            </w:pPr>
            <w:r>
              <w:rPr>
                <w:rFonts w:ascii="Times New Roman" w:cs="Times New Roman" w:eastAsia="Times New Roman" w:hAnsi="Times New Roman"/>
                <w:sz w:val="18"/>
                <w:szCs w:val="18"/>
                <w:color w:val="auto"/>
              </w:rPr>
              <w:t>March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54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Pr>
          <w:p>
            <w:pPr>
              <w:spacing w:after="0"/>
              <w:rPr>
                <w:sz w:val="18"/>
                <w:szCs w:val="18"/>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derivative gains (losses)</w:t>
            </w:r>
          </w:p>
        </w:tc>
        <w:tc>
          <w:tcPr>
            <w:tcW w:w="184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fair values of the outstanding natural gas derivatives included in accounts receivable, net and accrued expenses and other liabilities of the Condensed Consolidated Balance Sheets as of:</w:t>
      </w:r>
    </w:p>
    <w:p>
      <w:pPr>
        <w:spacing w:after="0" w:line="54"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280" w:type="dxa"/>
            <w:vAlign w:val="bottom"/>
            <w:tcBorders>
              <w:top w:val="single" w:sz="8" w:color="auto"/>
            </w:tcBorders>
          </w:tcPr>
          <w:p>
            <w:pPr>
              <w:spacing w:after="0"/>
              <w:rPr>
                <w:sz w:val="18"/>
                <w:szCs w:val="18"/>
                <w:color w:val="auto"/>
              </w:rPr>
            </w:pPr>
          </w:p>
        </w:tc>
        <w:tc>
          <w:tcPr>
            <w:tcW w:w="35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March 31</w:t>
            </w:r>
          </w:p>
        </w:tc>
        <w:tc>
          <w:tcPr>
            <w:tcW w:w="5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derivative assets</w:t>
            </w:r>
          </w:p>
        </w:tc>
        <w:tc>
          <w:tcPr>
            <w:tcW w:w="3520" w:type="dxa"/>
            <w:vAlign w:val="bottom"/>
            <w:tcBorders>
              <w:top w:val="single" w:sz="8" w:color="auto"/>
            </w:tcBorders>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Notional contract values</w:t>
            </w:r>
          </w:p>
        </w:tc>
        <w:tc>
          <w:tcPr>
            <w:tcW w:w="3520" w:type="dxa"/>
            <w:vAlign w:val="bottom"/>
          </w:tcPr>
          <w:p>
            <w:pPr>
              <w:spacing w:after="0"/>
              <w:rPr>
                <w:sz w:val="18"/>
                <w:szCs w:val="18"/>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18"/>
                <w:szCs w:val="18"/>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FF0FC"/>
          </w:tcPr>
          <w:p>
            <w:pPr>
              <w:spacing w:after="0"/>
              <w:rPr>
                <w:sz w:val="18"/>
                <w:szCs w:val="18"/>
                <w:color w:val="auto"/>
              </w:rPr>
            </w:pPr>
          </w:p>
        </w:tc>
        <w:tc>
          <w:tcPr>
            <w:tcW w:w="35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Commodity derivative liabilities</w:t>
            </w:r>
          </w:p>
        </w:tc>
        <w:tc>
          <w:tcPr>
            <w:tcW w:w="35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Notional contract values</w:t>
            </w:r>
          </w:p>
        </w:tc>
        <w:tc>
          <w:tcPr>
            <w:tcW w:w="352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280" w:type="dxa"/>
            <w:vAlign w:val="bottom"/>
            <w:tcBorders>
              <w:bottom w:val="single" w:sz="8" w:color="auto"/>
            </w:tcBorders>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Other commodity derivatives</w:t>
      </w:r>
    </w:p>
    <w:p>
      <w:pPr>
        <w:spacing w:after="0" w:line="112" w:lineRule="exact"/>
        <w:rPr>
          <w:sz w:val="20"/>
          <w:szCs w:val="20"/>
          <w:color w:val="auto"/>
        </w:rPr>
      </w:pPr>
    </w:p>
    <w:p>
      <w:pPr>
        <w:jc w:val="both"/>
        <w:ind w:left="380" w:right="380"/>
        <w:spacing w:after="0" w:line="242" w:lineRule="auto"/>
        <w:rPr>
          <w:sz w:val="20"/>
          <w:szCs w:val="20"/>
          <w:color w:val="auto"/>
        </w:rPr>
      </w:pPr>
      <w:r>
        <w:rPr>
          <w:rFonts w:ascii="Times New Roman" w:cs="Times New Roman" w:eastAsia="Times New Roman" w:hAnsi="Times New Roman"/>
          <w:sz w:val="20"/>
          <w:szCs w:val="20"/>
          <w:color w:val="auto"/>
        </w:rPr>
        <w:t>During the three months ended March 31, 2026, Ashland entered into a series of forward contracts to manage its exposure to the market volatility of butane consumed by its U.S. plants during the manufacturing process. These derivative instruments qualify as a hedge of future cash flows, are recognized as either assets or liabilities on the Condensed Consolidated Balance Sheets and are measured at fair value. Gains and losses related to an instrument that qualifies for hedge accounting are either recognized in the Statements of Condensed Consolidated Comprehensive Income (Loss) immediately to offset the gain or loss on the hedged item, or deferred and recorded in the stockholders’ equity section of the Condensed Consolidated Balance Sheets as a component of accumulated other comprehensive loss and subsequently recognized in the Statements of Condensed Consolidated Comprehensive Income (Loss) when the hedged item affects net income (loss). Cash flows from derivative financial instruments designated as cash flow hedges are classified as cash flows from operating activities in the Condensed Consolidated Statements of Cash Flows for the relevant period. These contracts did not have a material impact on Ashland’s Condensed Consolidated Financial Statements during the three and six months ended March 31, 2026.</w:t>
      </w:r>
    </w:p>
    <w:p>
      <w:pPr>
        <w:spacing w:after="0" w:line="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Other financial instruments</w:t>
      </w:r>
    </w:p>
    <w:p>
      <w:pPr>
        <w:spacing w:after="0" w:line="112" w:lineRule="exact"/>
        <w:rPr>
          <w:sz w:val="20"/>
          <w:szCs w:val="20"/>
          <w:color w:val="auto"/>
        </w:rPr>
      </w:pPr>
    </w:p>
    <w:p>
      <w:pPr>
        <w:jc w:val="both"/>
        <w:ind w:left="380" w:right="380"/>
        <w:spacing w:after="0" w:line="249" w:lineRule="auto"/>
        <w:rPr>
          <w:sz w:val="20"/>
          <w:szCs w:val="20"/>
          <w:color w:val="auto"/>
        </w:rPr>
      </w:pPr>
      <w:r>
        <w:rPr>
          <w:rFonts w:ascii="Times New Roman" w:cs="Times New Roman" w:eastAsia="Times New Roman" w:hAnsi="Times New Roman"/>
          <w:sz w:val="20"/>
          <w:szCs w:val="20"/>
          <w:color w:val="auto"/>
        </w:rPr>
        <w:t>At March 31, 2026 and September 30, 2025, Ashland's long-term debt (including the current portion and excluding debt issuance cost discounts) had a carrying value of $1,383 million and $1,394 million, respectively, compared to a fair value of $1,333 million and $1,366 million, respectively. The fair values of long-term debt are based on quoted market prices (level 1 of the fair value hierarchy).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F – INVENTORIES</w:t>
      </w:r>
    </w:p>
    <w:p>
      <w:pPr>
        <w:spacing w:after="0" w:line="112" w:lineRule="exact"/>
        <w:rPr>
          <w:sz w:val="20"/>
          <w:szCs w:val="20"/>
          <w:color w:val="auto"/>
        </w:rPr>
      </w:pPr>
    </w:p>
    <w:p>
      <w:pPr>
        <w:jc w:val="both"/>
        <w:ind w:left="380" w:right="380"/>
        <w:spacing w:after="0" w:line="254" w:lineRule="auto"/>
        <w:rPr>
          <w:sz w:val="20"/>
          <w:szCs w:val="20"/>
          <w:color w:val="auto"/>
        </w:rPr>
      </w:pPr>
      <w:r>
        <w:rPr>
          <w:rFonts w:ascii="Times New Roman" w:cs="Times New Roman" w:eastAsia="Times New Roman" w:hAnsi="Times New Roman"/>
          <w:sz w:val="20"/>
          <w:szCs w:val="20"/>
          <w:color w:val="auto"/>
        </w:rPr>
        <w:t>Inventories are carried at the lower of cost or net realizable value. Inventories are stated at cost using the weighted-average cost method. This method values inventories using average costs for raw materials and most recent production costs for labor and overhead.</w:t>
      </w:r>
    </w:p>
    <w:p>
      <w:pPr>
        <w:spacing w:after="0" w:line="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summarizes Ashland’s inventories as of:</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March 31</w:t>
            </w:r>
          </w:p>
        </w:tc>
        <w:tc>
          <w:tcPr>
            <w:tcW w:w="5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September 30</w:t>
            </w:r>
          </w:p>
        </w:tc>
        <w:tc>
          <w:tcPr>
            <w:tcW w:w="400" w:type="dxa"/>
            <w:vAlign w:val="bottom"/>
          </w:tcPr>
          <w:p>
            <w:pPr>
              <w:spacing w:after="0"/>
              <w:rPr>
                <w:sz w:val="18"/>
                <w:szCs w:val="18"/>
                <w:color w:val="auto"/>
              </w:rPr>
            </w:pPr>
          </w:p>
        </w:tc>
      </w:tr>
      <w:tr>
        <w:trPr>
          <w:trHeight w:val="234"/>
        </w:trPr>
        <w:tc>
          <w:tcPr>
            <w:tcW w:w="4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 millions)</w:t>
            </w:r>
          </w:p>
        </w:tc>
        <w:tc>
          <w:tcPr>
            <w:tcW w:w="3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20"/>
                <w:szCs w:val="20"/>
                <w:color w:val="auto"/>
              </w:rPr>
            </w:pPr>
          </w:p>
        </w:tc>
      </w:tr>
      <w:tr>
        <w:trPr>
          <w:trHeight w:val="209"/>
        </w:trPr>
        <w:tc>
          <w:tcPr>
            <w:tcW w:w="420" w:type="dxa"/>
            <w:vAlign w:val="bottom"/>
          </w:tcPr>
          <w:p>
            <w:pPr>
              <w:spacing w:after="0"/>
              <w:rPr>
                <w:sz w:val="18"/>
                <w:szCs w:val="18"/>
                <w:color w:val="auto"/>
              </w:rPr>
            </w:pPr>
          </w:p>
        </w:tc>
        <w:tc>
          <w:tcPr>
            <w:tcW w:w="4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3540" w:type="dxa"/>
            <w:vAlign w:val="bottom"/>
            <w:tcBorders>
              <w:top w:val="single" w:sz="8" w:color="auto"/>
            </w:tcBorders>
            <w:gridSpan w:val="2"/>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371</w:t>
            </w:r>
          </w:p>
        </w:tc>
        <w:tc>
          <w:tcPr>
            <w:tcW w:w="460" w:type="dxa"/>
            <w:vAlign w:val="bottom"/>
            <w:tcBorders>
              <w:top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 supplies and work in process</w:t>
            </w:r>
          </w:p>
        </w:tc>
        <w:tc>
          <w:tcPr>
            <w:tcW w:w="212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400" w:type="dxa"/>
            <w:vAlign w:val="bottom"/>
          </w:tcPr>
          <w:p>
            <w:pPr>
              <w:spacing w:after="0"/>
              <w:rPr>
                <w:sz w:val="18"/>
                <w:szCs w:val="18"/>
                <w:color w:val="auto"/>
              </w:rPr>
            </w:pPr>
          </w:p>
        </w:tc>
      </w:tr>
      <w:tr>
        <w:trPr>
          <w:trHeight w:val="249"/>
        </w:trPr>
        <w:tc>
          <w:tcPr>
            <w:tcW w:w="420" w:type="dxa"/>
            <w:vAlign w:val="bottom"/>
          </w:tcPr>
          <w:p>
            <w:pPr>
              <w:spacing w:after="0"/>
              <w:rPr>
                <w:sz w:val="21"/>
                <w:szCs w:val="21"/>
                <w:color w:val="auto"/>
              </w:rPr>
            </w:pPr>
          </w:p>
        </w:tc>
        <w:tc>
          <w:tcPr>
            <w:tcW w:w="4160" w:type="dxa"/>
            <w:vAlign w:val="bottom"/>
            <w:shd w:val="clear" w:color="auto" w:fill="CFF0FC"/>
          </w:tcPr>
          <w:p>
            <w:pPr>
              <w:spacing w:after="0"/>
              <w:rPr>
                <w:sz w:val="21"/>
                <w:szCs w:val="21"/>
                <w:color w:val="auto"/>
              </w:rPr>
            </w:pPr>
          </w:p>
        </w:tc>
        <w:tc>
          <w:tcPr>
            <w:tcW w:w="3540" w:type="dxa"/>
            <w:vAlign w:val="bottom"/>
            <w:gridSpan w:val="2"/>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506</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568</w:t>
            </w:r>
          </w:p>
        </w:tc>
        <w:tc>
          <w:tcPr>
            <w:tcW w:w="400" w:type="dxa"/>
            <w:vAlign w:val="bottom"/>
          </w:tcPr>
          <w:p>
            <w:pPr>
              <w:spacing w:after="0"/>
              <w:rPr>
                <w:sz w:val="21"/>
                <w:szCs w:val="21"/>
                <w:color w:val="auto"/>
              </w:rPr>
            </w:pPr>
          </w:p>
        </w:tc>
      </w:tr>
      <w:tr>
        <w:trPr>
          <w:trHeight w:val="48"/>
        </w:trPr>
        <w:tc>
          <w:tcPr>
            <w:tcW w:w="420" w:type="dxa"/>
            <w:vAlign w:val="bottom"/>
          </w:tcPr>
          <w:p>
            <w:pPr>
              <w:spacing w:after="0"/>
              <w:rPr>
                <w:sz w:val="4"/>
                <w:szCs w:val="4"/>
                <w:color w:val="auto"/>
              </w:rPr>
            </w:pPr>
          </w:p>
        </w:tc>
        <w:tc>
          <w:tcPr>
            <w:tcW w:w="4160" w:type="dxa"/>
            <w:vAlign w:val="bottom"/>
            <w:tcBorders>
              <w:top w:val="single" w:sz="8" w:color="CFF0FC"/>
              <w:bottom w:val="single" w:sz="8" w:color="auto"/>
            </w:tcBorders>
          </w:tcPr>
          <w:p>
            <w:pPr>
              <w:spacing w:after="0"/>
              <w:rPr>
                <w:sz w:val="4"/>
                <w:szCs w:val="4"/>
                <w:color w:val="auto"/>
              </w:rPr>
            </w:pPr>
          </w:p>
        </w:tc>
        <w:tc>
          <w:tcPr>
            <w:tcW w:w="2120" w:type="dxa"/>
            <w:vAlign w:val="bottom"/>
            <w:tcBorders>
              <w:top w:val="single" w:sz="8" w:color="CFF0FC"/>
              <w:bottom w:val="single" w:sz="8" w:color="auto"/>
            </w:tcBorders>
          </w:tcPr>
          <w:p>
            <w:pPr>
              <w:spacing w:after="0"/>
              <w:rPr>
                <w:sz w:val="4"/>
                <w:szCs w:val="4"/>
                <w:color w:val="auto"/>
              </w:rPr>
            </w:pPr>
          </w:p>
        </w:tc>
        <w:tc>
          <w:tcPr>
            <w:tcW w:w="1420" w:type="dxa"/>
            <w:vAlign w:val="bottom"/>
            <w:tcBorders>
              <w:top w:val="single" w:sz="8" w:color="auto"/>
              <w:bottom w:val="single" w:sz="8" w:color="auto"/>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200" w:type="dxa"/>
            <w:vAlign w:val="bottom"/>
            <w:tcBorders>
              <w:top w:val="single" w:sz="8" w:color="CFF0FC"/>
              <w:bottom w:val="single" w:sz="8" w:color="auto"/>
            </w:tcBorders>
          </w:tcPr>
          <w:p>
            <w:pPr>
              <w:spacing w:after="0"/>
              <w:rPr>
                <w:sz w:val="4"/>
                <w:szCs w:val="4"/>
                <w:color w:val="auto"/>
              </w:rPr>
            </w:pPr>
          </w:p>
        </w:tc>
        <w:tc>
          <w:tcPr>
            <w:tcW w:w="260" w:type="dxa"/>
            <w:vAlign w:val="bottom"/>
            <w:tcBorders>
              <w:top w:val="single" w:sz="8" w:color="auto"/>
              <w:bottom w:val="single" w:sz="8" w:color="auto"/>
            </w:tcBorders>
          </w:tcPr>
          <w:p>
            <w:pPr>
              <w:spacing w:after="0"/>
              <w:rPr>
                <w:sz w:val="4"/>
                <w:szCs w:val="4"/>
                <w:color w:val="auto"/>
              </w:rPr>
            </w:pPr>
          </w:p>
        </w:tc>
        <w:tc>
          <w:tcPr>
            <w:tcW w:w="1720" w:type="dxa"/>
            <w:vAlign w:val="bottom"/>
            <w:tcBorders>
              <w:top w:val="single" w:sz="8" w:color="auto"/>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r>
      <w:tr>
        <w:trPr>
          <w:trHeight w:val="533"/>
        </w:trPr>
        <w:tc>
          <w:tcPr>
            <w:tcW w:w="4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12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11</w:t>
            </w: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63"/>
        </w:trPr>
        <w:tc>
          <w:tcPr>
            <w:tcW w:w="42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-916305</wp:posOffset>
            </wp:positionV>
            <wp:extent cx="1289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-899160</wp:posOffset>
            </wp:positionV>
            <wp:extent cx="1289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NOTE G – GOODWILL AND OTHER INTANGIBLE ASSETS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Goodwill</w:t>
      </w:r>
    </w:p>
    <w:p>
      <w:pPr>
        <w:spacing w:after="0" w:line="112" w:lineRule="exact"/>
        <w:rPr>
          <w:sz w:val="20"/>
          <w:szCs w:val="20"/>
          <w:color w:val="auto"/>
        </w:rPr>
      </w:pPr>
    </w:p>
    <w:p>
      <w:pPr>
        <w:ind w:left="380" w:right="40"/>
        <w:spacing w:after="0" w:line="269" w:lineRule="auto"/>
        <w:rPr>
          <w:sz w:val="20"/>
          <w:szCs w:val="20"/>
          <w:color w:val="auto"/>
        </w:rPr>
      </w:pPr>
      <w:r>
        <w:rPr>
          <w:rFonts w:ascii="Times New Roman" w:cs="Times New Roman" w:eastAsia="Times New Roman" w:hAnsi="Times New Roman"/>
          <w:sz w:val="20"/>
          <w:szCs w:val="20"/>
          <w:color w:val="auto"/>
        </w:rPr>
        <w:t>Ashland tests goodwill and other indefinite-lived intangible assets for impairment annually as of July 1 or whenever events and circumstances indicate an impairment may have occurred.</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No indicators of impairment were identified during the three and six months ended March 31, 2026.</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is a progression of goodwill by reportable segment for the six months ended March 31, 2026:</w:t>
      </w:r>
    </w:p>
    <w:p>
      <w:pPr>
        <w:spacing w:after="0" w:line="124"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Life</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Personal</w:t>
            </w: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Specialty</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34"/>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Sciences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Care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Additives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Intermediates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20" w:type="dxa"/>
            <w:vAlign w:val="bottom"/>
          </w:tcPr>
          <w:p>
            <w:pPr>
              <w:spacing w:after="0"/>
              <w:rPr>
                <w:sz w:val="18"/>
                <w:szCs w:val="18"/>
                <w:color w:val="auto"/>
              </w:rPr>
            </w:pPr>
          </w:p>
        </w:tc>
        <w:tc>
          <w:tcPr>
            <w:tcW w:w="2840" w:type="dxa"/>
            <w:vAlign w:val="bottom"/>
            <w:tcBorders>
              <w:top w:val="single" w:sz="8" w:color="auto"/>
            </w:tcBorders>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Balance at September 30, 2025</w:t>
            </w:r>
            <w:r>
              <w:rPr>
                <w:rFonts w:ascii="Times New Roman" w:cs="Times New Roman" w:eastAsia="Times New Roman" w:hAnsi="Times New Roman"/>
                <w:sz w:val="24"/>
                <w:szCs w:val="24"/>
                <w:color w:val="auto"/>
                <w:vertAlign w:val="superscript"/>
              </w:rPr>
              <w:t>(a)</w:t>
            </w:r>
          </w:p>
        </w:tc>
        <w:tc>
          <w:tcPr>
            <w:tcW w:w="660" w:type="dxa"/>
            <w:vAlign w:val="bottom"/>
            <w:tcBorders>
              <w:top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466</w:t>
            </w:r>
          </w:p>
        </w:tc>
        <w:tc>
          <w:tcPr>
            <w:tcW w:w="340" w:type="dxa"/>
            <w:vAlign w:val="bottom"/>
            <w:tcBorders>
              <w:top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c>
          <w:tcPr>
            <w:tcW w:w="300" w:type="dxa"/>
            <w:vAlign w:val="bottom"/>
            <w:tcBorders>
              <w:top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380" w:type="dxa"/>
            <w:vAlign w:val="bottom"/>
            <w:tcBorders>
              <w:top w:val="single" w:sz="8" w:color="auto"/>
            </w:tcBorders>
            <w:gridSpan w:val="2"/>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705</w:t>
            </w: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w:t>
            </w:r>
          </w:p>
        </w:tc>
        <w:tc>
          <w:tcPr>
            <w:tcW w:w="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9"/>
        </w:trPr>
        <w:tc>
          <w:tcPr>
            <w:tcW w:w="20" w:type="dxa"/>
            <w:vAlign w:val="bottom"/>
          </w:tcPr>
          <w:p>
            <w:pPr>
              <w:spacing w:after="0"/>
              <w:rPr>
                <w:sz w:val="21"/>
                <w:szCs w:val="21"/>
                <w:color w:val="auto"/>
              </w:rPr>
            </w:pPr>
          </w:p>
        </w:tc>
        <w:tc>
          <w:tcPr>
            <w:tcW w:w="28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Balance at March 31, 2026</w:t>
            </w:r>
            <w:r>
              <w:rPr>
                <w:rFonts w:ascii="Times New Roman" w:cs="Times New Roman" w:eastAsia="Times New Roman" w:hAnsi="Times New Roman"/>
                <w:sz w:val="24"/>
                <w:szCs w:val="24"/>
                <w:color w:val="auto"/>
                <w:vertAlign w:val="superscript"/>
              </w:rPr>
              <w:t>(a)</w:t>
            </w: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462</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380" w:type="dxa"/>
            <w:vAlign w:val="bottom"/>
            <w:gridSpan w:val="2"/>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700</w:t>
            </w:r>
          </w:p>
        </w:tc>
      </w:tr>
      <w:tr>
        <w:trPr>
          <w:trHeight w:val="48"/>
        </w:trPr>
        <w:tc>
          <w:tcPr>
            <w:tcW w:w="20" w:type="dxa"/>
            <w:vAlign w:val="bottom"/>
          </w:tcPr>
          <w:p>
            <w:pPr>
              <w:spacing w:after="0"/>
              <w:rPr>
                <w:sz w:val="4"/>
                <w:szCs w:val="4"/>
                <w:color w:val="auto"/>
              </w:rPr>
            </w:pPr>
          </w:p>
        </w:tc>
        <w:tc>
          <w:tcPr>
            <w:tcW w:w="2840" w:type="dxa"/>
            <w:vAlign w:val="bottom"/>
            <w:tcBorders>
              <w:top w:val="single" w:sz="8" w:color="CFF0FC"/>
              <w:bottom w:val="single" w:sz="8" w:color="auto"/>
            </w:tcBorders>
          </w:tcPr>
          <w:p>
            <w:pPr>
              <w:spacing w:after="0"/>
              <w:rPr>
                <w:sz w:val="4"/>
                <w:szCs w:val="4"/>
                <w:color w:val="auto"/>
              </w:rPr>
            </w:pPr>
          </w:p>
        </w:tc>
        <w:tc>
          <w:tcPr>
            <w:tcW w:w="480" w:type="dxa"/>
            <w:vAlign w:val="bottom"/>
            <w:tcBorders>
              <w:top w:val="single" w:sz="8" w:color="CFF0FC"/>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1080" w:type="dxa"/>
            <w:vAlign w:val="bottom"/>
            <w:tcBorders>
              <w:top w:val="single" w:sz="8" w:color="auto"/>
              <w:bottom w:val="single" w:sz="8" w:color="auto"/>
            </w:tcBorders>
          </w:tcPr>
          <w:p>
            <w:pPr>
              <w:spacing w:after="0"/>
              <w:rPr>
                <w:sz w:val="4"/>
                <w:szCs w:val="4"/>
                <w:color w:val="auto"/>
              </w:rPr>
            </w:pPr>
          </w:p>
        </w:tc>
        <w:tc>
          <w:tcPr>
            <w:tcW w:w="180" w:type="dxa"/>
            <w:vAlign w:val="bottom"/>
            <w:tcBorders>
              <w:top w:val="single" w:sz="8" w:color="CFF0FC"/>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1060" w:type="dxa"/>
            <w:vAlign w:val="bottom"/>
            <w:tcBorders>
              <w:top w:val="single" w:sz="8" w:color="auto"/>
              <w:bottom w:val="single" w:sz="8" w:color="auto"/>
            </w:tcBorders>
          </w:tcPr>
          <w:p>
            <w:pPr>
              <w:spacing w:after="0"/>
              <w:rPr>
                <w:sz w:val="4"/>
                <w:szCs w:val="4"/>
                <w:color w:val="auto"/>
              </w:rPr>
            </w:pPr>
          </w:p>
        </w:tc>
        <w:tc>
          <w:tcPr>
            <w:tcW w:w="160" w:type="dxa"/>
            <w:vAlign w:val="bottom"/>
            <w:tcBorders>
              <w:top w:val="single" w:sz="8" w:color="CFF0FC"/>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1080" w:type="dxa"/>
            <w:vAlign w:val="bottom"/>
            <w:tcBorders>
              <w:top w:val="single" w:sz="8" w:color="auto"/>
              <w:bottom w:val="single" w:sz="8" w:color="auto"/>
            </w:tcBorders>
          </w:tcPr>
          <w:p>
            <w:pPr>
              <w:spacing w:after="0"/>
              <w:rPr>
                <w:sz w:val="4"/>
                <w:szCs w:val="4"/>
                <w:color w:val="auto"/>
              </w:rPr>
            </w:pPr>
          </w:p>
        </w:tc>
        <w:tc>
          <w:tcPr>
            <w:tcW w:w="160" w:type="dxa"/>
            <w:vAlign w:val="bottom"/>
            <w:tcBorders>
              <w:top w:val="single" w:sz="8" w:color="CFF0FC"/>
              <w:bottom w:val="single" w:sz="8" w:color="auto"/>
            </w:tcBorders>
          </w:tcPr>
          <w:p>
            <w:pPr>
              <w:spacing w:after="0"/>
              <w:rPr>
                <w:sz w:val="4"/>
                <w:szCs w:val="4"/>
                <w:color w:val="auto"/>
              </w:rPr>
            </w:pPr>
          </w:p>
        </w:tc>
        <w:tc>
          <w:tcPr>
            <w:tcW w:w="1220" w:type="dxa"/>
            <w:vAlign w:val="bottom"/>
            <w:tcBorders>
              <w:top w:val="single" w:sz="8" w:color="auto"/>
              <w:bottom w:val="single" w:sz="8" w:color="auto"/>
            </w:tcBorders>
          </w:tcPr>
          <w:p>
            <w:pPr>
              <w:spacing w:after="0"/>
              <w:rPr>
                <w:sz w:val="4"/>
                <w:szCs w:val="4"/>
                <w:color w:val="auto"/>
              </w:rPr>
            </w:pPr>
          </w:p>
        </w:tc>
        <w:tc>
          <w:tcPr>
            <w:tcW w:w="320" w:type="dxa"/>
            <w:vAlign w:val="bottom"/>
            <w:tcBorders>
              <w:top w:val="single" w:sz="8" w:color="auto"/>
              <w:bottom w:val="single" w:sz="8" w:color="auto"/>
            </w:tcBorders>
          </w:tcPr>
          <w:p>
            <w:pPr>
              <w:spacing w:after="0"/>
              <w:rPr>
                <w:sz w:val="4"/>
                <w:szCs w:val="4"/>
                <w:color w:val="auto"/>
              </w:rPr>
            </w:pPr>
          </w:p>
        </w:tc>
        <w:tc>
          <w:tcPr>
            <w:tcW w:w="160" w:type="dxa"/>
            <w:vAlign w:val="bottom"/>
            <w:tcBorders>
              <w:top w:val="single" w:sz="8" w:color="CFF0FC"/>
              <w:bottom w:val="single" w:sz="8" w:color="auto"/>
            </w:tcBorders>
          </w:tcPr>
          <w:p>
            <w:pPr>
              <w:spacing w:after="0"/>
              <w:rPr>
                <w:sz w:val="4"/>
                <w:szCs w:val="4"/>
                <w:color w:val="auto"/>
              </w:rPr>
            </w:pPr>
          </w:p>
        </w:tc>
        <w:tc>
          <w:tcPr>
            <w:tcW w:w="220" w:type="dxa"/>
            <w:vAlign w:val="bottom"/>
            <w:tcBorders>
              <w:top w:val="single" w:sz="8" w:color="auto"/>
              <w:bottom w:val="single" w:sz="8" w:color="auto"/>
            </w:tcBorders>
          </w:tcPr>
          <w:p>
            <w:pPr>
              <w:spacing w:after="0"/>
              <w:rPr>
                <w:sz w:val="4"/>
                <w:szCs w:val="4"/>
                <w:color w:val="auto"/>
              </w:rPr>
            </w:pPr>
          </w:p>
        </w:tc>
        <w:tc>
          <w:tcPr>
            <w:tcW w:w="98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-76835</wp:posOffset>
            </wp:positionV>
            <wp:extent cx="1111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-59690</wp:posOffset>
            </wp:positionV>
            <wp:extent cx="1111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-76835</wp:posOffset>
            </wp:positionV>
            <wp:extent cx="1028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-59690</wp:posOffset>
            </wp:positionV>
            <wp:extent cx="1028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-76835</wp:posOffset>
            </wp:positionV>
            <wp:extent cx="1028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-59690</wp:posOffset>
            </wp:positionV>
            <wp:extent cx="1028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-76835</wp:posOffset>
            </wp:positionV>
            <wp:extent cx="1028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-59690</wp:posOffset>
            </wp:positionV>
            <wp:extent cx="1028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65" w:lineRule="exact"/>
        <w:rPr>
          <w:sz w:val="20"/>
          <w:szCs w:val="20"/>
          <w:color w:val="auto"/>
        </w:rPr>
      </w:pPr>
    </w:p>
    <w:p>
      <w:pPr>
        <w:ind w:left="740" w:right="40" w:hanging="358"/>
        <w:spacing w:after="0" w:line="261" w:lineRule="auto"/>
        <w:tabs>
          <w:tab w:leader="none" w:pos="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both March 31, 2026 and September 30, 2025, there were accumulated impairments of $375 million, $356 million, $505 million and $90 million related to the Life Sciences, Personal Care, Specialty Additives and Intermediates reportable segments, respectively.</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Other intangible assets</w:t>
      </w:r>
    </w:p>
    <w:p>
      <w:pPr>
        <w:spacing w:after="0" w:line="112" w:lineRule="exact"/>
        <w:rPr>
          <w:sz w:val="20"/>
          <w:szCs w:val="20"/>
          <w:color w:val="auto"/>
        </w:rPr>
      </w:pPr>
    </w:p>
    <w:p>
      <w:pPr>
        <w:jc w:val="both"/>
        <w:ind w:left="380" w:right="40"/>
        <w:spacing w:after="0" w:line="254" w:lineRule="auto"/>
        <w:rPr>
          <w:sz w:val="20"/>
          <w:szCs w:val="20"/>
          <w:color w:val="auto"/>
        </w:rPr>
      </w:pPr>
      <w:r>
        <w:rPr>
          <w:rFonts w:ascii="Times New Roman" w:cs="Times New Roman" w:eastAsia="Times New Roman" w:hAnsi="Times New Roman"/>
          <w:sz w:val="20"/>
          <w:szCs w:val="20"/>
          <w:color w:val="auto"/>
        </w:rPr>
        <w:t>Other intangible assets principally consist of trademarks and trade names, intellectual property and customer lists. Intangible assets classified as finite are amortized on a straight-line basis over their estimated useful lives. The cost of trademarks and trade names is amortized principally over 3 to 20 years, intellectual property over 3 to 20 years, and customer lists over 10 to 24 years.</w:t>
      </w:r>
    </w:p>
    <w:p>
      <w:pPr>
        <w:spacing w:after="0" w:line="66" w:lineRule="exact"/>
        <w:rPr>
          <w:sz w:val="20"/>
          <w:szCs w:val="20"/>
          <w:color w:val="auto"/>
        </w:rPr>
      </w:pPr>
    </w:p>
    <w:p>
      <w:pPr>
        <w:jc w:val="both"/>
        <w:ind w:left="380" w:right="40"/>
        <w:spacing w:after="0" w:line="269" w:lineRule="auto"/>
        <w:rPr>
          <w:sz w:val="20"/>
          <w:szCs w:val="20"/>
          <w:color w:val="auto"/>
        </w:rPr>
      </w:pPr>
      <w:r>
        <w:rPr>
          <w:rFonts w:ascii="Times New Roman" w:cs="Times New Roman" w:eastAsia="Times New Roman" w:hAnsi="Times New Roman"/>
          <w:sz w:val="20"/>
          <w:szCs w:val="20"/>
          <w:color w:val="auto"/>
        </w:rPr>
        <w:t>Ashland annually reviews, as of July 1, indefinite-lived intangible assets for impairment or whenever events or changes in circumstances indicate that carrying amounts may not be recoverable.</w:t>
      </w:r>
    </w:p>
    <w:p>
      <w:pPr>
        <w:spacing w:after="0" w:line="51" w:lineRule="exact"/>
        <w:rPr>
          <w:sz w:val="20"/>
          <w:szCs w:val="20"/>
          <w:color w:val="auto"/>
        </w:rPr>
      </w:pPr>
    </w:p>
    <w:p>
      <w:pPr>
        <w:jc w:val="both"/>
        <w:ind w:left="380" w:right="40"/>
        <w:spacing w:after="0" w:line="269" w:lineRule="auto"/>
        <w:rPr>
          <w:sz w:val="20"/>
          <w:szCs w:val="20"/>
          <w:color w:val="auto"/>
        </w:rPr>
      </w:pPr>
      <w:r>
        <w:rPr>
          <w:rFonts w:ascii="Times New Roman" w:cs="Times New Roman" w:eastAsia="Times New Roman" w:hAnsi="Times New Roman"/>
          <w:sz w:val="20"/>
          <w:szCs w:val="20"/>
          <w:color w:val="auto"/>
        </w:rPr>
        <w:t>No indicators of impairment were identified for indefinite-lived trademarks and trade names during the three and six months ended March 31, 2026.</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Other intangible assets were comprised of the following as of:</w:t>
      </w:r>
    </w:p>
    <w:p>
      <w:pPr>
        <w:spacing w:after="0" w:line="12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5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9"/>
              </w:rPr>
              <w:t>March 31, 2026</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color w:val="auto"/>
              </w:rPr>
              <w:t>September 30, 2025</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w w:val="92"/>
              </w:rPr>
              <w:t>Net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carrying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Accumulated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carrying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carrying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Accumulated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carrying</w:t>
            </w:r>
          </w:p>
        </w:tc>
        <w:tc>
          <w:tcPr>
            <w:tcW w:w="0" w:type="dxa"/>
            <w:vAlign w:val="bottom"/>
          </w:tcPr>
          <w:p>
            <w:pPr>
              <w:spacing w:after="0"/>
              <w:rPr>
                <w:sz w:val="1"/>
                <w:szCs w:val="1"/>
                <w:color w:val="auto"/>
              </w:rPr>
            </w:pPr>
          </w:p>
        </w:tc>
      </w:tr>
      <w:tr>
        <w:trPr>
          <w:trHeight w:val="234"/>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Pr>
          <w:p>
            <w:pPr>
              <w:spacing w:after="0"/>
              <w:rPr>
                <w:sz w:val="20"/>
                <w:szCs w:val="20"/>
                <w:color w:val="auto"/>
              </w:rPr>
            </w:pPr>
          </w:p>
        </w:tc>
        <w:tc>
          <w:tcPr>
            <w:tcW w:w="8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amortization</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1,360</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1,638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1,650</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60" w:type="dxa"/>
            <w:vAlign w:val="bottom"/>
            <w:shd w:val="clear" w:color="auto" w:fill="CFF0FC"/>
          </w:tcPr>
          <w:p>
            <w:pPr>
              <w:spacing w:after="0"/>
              <w:rPr>
                <w:sz w:val="21"/>
                <w:szCs w:val="21"/>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80" w:type="dxa"/>
            <w:vAlign w:val="bottom"/>
            <w:tcBorders>
              <w:top w:val="single" w:sz="8" w:color="CFF0FC"/>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26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80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200" w:type="dxa"/>
            <w:vAlign w:val="bottom"/>
            <w:tcBorders>
              <w:top w:val="single" w:sz="8" w:color="auto"/>
              <w:bottom w:val="single" w:sz="8" w:color="auto"/>
            </w:tcBorders>
          </w:tcPr>
          <w:p>
            <w:pPr>
              <w:spacing w:after="0"/>
              <w:rPr>
                <w:sz w:val="4"/>
                <w:szCs w:val="4"/>
                <w:color w:val="auto"/>
              </w:rPr>
            </w:pPr>
          </w:p>
        </w:tc>
        <w:tc>
          <w:tcPr>
            <w:tcW w:w="60" w:type="dxa"/>
            <w:vAlign w:val="bottom"/>
            <w:tcBorders>
              <w:top w:val="single" w:sz="8" w:color="CFF0FC"/>
              <w:bottom w:val="single" w:sz="8" w:color="auto"/>
            </w:tcBorders>
          </w:tcPr>
          <w:p>
            <w:pPr>
              <w:spacing w:after="0"/>
              <w:rPr>
                <w:sz w:val="4"/>
                <w:szCs w:val="4"/>
                <w:color w:val="auto"/>
              </w:rPr>
            </w:pPr>
          </w:p>
        </w:tc>
        <w:tc>
          <w:tcPr>
            <w:tcW w:w="40" w:type="dxa"/>
            <w:vAlign w:val="bottom"/>
            <w:tcBorders>
              <w:top w:val="single" w:sz="8" w:color="CFF0FC"/>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-642620</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-642620</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-642620</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-642620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-642620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-76835</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-59690</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-76835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-59690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-76835</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-59690</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-76835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-59690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-76835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-59690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jc w:val="both"/>
        <w:ind w:left="380" w:right="40"/>
        <w:spacing w:after="0" w:line="244" w:lineRule="auto"/>
        <w:rPr>
          <w:sz w:val="20"/>
          <w:szCs w:val="20"/>
          <w:color w:val="auto"/>
        </w:rPr>
      </w:pPr>
      <w:r>
        <w:rPr>
          <w:rFonts w:ascii="Times New Roman" w:cs="Times New Roman" w:eastAsia="Times New Roman" w:hAnsi="Times New Roman"/>
          <w:sz w:val="20"/>
          <w:szCs w:val="20"/>
          <w:color w:val="auto"/>
        </w:rPr>
        <w:t>Amortization expense recognized on other intangible assets was $15 million for both the three months ended March 31, 2026 and 2025, and $30 million and $32 million for the six months ended March 31, 2026 and 2025, respectively, and is included within the intangibles amortization expense caption of the Statements of Condensed Consolidated Comprehensive Income (Loss). Estimated amortization expense for future periods is $60 million in 2026 (includes six months actual and six months estimated), $37 million in 2027, $34 million in 2028, $27 million in 2029 and $19 million in 2030. Actual amounts may change from such estimated amounts due to fluctuations in foreign currency exchange rates, additional intangible asset acquisitions and divestitures, potential impairment, accelerated amortization, or other events.</w:t>
      </w:r>
    </w:p>
    <w:p>
      <w:pPr>
        <w:spacing w:after="0" w:line="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977" w:right="6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NOTE H – DEBT AND OTHER FINANCING ACTIVITIES</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summarizes Ashland’s long-term debt as of:</w:t>
      </w:r>
    </w:p>
    <w:p>
      <w:pPr>
        <w:spacing w:after="0" w:line="124" w:lineRule="exact"/>
        <w:rPr>
          <w:sz w:val="20"/>
          <w:szCs w:val="20"/>
          <w:color w:val="auto"/>
        </w:rPr>
      </w:pPr>
    </w:p>
    <w:tbl>
      <w:tblPr>
        <w:tblLayout w:type="fixed"/>
        <w:tblInd w:w="400" w:type="dxa"/>
        <w:tblCellMar>
          <w:top w:w="0" w:type="dxa"/>
          <w:left w:w="0" w:type="dxa"/>
          <w:bottom w:w="0" w:type="dxa"/>
          <w:right w:w="0" w:type="dxa"/>
        </w:tblCellMar>
      </w:tblPr>
      <w:tr>
        <w:trPr>
          <w:trHeight w:val="229"/>
        </w:trPr>
        <w:tc>
          <w:tcPr>
            <w:tcW w:w="6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March 31, 2026</w:t>
            </w: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September 30, 2025</w:t>
            </w:r>
          </w:p>
        </w:tc>
      </w:tr>
      <w:tr>
        <w:trPr>
          <w:trHeight w:val="210"/>
        </w:trPr>
        <w:tc>
          <w:tcPr>
            <w:tcW w:w="20" w:type="dxa"/>
            <w:vAlign w:val="bottom"/>
          </w:tcPr>
          <w:p>
            <w:pPr>
              <w:spacing w:after="0"/>
              <w:rPr>
                <w:sz w:val="18"/>
                <w:szCs w:val="18"/>
                <w:color w:val="auto"/>
              </w:rPr>
            </w:pPr>
          </w:p>
        </w:tc>
        <w:tc>
          <w:tcPr>
            <w:tcW w:w="6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3.375% Senior Notes, due 2031</w:t>
            </w:r>
          </w:p>
        </w:tc>
        <w:tc>
          <w:tcPr>
            <w:tcW w:w="480" w:type="dxa"/>
            <w:vAlign w:val="bottom"/>
            <w:tcBorders>
              <w:top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460" w:type="dxa"/>
            <w:vAlign w:val="bottom"/>
            <w:tcBorders>
              <w:top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2.00% Senior Notes, due 2028 (Euro 500 million principal)</w:t>
            </w:r>
          </w:p>
        </w:tc>
        <w:tc>
          <w:tcPr>
            <w:tcW w:w="48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586</w:t>
            </w:r>
          </w:p>
        </w:tc>
      </w:tr>
      <w:tr>
        <w:trPr>
          <w:trHeight w:val="216"/>
        </w:trPr>
        <w:tc>
          <w:tcPr>
            <w:tcW w:w="20" w:type="dxa"/>
            <w:vAlign w:val="bottom"/>
          </w:tcPr>
          <w:p>
            <w:pPr>
              <w:spacing w:after="0"/>
              <w:rPr>
                <w:sz w:val="18"/>
                <w:szCs w:val="18"/>
                <w:color w:val="auto"/>
              </w:rPr>
            </w:pPr>
          </w:p>
        </w:tc>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6.875% Notes, due 2043</w:t>
            </w:r>
          </w:p>
        </w:tc>
        <w:tc>
          <w:tcPr>
            <w:tcW w:w="48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282</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6.50% Junior Subordinated Notes, due 2029</w:t>
            </w:r>
          </w:p>
        </w:tc>
        <w:tc>
          <w:tcPr>
            <w:tcW w:w="48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4"/>
                <w:szCs w:val="24"/>
                <w:color w:val="auto"/>
                <w:vertAlign w:val="superscript"/>
              </w:rPr>
              <w:t>(a)</w:t>
            </w:r>
          </w:p>
        </w:tc>
        <w:tc>
          <w:tcPr>
            <w:tcW w:w="4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6140" w:type="dxa"/>
            <w:vAlign w:val="bottom"/>
            <w:gridSpan w:val="2"/>
          </w:tcPr>
          <w:p>
            <w:pPr>
              <w:spacing w:after="0" w:line="210" w:lineRule="exact"/>
              <w:rPr>
                <w:sz w:val="20"/>
                <w:szCs w:val="20"/>
                <w:color w:val="auto"/>
              </w:rPr>
            </w:pPr>
            <w:r>
              <w:rPr>
                <w:rFonts w:ascii="Times New Roman" w:cs="Times New Roman" w:eastAsia="Times New Roman" w:hAnsi="Times New Roman"/>
                <w:sz w:val="18"/>
                <w:szCs w:val="18"/>
                <w:color w:val="auto"/>
              </w:rPr>
              <w:t>Long-term debt (less debt issuance costs)</w:t>
            </w:r>
            <w:r>
              <w:rPr>
                <w:rFonts w:ascii="Times New Roman" w:cs="Times New Roman" w:eastAsia="Times New Roman" w:hAnsi="Times New Roman"/>
                <w:sz w:val="24"/>
                <w:szCs w:val="24"/>
                <w:color w:val="auto"/>
                <w:vertAlign w:val="superscript"/>
              </w:rPr>
              <w:t>(b)</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1,374</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1,384</w:t>
            </w: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6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-222250</wp:posOffset>
            </wp:positionV>
            <wp:extent cx="12001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ind w:left="740" w:hanging="358"/>
        <w:spacing w:after="0"/>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$9 million and $10 million of debt issuance costs as of March 31, 2026 and September 30, 2025, respectively.</w:t>
      </w:r>
    </w:p>
    <w:p>
      <w:pPr>
        <w:spacing w:after="0" w:line="27" w:lineRule="exact"/>
        <w:rPr>
          <w:rFonts w:ascii="Times New Roman" w:cs="Times New Roman" w:eastAsia="Times New Roman" w:hAnsi="Times New Roman"/>
          <w:sz w:val="14"/>
          <w:szCs w:val="14"/>
          <w:color w:val="auto"/>
        </w:rPr>
      </w:pPr>
    </w:p>
    <w:p>
      <w:pPr>
        <w:ind w:left="740" w:hanging="358"/>
        <w:spacing w:after="0"/>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portion of the long-term debt was zero for both March 31, 2026 and September 30, 2025.</w:t>
      </w:r>
    </w:p>
    <w:p>
      <w:pPr>
        <w:spacing w:after="0" w:line="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The scheduled aggregate maturities for long-term debt by year (excluding debt issuance costs) are as follows as of March 31, 2026:</w:t>
      </w:r>
    </w:p>
    <w:p>
      <w:pPr>
        <w:spacing w:after="0" w:line="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zero 2026, $4 million in 2027, $573 million in 2028, $97 million in 2029, zero in 2030 and $450 million in 2031.</w:t>
      </w:r>
    </w:p>
    <w:p>
      <w:pPr>
        <w:spacing w:after="0" w:line="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Accounts receivable facilities and supply chain finance program</w:t>
      </w:r>
    </w:p>
    <w:p>
      <w:pPr>
        <w:spacing w:after="0" w:line="112"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Ashland continues to maintain its U.S. Accounts Receivable Sales Program, which was entered into during fiscal 2021, and its Foreign Accounts Receivable Sales Program, which was entered into during fiscal 2024. Under these programs, Ashland accounts for the accounts receivable transferred to buyers as sales. Ashland recognizes any gains or losses based on the excess of proceeds received net of buyer’s discounts and fees compared to the carrying value of the accounts receivable. Proceeds received, net of buyer’s discounts and fees, are recorded within the operating activities of the Statements of Condensed Consolidated Cash Flows. Losses on sale of accounts receivable, including related transaction expenses are recorded within the net interest and other expense caption of the Statements of Condensed Consolidated Comprehensive Income (Loss). Ashland regularly assesses its servicing obligations and records them as assets or liabilities when appropriate. Ashland also monitors its obligation with regards to the limited guarantee and records the resulting guarantee liability when warranted. When applicable, Ashland discloses the amount of the accounts receivable that serves as over-collateralization as a restricted asset.</w:t>
      </w:r>
    </w:p>
    <w:p>
      <w:pPr>
        <w:spacing w:after="0" w:line="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U.S. Accounts Receivable Sales Program</w:t>
      </w:r>
    </w:p>
    <w:p>
      <w:pPr>
        <w:spacing w:after="0" w:line="112"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20"/>
          <w:szCs w:val="20"/>
          <w:color w:val="auto"/>
        </w:rPr>
        <w:t>Ashland recognized a loss of less than $1 million and $1 million within the Statements of Condensed Consolidated Comprehensive Income (Loss) for the three months ended March 31, 2026 and 2025, respectively, and $1 million and $2 million for the six months ended March 31, 2026 and 2025, respectively, within the net interest and other expense caption associated with sales under the program. Ashland has recorded $60 million in sales at March 31, 2026, against the buyer’s limit, which was $60 million at March 31, 2026 compared to $59 million of sales at September 30, 2025 against the buyer's limit, which was $59 million at September 30, 2025. Ashland transferred $72 million and $75 million in accounts receivable to the special purpose entity as of March 31, 2026 and September 30, 2025, respectively. Ashland recorded liabilities related to its service obligations and limited guarantee as of both March 31, 2026 and September 30, 2025, of less than $1 million.</w:t>
      </w:r>
    </w:p>
    <w:p>
      <w:pPr>
        <w:spacing w:after="0" w:line="81"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20"/>
          <w:szCs w:val="20"/>
          <w:color w:val="auto"/>
        </w:rPr>
        <w:t>For the six months ended March 31, 2026 and 2025, the year-to-date gross cash proceeds received for accounts receivable transferred and derecognized were $77 million and $189 million, respectively, of which $76 million and $200 million, respectively, were collected which includes collections from sales in prior years transferred to the buyer. The difference between accounts receivable transferred and derecognized versus collected of $1 million and $11 million for the six months ended March 31, 2026 and 2025, respectively, represents the impact of a net increase and a net reduction in accounts receivable sales volume during each period, respectively.</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Foreign Accounts Receivable Sales Program</w:t>
      </w:r>
    </w:p>
    <w:p>
      <w:pPr>
        <w:spacing w:after="0" w:line="112"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20"/>
          <w:szCs w:val="20"/>
          <w:color w:val="auto"/>
        </w:rPr>
        <w:t>Ashland recognized a loss of less than $1 million and $1 million within the Statements of Condensed Consolidated Comprehensive Income (Loss) for the three months ended March 31, 2026 and 2025, respectively, and $1 million and $2 million for the six months ended March 31, 2026 and 2025, respectively, within the net interest and other expense caption associated with sales under the program. Ashland has recorded $104 million in sales at March 31, 2026 against the buyer’s limit, which was $104 million at March 31, 2026 compared to $103 million of sales at September 30, 2025 against the buyer's limit, which was $103 million at September 30, 2025. Ashland transferred</w:t>
      </w:r>
    </w:p>
    <w:p>
      <w:pPr>
        <w:spacing w:after="0" w:line="8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085" w:right="719" w:bottom="1440" w:gutter="0" w:footer="0" w:header="0"/>
        </w:sectPr>
      </w:pPr>
    </w:p>
    <w:bookmarkStart w:id="13" w:name="page14"/>
    <w:bookmarkEnd w:id="13"/>
    <w:p>
      <w:pPr>
        <w:jc w:val="both"/>
        <w:spacing w:after="0" w:line="254" w:lineRule="auto"/>
        <w:rPr>
          <w:sz w:val="20"/>
          <w:szCs w:val="20"/>
          <w:color w:val="auto"/>
        </w:rPr>
      </w:pPr>
      <w:r>
        <w:rPr>
          <w:rFonts w:ascii="Times New Roman" w:cs="Times New Roman" w:eastAsia="Times New Roman" w:hAnsi="Times New Roman"/>
          <w:sz w:val="20"/>
          <w:szCs w:val="20"/>
          <w:color w:val="auto"/>
        </w:rPr>
        <w:t>$147 million and $142 million, respectively, in accounts receivable to the special purpose entity as of March 31, 2026 and September 30, 2025, respectively. Ashland recorded liabilities related to its service obligations and limited guarantee as of both March 31, 2026 and September 30, 2025 of less than $1 million.</w:t>
      </w:r>
    </w:p>
    <w:p>
      <w:pPr>
        <w:spacing w:after="0" w:line="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For the six months ended March 31, 2026 and 2025, the year-to-date gross cash proceeds received for accounts receivable transferred and derecognized were $52 million and $242 million, respectively, of which $45 million and $233 million, respectively, were collected. The difference between accounts receivable transferred and derecognized versus collected of $7 million and $9 million for the six months ended March 31, 2026 and 2025, respectively, represents the impact of a net increase in accounts receivable sales volume during each period, respectively.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Supply Chain Finance Program</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During April 2024, Ashland authorized a financing program offered through JP Morgan and Taulia Alliance. Under this program, JP Morgan and its affiliates may purchase certain confirmed receivables directly from suppliers pursuant to the terms of a separate arrangement entered into between JPMorgan and Taulia Alliance and such suppliers. There were no changes to Ashland's standard payment terms with its suppliers in connection with this program. Ashland provides no guarantees to JP Morgan and Taulia Alliance under this program. The program was implemented during June 2025 and has been actively offered to suppliers. A rollforward of obligations confirmed and paid is presented below:</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9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Three months ended March</w:t>
            </w:r>
          </w:p>
        </w:tc>
        <w:tc>
          <w:tcPr>
            <w:tcW w:w="21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Six months ended March</w:t>
            </w: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31, 2026</w:t>
            </w:r>
          </w:p>
        </w:tc>
        <w:tc>
          <w:tcPr>
            <w:tcW w:w="480" w:type="dxa"/>
            <w:vAlign w:val="bottom"/>
          </w:tcPr>
          <w:p>
            <w:pPr>
              <w:spacing w:after="0"/>
              <w:rPr>
                <w:sz w:val="20"/>
                <w:szCs w:val="20"/>
                <w:color w:val="auto"/>
              </w:rPr>
            </w:pPr>
          </w:p>
        </w:tc>
        <w:tc>
          <w:tcPr>
            <w:tcW w:w="16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31, 2026</w:t>
            </w:r>
          </w:p>
        </w:tc>
      </w:tr>
      <w:tr>
        <w:trPr>
          <w:trHeight w:val="210"/>
        </w:trPr>
        <w:tc>
          <w:tcPr>
            <w:tcW w:w="20" w:type="dxa"/>
            <w:vAlign w:val="bottom"/>
          </w:tcPr>
          <w:p>
            <w:pPr>
              <w:spacing w:after="0"/>
              <w:rPr>
                <w:sz w:val="18"/>
                <w:szCs w:val="18"/>
                <w:color w:val="auto"/>
              </w:rPr>
            </w:pPr>
          </w:p>
        </w:tc>
        <w:tc>
          <w:tcPr>
            <w:tcW w:w="59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Confirmed obligations outstanding at beginning of period</w:t>
            </w:r>
          </w:p>
        </w:tc>
        <w:tc>
          <w:tcPr>
            <w:tcW w:w="440" w:type="dxa"/>
            <w:vAlign w:val="bottom"/>
            <w:tcBorders>
              <w:top w:val="single" w:sz="8" w:color="auto"/>
            </w:tcBorders>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Borders>
              <w:top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Invoices confirmed during the period</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Confirmed invoices paid during the period</w:t>
            </w:r>
          </w:p>
        </w:tc>
        <w:tc>
          <w:tcPr>
            <w:tcW w:w="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Confirmed obligations outstanding at end of period</w:t>
            </w:r>
          </w:p>
        </w:tc>
        <w:tc>
          <w:tcPr>
            <w:tcW w:w="4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5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borrowing capacity and liquidity</w:t>
      </w:r>
    </w:p>
    <w:p>
      <w:pPr>
        <w:spacing w:after="0" w:line="11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The borrowing capacity remaining under current credit agreement (the “2022 Credit Agreement”) was $596 million, which reflects the full $600 million Revolving Credit Facility less a reduction of $4 million for letters of credit outstanding as of March 31, 2026.</w:t>
      </w:r>
    </w:p>
    <w:p>
      <w:pPr>
        <w:spacing w:after="0" w:line="30" w:lineRule="exact"/>
        <w:rPr>
          <w:sz w:val="20"/>
          <w:szCs w:val="20"/>
          <w:color w:val="auto"/>
        </w:rPr>
      </w:pPr>
    </w:p>
    <w:p>
      <w:pPr>
        <w:ind w:right="220"/>
        <w:spacing w:after="0" w:line="352" w:lineRule="auto"/>
        <w:rPr>
          <w:sz w:val="20"/>
          <w:szCs w:val="20"/>
          <w:color w:val="auto"/>
        </w:rPr>
      </w:pPr>
      <w:r>
        <w:rPr>
          <w:rFonts w:ascii="Times New Roman" w:cs="Times New Roman" w:eastAsia="Times New Roman" w:hAnsi="Times New Roman"/>
          <w:sz w:val="20"/>
          <w:szCs w:val="20"/>
          <w:color w:val="auto"/>
        </w:rPr>
        <w:t xml:space="preserve">Ashland had no available liquidity under its current U.S. and Foreign Accounts Receivable Sales Programs as of March 31, 2026. </w:t>
      </w:r>
      <w:r>
        <w:rPr>
          <w:rFonts w:ascii="Times New Roman" w:cs="Times New Roman" w:eastAsia="Times New Roman" w:hAnsi="Times New Roman"/>
          <w:sz w:val="20"/>
          <w:szCs w:val="20"/>
          <w:b w:val="1"/>
          <w:bCs w:val="1"/>
          <w:color w:val="auto"/>
        </w:rPr>
        <w:t>Covenants related to current Ashland debt agreements</w:t>
      </w:r>
    </w:p>
    <w:p>
      <w:pPr>
        <w:jc w:val="both"/>
        <w:spacing w:after="0" w:line="249" w:lineRule="auto"/>
        <w:rPr>
          <w:sz w:val="20"/>
          <w:szCs w:val="20"/>
          <w:color w:val="auto"/>
        </w:rPr>
      </w:pPr>
      <w:r>
        <w:rPr>
          <w:rFonts w:ascii="Times New Roman" w:cs="Times New Roman" w:eastAsia="Times New Roman" w:hAnsi="Times New Roman"/>
          <w:sz w:val="20"/>
          <w:szCs w:val="20"/>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March 31, 2026, Ashland is in compliance with all debt agreement covenant restrictions.</w:t>
      </w:r>
    </w:p>
    <w:p>
      <w:pPr>
        <w:spacing w:after="0" w:line="7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maximum consolidated net leverage ratio permitted under Ashland’s 2022 Credit Agreement is 4.0. At March 31, 2026, Ashland’s calculation of the consolidated net leverage ratio was 2.6.</w:t>
      </w:r>
    </w:p>
    <w:p>
      <w:pPr>
        <w:spacing w:after="0" w:line="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minimum required consolidated interest coverage ratio under the 2022 Credit Agreement is 3.0. At March 31, 2026, Ashland’s calculation of the consolidated interest coverage ratio was 6.5.</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NOTE I – LEASING ARRANGEMENTS</w:t>
      </w:r>
    </w:p>
    <w:p>
      <w:pPr>
        <w:spacing w:after="0" w:line="112"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The components of lease cost recognized within the Statements of Condensed Consolidated Comprehensive Income (Loss) are as follows:</w:t>
      </w:r>
    </w:p>
    <w:p>
      <w:pPr>
        <w:spacing w:after="0" w:line="68"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Six months ended</w:t>
            </w:r>
          </w:p>
        </w:tc>
        <w:tc>
          <w:tcPr>
            <w:tcW w:w="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180" w:type="dxa"/>
            <w:vAlign w:val="bottom"/>
            <w:vMerge w:val="restart"/>
          </w:tcPr>
          <w:p>
            <w:pPr>
              <w:ind w:left="1520"/>
              <w:spacing w:after="0"/>
              <w:rPr>
                <w:sz w:val="20"/>
                <w:szCs w:val="20"/>
                <w:color w:val="auto"/>
              </w:rPr>
            </w:pPr>
            <w:r>
              <w:rPr>
                <w:rFonts w:ascii="Times New Roman" w:cs="Times New Roman" w:eastAsia="Times New Roman" w:hAnsi="Times New Roman"/>
                <w:sz w:val="18"/>
                <w:szCs w:val="18"/>
                <w:color w:val="auto"/>
              </w:rPr>
              <w:t>Location</w:t>
            </w:r>
          </w:p>
        </w:tc>
        <w:tc>
          <w:tcPr>
            <w:tcW w:w="3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March 31</w:t>
            </w:r>
          </w:p>
        </w:tc>
        <w:tc>
          <w:tcPr>
            <w:tcW w:w="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March 31</w:t>
            </w:r>
          </w:p>
        </w:tc>
        <w:tc>
          <w:tcPr>
            <w:tcW w:w="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760" w:type="dxa"/>
            <w:vAlign w:val="bottom"/>
            <w:gridSpan w:val="2"/>
            <w:vMerge w:val="continue"/>
          </w:tcPr>
          <w:p>
            <w:pPr>
              <w:spacing w:after="0"/>
              <w:rPr>
                <w:sz w:val="18"/>
                <w:szCs w:val="18"/>
                <w:color w:val="auto"/>
              </w:rPr>
            </w:pPr>
          </w:p>
        </w:tc>
        <w:tc>
          <w:tcPr>
            <w:tcW w:w="31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318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6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1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3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31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leases</w:t>
            </w:r>
          </w:p>
        </w:tc>
        <w:tc>
          <w:tcPr>
            <w:tcW w:w="3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31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96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92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740" w:type="dxa"/>
            <w:vAlign w:val="bottom"/>
            <w:tcBorders>
              <w:top w:val="single" w:sz="8" w:color="CFF0FC"/>
              <w:bottom w:val="single" w:sz="8" w:color="auto"/>
            </w:tcBorders>
          </w:tcPr>
          <w:p>
            <w:pPr>
              <w:spacing w:after="0"/>
              <w:rPr>
                <w:sz w:val="4"/>
                <w:szCs w:val="4"/>
                <w:color w:val="auto"/>
              </w:rPr>
            </w:pPr>
          </w:p>
        </w:tc>
        <w:tc>
          <w:tcPr>
            <w:tcW w:w="3180" w:type="dxa"/>
            <w:vAlign w:val="bottom"/>
            <w:tcBorders>
              <w:top w:val="single" w:sz="8" w:color="CFF0FC"/>
              <w:bottom w:val="single" w:sz="8" w:color="auto"/>
            </w:tcBorders>
          </w:tcPr>
          <w:p>
            <w:pPr>
              <w:spacing w:after="0"/>
              <w:rPr>
                <w:sz w:val="4"/>
                <w:szCs w:val="4"/>
                <w:color w:val="auto"/>
              </w:rPr>
            </w:pPr>
          </w:p>
        </w:tc>
        <w:tc>
          <w:tcPr>
            <w:tcW w:w="360" w:type="dxa"/>
            <w:vAlign w:val="bottom"/>
            <w:tcBorders>
              <w:top w:val="single" w:sz="8" w:color="CFF0FC"/>
              <w:bottom w:val="single" w:sz="8" w:color="auto"/>
            </w:tcBorders>
          </w:tcPr>
          <w:p>
            <w:pPr>
              <w:spacing w:after="0"/>
              <w:rPr>
                <w:sz w:val="4"/>
                <w:szCs w:val="4"/>
                <w:color w:val="auto"/>
              </w:rPr>
            </w:pPr>
          </w:p>
        </w:tc>
        <w:tc>
          <w:tcPr>
            <w:tcW w:w="800" w:type="dxa"/>
            <w:vAlign w:val="bottom"/>
            <w:tcBorders>
              <w:top w:val="single" w:sz="8" w:color="auto"/>
              <w:bottom w:val="single" w:sz="8" w:color="auto"/>
            </w:tcBorders>
          </w:tcPr>
          <w:p>
            <w:pPr>
              <w:spacing w:after="0"/>
              <w:rPr>
                <w:sz w:val="4"/>
                <w:szCs w:val="4"/>
                <w:color w:val="auto"/>
              </w:rPr>
            </w:pPr>
          </w:p>
        </w:tc>
        <w:tc>
          <w:tcPr>
            <w:tcW w:w="400" w:type="dxa"/>
            <w:vAlign w:val="bottom"/>
            <w:tcBorders>
              <w:top w:val="single" w:sz="8" w:color="auto"/>
              <w:bottom w:val="single" w:sz="8" w:color="auto"/>
            </w:tcBorders>
          </w:tcPr>
          <w:p>
            <w:pPr>
              <w:spacing w:after="0"/>
              <w:rPr>
                <w:sz w:val="4"/>
                <w:szCs w:val="4"/>
                <w:color w:val="auto"/>
              </w:rPr>
            </w:pPr>
          </w:p>
        </w:tc>
        <w:tc>
          <w:tcPr>
            <w:tcW w:w="160" w:type="dxa"/>
            <w:vAlign w:val="bottom"/>
            <w:tcBorders>
              <w:top w:val="single" w:sz="8" w:color="CFF0FC"/>
              <w:bottom w:val="single" w:sz="8" w:color="auto"/>
            </w:tcBorders>
          </w:tcPr>
          <w:p>
            <w:pPr>
              <w:spacing w:after="0"/>
              <w:rPr>
                <w:sz w:val="4"/>
                <w:szCs w:val="4"/>
                <w:color w:val="auto"/>
              </w:rPr>
            </w:pPr>
          </w:p>
        </w:tc>
        <w:tc>
          <w:tcPr>
            <w:tcW w:w="800" w:type="dxa"/>
            <w:vAlign w:val="bottom"/>
            <w:tcBorders>
              <w:top w:val="single" w:sz="8" w:color="auto"/>
              <w:bottom w:val="single" w:sz="8" w:color="auto"/>
            </w:tcBorders>
          </w:tcPr>
          <w:p>
            <w:pPr>
              <w:spacing w:after="0"/>
              <w:rPr>
                <w:sz w:val="4"/>
                <w:szCs w:val="4"/>
                <w:color w:val="auto"/>
              </w:rPr>
            </w:pPr>
          </w:p>
        </w:tc>
        <w:tc>
          <w:tcPr>
            <w:tcW w:w="40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CFF0FC"/>
              <w:bottom w:val="single" w:sz="8" w:color="auto"/>
            </w:tcBorders>
          </w:tcPr>
          <w:p>
            <w:pPr>
              <w:spacing w:after="0"/>
              <w:rPr>
                <w:sz w:val="4"/>
                <w:szCs w:val="4"/>
                <w:color w:val="auto"/>
              </w:rPr>
            </w:pPr>
          </w:p>
        </w:tc>
        <w:tc>
          <w:tcPr>
            <w:tcW w:w="760" w:type="dxa"/>
            <w:vAlign w:val="bottom"/>
            <w:tcBorders>
              <w:top w:val="single" w:sz="8" w:color="auto"/>
              <w:bottom w:val="single" w:sz="8" w:color="auto"/>
            </w:tcBorders>
          </w:tcPr>
          <w:p>
            <w:pPr>
              <w:spacing w:after="0"/>
              <w:rPr>
                <w:sz w:val="4"/>
                <w:szCs w:val="4"/>
                <w:color w:val="auto"/>
              </w:rPr>
            </w:pPr>
          </w:p>
        </w:tc>
        <w:tc>
          <w:tcPr>
            <w:tcW w:w="40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CFF0FC"/>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36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-76835</wp:posOffset>
            </wp:positionV>
            <wp:extent cx="1028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-59690</wp:posOffset>
            </wp:positionV>
            <wp:extent cx="1028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-76835</wp:posOffset>
            </wp:positionV>
            <wp:extent cx="939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-59690</wp:posOffset>
            </wp:positionV>
            <wp:extent cx="939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-76835</wp:posOffset>
            </wp:positionV>
            <wp:extent cx="946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-59690</wp:posOffset>
            </wp:positionV>
            <wp:extent cx="9461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65" w:lineRule="exact"/>
        <w:rPr>
          <w:sz w:val="20"/>
          <w:szCs w:val="20"/>
          <w:color w:val="auto"/>
        </w:rPr>
      </w:pPr>
    </w:p>
    <w:p>
      <w:pPr>
        <w:jc w:val="both"/>
        <w:ind w:left="380" w:right="380"/>
        <w:spacing w:after="0" w:line="295" w:lineRule="auto"/>
        <w:rPr>
          <w:sz w:val="20"/>
          <w:szCs w:val="20"/>
          <w:color w:val="auto"/>
        </w:rPr>
      </w:pPr>
      <w:r>
        <w:rPr>
          <w:rFonts w:ascii="Times New Roman" w:cs="Times New Roman" w:eastAsia="Times New Roman" w:hAnsi="Times New Roman"/>
          <w:sz w:val="19"/>
          <w:szCs w:val="19"/>
          <w:color w:val="auto"/>
        </w:rPr>
        <w:t>Right-of-use assets exchanged for new operating lease obligations were $3 million and $1 million for the three months ended March 31, 2026 and 2025, respectively, and $4 million and $2 million for the six months ended March 31, 2026 and 2025, respectively.</w:t>
      </w:r>
    </w:p>
    <w:p>
      <w:pPr>
        <w:spacing w:after="0" w:line="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provides cash paid for amounts included in the measurement of lease liabilities:</w:t>
      </w:r>
    </w:p>
    <w:p>
      <w:pPr>
        <w:spacing w:after="0" w:line="110"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20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gridSpan w:val="3"/>
          </w:tcPr>
          <w:p>
            <w:pPr>
              <w:jc w:val="center"/>
              <w:ind w:left="1210"/>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gridSpan w:val="3"/>
          </w:tcPr>
          <w:p>
            <w:pPr>
              <w:jc w:val="center"/>
              <w:ind w:left="170"/>
              <w:spacing w:after="0"/>
              <w:rPr>
                <w:sz w:val="20"/>
                <w:szCs w:val="20"/>
                <w:color w:val="auto"/>
              </w:rPr>
            </w:pPr>
            <w:r>
              <w:rPr>
                <w:rFonts w:ascii="Times New Roman" w:cs="Times New Roman" w:eastAsia="Times New Roman" w:hAnsi="Times New Roman"/>
                <w:sz w:val="18"/>
                <w:szCs w:val="18"/>
                <w:color w:val="auto"/>
              </w:rPr>
              <w:t>Six months ended</w:t>
            </w:r>
          </w:p>
        </w:tc>
        <w:tc>
          <w:tcPr>
            <w:tcW w:w="360" w:type="dxa"/>
            <w:vAlign w:val="bottom"/>
            <w:tcBorders>
              <w:top w:val="single" w:sz="8" w:color="auto"/>
            </w:tcBorders>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7"/>
              </w:rPr>
              <w:t>March 31</w:t>
            </w:r>
          </w:p>
        </w:tc>
        <w:tc>
          <w:tcPr>
            <w:tcW w:w="3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410"/>
              <w:spacing w:after="0"/>
              <w:rPr>
                <w:sz w:val="20"/>
                <w:szCs w:val="20"/>
                <w:color w:val="auto"/>
              </w:rPr>
            </w:pPr>
            <w:r>
              <w:rPr>
                <w:rFonts w:ascii="Times New Roman" w:cs="Times New Roman" w:eastAsia="Times New Roman" w:hAnsi="Times New Roman"/>
                <w:sz w:val="18"/>
                <w:szCs w:val="18"/>
                <w:color w:val="auto"/>
              </w:rPr>
              <w:t>March 31</w:t>
            </w:r>
          </w:p>
        </w:tc>
        <w:tc>
          <w:tcPr>
            <w:tcW w:w="360" w:type="dxa"/>
            <w:vAlign w:val="bottom"/>
            <w:tcBorders>
              <w:bottom w:val="single" w:sz="8" w:color="auto"/>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88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68"/>
        </w:trPr>
        <w:tc>
          <w:tcPr>
            <w:tcW w:w="20" w:type="dxa"/>
            <w:vAlign w:val="bottom"/>
          </w:tcPr>
          <w:p>
            <w:pPr>
              <w:spacing w:after="0"/>
              <w:rPr>
                <w:sz w:val="5"/>
                <w:szCs w:val="5"/>
                <w:color w:val="auto"/>
              </w:rPr>
            </w:pPr>
          </w:p>
        </w:tc>
        <w:tc>
          <w:tcPr>
            <w:tcW w:w="420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J – INCOME TAXES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Current fiscal year</w:t>
      </w:r>
    </w:p>
    <w:p>
      <w:pPr>
        <w:spacing w:after="0" w:line="112" w:lineRule="exact"/>
        <w:rPr>
          <w:sz w:val="20"/>
          <w:szCs w:val="20"/>
          <w:color w:val="auto"/>
        </w:rPr>
      </w:pPr>
    </w:p>
    <w:p>
      <w:pPr>
        <w:jc w:val="both"/>
        <w:ind w:left="380" w:right="380"/>
        <w:spacing w:after="0" w:line="245" w:lineRule="auto"/>
        <w:rPr>
          <w:sz w:val="20"/>
          <w:szCs w:val="20"/>
          <w:color w:val="auto"/>
        </w:rPr>
      </w:pPr>
      <w:r>
        <w:rPr>
          <w:rFonts w:ascii="Times New Roman" w:cs="Times New Roman" w:eastAsia="Times New Roman" w:hAnsi="Times New Roman"/>
          <w:sz w:val="20"/>
          <w:szCs w:val="20"/>
          <w:color w:val="auto"/>
        </w:rPr>
        <w:t>Ashland’s effective tax rate in any interim period is subject to adjustments related to discrete items and the mix of domestic and foreign operating results. The effective tax rate was 25% and 80% for the three and six months ended March 31, 2026, respectively. The tax rate for the three months ended March 31, 2026, was primarily impacted by jurisdictional income mix and a net $1 million from favorable tax discrete items primarily related to changes in uncertain tax positions. The tax rate for the six months ended March 31, 2026, was primarily impacted by jurisdictional income mix, as well as a net $1 million from unfavorable tax discrete items primarily related to equity compensation adjustments and changes in uncertain tax positions.</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Prior fiscal year</w:t>
      </w:r>
    </w:p>
    <w:p>
      <w:pPr>
        <w:spacing w:after="0" w:line="112" w:lineRule="exact"/>
        <w:rPr>
          <w:sz w:val="20"/>
          <w:szCs w:val="20"/>
          <w:color w:val="auto"/>
        </w:rPr>
      </w:pPr>
    </w:p>
    <w:p>
      <w:pPr>
        <w:jc w:val="both"/>
        <w:ind w:left="380" w:right="380"/>
        <w:spacing w:after="0" w:line="246" w:lineRule="auto"/>
        <w:rPr>
          <w:sz w:val="20"/>
          <w:szCs w:val="20"/>
          <w:color w:val="auto"/>
        </w:rPr>
      </w:pPr>
      <w:r>
        <w:rPr>
          <w:rFonts w:ascii="Times New Roman" w:cs="Times New Roman" w:eastAsia="Times New Roman" w:hAnsi="Times New Roman"/>
          <w:sz w:val="20"/>
          <w:szCs w:val="20"/>
          <w:color w:val="auto"/>
        </w:rPr>
        <w:t>The effective tax rate was 23% and 20% for the three and six months ended March 31, 2025, respectively. The tax rate for the three months ended March 31, 2025, was primarily impacted by jurisdictional income mix. The tax rate for the six months ended March 31, 2025, was impacted by jurisdictional income mix, as well as a net $7 million from unfavorable tax discrete items primarily related to changes in foreign tax activity and final regulations issued in the U.S. impacting the recognition of deferred taxes on certain unrealized foreign exchange gains and losses.</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Unrecognized tax benefits</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Changes in unrecognized tax benefits are summarized as follows for the six months ended March 31, 2026:</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-127635</wp:posOffset>
            </wp:positionV>
            <wp:extent cx="66262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0" w:type="dxa"/>
            <w:vAlign w:val="bottom"/>
          </w:tcPr>
          <w:p>
            <w:pPr>
              <w:spacing w:after="0"/>
              <w:rPr>
                <w:sz w:val="18"/>
                <w:szCs w:val="18"/>
                <w:color w:val="auto"/>
              </w:rPr>
            </w:pPr>
          </w:p>
        </w:tc>
        <w:tc>
          <w:tcPr>
            <w:tcW w:w="47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October 1, 2025</w:t>
            </w:r>
          </w:p>
        </w:tc>
        <w:tc>
          <w:tcPr>
            <w:tcW w:w="4380" w:type="dxa"/>
            <w:vAlign w:val="bottom"/>
            <w:tcBorders>
              <w:top w:val="single" w:sz="8" w:color="auto"/>
            </w:tcBorders>
            <w:gridSpan w:val="2"/>
            <w:shd w:val="clear" w:color="auto" w:fill="CFF0FC"/>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Decreases related to positions taken on items from prior years</w:t>
            </w:r>
          </w:p>
        </w:tc>
        <w:tc>
          <w:tcPr>
            <w:tcW w:w="3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Increases related to positions taken in the current year</w:t>
            </w:r>
          </w:p>
        </w:tc>
        <w:tc>
          <w:tcPr>
            <w:tcW w:w="3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Increases related to positions taken in the prior year</w:t>
            </w:r>
          </w:p>
        </w:tc>
        <w:tc>
          <w:tcPr>
            <w:tcW w:w="33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r>
      <w:tr>
        <w:trPr>
          <w:trHeight w:val="249"/>
        </w:trPr>
        <w:tc>
          <w:tcPr>
            <w:tcW w:w="420" w:type="dxa"/>
            <w:vAlign w:val="bottom"/>
          </w:tcPr>
          <w:p>
            <w:pPr>
              <w:spacing w:after="0"/>
              <w:rPr>
                <w:sz w:val="21"/>
                <w:szCs w:val="21"/>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4380" w:type="dxa"/>
            <w:vAlign w:val="bottom"/>
            <w:gridSpan w:val="2"/>
            <w:shd w:val="clear" w:color="auto" w:fill="CFF0FC"/>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400" w:type="dxa"/>
            <w:vAlign w:val="bottom"/>
          </w:tcPr>
          <w:p>
            <w:pPr>
              <w:spacing w:after="0"/>
              <w:rPr>
                <w:sz w:val="21"/>
                <w:szCs w:val="21"/>
                <w:color w:val="auto"/>
              </w:rPr>
            </w:pPr>
          </w:p>
        </w:tc>
      </w:tr>
      <w:tr>
        <w:trPr>
          <w:trHeight w:val="48"/>
        </w:trPr>
        <w:tc>
          <w:tcPr>
            <w:tcW w:w="420" w:type="dxa"/>
            <w:vAlign w:val="bottom"/>
          </w:tcPr>
          <w:p>
            <w:pPr>
              <w:spacing w:after="0"/>
              <w:rPr>
                <w:sz w:val="4"/>
                <w:szCs w:val="4"/>
                <w:color w:val="auto"/>
              </w:rPr>
            </w:pPr>
          </w:p>
        </w:tc>
        <w:tc>
          <w:tcPr>
            <w:tcW w:w="4780" w:type="dxa"/>
            <w:vAlign w:val="bottom"/>
            <w:tcBorders>
              <w:top w:val="single" w:sz="8" w:color="CFF0FC"/>
              <w:bottom w:val="single" w:sz="8" w:color="auto"/>
            </w:tcBorders>
          </w:tcPr>
          <w:p>
            <w:pPr>
              <w:spacing w:after="0"/>
              <w:rPr>
                <w:sz w:val="4"/>
                <w:szCs w:val="4"/>
                <w:color w:val="auto"/>
              </w:rPr>
            </w:pPr>
          </w:p>
        </w:tc>
        <w:tc>
          <w:tcPr>
            <w:tcW w:w="3340" w:type="dxa"/>
            <w:vAlign w:val="bottom"/>
            <w:tcBorders>
              <w:top w:val="single" w:sz="8" w:color="CFF0FC"/>
              <w:bottom w:val="single" w:sz="8" w:color="auto"/>
            </w:tcBorders>
          </w:tcPr>
          <w:p>
            <w:pPr>
              <w:spacing w:after="0"/>
              <w:rPr>
                <w:sz w:val="4"/>
                <w:szCs w:val="4"/>
                <w:color w:val="auto"/>
              </w:rPr>
            </w:pPr>
          </w:p>
        </w:tc>
        <w:tc>
          <w:tcPr>
            <w:tcW w:w="1040" w:type="dxa"/>
            <w:vAlign w:val="bottom"/>
            <w:tcBorders>
              <w:top w:val="single" w:sz="8" w:color="auto"/>
              <w:bottom w:val="single" w:sz="8" w:color="auto"/>
            </w:tcBorders>
          </w:tcPr>
          <w:p>
            <w:pPr>
              <w:spacing w:after="0"/>
              <w:rPr>
                <w:sz w:val="4"/>
                <w:szCs w:val="4"/>
                <w:color w:val="auto"/>
              </w:rPr>
            </w:pPr>
          </w:p>
        </w:tc>
        <w:tc>
          <w:tcPr>
            <w:tcW w:w="1260" w:type="dxa"/>
            <w:vAlign w:val="bottom"/>
            <w:tcBorders>
              <w:top w:val="single" w:sz="8" w:color="auto"/>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r>
      <w:tr>
        <w:trPr>
          <w:trHeight w:val="533"/>
        </w:trPr>
        <w:tc>
          <w:tcPr>
            <w:tcW w:w="4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340" w:type="dxa"/>
            <w:vAlign w:val="bottom"/>
          </w:tcPr>
          <w:p>
            <w:pPr>
              <w:jc w:val="right"/>
              <w:ind w:right="2730"/>
              <w:spacing w:after="0"/>
              <w:rPr>
                <w:sz w:val="20"/>
                <w:szCs w:val="20"/>
                <w:color w:val="auto"/>
              </w:rPr>
            </w:pPr>
            <w:r>
              <w:rPr>
                <w:rFonts w:ascii="Times New Roman" w:cs="Times New Roman" w:eastAsia="Times New Roman" w:hAnsi="Times New Roman"/>
                <w:sz w:val="18"/>
                <w:szCs w:val="18"/>
                <w:color w:val="auto"/>
              </w:rPr>
              <w:t>15</w:t>
            </w: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63"/>
        </w:trPr>
        <w:tc>
          <w:tcPr>
            <w:tcW w:w="42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15" w:name="page16"/>
    <w:bookmarkEnd w:id="15"/>
    <w:p>
      <w:pPr>
        <w:jc w:val="both"/>
        <w:ind w:left="380"/>
        <w:spacing w:after="0" w:line="246" w:lineRule="auto"/>
        <w:rPr>
          <w:sz w:val="20"/>
          <w:szCs w:val="20"/>
          <w:color w:val="auto"/>
        </w:rPr>
      </w:pPr>
      <w:r>
        <w:rPr>
          <w:rFonts w:ascii="Times New Roman" w:cs="Times New Roman" w:eastAsia="Times New Roman" w:hAnsi="Times New Roman"/>
          <w:sz w:val="20"/>
          <w:szCs w:val="20"/>
          <w:color w:val="auto"/>
        </w:rPr>
        <w:t>From a combination of statute expirations and audit settlements in the next twelve months, Ashland expects a decrease in the amount of accrual for uncertain tax positions between zero and $1 million for continuing operations. For the remaining balance as of March 31, 2026, it is reasonably possible that there could be material changes to the amount of uncertain tax positions due to activities of the taxing authorities, settlement of audit issues, reassessment of existing uncertain tax positions or the expiration of applicable statute of limitations; however, Ashland is not able to estimate the impact of these items at this time.</w:t>
      </w:r>
    </w:p>
    <w:p>
      <w:pPr>
        <w:spacing w:after="0" w:line="73" w:lineRule="exact"/>
        <w:rPr>
          <w:sz w:val="20"/>
          <w:szCs w:val="20"/>
          <w:color w:val="auto"/>
        </w:rPr>
      </w:pPr>
    </w:p>
    <w:p>
      <w:pPr>
        <w:jc w:val="right"/>
        <w:ind w:right="7180"/>
        <w:spacing w:after="0"/>
        <w:rPr>
          <w:sz w:val="20"/>
          <w:szCs w:val="20"/>
          <w:color w:val="auto"/>
        </w:rPr>
      </w:pPr>
      <w:r>
        <w:rPr>
          <w:rFonts w:ascii="Times New Roman" w:cs="Times New Roman" w:eastAsia="Times New Roman" w:hAnsi="Times New Roman"/>
          <w:sz w:val="19"/>
          <w:szCs w:val="19"/>
          <w:b w:val="1"/>
          <w:bCs w:val="1"/>
          <w:color w:val="auto"/>
        </w:rPr>
        <w:t>NOTE K - EMPLOYEE BENEFIT PLANS</w:t>
      </w:r>
    </w:p>
    <w:p>
      <w:pPr>
        <w:spacing w:after="0" w:line="119" w:lineRule="exact"/>
        <w:rPr>
          <w:sz w:val="20"/>
          <w:szCs w:val="20"/>
          <w:color w:val="auto"/>
        </w:rPr>
      </w:pPr>
    </w:p>
    <w:p>
      <w:pPr>
        <w:jc w:val="right"/>
        <w:ind w:right="7140"/>
        <w:spacing w:after="0"/>
        <w:rPr>
          <w:sz w:val="20"/>
          <w:szCs w:val="20"/>
          <w:color w:val="auto"/>
        </w:rPr>
      </w:pPr>
      <w:r>
        <w:rPr>
          <w:rFonts w:ascii="Times New Roman" w:cs="Times New Roman" w:eastAsia="Times New Roman" w:hAnsi="Times New Roman"/>
          <w:sz w:val="20"/>
          <w:szCs w:val="20"/>
          <w:b w:val="1"/>
          <w:bCs w:val="1"/>
          <w:color w:val="auto"/>
        </w:rPr>
        <w:t>Restructuring and plan remeasurement</w:t>
      </w:r>
    </w:p>
    <w:p>
      <w:pPr>
        <w:spacing w:after="0" w:line="112"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20"/>
          <w:szCs w:val="20"/>
          <w:color w:val="auto"/>
        </w:rPr>
        <w:t>During the first quarter of fiscal 2025, as part of its fiscal 2024 restructuring activities, Ashland terminated approximately 40 employees in its Doel, Belgium facility. The postretirement benefits for these employees, all of whom participated in a non-contributory defined benefit plan in Belgium, were frozen. This resulted in a decrease in total expected future years of service within the plan and required Ashland to remeasure the plan during the six months ended March 31, 2025. As a result, Ashland recorded a $1 million curtailment loss within the other net periodic benefit loss caption of the Statement of Condensed Consolidated Comprehensive Income (Loss) for the six months ended March 31, 2025.</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Plan contributions</w:t>
      </w:r>
    </w:p>
    <w:p>
      <w:pPr>
        <w:spacing w:after="0" w:line="112"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For the six months ended March 31, 2026, Ashland contributed $2 million to its U.S. pension plans and $3 million to its non-U.S. pension plans. Ashland expects to make additional contributions of $3 million to its U.S. pension plans and $3 million to its non-U.S. pension plans during the remainder of fiscal 2026.</w:t>
      </w:r>
    </w:p>
    <w:p>
      <w:pPr>
        <w:spacing w:after="0" w:line="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Components of net periodic benefit costs</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summarizes the components of pension and other postretirement benefit costs for continuing operations:</w:t>
      </w:r>
    </w:p>
    <w:p>
      <w:pPr>
        <w:spacing w:after="0" w:line="110"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6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color w:val="auto"/>
              </w:rPr>
              <w:t>Other postretirement</w:t>
            </w:r>
          </w:p>
        </w:tc>
        <w:tc>
          <w:tcPr>
            <w:tcW w:w="0" w:type="dxa"/>
            <w:vAlign w:val="bottom"/>
          </w:tcPr>
          <w:p>
            <w:pPr>
              <w:spacing w:after="0"/>
              <w:rPr>
                <w:sz w:val="1"/>
                <w:szCs w:val="1"/>
                <w:color w:val="auto"/>
              </w:rPr>
            </w:pPr>
          </w:p>
        </w:tc>
      </w:tr>
      <w:tr>
        <w:trPr>
          <w:trHeight w:val="234"/>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Pension benefits</w:t>
            </w: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benefits</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6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960" w:type="dxa"/>
            <w:vAlign w:val="bottom"/>
            <w:gridSpan w:val="2"/>
          </w:tcPr>
          <w:p>
            <w:pPr>
              <w:jc w:val="right"/>
              <w:ind w:right="79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periodic benefit costs</w:t>
            </w:r>
          </w:p>
        </w:tc>
        <w:tc>
          <w:tcPr>
            <w:tcW w:w="96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gridSpan w:val="2"/>
            <w:shd w:val="clear" w:color="auto" w:fill="CFF0FC"/>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Six months ended March 31</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960" w:type="dxa"/>
            <w:vAlign w:val="bottom"/>
            <w:gridSpan w:val="2"/>
          </w:tcPr>
          <w:p>
            <w:pPr>
              <w:jc w:val="right"/>
              <w:ind w:right="79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Curtailment loss</w:t>
            </w:r>
          </w:p>
        </w:tc>
        <w:tc>
          <w:tcPr>
            <w:tcW w:w="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 net periodic benefit costs</w:t>
            </w:r>
          </w:p>
        </w:tc>
        <w:tc>
          <w:tcPr>
            <w:tcW w:w="960" w:type="dxa"/>
            <w:vAlign w:val="bottom"/>
            <w:gridSpan w:val="2"/>
          </w:tcPr>
          <w:p>
            <w:pPr>
              <w:jc w:val="right"/>
              <w:ind w:right="79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-1071245</wp:posOffset>
            </wp:positionV>
            <wp:extent cx="1200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-1053465</wp:posOffset>
            </wp:positionV>
            <wp:extent cx="1200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-1071245</wp:posOffset>
            </wp:positionV>
            <wp:extent cx="1111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-1053465</wp:posOffset>
            </wp:positionV>
            <wp:extent cx="1111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-1071245</wp:posOffset>
            </wp:positionV>
            <wp:extent cx="1117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-1053465</wp:posOffset>
            </wp:positionV>
            <wp:extent cx="1117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-222250</wp:posOffset>
            </wp:positionV>
            <wp:extent cx="12001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-222250</wp:posOffset>
            </wp:positionV>
            <wp:extent cx="1111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-222250</wp:posOffset>
            </wp:positionV>
            <wp:extent cx="1117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65"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20"/>
          <w:szCs w:val="20"/>
          <w:color w:val="auto"/>
        </w:rPr>
        <w:t>For segment reporting purposes, service cost is proportionately allocated to each segment, excluding Unallocated and other, and is recorded within the selling, general and administrative expense and cost of sales captions on the Statements of Condensed Consolidated Comprehensive Income (Loss). All other components are recorded within the other net periodic benefit loss caption on the Statements of Condensed Consolidated Comprehensive Income (Loss), which netted to expense of $1 million and $2 million for the three and six months ended March 31, 2026, respectively, and expense of $1 million and $3 million for the three and six months ended March 31, 2025, respectively.</w:t>
      </w:r>
    </w:p>
    <w:p>
      <w:pPr>
        <w:spacing w:after="0" w:line="2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089" w:right="7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color w:val="auto"/>
        </w:rPr>
        <w:t>NOTE L – LITIGATION, CLAIMS AND CONTINGENCIES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Asbestos litigation</w:t>
      </w:r>
    </w:p>
    <w:p>
      <w:pPr>
        <w:spacing w:after="0" w:line="112" w:lineRule="exact"/>
        <w:rPr>
          <w:sz w:val="20"/>
          <w:szCs w:val="20"/>
          <w:color w:val="auto"/>
        </w:rPr>
      </w:pPr>
    </w:p>
    <w:p>
      <w:pPr>
        <w:jc w:val="both"/>
        <w:ind w:left="380" w:right="380"/>
        <w:spacing w:after="0" w:line="244" w:lineRule="auto"/>
        <w:rPr>
          <w:sz w:val="20"/>
          <w:szCs w:val="20"/>
          <w:color w:val="auto"/>
        </w:rPr>
      </w:pPr>
      <w:r>
        <w:rPr>
          <w:rFonts w:ascii="Times New Roman" w:cs="Times New Roman" w:eastAsia="Times New Roman" w:hAnsi="Times New Roman"/>
          <w:sz w:val="20"/>
          <w:szCs w:val="20"/>
          <w:color w:val="auto"/>
        </w:rPr>
        <w:t>Ashland is subject to liabilities from claims alleging personal injury caused by exposure to asbestos. Such claims result from indemnification obligations undertaken in 1990 in connection with the sale of Riley and the acquisition of Hercules in November 2008. Although Riley, a former subsidiary, was neither a producer nor a manufacturer of asbestos, its industrial boilers contained some asbestos-containing components provided by other companies. Hercules, an indirect wholly-owned subsidiary of Ashland, has liabilities from claims alleging personal injury caused by exposure to asbestos. Such claims typically arise from alleged exposure to asbestos fibers from resin encapsulated pipe and tank products sold by one of Hercules’ former subsidiaries to a limited industrial market.</w:t>
      </w:r>
    </w:p>
    <w:p>
      <w:pPr>
        <w:spacing w:after="0" w:line="78" w:lineRule="exact"/>
        <w:rPr>
          <w:sz w:val="20"/>
          <w:szCs w:val="20"/>
          <w:color w:val="auto"/>
        </w:rPr>
      </w:pPr>
    </w:p>
    <w:p>
      <w:pPr>
        <w:jc w:val="both"/>
        <w:ind w:left="380" w:right="380"/>
        <w:spacing w:after="0" w:line="242" w:lineRule="auto"/>
        <w:rPr>
          <w:sz w:val="20"/>
          <w:szCs w:val="20"/>
          <w:color w:val="auto"/>
        </w:rPr>
      </w:pPr>
      <w:r>
        <w:rPr>
          <w:rFonts w:ascii="Times New Roman" w:cs="Times New Roman" w:eastAsia="Times New Roman" w:hAnsi="Times New Roman"/>
          <w:sz w:val="20"/>
          <w:szCs w:val="20"/>
          <w:color w:val="auto"/>
        </w:rPr>
        <w:t>To assist in developing and annually updating independent reserve estimates for future asbestos claims and related costs given various assumptions for Ashland and Hercules asbestos claims, Ashland retained third party actuarial experts Gnarus. The methodology used by Gnarus to project future asbestos costs is based largely on recent experience, including claim-filing and settlement rates, disease mix,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Gnarus estimates a range of the number of future claims that may be filed, as well as the related costs that may be incurred in resolving those claims. Changes in asbestos litigation reserves and receivables are recorded on an after-tax basis within the income from discontinued operations, net of income taxes caption in the Statements of Condensed Consolidated Comprehensive Income (Loss).</w:t>
      </w:r>
    </w:p>
    <w:p>
      <w:pPr>
        <w:spacing w:after="0" w:line="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Ashland asbestos-related litigation</w:t>
      </w:r>
    </w:p>
    <w:p>
      <w:pPr>
        <w:spacing w:after="0" w:line="112" w:lineRule="exact"/>
        <w:rPr>
          <w:sz w:val="20"/>
          <w:szCs w:val="20"/>
          <w:color w:val="auto"/>
        </w:rPr>
      </w:pPr>
    </w:p>
    <w:p>
      <w:pPr>
        <w:jc w:val="both"/>
        <w:ind w:left="380" w:right="380"/>
        <w:spacing w:after="0" w:line="249" w:lineRule="auto"/>
        <w:rPr>
          <w:sz w:val="20"/>
          <w:szCs w:val="20"/>
          <w:color w:val="auto"/>
        </w:rPr>
      </w:pPr>
      <w:r>
        <w:rPr>
          <w:rFonts w:ascii="Times New Roman" w:cs="Times New Roman" w:eastAsia="Times New Roman" w:hAnsi="Times New Roman"/>
          <w:sz w:val="20"/>
          <w:szCs w:val="20"/>
          <w:color w:val="auto"/>
        </w:rPr>
        <w:t>The claims alleging personal injury caused by exposure to asbestos asserted against Ashland result primarily from indemnification obligations undertaken in 1990 in connection with the sale of Riley. The amount and timing of settlements and number of open claims can fluctuate from period to period. A summary of Ashland asbestos claims activity, excluding Hercules claims, is as follows:</w:t>
      </w:r>
    </w:p>
    <w:p>
      <w:pPr>
        <w:spacing w:after="0" w:line="88"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24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gridSpan w:val="4"/>
          </w:tcPr>
          <w:p>
            <w:pPr>
              <w:jc w:val="center"/>
              <w:ind w:right="3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7"/>
              </w:rPr>
              <w:t>March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color w:val="auto"/>
              </w:rPr>
              <w:t>Years ended September 30</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60" w:type="dxa"/>
            <w:vAlign w:val="bottom"/>
            <w:gridSpan w:val="2"/>
            <w:vMerge w:val="continue"/>
          </w:tcPr>
          <w:p>
            <w:pPr>
              <w:spacing w:after="0"/>
              <w:rPr>
                <w:sz w:val="18"/>
                <w:szCs w:val="18"/>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2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Open claims - beginning of year</w:t>
            </w:r>
          </w:p>
        </w:tc>
        <w:tc>
          <w:tcPr>
            <w:tcW w:w="11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260" w:type="dxa"/>
            <w:vAlign w:val="bottom"/>
            <w:tcBorders>
              <w:top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260" w:type="dxa"/>
            <w:vAlign w:val="bottom"/>
            <w:tcBorders>
              <w:top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New claims filed</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Claims settled</w:t>
            </w:r>
          </w:p>
        </w:tc>
        <w:tc>
          <w:tcPr>
            <w:tcW w:w="154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Claims dismissed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Open claims - end of period</w:t>
            </w: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240" w:type="dxa"/>
            <w:vAlign w:val="bottom"/>
            <w:tcBorders>
              <w:top w:val="single" w:sz="8" w:color="CFF0FC"/>
              <w:bottom w:val="single" w:sz="8" w:color="auto"/>
            </w:tcBorders>
          </w:tcPr>
          <w:p>
            <w:pPr>
              <w:spacing w:after="0"/>
              <w:rPr>
                <w:sz w:val="4"/>
                <w:szCs w:val="4"/>
                <w:color w:val="auto"/>
              </w:rPr>
            </w:pPr>
          </w:p>
        </w:tc>
        <w:tc>
          <w:tcPr>
            <w:tcW w:w="114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86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16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16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86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-76200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-59055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-59055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-59055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-59055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Ashland asbestos-related liability</w:t>
      </w:r>
    </w:p>
    <w:p>
      <w:pPr>
        <w:spacing w:after="0" w:line="112" w:lineRule="exact"/>
        <w:rPr>
          <w:sz w:val="20"/>
          <w:szCs w:val="20"/>
          <w:color w:val="auto"/>
        </w:rPr>
      </w:pPr>
    </w:p>
    <w:p>
      <w:pPr>
        <w:jc w:val="both"/>
        <w:ind w:left="380" w:right="380"/>
        <w:spacing w:after="0" w:line="254" w:lineRule="auto"/>
        <w:rPr>
          <w:sz w:val="20"/>
          <w:szCs w:val="20"/>
          <w:color w:val="auto"/>
        </w:rPr>
      </w:pPr>
      <w:r>
        <w:rPr>
          <w:rFonts w:ascii="Times New Roman" w:cs="Times New Roman" w:eastAsia="Times New Roman" w:hAnsi="Times New Roman"/>
          <w:sz w:val="20"/>
          <w:szCs w:val="20"/>
          <w:color w:val="auto"/>
        </w:rPr>
        <w:t>From the range of estimates, Ashland records the amount it believes to be the best estimate of future payments for litigation defense and claim settlement costs. Ashland reviews this estimate and related assumptions quarterly and annually updates the results of a non-inflated, non-discounted approximate 40-year model developed with the assistance of Gnarus.</w:t>
      </w:r>
    </w:p>
    <w:p>
      <w:pPr>
        <w:spacing w:after="0" w:line="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Total reserves for asbestos claims were $239 million and $258 million at March 31, 2026 and September 30, 2025, respectively.</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A progression of activity in the asbestos litigation reserves is presented in the following table.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3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Six months ended</w:t>
            </w: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(In millions)</w:t>
            </w: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March 31</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Years ended September 30</w:t>
            </w:r>
          </w:p>
        </w:tc>
        <w:tc>
          <w:tcPr>
            <w:tcW w:w="82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Asbestos litigation reserves - beginning of year</w:t>
            </w:r>
          </w:p>
        </w:tc>
        <w:tc>
          <w:tcPr>
            <w:tcW w:w="64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258</w:t>
            </w:r>
          </w:p>
        </w:tc>
        <w:tc>
          <w:tcPr>
            <w:tcW w:w="420" w:type="dxa"/>
            <w:vAlign w:val="bottom"/>
            <w:tcBorders>
              <w:top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c>
          <w:tcPr>
            <w:tcW w:w="36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274</w:t>
            </w:r>
          </w:p>
        </w:tc>
        <w:tc>
          <w:tcPr>
            <w:tcW w:w="32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c>
          <w:tcPr>
            <w:tcW w:w="400" w:type="dxa"/>
            <w:vAlign w:val="bottom"/>
            <w:tcBorders>
              <w:top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Reserve adjustment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paid</w:t>
            </w:r>
          </w:p>
        </w:tc>
        <w:tc>
          <w:tcPr>
            <w:tcW w:w="4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gridSpan w:val="2"/>
          </w:tcPr>
          <w:p>
            <w:pPr>
              <w:ind w:left="400"/>
              <w:spacing w:after="0" w:line="210" w:lineRule="exact"/>
              <w:rPr>
                <w:sz w:val="20"/>
                <w:szCs w:val="20"/>
                <w:color w:val="auto"/>
              </w:rPr>
            </w:pPr>
            <w:r>
              <w:rPr>
                <w:rFonts w:ascii="Times New Roman" w:cs="Times New Roman" w:eastAsia="Times New Roman" w:hAnsi="Times New Roman"/>
                <w:sz w:val="18"/>
                <w:szCs w:val="18"/>
                <w:color w:val="auto"/>
              </w:rPr>
              <w:t>Asbestos litigation reserves - end of period</w:t>
            </w:r>
            <w:r>
              <w:rPr>
                <w:rFonts w:ascii="Times New Roman" w:cs="Times New Roman" w:eastAsia="Times New Roman" w:hAnsi="Times New Roman"/>
                <w:sz w:val="24"/>
                <w:szCs w:val="24"/>
                <w:color w:val="auto"/>
                <w:vertAlign w:val="superscript"/>
              </w:rPr>
              <w:t>(a)</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420" w:type="dxa"/>
            <w:vAlign w:val="bottom"/>
          </w:tcPr>
          <w:p>
            <w:pPr>
              <w:spacing w:after="0"/>
              <w:rPr>
                <w:sz w:val="4"/>
                <w:szCs w:val="4"/>
                <w:color w:val="auto"/>
              </w:rPr>
            </w:pPr>
          </w:p>
        </w:tc>
        <w:tc>
          <w:tcPr>
            <w:tcW w:w="38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33"/>
        </w:trPr>
        <w:tc>
          <w:tcPr>
            <w:tcW w:w="4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-1062355</wp:posOffset>
            </wp:positionV>
            <wp:extent cx="1028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-1062355</wp:posOffset>
            </wp:positionV>
            <wp:extent cx="9461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-1062355</wp:posOffset>
            </wp:positionV>
            <wp:extent cx="857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-1062355</wp:posOffset>
            </wp:positionV>
            <wp:extent cx="857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17" w:name="page18"/>
    <w:bookmarkEnd w:id="17"/>
    <w:p>
      <w:pPr>
        <w:ind w:left="360" w:hanging="358"/>
        <w:spacing w:after="0"/>
        <w:tabs>
          <w:tab w:leader="none" w:pos="3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$29 million classified in accrued expenses and other liabilities on the Condensed Consolidated Balance Sheets as of both March 31, 2026 and September 30,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Ashland asbestos-related receivables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 the Ashland asbestos-related obligations, Ashland has estimated the value of probable insurance recoveries associated with its asbestos litigation reserves based on management’s interpretations and estimates surrounding the available or applicable insurance coverage, including an assumption that all solvent insurance carriers remain solvent. Substantially all of the estimated receivables from insurance companies are expected to be due from domestic insurers, all of which are solvent.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At March 31, 2026 and September 30, 2025, Ashland’s receivable for recoveries of litigation defense and claim settlement costs from insurers amounted to $91 million (excluding the Hercules receivable for asbestos claims discussed below) and $95 million,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progression of activity in the Ashland insurance receivable is presented in the following table.</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3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Six months ended</w:t>
            </w: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March 31</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Years ended September 30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3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receivable - beginning of year</w:t>
            </w:r>
          </w:p>
        </w:tc>
        <w:tc>
          <w:tcPr>
            <w:tcW w:w="22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420" w:type="dxa"/>
            <w:vAlign w:val="bottom"/>
            <w:tcBorders>
              <w:top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36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36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420" w:type="dxa"/>
            <w:vAlign w:val="bottom"/>
            <w:tcBorders>
              <w:top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Receivable adjustment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collected</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9"/>
        </w:trPr>
        <w:tc>
          <w:tcPr>
            <w:tcW w:w="4320" w:type="dxa"/>
            <w:vAlign w:val="bottom"/>
            <w:gridSpan w:val="2"/>
          </w:tcPr>
          <w:p>
            <w:pPr>
              <w:spacing w:after="0" w:line="210" w:lineRule="exact"/>
              <w:rPr>
                <w:sz w:val="20"/>
                <w:szCs w:val="20"/>
                <w:color w:val="auto"/>
              </w:rPr>
            </w:pPr>
            <w:r>
              <w:rPr>
                <w:rFonts w:ascii="Times New Roman" w:cs="Times New Roman" w:eastAsia="Times New Roman" w:hAnsi="Times New Roman"/>
                <w:sz w:val="18"/>
                <w:szCs w:val="18"/>
                <w:color w:val="auto"/>
              </w:rPr>
              <w:t>Insurance receivable - end of period</w:t>
            </w:r>
            <w:r>
              <w:rPr>
                <w:rFonts w:ascii="Times New Roman" w:cs="Times New Roman" w:eastAsia="Times New Roman" w:hAnsi="Times New Roman"/>
                <w:sz w:val="24"/>
                <w:szCs w:val="24"/>
                <w:color w:val="auto"/>
                <w:vertAlign w:val="superscript"/>
              </w:rPr>
              <w:t>(a)(b)</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4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3458210</wp:posOffset>
            </wp:positionH>
            <wp:positionV relativeFrom="paragraph">
              <wp:posOffset>-222250</wp:posOffset>
            </wp:positionV>
            <wp:extent cx="946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-222250</wp:posOffset>
            </wp:positionV>
            <wp:extent cx="939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5044440</wp:posOffset>
            </wp:positionH>
            <wp:positionV relativeFrom="paragraph">
              <wp:posOffset>-222250</wp:posOffset>
            </wp:positionV>
            <wp:extent cx="939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5841365</wp:posOffset>
            </wp:positionH>
            <wp:positionV relativeFrom="paragraph">
              <wp:posOffset>-222250</wp:posOffset>
            </wp:positionV>
            <wp:extent cx="939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65" w:lineRule="exact"/>
        <w:rPr>
          <w:sz w:val="20"/>
          <w:szCs w:val="20"/>
          <w:color w:val="auto"/>
        </w:rPr>
      </w:pPr>
    </w:p>
    <w:p>
      <w:pPr>
        <w:ind w:left="360" w:hanging="358"/>
        <w:spacing w:after="0"/>
        <w:tabs>
          <w:tab w:leader="none" w:pos="3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for credit losses was $1 million at both March 31, 2026 and September 30, 2025.</w:t>
      </w:r>
    </w:p>
    <w:p>
      <w:pPr>
        <w:spacing w:after="0" w:line="28"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 million classified in accounts receivable, net on the Condensed Consolidated Balance Sheets at both March 31, 2026 and September 30,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Hercules asbestos-related litigation</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 A summary of Hercules’ asbestos claims activity follows:</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32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8"/>
                <w:szCs w:val="18"/>
                <w:color w:val="auto"/>
              </w:rPr>
              <w:t>Six months ended</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50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color w:val="auto"/>
              </w:rPr>
              <w:t>March 31</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8"/>
                <w:szCs w:val="18"/>
                <w:color w:val="auto"/>
              </w:rPr>
              <w:t>Years ended September 30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40" w:type="dxa"/>
            <w:vAlign w:val="bottom"/>
            <w:gridSpan w:val="2"/>
            <w:vMerge w:val="continue"/>
          </w:tcPr>
          <w:p>
            <w:pPr>
              <w:spacing w:after="0"/>
              <w:rPr>
                <w:sz w:val="18"/>
                <w:szCs w:val="18"/>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2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Open claims - beginning of year</w:t>
            </w:r>
          </w:p>
        </w:tc>
        <w:tc>
          <w:tcPr>
            <w:tcW w:w="10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tcBorders>
              <w:top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tcBorders>
              <w:top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New claims filed</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Claims dismissed</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Open claims - end of period</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3458210</wp:posOffset>
            </wp:positionH>
            <wp:positionV relativeFrom="paragraph">
              <wp:posOffset>-222250</wp:posOffset>
            </wp:positionV>
            <wp:extent cx="946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-222250</wp:posOffset>
            </wp:positionV>
            <wp:extent cx="939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5044440</wp:posOffset>
            </wp:positionH>
            <wp:positionV relativeFrom="paragraph">
              <wp:posOffset>-222250</wp:posOffset>
            </wp:positionV>
            <wp:extent cx="939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5841365</wp:posOffset>
            </wp:positionH>
            <wp:positionV relativeFrom="paragraph">
              <wp:posOffset>-222250</wp:posOffset>
            </wp:positionV>
            <wp:extent cx="939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Hercules asbestos-related liability</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From the range of estimates, Ashland records the amount it believes to be the best estimate of future payments for litigation defense and claim settlement costs. Ashland reviews this estimate, and related assumptions quarterly and annually updates the results of a non-inflated, non-discounted approximate 40-year model developed with the assistance of Gnarus. Total reserves for asbestos claims were $169 million and $177 million at March 31, 2026 and September 30, 2025, respectively.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color w:val="auto"/>
        </w:rPr>
        <w:t>A progression of activity in the asbestos litigation reserves is presented in the following table.</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Six months ended</w:t>
            </w:r>
          </w:p>
        </w:tc>
        <w:tc>
          <w:tcPr>
            <w:tcW w:w="4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March 31</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Years ended September 30</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Asbestos litigation reserves - beginning of year</w:t>
            </w:r>
          </w:p>
        </w:tc>
        <w:tc>
          <w:tcPr>
            <w:tcW w:w="740" w:type="dxa"/>
            <w:vAlign w:val="bottom"/>
            <w:tcBorders>
              <w:top w:val="single" w:sz="8" w:color="auto"/>
            </w:tcBorders>
            <w:gridSpan w:val="2"/>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880" w:type="dxa"/>
            <w:vAlign w:val="bottom"/>
            <w:tcBorders>
              <w:top w:val="single" w:sz="8" w:color="auto"/>
            </w:tcBorders>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840" w:type="dxa"/>
            <w:vAlign w:val="bottom"/>
            <w:tcBorders>
              <w:top w:val="single" w:sz="8" w:color="auto"/>
            </w:tcBorders>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c>
          <w:tcPr>
            <w:tcW w:w="36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420" w:type="dxa"/>
            <w:vAlign w:val="bottom"/>
            <w:tcBorders>
              <w:top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Reserve adjustments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paid</w:t>
            </w:r>
          </w:p>
        </w:tc>
        <w:tc>
          <w:tcPr>
            <w:tcW w:w="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9"/>
        </w:trPr>
        <w:tc>
          <w:tcPr>
            <w:tcW w:w="4280" w:type="dxa"/>
            <w:vAlign w:val="bottom"/>
            <w:gridSpan w:val="2"/>
          </w:tcPr>
          <w:p>
            <w:pPr>
              <w:spacing w:after="0" w:line="210" w:lineRule="exact"/>
              <w:rPr>
                <w:sz w:val="20"/>
                <w:szCs w:val="20"/>
                <w:color w:val="auto"/>
              </w:rPr>
            </w:pPr>
            <w:r>
              <w:rPr>
                <w:rFonts w:ascii="Times New Roman" w:cs="Times New Roman" w:eastAsia="Times New Roman" w:hAnsi="Times New Roman"/>
                <w:sz w:val="18"/>
                <w:szCs w:val="18"/>
                <w:color w:val="auto"/>
              </w:rPr>
              <w:t>Asbestos litigation reserves - end of period</w:t>
            </w:r>
            <w:r>
              <w:rPr>
                <w:rFonts w:ascii="Times New Roman" w:cs="Times New Roman" w:eastAsia="Times New Roman" w:hAnsi="Times New Roman"/>
                <w:sz w:val="24"/>
                <w:szCs w:val="24"/>
                <w:color w:val="auto"/>
                <w:vertAlign w:val="superscript"/>
              </w:rPr>
              <w:t>(a)</w:t>
            </w:r>
          </w:p>
        </w:tc>
        <w:tc>
          <w:tcPr>
            <w:tcW w:w="74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c>
          <w:tcPr>
            <w:tcW w:w="8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c>
          <w:tcPr>
            <w:tcW w:w="8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4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3458210</wp:posOffset>
            </wp:positionH>
            <wp:positionV relativeFrom="paragraph">
              <wp:posOffset>-222250</wp:posOffset>
            </wp:positionV>
            <wp:extent cx="1028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-222250</wp:posOffset>
            </wp:positionV>
            <wp:extent cx="939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-222250</wp:posOffset>
            </wp:positionV>
            <wp:extent cx="946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5858510</wp:posOffset>
            </wp:positionH>
            <wp:positionV relativeFrom="paragraph">
              <wp:posOffset>-222250</wp:posOffset>
            </wp:positionV>
            <wp:extent cx="939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65" w:lineRule="exact"/>
        <w:rPr>
          <w:sz w:val="20"/>
          <w:szCs w:val="20"/>
          <w:color w:val="auto"/>
        </w:rPr>
      </w:pPr>
    </w:p>
    <w:p>
      <w:pPr>
        <w:ind w:left="360" w:hanging="358"/>
        <w:spacing w:after="0"/>
        <w:tabs>
          <w:tab w:leader="none" w:pos="3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 million classified in accrued expenses and other liabilities on the Condensed Consolidated Balance Sheets at both March 31, 2026 and September 30,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Hercules asbestos-related receivables</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For the Hercules asbestos-related obligations, certain reimbursement obligations pursuant to coverage-in-place agreements with insurance carriers exist. As a result, any increases in the asbestos reserve have been partially offset by probable insurance recoveries.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7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March 31, 2026 and September 30, 2025, Ashland’s receivable for recoveries of litigation defense and claims costs from insurers with respect to Hercules amounted to $47 million and $48 million, respectively.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progression of activity in the Hercules insurance receivable is presented in the following table.</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3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Six months ended</w:t>
            </w: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March 31</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Years ended September 30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3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receivable - beginning of year</w:t>
            </w:r>
          </w:p>
        </w:tc>
        <w:tc>
          <w:tcPr>
            <w:tcW w:w="22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420" w:type="dxa"/>
            <w:vAlign w:val="bottom"/>
            <w:tcBorders>
              <w:top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tcBorders>
              <w:top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Receivable adjustment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collected</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4320" w:type="dxa"/>
            <w:vAlign w:val="bottom"/>
            <w:gridSpan w:val="2"/>
          </w:tcPr>
          <w:p>
            <w:pPr>
              <w:spacing w:after="0" w:line="210" w:lineRule="exact"/>
              <w:rPr>
                <w:sz w:val="20"/>
                <w:szCs w:val="20"/>
                <w:color w:val="auto"/>
              </w:rPr>
            </w:pPr>
            <w:r>
              <w:rPr>
                <w:rFonts w:ascii="Times New Roman" w:cs="Times New Roman" w:eastAsia="Times New Roman" w:hAnsi="Times New Roman"/>
                <w:sz w:val="18"/>
                <w:szCs w:val="18"/>
                <w:color w:val="auto"/>
              </w:rPr>
              <w:t>Insurance receivable - end of period</w:t>
            </w:r>
            <w:r>
              <w:rPr>
                <w:rFonts w:ascii="Times New Roman" w:cs="Times New Roman" w:eastAsia="Times New Roman" w:hAnsi="Times New Roman"/>
                <w:sz w:val="24"/>
                <w:szCs w:val="24"/>
                <w:color w:val="auto"/>
                <w:vertAlign w:val="superscript"/>
              </w:rPr>
              <w:t>(a)(b)</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4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3458210</wp:posOffset>
            </wp:positionH>
            <wp:positionV relativeFrom="paragraph">
              <wp:posOffset>-222250</wp:posOffset>
            </wp:positionV>
            <wp:extent cx="946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-222250</wp:posOffset>
            </wp:positionV>
            <wp:extent cx="939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5044440</wp:posOffset>
            </wp:positionH>
            <wp:positionV relativeFrom="paragraph">
              <wp:posOffset>-222250</wp:posOffset>
            </wp:positionV>
            <wp:extent cx="939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5841365</wp:posOffset>
            </wp:positionH>
            <wp:positionV relativeFrom="paragraph">
              <wp:posOffset>-222250</wp:posOffset>
            </wp:positionV>
            <wp:extent cx="939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65" w:lineRule="exact"/>
        <w:rPr>
          <w:sz w:val="20"/>
          <w:szCs w:val="20"/>
          <w:color w:val="auto"/>
        </w:rPr>
      </w:pPr>
    </w:p>
    <w:p>
      <w:pPr>
        <w:ind w:left="360" w:hanging="358"/>
        <w:spacing w:after="0"/>
        <w:tabs>
          <w:tab w:leader="none" w:pos="3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for credit losses was $1 million at both March 31, 2026 and September 30, 2025.</w:t>
      </w:r>
    </w:p>
    <w:p>
      <w:pPr>
        <w:spacing w:after="0" w:line="28"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 million classified in accounts receivable, net on the Condensed Consolidated Balance Sheets at both March 31, 2026 and September 30,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Asbestos litigation cost projection</w:t>
      </w:r>
    </w:p>
    <w:p>
      <w:pPr>
        <w:spacing w:after="0" w:line="1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Projecting future asbestos costs is subject to numerous variables that are difficult to predict. In addition to the uncertainties surrounding the number of claims that might be received, other variables include the type and severity of the disease alleged by each claimant and the related costs incurred in resolving those claims, mortality rates, dismissal rates, and uncertainties surrounding the litigation process from jurisdiction to jurisdiction and from case to case. Furthermore, any predictions with respect to these variables are subject to even greater uncertainty as the projection period lengthens. In light of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year periods that it is reasonably possible that total future litigation defense and claim settlement costs on an inflated and undiscounted basis could range as high as approximately $382 million for the Ashland asbestos-related litigation (current reserve of $239 million) and approximately $262 million for the Hercules asbestos-related litigation (current reserve of $169 million), depending on the combination of assumptions selected in the various models. While the timeframe used in Ashland’s models for projecting asbestos litigation reserves generally decreases over time based on the expected lifetime of the reserves, these models have been consistently applied between all periods presented.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19" w:name="page20"/>
    <w:bookmarkEnd w:id="19"/>
    <w:p>
      <w:pPr>
        <w:jc w:val="both"/>
        <w:spacing w:after="0" w:line="269" w:lineRule="auto"/>
        <w:rPr>
          <w:sz w:val="20"/>
          <w:szCs w:val="20"/>
          <w:color w:val="auto"/>
        </w:rPr>
      </w:pPr>
      <w:r>
        <w:rPr>
          <w:rFonts w:ascii="Times New Roman" w:cs="Times New Roman" w:eastAsia="Times New Roman" w:hAnsi="Times New Roman"/>
          <w:sz w:val="20"/>
          <w:szCs w:val="20"/>
          <w:color w:val="auto"/>
        </w:rPr>
        <w:t>may need to further increase the estimates of the costs associated with asbestos claims and these increases could be material over time.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remediation</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Ashland is subject to various federal, state and local environmental laws and regulations that require environmental assessment or remediation efforts (collectively environmental remediation) at multiple locations. At March 31, 2026, such locations included 52 sites where Ashland has been identified as a potentially responsible party under Superfund or similar state laws, 107 current and former operating facilities and about 1,225 service station properties, of which 15 are being actively remediated.</w:t>
      </w:r>
    </w:p>
    <w:p>
      <w:pPr>
        <w:spacing w:after="0" w:line="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Ashland’s reserves for environmental remediation and related environmental litigation amounted to $219 million and $226 million at March 31, 2026 and September 30, 2025, respectively, of which $171 million and $179 million at March 31, 2026 and September 30, 2025, respectively, were classified in other noncurrent liabilities on the Condensed Consolidated Balance Sheets. The remaining reserves were classified in accrued expenses and other liabilities on the Condensed Consolidated Balance Sheets.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a reconciliation of the changes in the environmental remediation reserves: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6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Six months ended</w:t>
            </w: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March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Environmental remediation reserves - beginning of year</w:t>
            </w:r>
          </w:p>
        </w:tc>
        <w:tc>
          <w:tcPr>
            <w:tcW w:w="380" w:type="dxa"/>
            <w:vAlign w:val="bottom"/>
            <w:tcBorders>
              <w:top w:val="single" w:sz="8" w:color="auto"/>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226</w:t>
            </w:r>
          </w:p>
        </w:tc>
        <w:tc>
          <w:tcPr>
            <w:tcW w:w="800" w:type="dxa"/>
            <w:vAlign w:val="bottom"/>
            <w:tcBorders>
              <w:top w:val="single" w:sz="8" w:color="auto"/>
            </w:tcBorders>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Disbursements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Revised obligation estimates and accretion</w:t>
            </w:r>
          </w:p>
        </w:tc>
        <w:tc>
          <w:tcPr>
            <w:tcW w:w="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Environmental remediation reserves - end of period</w:t>
            </w:r>
          </w:p>
        </w:tc>
        <w:tc>
          <w:tcPr>
            <w:tcW w:w="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w:t>
            </w: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6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5387340</wp:posOffset>
            </wp:positionH>
            <wp:positionV relativeFrom="paragraph">
              <wp:posOffset>-222250</wp:posOffset>
            </wp:positionV>
            <wp:extent cx="1625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62560" cy="8890"/>
                    </a:xfrm>
                    <a:prstGeom prst="rect">
                      <a:avLst/>
                    </a:prstGeom>
                    <a:noFill/>
                  </pic:spPr>
                </pic:pic>
              </a:graphicData>
            </a:graphic>
          </wp:anchor>
        </w:drawing>
      </w:r>
    </w:p>
    <w:p>
      <w:pPr>
        <w:spacing w:after="0" w:line="7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historical experience and other factors are used to identify and evaluate remediation alternatives and their related costs in determining the estimated reserves for environmental remediation. Ashland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March 31, 2026 and September 30, 2025, Ashland’s recorded receivables for these probable insurance recoveries were $12 million and $14 million, respectively, of which $10 million and $12 million at March 31, 2026 and September 30, 2025, respectively, were classified in other noncurrent assets on the Condensed Consolidated Balance Sheets.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Components of environmental remediation expense included within the selling, general and administrative expense caption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Statements of Condensed Consolidated Comprehensive Income (Loss) are presented in the following table:</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8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4"/>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March 31</w:t>
            </w:r>
          </w:p>
        </w:tc>
        <w:tc>
          <w:tcPr>
            <w:tcW w:w="4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March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Environmental expense</w:t>
            </w:r>
          </w:p>
        </w:tc>
        <w:tc>
          <w:tcPr>
            <w:tcW w:w="860" w:type="dxa"/>
            <w:vAlign w:val="bottom"/>
            <w:tcBorders>
              <w:top w:val="single" w:sz="8" w:color="auto"/>
            </w:tcBorders>
            <w:gridSpan w:val="2"/>
            <w:shd w:val="clear" w:color="auto" w:fill="CFF0FC"/>
          </w:tcPr>
          <w:p>
            <w:pPr>
              <w:jc w:val="right"/>
              <w:ind w:right="69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Borders>
              <w:top w:val="single" w:sz="8" w:color="auto"/>
            </w:tcBorders>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Borders>
              <w:top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tcBorders>
              <w:top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Legal expense</w:t>
            </w:r>
          </w:p>
        </w:tc>
        <w:tc>
          <w:tcPr>
            <w:tcW w:w="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expense</w:t>
            </w: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receivable</w:t>
            </w:r>
          </w:p>
        </w:tc>
        <w:tc>
          <w:tcPr>
            <w:tcW w:w="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expense, net of receivable activity</w:t>
            </w:r>
          </w:p>
        </w:tc>
        <w:tc>
          <w:tcPr>
            <w:tcW w:w="860" w:type="dxa"/>
            <w:vAlign w:val="bottom"/>
            <w:gridSpan w:val="2"/>
          </w:tcPr>
          <w:p>
            <w:pPr>
              <w:jc w:val="right"/>
              <w:ind w:right="69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4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3912870</wp:posOffset>
            </wp:positionH>
            <wp:positionV relativeFrom="paragraph">
              <wp:posOffset>-222250</wp:posOffset>
            </wp:positionV>
            <wp:extent cx="1200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4829810</wp:posOffset>
            </wp:positionH>
            <wp:positionV relativeFrom="paragraph">
              <wp:posOffset>-222250</wp:posOffset>
            </wp:positionV>
            <wp:extent cx="1111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5738495</wp:posOffset>
            </wp:positionH>
            <wp:positionV relativeFrom="paragraph">
              <wp:posOffset>-222250</wp:posOffset>
            </wp:positionV>
            <wp:extent cx="1111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Environmental remediation reserves are subject to uncertainties that affect Ashland’s ability to estimate its share of the costs. Such uncertainties involve the nature and extent of contamination at each site and the extent of required cleanup efforts under existing environmental regulations. Although it is not possible to predict with certainty the ultimate costs of environmental remediation, Ashland currently estimates that the upper end of the reasonably possible range of future costs for identified sites could be as high as approximately $480 million. The largest reserve for any site is 22% of the environmental remediation reserves as of March 31, 2026.</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auto"/>
        </w:rPr>
        <w:t>Other legal proceedings and claims</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March 31, 2026. There is a reasonable possibility that a loss exceeding amounts already recognized may be incurred related to these actions; however, Ashland believes that such potential losses were immaterial as of March 31, 2026.</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5" w:right="7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auto"/>
        </w:rPr>
        <w:t>NOTE M – EARNINGS (LOSS) PER SHARE</w:t>
      </w:r>
    </w:p>
    <w:p>
      <w:pPr>
        <w:spacing w:after="0" w:line="112" w:lineRule="exact"/>
        <w:rPr>
          <w:sz w:val="20"/>
          <w:szCs w:val="20"/>
          <w:color w:val="auto"/>
        </w:rPr>
      </w:pPr>
    </w:p>
    <w:p>
      <w:pPr>
        <w:jc w:val="both"/>
        <w:ind w:left="380" w:right="380"/>
        <w:spacing w:after="0" w:line="245" w:lineRule="auto"/>
        <w:rPr>
          <w:sz w:val="20"/>
          <w:szCs w:val="20"/>
          <w:color w:val="auto"/>
        </w:rPr>
      </w:pPr>
      <w:r>
        <w:rPr>
          <w:rFonts w:ascii="Times New Roman" w:cs="Times New Roman" w:eastAsia="Times New Roman" w:hAnsi="Times New Roman"/>
          <w:sz w:val="20"/>
          <w:szCs w:val="20"/>
          <w:color w:val="auto"/>
        </w:rPr>
        <w:t>The following is the computation of basic and diluted earnings (loss) per share ("EPS") from continuing operations attributable to Ashland. Stock appreciation rights and warrants available to purchase shares outstanding for each reporting period whose exercise price was greater than the average market price of Ashland common stock for each applicable period were not included in the computation of income (loss) from continuing operations per diluted share because the effect of these instruments would be antidilutive. The total number of these shares outstanding was approximately 2 million and 1 million at March 31, 2026 and 2025, respectively. The majority of these shares are for warrants with a strike price of $128.66.</w:t>
      </w:r>
    </w:p>
    <w:p>
      <w:pPr>
        <w:spacing w:after="0" w:line="12"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4"/>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 except per share data)</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March 31</w:t>
            </w:r>
          </w:p>
        </w:tc>
        <w:tc>
          <w:tcPr>
            <w:tcW w:w="0" w:type="dxa"/>
            <w:vAlign w:val="bottom"/>
          </w:tcPr>
          <w:p>
            <w:pPr>
              <w:spacing w:after="0"/>
              <w:rPr>
                <w:sz w:val="1"/>
                <w:szCs w:val="1"/>
                <w:color w:val="auto"/>
              </w:rPr>
            </w:pPr>
          </w:p>
        </w:tc>
      </w:tr>
      <w:tr>
        <w:trPr>
          <w:trHeight w:val="210"/>
        </w:trPr>
        <w:tc>
          <w:tcPr>
            <w:tcW w:w="6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4"/>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Numerator for basic and diluted EPS - Income (loss) from continuing operations, net of</w:t>
            </w: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94"/>
        </w:trPr>
        <w:tc>
          <w:tcPr>
            <w:tcW w:w="63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tax</w:t>
            </w:r>
          </w:p>
        </w:tc>
        <w:tc>
          <w:tcPr>
            <w:tcW w:w="2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Denominator for basic EPS - Weighted-average common shares outstanding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Share based awards convertible to common shares</w:t>
            </w:r>
            <w:r>
              <w:rPr>
                <w:rFonts w:ascii="Times New Roman" w:cs="Times New Roman" w:eastAsia="Times New Roman" w:hAnsi="Times New Roman"/>
                <w:sz w:val="24"/>
                <w:szCs w:val="24"/>
                <w:color w:val="auto"/>
                <w:vertAlign w:val="superscript"/>
              </w:rPr>
              <w:t>(a)</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Denominator for diluted EPS - Adjusted weighted-average shares and assumed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4"/>
        </w:trPr>
        <w:tc>
          <w:tcPr>
            <w:tcW w:w="63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conversions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EPS from continuing operations</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60" w:type="dxa"/>
            <w:vAlign w:val="bottom"/>
          </w:tcPr>
          <w:p>
            <w:pPr>
              <w:ind w:left="100"/>
              <w:spacing w:after="0" w:line="164" w:lineRule="exact"/>
              <w:rPr>
                <w:sz w:val="20"/>
                <w:szCs w:val="20"/>
                <w:color w:val="auto"/>
              </w:rPr>
            </w:pPr>
            <w:r>
              <w:rPr>
                <w:rFonts w:ascii="Times New Roman" w:cs="Times New Roman" w:eastAsia="Times New Roman" w:hAnsi="Times New Roman"/>
                <w:sz w:val="18"/>
                <w:szCs w:val="18"/>
                <w:color w:val="auto"/>
              </w:rPr>
              <w:t>Basic</w:t>
            </w:r>
          </w:p>
        </w:tc>
        <w:tc>
          <w:tcPr>
            <w:tcW w:w="240" w:type="dxa"/>
            <w:vAlign w:val="bottom"/>
            <w:gridSpan w:val="2"/>
          </w:tcPr>
          <w:p>
            <w:pPr>
              <w:jc w:val="right"/>
              <w:ind w:right="60"/>
              <w:spacing w:after="0" w:line="164"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0.32</w:t>
            </w:r>
          </w:p>
        </w:tc>
        <w:tc>
          <w:tcPr>
            <w:tcW w:w="340" w:type="dxa"/>
            <w:vAlign w:val="bottom"/>
            <w:gridSpan w:val="2"/>
          </w:tcPr>
          <w:p>
            <w:pPr>
              <w:jc w:val="right"/>
              <w:ind w:right="140"/>
              <w:spacing w:after="0" w:line="164"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0.63</w:t>
            </w:r>
          </w:p>
        </w:tc>
        <w:tc>
          <w:tcPr>
            <w:tcW w:w="240" w:type="dxa"/>
            <w:vAlign w:val="bottom"/>
            <w:gridSpan w:val="2"/>
          </w:tcPr>
          <w:p>
            <w:pPr>
              <w:jc w:val="right"/>
              <w:ind w:right="60"/>
              <w:spacing w:after="0" w:line="164"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line="164" w:lineRule="exact"/>
              <w:rPr>
                <w:sz w:val="20"/>
                <w:szCs w:val="20"/>
                <w:color w:val="auto"/>
              </w:rPr>
            </w:pPr>
            <w:r>
              <w:rPr>
                <w:rFonts w:ascii="Times New Roman" w:cs="Times New Roman" w:eastAsia="Times New Roman" w:hAnsi="Times New Roman"/>
                <w:sz w:val="18"/>
                <w:szCs w:val="18"/>
                <w:color w:val="auto"/>
              </w:rPr>
              <w:t>0.02</w:t>
            </w:r>
          </w:p>
        </w:tc>
        <w:tc>
          <w:tcPr>
            <w:tcW w:w="260" w:type="dxa"/>
            <w:vAlign w:val="bottom"/>
            <w:gridSpan w:val="2"/>
          </w:tcPr>
          <w:p>
            <w:pPr>
              <w:jc w:val="right"/>
              <w:ind w:right="60"/>
              <w:spacing w:after="0" w:line="164"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6360" w:type="dxa"/>
            <w:vAlign w:val="bottom"/>
          </w:tcPr>
          <w:p>
            <w:pPr>
              <w:ind w:left="100"/>
              <w:spacing w:after="0" w:line="267"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4"/>
                <w:szCs w:val="24"/>
                <w:color w:val="auto"/>
                <w:vertAlign w:val="superscript"/>
              </w:rPr>
              <w:t>(a)</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-136525</wp:posOffset>
            </wp:positionV>
            <wp:extent cx="6626225"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-693420</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-693420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-693420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43180</wp:posOffset>
            </wp:positionV>
            <wp:extent cx="66262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46" w:lineRule="exact"/>
        <w:rPr>
          <w:sz w:val="20"/>
          <w:szCs w:val="20"/>
          <w:color w:val="auto"/>
        </w:rPr>
      </w:pPr>
    </w:p>
    <w:p>
      <w:pPr>
        <w:ind w:left="740" w:right="380" w:hanging="358"/>
        <w:spacing w:after="0" w:line="261" w:lineRule="auto"/>
        <w:tabs>
          <w:tab w:leader="none" w:pos="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the loss from continuing operations attributable to Ashland during the six months ended March 31, 2025, the effect of the share-based awards convertible to common stock would be antidilutive and have been excluded from the diluted EPS calculation. Convertible shares for each of the applicable periods was less than $1 million.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N – EQUITY ITEMS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2023 Stock repurchase program</w:t>
      </w:r>
    </w:p>
    <w:p>
      <w:pPr>
        <w:spacing w:after="0" w:line="112" w:lineRule="exact"/>
        <w:rPr>
          <w:sz w:val="20"/>
          <w:szCs w:val="20"/>
          <w:color w:val="auto"/>
        </w:rPr>
      </w:pPr>
    </w:p>
    <w:p>
      <w:pPr>
        <w:jc w:val="both"/>
        <w:ind w:left="380" w:right="380"/>
        <w:spacing w:after="0" w:line="254" w:lineRule="auto"/>
        <w:rPr>
          <w:sz w:val="20"/>
          <w:szCs w:val="20"/>
          <w:color w:val="auto"/>
        </w:rPr>
      </w:pPr>
      <w:r>
        <w:rPr>
          <w:rFonts w:ascii="Times New Roman" w:cs="Times New Roman" w:eastAsia="Times New Roman" w:hAnsi="Times New Roman"/>
          <w:sz w:val="20"/>
          <w:szCs w:val="20"/>
          <w:color w:val="auto"/>
        </w:rPr>
        <w:t>On June 28, 2023, Ashland's board of directors authorized a new evergreen $1 billion common share repurchase program ("2023 Stock Repurchase Program"). As of March 31, 2026, $520 million remained available for repurchase under the 2023 Stock Repurchase Program.</w:t>
      </w:r>
    </w:p>
    <w:p>
      <w:pPr>
        <w:spacing w:after="0" w:line="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provides the common stock repurchase activity:</w:t>
      </w:r>
    </w:p>
    <w:p>
      <w:pPr>
        <w:spacing w:after="0" w:line="29"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Three months ended</w:t>
            </w: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Six months ended</w:t>
            </w: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 except per share data)</w:t>
            </w:r>
          </w:p>
        </w:tc>
        <w:tc>
          <w:tcPr>
            <w:tcW w:w="6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March 31</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March 31</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6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Weighted-average price per share</w:t>
            </w:r>
            <w:r>
              <w:rPr>
                <w:rFonts w:ascii="Times New Roman" w:cs="Times New Roman" w:eastAsia="Times New Roman" w:hAnsi="Times New Roman"/>
                <w:sz w:val="24"/>
                <w:szCs w:val="24"/>
                <w:color w:val="auto"/>
                <w:vertAlign w:val="superscript"/>
              </w:rPr>
              <w:t>(a)</w:t>
            </w:r>
          </w:p>
        </w:tc>
        <w:tc>
          <w:tcPr>
            <w:tcW w:w="14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64.90</w:t>
            </w:r>
          </w:p>
        </w:tc>
        <w:tc>
          <w:tcPr>
            <w:tcW w:w="94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Aggregate purchase price</w:t>
            </w:r>
            <w:r>
              <w:rPr>
                <w:rFonts w:ascii="Times New Roman" w:cs="Times New Roman" w:eastAsia="Times New Roman" w:hAnsi="Times New Roman"/>
                <w:sz w:val="24"/>
                <w:szCs w:val="24"/>
                <w:color w:val="auto"/>
                <w:vertAlign w:val="superscript"/>
              </w:rPr>
              <w:t>(a)</w:t>
            </w:r>
          </w:p>
        </w:tc>
        <w:tc>
          <w:tcPr>
            <w:tcW w:w="140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gridSpan w:val="2"/>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1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740" w:hanging="358"/>
        <w:spacing w:after="0"/>
        <w:tabs>
          <w:tab w:leader="none" w:pos="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transaction costs.</w:t>
      </w:r>
    </w:p>
    <w:p>
      <w:pPr>
        <w:spacing w:after="0" w:line="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Stockholder dividends</w:t>
      </w:r>
    </w:p>
    <w:p>
      <w:pPr>
        <w:spacing w:after="0" w:line="112" w:lineRule="exact"/>
        <w:rPr>
          <w:sz w:val="20"/>
          <w:szCs w:val="20"/>
          <w:color w:val="auto"/>
        </w:rPr>
      </w:pPr>
    </w:p>
    <w:p>
      <w:pPr>
        <w:ind w:left="380"/>
        <w:spacing w:after="0" w:line="269" w:lineRule="auto"/>
        <w:rPr>
          <w:sz w:val="20"/>
          <w:szCs w:val="20"/>
          <w:color w:val="auto"/>
        </w:rPr>
      </w:pPr>
      <w:r>
        <w:rPr>
          <w:rFonts w:ascii="Times New Roman" w:cs="Times New Roman" w:eastAsia="Times New Roman" w:hAnsi="Times New Roman"/>
          <w:sz w:val="20"/>
          <w:szCs w:val="20"/>
          <w:color w:val="auto"/>
        </w:rPr>
        <w:t>Dividends of 41.5 cents per share were paid in both the first and second quarters of fiscal 2026 and 40.5 cents per share were paid in both the first and second quarters of fiscal 2025.</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color w:val="auto"/>
        </w:rPr>
        <w:t>Accumulated other comprehensive loss</w:t>
      </w:r>
    </w:p>
    <w:p>
      <w:pPr>
        <w:spacing w:after="0" w:line="11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Components of other comprehensive income (loss) recorded in the Statements of Condensed Consolidated Comprehensive Income (Loss) are presented below, before tax and net of tax effects: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w w:val="97"/>
              </w:rPr>
              <w:t>Before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220"/>
              <w:spacing w:after="0" w:line="191" w:lineRule="exact"/>
              <w:rPr>
                <w:sz w:val="20"/>
                <w:szCs w:val="20"/>
                <w:color w:val="auto"/>
              </w:rPr>
            </w:pPr>
            <w:r>
              <w:rPr>
                <w:rFonts w:ascii="Times New Roman" w:cs="Times New Roman" w:eastAsia="Times New Roman" w:hAnsi="Times New Roman"/>
                <w:sz w:val="18"/>
                <w:szCs w:val="18"/>
                <w:color w:val="auto"/>
              </w:rPr>
              <w:t>Net of</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rPr>
              <w:t>Before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3"/>
          </w:tcPr>
          <w:p>
            <w:pPr>
              <w:jc w:val="center"/>
              <w:ind w:right="100"/>
              <w:spacing w:after="0" w:line="191" w:lineRule="exact"/>
              <w:rPr>
                <w:sz w:val="20"/>
                <w:szCs w:val="20"/>
                <w:color w:val="auto"/>
              </w:rPr>
            </w:pPr>
            <w:r>
              <w:rPr>
                <w:rFonts w:ascii="Times New Roman" w:cs="Times New Roman" w:eastAsia="Times New Roman" w:hAnsi="Times New Roman"/>
                <w:sz w:val="18"/>
                <w:szCs w:val="18"/>
                <w:color w:val="auto"/>
                <w:w w:val="99"/>
              </w:rPr>
              <w:t>Tax benefit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10"/>
              <w:spacing w:after="0" w:line="191" w:lineRule="exact"/>
              <w:rPr>
                <w:sz w:val="20"/>
                <w:szCs w:val="20"/>
                <w:color w:val="auto"/>
              </w:rPr>
            </w:pPr>
            <w:r>
              <w:rPr>
                <w:rFonts w:ascii="Times New Roman" w:cs="Times New Roman" w:eastAsia="Times New Roman" w:hAnsi="Times New Roman"/>
                <w:sz w:val="18"/>
                <w:szCs w:val="18"/>
                <w:color w:val="auto"/>
              </w:rPr>
              <w:t>Net of</w:t>
            </w:r>
          </w:p>
        </w:tc>
        <w:tc>
          <w:tcPr>
            <w:tcW w:w="0" w:type="dxa"/>
            <w:vAlign w:val="bottom"/>
          </w:tcPr>
          <w:p>
            <w:pPr>
              <w:spacing w:after="0"/>
              <w:rPr>
                <w:sz w:val="1"/>
                <w:szCs w:val="1"/>
                <w:color w:val="auto"/>
              </w:rPr>
            </w:pPr>
          </w:p>
        </w:tc>
      </w:tr>
      <w:tr>
        <w:trPr>
          <w:trHeight w:val="234"/>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tax</w:t>
            </w:r>
          </w:p>
        </w:tc>
        <w:tc>
          <w:tcPr>
            <w:tcW w:w="11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Tax expense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tax</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tax</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(expense)</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tax</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Unrealized translation gain (loss)</w:t>
            </w:r>
          </w:p>
        </w:tc>
        <w:tc>
          <w:tcPr>
            <w:tcW w:w="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CFF0FC"/>
          </w:tcPr>
          <w:p>
            <w:pPr>
              <w:spacing w:after="0"/>
              <w:rPr>
                <w:sz w:val="18"/>
                <w:szCs w:val="18"/>
                <w:color w:val="auto"/>
              </w:rPr>
            </w:pP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Unrealized gain on commodity hedges</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FF0FC"/>
          </w:tcPr>
          <w:p>
            <w:pPr>
              <w:spacing w:after="0"/>
              <w:rPr>
                <w:sz w:val="21"/>
                <w:szCs w:val="21"/>
                <w:color w:val="auto"/>
              </w:rPr>
            </w:pP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shd w:val="clear" w:color="auto" w:fill="CFF0FC"/>
          </w:tcPr>
          <w:p>
            <w:pPr>
              <w:spacing w:after="0"/>
              <w:rPr>
                <w:sz w:val="21"/>
                <w:szCs w:val="21"/>
                <w:color w:val="auto"/>
              </w:rPr>
            </w:pP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7"/>
        </w:trPr>
        <w:tc>
          <w:tcPr>
            <w:tcW w:w="40" w:type="dxa"/>
            <w:vAlign w:val="bottom"/>
            <w:vMerge w:val="restart"/>
          </w:tcPr>
          <w:p>
            <w:pPr>
              <w:spacing w:after="0"/>
              <w:rPr>
                <w:sz w:val="17"/>
                <w:szCs w:val="17"/>
                <w:color w:val="auto"/>
              </w:rPr>
            </w:pPr>
          </w:p>
        </w:tc>
        <w:tc>
          <w:tcPr>
            <w:tcW w:w="414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vMerge w:val="continue"/>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Six months ended March 31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Unrealized translation loss</w:t>
            </w:r>
          </w:p>
        </w:tc>
        <w:tc>
          <w:tcPr>
            <w:tcW w:w="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CFF0FC"/>
          </w:tcPr>
          <w:p>
            <w:pPr>
              <w:spacing w:after="0"/>
              <w:rPr>
                <w:sz w:val="18"/>
                <w:szCs w:val="18"/>
                <w:color w:val="auto"/>
              </w:rPr>
            </w:pP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Unrealized gain on commodity hedges</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FF0FC"/>
          </w:tcPr>
          <w:p>
            <w:pPr>
              <w:spacing w:after="0"/>
              <w:rPr>
                <w:sz w:val="21"/>
                <w:szCs w:val="21"/>
                <w:color w:val="auto"/>
              </w:rPr>
            </w:pP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shd w:val="clear" w:color="auto" w:fill="CFF0FC"/>
          </w:tcPr>
          <w:p>
            <w:pPr>
              <w:spacing w:after="0"/>
              <w:rPr>
                <w:sz w:val="21"/>
                <w:szCs w:val="21"/>
                <w:color w:val="auto"/>
              </w:rPr>
            </w:pP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140" w:type="dxa"/>
            <w:vAlign w:val="bottom"/>
            <w:tcBorders>
              <w:top w:val="single" w:sz="8" w:color="CFF0FC"/>
              <w:bottom w:val="single" w:sz="8" w:color="auto"/>
            </w:tcBorders>
          </w:tcPr>
          <w:p>
            <w:pPr>
              <w:spacing w:after="0"/>
              <w:rPr>
                <w:sz w:val="4"/>
                <w:szCs w:val="4"/>
                <w:color w:val="auto"/>
              </w:rPr>
            </w:pPr>
          </w:p>
        </w:tc>
        <w:tc>
          <w:tcPr>
            <w:tcW w:w="20" w:type="dxa"/>
            <w:vAlign w:val="bottom"/>
            <w:tcBorders>
              <w:top w:val="single" w:sz="8" w:color="CFF0FC"/>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200" w:type="dxa"/>
            <w:vAlign w:val="bottom"/>
            <w:tcBorders>
              <w:top w:val="single" w:sz="8" w:color="auto"/>
              <w:bottom w:val="single" w:sz="8" w:color="auto"/>
            </w:tcBorders>
          </w:tcPr>
          <w:p>
            <w:pPr>
              <w:spacing w:after="0"/>
              <w:rPr>
                <w:sz w:val="4"/>
                <w:szCs w:val="4"/>
                <w:color w:val="auto"/>
              </w:rPr>
            </w:pPr>
          </w:p>
        </w:tc>
        <w:tc>
          <w:tcPr>
            <w:tcW w:w="620" w:type="dxa"/>
            <w:vAlign w:val="bottom"/>
            <w:tcBorders>
              <w:top w:val="single" w:sz="8" w:color="auto"/>
              <w:bottom w:val="single" w:sz="8" w:color="auto"/>
            </w:tcBorders>
          </w:tcPr>
          <w:p>
            <w:pPr>
              <w:spacing w:after="0"/>
              <w:rPr>
                <w:sz w:val="4"/>
                <w:szCs w:val="4"/>
                <w:color w:val="auto"/>
              </w:rPr>
            </w:pPr>
          </w:p>
        </w:tc>
        <w:tc>
          <w:tcPr>
            <w:tcW w:w="20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60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60" w:type="dxa"/>
            <w:vAlign w:val="bottom"/>
            <w:tcBorders>
              <w:top w:val="single" w:sz="8" w:color="CFF0FC"/>
              <w:bottom w:val="single" w:sz="8" w:color="auto"/>
            </w:tcBorders>
          </w:tcPr>
          <w:p>
            <w:pPr>
              <w:spacing w:after="0"/>
              <w:rPr>
                <w:sz w:val="4"/>
                <w:szCs w:val="4"/>
                <w:color w:val="auto"/>
              </w:rPr>
            </w:pPr>
          </w:p>
        </w:tc>
        <w:tc>
          <w:tcPr>
            <w:tcW w:w="40" w:type="dxa"/>
            <w:vAlign w:val="bottom"/>
            <w:tcBorders>
              <w:top w:val="single" w:sz="8" w:color="CFF0FC"/>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CFF0FC"/>
              <w:bottom w:val="single" w:sz="8" w:color="auto"/>
            </w:tcBorders>
          </w:tcPr>
          <w:p>
            <w:pPr>
              <w:spacing w:after="0"/>
              <w:rPr>
                <w:sz w:val="4"/>
                <w:szCs w:val="4"/>
                <w:color w:val="auto"/>
              </w:rPr>
            </w:pPr>
          </w:p>
        </w:tc>
        <w:tc>
          <w:tcPr>
            <w:tcW w:w="40" w:type="dxa"/>
            <w:vAlign w:val="bottom"/>
            <w:tcBorders>
              <w:top w:val="single" w:sz="8" w:color="CFF0FC"/>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60" w:type="dxa"/>
            <w:vAlign w:val="bottom"/>
            <w:tcBorders>
              <w:top w:val="single" w:sz="8" w:color="CFF0FC"/>
              <w:bottom w:val="single" w:sz="8" w:color="auto"/>
            </w:tcBorders>
          </w:tcPr>
          <w:p>
            <w:pPr>
              <w:spacing w:after="0"/>
              <w:rPr>
                <w:sz w:val="4"/>
                <w:szCs w:val="4"/>
                <w:color w:val="auto"/>
              </w:rPr>
            </w:pPr>
          </w:p>
        </w:tc>
        <w:tc>
          <w:tcPr>
            <w:tcW w:w="40" w:type="dxa"/>
            <w:vAlign w:val="bottom"/>
            <w:tcBorders>
              <w:top w:val="single" w:sz="8" w:color="CFF0FC"/>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41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Summary of stockholders’ equity</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3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A reconciliation of changes in stockholders’ equity are as follows:</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3"/>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1040" w:type="dxa"/>
            <w:vAlign w:val="bottom"/>
            <w:tcBorders>
              <w:bottom w:val="single" w:sz="8" w:color="auto"/>
            </w:tcBorders>
            <w:gridSpan w:val="5"/>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1040" w:type="dxa"/>
            <w:vAlign w:val="bottom"/>
            <w:tcBorders>
              <w:bottom w:val="single" w:sz="8" w:color="auto"/>
            </w:tcBorders>
            <w:gridSpan w:val="5"/>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11"/>
          </w:tcPr>
          <w:p>
            <w:pPr>
              <w:ind w:left="100"/>
              <w:spacing w:after="0" w:line="191" w:lineRule="exact"/>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8"/>
          </w:tcPr>
          <w:p>
            <w:pPr>
              <w:jc w:val="right"/>
              <w:ind w:right="410"/>
              <w:spacing w:after="0" w:line="191" w:lineRule="exact"/>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4"/>
        </w:trPr>
        <w:tc>
          <w:tcPr>
            <w:tcW w:w="4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 except per share data)</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8"/>
                <w:szCs w:val="18"/>
                <w:color w:val="auto"/>
              </w:rPr>
              <w:t>March 31</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March 31</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9"/>
              </w:rPr>
              <w:t>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Common stock and paid in capital</w:t>
            </w: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40" w:type="dxa"/>
            <w:vAlign w:val="bottom"/>
            <w:gridSpan w:val="4"/>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Common shares issued under stock incentive and other plans</w:t>
            </w:r>
            <w:r>
              <w:rPr>
                <w:rFonts w:ascii="Times New Roman" w:cs="Times New Roman" w:eastAsia="Times New Roman" w:hAnsi="Times New Roman"/>
                <w:sz w:val="24"/>
                <w:szCs w:val="24"/>
                <w:color w:val="auto"/>
                <w:vertAlign w:val="superscript"/>
              </w:rPr>
              <w:t>(a)</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w w:val="97"/>
              </w:rPr>
              <w:t>Common shares purchased under repurchase program</w:t>
            </w:r>
            <w:r>
              <w:rPr>
                <w:rFonts w:ascii="Times New Roman" w:cs="Times New Roman" w:eastAsia="Times New Roman" w:hAnsi="Times New Roman"/>
                <w:sz w:val="24"/>
                <w:szCs w:val="24"/>
                <w:color w:val="auto"/>
                <w:w w:val="97"/>
                <w:vertAlign w:val="superscript"/>
              </w:rPr>
              <w:t>(b)(c)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1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Balance, end of period</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top w:val="single" w:sz="8" w:color="auto"/>
              <w:bottom w:val="single" w:sz="8" w:color="auto"/>
            </w:tcBorders>
            <w:shd w:val="clear" w:color="auto" w:fill="CFF0FC"/>
          </w:tcPr>
          <w:p>
            <w:pPr>
              <w:spacing w:after="0"/>
              <w:rPr>
                <w:sz w:val="18"/>
                <w:szCs w:val="18"/>
                <w:color w:val="auto"/>
              </w:rPr>
            </w:pPr>
          </w:p>
        </w:tc>
        <w:tc>
          <w:tcPr>
            <w:tcW w:w="60" w:type="dxa"/>
            <w:vAlign w:val="bottom"/>
            <w:tcBorders>
              <w:top w:val="single" w:sz="8" w:color="auto"/>
              <w:bottom w:val="single" w:sz="8" w:color="auto"/>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60" w:type="dxa"/>
            <w:vAlign w:val="bottom"/>
            <w:tcBorders>
              <w:top w:val="single" w:sz="8" w:color="auto"/>
              <w:bottom w:val="single" w:sz="8" w:color="auto"/>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3,131</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2,298</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3,315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Regular dividends</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w w:val="97"/>
              </w:rPr>
              <w:t>Common shares purchased under repurchase program</w:t>
            </w:r>
            <w:r>
              <w:rPr>
                <w:rFonts w:ascii="Times New Roman" w:cs="Times New Roman" w:eastAsia="Times New Roman" w:hAnsi="Times New Roman"/>
                <w:sz w:val="24"/>
                <w:szCs w:val="24"/>
                <w:color w:val="auto"/>
                <w:w w:val="97"/>
                <w:vertAlign w:val="superscript"/>
              </w:rPr>
              <w:t>(b)(c)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14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Balance, end of period</w:t>
            </w:r>
          </w:p>
        </w:tc>
        <w:tc>
          <w:tcPr>
            <w:tcW w:w="2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78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6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3,048</w:t>
            </w:r>
          </w:p>
        </w:tc>
        <w:tc>
          <w:tcPr>
            <w:tcW w:w="2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2,264</w:t>
            </w:r>
          </w:p>
        </w:tc>
        <w:tc>
          <w:tcPr>
            <w:tcW w:w="8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3227070</wp:posOffset>
            </wp:positionH>
            <wp:positionV relativeFrom="paragraph">
              <wp:posOffset>-3523615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3227070</wp:posOffset>
            </wp:positionH>
            <wp:positionV relativeFrom="paragraph">
              <wp:posOffset>-3506470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-3523615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-3506470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4581525</wp:posOffset>
            </wp:positionH>
            <wp:positionV relativeFrom="paragraph">
              <wp:posOffset>-3523615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4581525</wp:posOffset>
            </wp:positionH>
            <wp:positionV relativeFrom="paragraph">
              <wp:posOffset>-3506470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5224145</wp:posOffset>
            </wp:positionH>
            <wp:positionV relativeFrom="paragraph">
              <wp:posOffset>-3523615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5224145</wp:posOffset>
            </wp:positionH>
            <wp:positionV relativeFrom="paragraph">
              <wp:posOffset>-3506470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6004560</wp:posOffset>
            </wp:positionH>
            <wp:positionV relativeFrom="paragraph">
              <wp:posOffset>-3523615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6004560</wp:posOffset>
            </wp:positionH>
            <wp:positionV relativeFrom="paragraph">
              <wp:posOffset>-3506470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3227070</wp:posOffset>
            </wp:positionH>
            <wp:positionV relativeFrom="paragraph">
              <wp:posOffset>-2666365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3227070</wp:posOffset>
            </wp:positionH>
            <wp:positionV relativeFrom="paragraph">
              <wp:posOffset>-2649220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-2666365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-2649220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4581525</wp:posOffset>
            </wp:positionH>
            <wp:positionV relativeFrom="paragraph">
              <wp:posOffset>-2666365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4581525</wp:posOffset>
            </wp:positionH>
            <wp:positionV relativeFrom="paragraph">
              <wp:posOffset>-2649220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5224145</wp:posOffset>
            </wp:positionH>
            <wp:positionV relativeFrom="paragraph">
              <wp:posOffset>-2666365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5224145</wp:posOffset>
            </wp:positionH>
            <wp:positionV relativeFrom="paragraph">
              <wp:posOffset>-2649220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6004560</wp:posOffset>
            </wp:positionH>
            <wp:positionV relativeFrom="paragraph">
              <wp:posOffset>-2666365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6004560</wp:posOffset>
            </wp:positionH>
            <wp:positionV relativeFrom="paragraph">
              <wp:posOffset>-2649220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-986155</wp:posOffset>
            </wp:positionV>
            <wp:extent cx="6626225" cy="11226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626225" cy="1122680"/>
                    </a:xfrm>
                    <a:prstGeom prst="rect">
                      <a:avLst/>
                    </a:prstGeom>
                    <a:noFill/>
                  </pic:spPr>
                </pic:pic>
              </a:graphicData>
            </a:graphic>
          </wp:anchor>
        </w:drawing>
      </w:r>
    </w:p>
    <w:p>
      <w:pPr>
        <w:sectPr>
          <w:pgSz w:w="11900" w:h="16838" w:orient="portrait"/>
          <w:cols w:equalWidth="0" w:num="1">
            <w:col w:w="10480"/>
          </w:cols>
          <w:pgMar w:left="700" w:top="1085" w:right="71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Unrealized translation gain (loss)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Unrealized gain (loss) on commodity hedges</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dividends declared per common share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1,866</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2,559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0.415</w:t>
            </w:r>
          </w:p>
        </w:tc>
        <w:tc>
          <w:tcPr>
            <w:tcW w:w="140" w:type="dxa"/>
            <w:vAlign w:val="bottom"/>
            <w:vMerge w:val="continue"/>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0.405</w:t>
            </w:r>
          </w:p>
        </w:tc>
        <w:tc>
          <w:tcPr>
            <w:tcW w:w="100" w:type="dxa"/>
            <w:vAlign w:val="bottom"/>
            <w:vMerge w:val="continue"/>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0.830</w:t>
            </w:r>
          </w:p>
        </w:tc>
        <w:tc>
          <w:tcPr>
            <w:tcW w:w="120" w:type="dxa"/>
            <w:vAlign w:val="bottom"/>
            <w:vMerge w:val="continue"/>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-739775</wp:posOffset>
            </wp:positionV>
            <wp:extent cx="6626225"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-147955</wp:posOffset>
            </wp:positionV>
            <wp:extent cx="6626225"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-456565</wp:posOffset>
            </wp:positionV>
            <wp:extent cx="6626225" cy="146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626225" cy="146050"/>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31115</wp:posOffset>
            </wp:positionV>
            <wp:extent cx="66262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5280" w:space="720"/>
            <w:col w:w="4480"/>
          </w:cols>
          <w:pgMar w:left="700" w:top="1085" w:right="719" w:bottom="1440" w:gutter="0" w:footer="0" w:header="0"/>
          <w:type w:val="continuous"/>
        </w:sectPr>
      </w:pPr>
    </w:p>
    <w:p>
      <w:pPr>
        <w:jc w:val="both"/>
        <w:ind w:left="360" w:hanging="358"/>
        <w:spacing w:after="0" w:line="241" w:lineRule="auto"/>
        <w:tabs>
          <w:tab w:leader="none" w:pos="3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issued were 25,386 and 52,993 for the three months ended March 31, 2026 and 2025, respectively, and 78,012 and 128,401 for the six months ended March 31, 2026 and 2025, respectively. Includes zero for both the three months ended March 31, 2026 and 2025, and $2 million and $3 million for the six months ended March 31, 2026 and 2025, respectively, associated with stock-based compensation employee withholding taxes.</w:t>
      </w:r>
    </w:p>
    <w:p>
      <w:pPr>
        <w:spacing w:after="0" w:line="1"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repurchased were zero for each of the three and six months ended March 31, 2026, and 1,541,320 for each of the three and six months ended March 31, 2025.</w:t>
      </w:r>
    </w:p>
    <w:p>
      <w:pPr>
        <w:spacing w:after="0" w:line="27" w:lineRule="exact"/>
        <w:rPr>
          <w:rFonts w:ascii="Times New Roman" w:cs="Times New Roman" w:eastAsia="Times New Roman" w:hAnsi="Times New Roman"/>
          <w:sz w:val="14"/>
          <w:szCs w:val="14"/>
          <w:color w:val="auto"/>
        </w:rPr>
      </w:pPr>
    </w:p>
    <w:p>
      <w:pPr>
        <w:ind w:left="360" w:hanging="358"/>
        <w:spacing w:after="0" w:line="243" w:lineRule="auto"/>
        <w:tabs>
          <w:tab w:leader="none" w:pos="3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zero in excise tax on common stock repurchases for both the three and six months ended March 31, 2026, and $1 million for both the three and six months ended March 31, 2025. Ashland paid a total of $100 million for the three and six months ended March 31, 2025 for common stock repurchases.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5" w:right="71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color w:val="auto"/>
        </w:rPr>
        <w:t>NOTE O – STOCK INCENTIVE PLANS</w:t>
      </w:r>
    </w:p>
    <w:p>
      <w:pPr>
        <w:spacing w:after="0" w:line="2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components of Ashland’s pre-tax stock-based compensation expense included in continuing operations are as follows:</w:t>
      </w:r>
    </w:p>
    <w:p>
      <w:pPr>
        <w:spacing w:after="0" w:line="110"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0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Six months ended</w:t>
            </w:r>
          </w:p>
        </w:tc>
        <w:tc>
          <w:tcPr>
            <w:tcW w:w="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March 31</w:t>
            </w: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March 31</w:t>
            </w:r>
          </w:p>
        </w:tc>
        <w:tc>
          <w:tcPr>
            <w:tcW w:w="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50"/>
              <w:spacing w:after="0" w:line="210" w:lineRule="exact"/>
              <w:rPr>
                <w:sz w:val="20"/>
                <w:szCs w:val="20"/>
                <w:color w:val="auto"/>
              </w:rPr>
            </w:pPr>
            <w:r>
              <w:rPr>
                <w:rFonts w:ascii="Times New Roman" w:cs="Times New Roman" w:eastAsia="Times New Roman" w:hAnsi="Times New Roman"/>
                <w:sz w:val="18"/>
                <w:szCs w:val="18"/>
                <w:color w:val="auto"/>
              </w:rPr>
              <w:t>2026</w:t>
            </w:r>
            <w:r>
              <w:rPr>
                <w:rFonts w:ascii="Times New Roman" w:cs="Times New Roman" w:eastAsia="Times New Roman" w:hAnsi="Times New Roman"/>
                <w:sz w:val="24"/>
                <w:szCs w:val="24"/>
                <w:color w:val="auto"/>
                <w:vertAlign w:val="superscript"/>
              </w:rPr>
              <w:t>(a)</w:t>
            </w:r>
          </w:p>
        </w:tc>
        <w:tc>
          <w:tcPr>
            <w:tcW w:w="220" w:type="dxa"/>
            <w:vAlign w:val="bottom"/>
          </w:tcPr>
          <w:p>
            <w:pPr>
              <w:spacing w:after="0"/>
              <w:rPr>
                <w:sz w:val="18"/>
                <w:szCs w:val="18"/>
                <w:color w:val="auto"/>
              </w:rPr>
            </w:pPr>
          </w:p>
        </w:tc>
        <w:tc>
          <w:tcPr>
            <w:tcW w:w="840" w:type="dxa"/>
            <w:vAlign w:val="bottom"/>
          </w:tcPr>
          <w:p>
            <w:pPr>
              <w:jc w:val="right"/>
              <w:spacing w:after="0" w:line="210" w:lineRule="exact"/>
              <w:rPr>
                <w:sz w:val="20"/>
                <w:szCs w:val="20"/>
                <w:color w:val="auto"/>
              </w:rPr>
            </w:pPr>
            <w:r>
              <w:rPr>
                <w:rFonts w:ascii="Times New Roman" w:cs="Times New Roman" w:eastAsia="Times New Roman" w:hAnsi="Times New Roman"/>
                <w:sz w:val="18"/>
                <w:szCs w:val="18"/>
                <w:color w:val="auto"/>
              </w:rPr>
              <w:t>2025</w:t>
            </w:r>
            <w:r>
              <w:rPr>
                <w:rFonts w:ascii="Times New Roman" w:cs="Times New Roman" w:eastAsia="Times New Roman" w:hAnsi="Times New Roman"/>
                <w:sz w:val="24"/>
                <w:szCs w:val="24"/>
                <w:color w:val="auto"/>
                <w:vertAlign w:val="superscript"/>
              </w:rPr>
              <w:t>(b)</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line="210" w:lineRule="exact"/>
              <w:rPr>
                <w:sz w:val="20"/>
                <w:szCs w:val="20"/>
                <w:color w:val="auto"/>
              </w:rPr>
            </w:pPr>
            <w:r>
              <w:rPr>
                <w:rFonts w:ascii="Times New Roman" w:cs="Times New Roman" w:eastAsia="Times New Roman" w:hAnsi="Times New Roman"/>
                <w:sz w:val="18"/>
                <w:szCs w:val="18"/>
                <w:color w:val="auto"/>
              </w:rPr>
              <w:t>2026</w:t>
            </w:r>
            <w:r>
              <w:rPr>
                <w:rFonts w:ascii="Times New Roman" w:cs="Times New Roman" w:eastAsia="Times New Roman" w:hAnsi="Times New Roman"/>
                <w:sz w:val="24"/>
                <w:szCs w:val="24"/>
                <w:color w:val="auto"/>
                <w:vertAlign w:val="superscript"/>
              </w:rPr>
              <w:t>(a)</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line="210" w:lineRule="exact"/>
              <w:rPr>
                <w:sz w:val="20"/>
                <w:szCs w:val="20"/>
                <w:color w:val="auto"/>
              </w:rPr>
            </w:pPr>
            <w:r>
              <w:rPr>
                <w:rFonts w:ascii="Times New Roman" w:cs="Times New Roman" w:eastAsia="Times New Roman" w:hAnsi="Times New Roman"/>
                <w:sz w:val="18"/>
                <w:szCs w:val="18"/>
                <w:color w:val="auto"/>
              </w:rPr>
              <w:t>2025</w:t>
            </w:r>
            <w:r>
              <w:rPr>
                <w:rFonts w:ascii="Times New Roman" w:cs="Times New Roman" w:eastAsia="Times New Roman" w:hAnsi="Times New Roman"/>
                <w:sz w:val="24"/>
                <w:szCs w:val="24"/>
                <w:color w:val="auto"/>
                <w:vertAlign w:val="superscript"/>
              </w:rPr>
              <w:t>(b)</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appreciation rights</w:t>
            </w:r>
          </w:p>
        </w:tc>
        <w:tc>
          <w:tcPr>
            <w:tcW w:w="200" w:type="dxa"/>
            <w:vAlign w:val="bottom"/>
            <w:tcBorders>
              <w:top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tcBorders>
              <w:top w:val="single" w:sz="8" w:color="auto"/>
            </w:tcBorders>
            <w:gridSpan w:val="2"/>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gridSpan w:val="2"/>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Borders>
              <w:top w:val="single" w:sz="8" w:color="auto"/>
            </w:tcBorders>
            <w:gridSpan w:val="2"/>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Nonvested stock awards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share awards</w:t>
            </w: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4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5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-222250</wp:posOffset>
            </wp:positionV>
            <wp:extent cx="137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-222250</wp:posOffset>
            </wp:positionV>
            <wp:extent cx="12890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-222250</wp:posOffset>
            </wp:positionV>
            <wp:extent cx="12890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65" w:lineRule="exact"/>
        <w:rPr>
          <w:sz w:val="20"/>
          <w:szCs w:val="20"/>
          <w:color w:val="auto"/>
        </w:rPr>
      </w:pPr>
    </w:p>
    <w:p>
      <w:pPr>
        <w:ind w:left="740" w:hanging="358"/>
        <w:spacing w:after="0" w:line="251" w:lineRule="auto"/>
        <w:tabs>
          <w:tab w:leader="none" w:pos="7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zero and $1 million of expense related to cash-settled nonvested restricted stock awards during the three and six months ended March 31, 2026, respectively, and zero and less than $1 million of expense related to cash-settled performance units during the three and six months ended March 31, 2026, respectively.</w:t>
      </w:r>
    </w:p>
    <w:p>
      <w:pPr>
        <w:ind w:left="740" w:hanging="358"/>
        <w:spacing w:after="0" w:line="261" w:lineRule="auto"/>
        <w:tabs>
          <w:tab w:leader="none" w:pos="7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zero and $1 million of expense related to cash-settled nonvested restricted stock awards during the three and six months ended March 31, 2025, respectively, and zero and income of $1 million related to cash-settled performance units during the three and six months ended March 31, 2025, respectively.</w:t>
      </w:r>
    </w:p>
    <w:p>
      <w:pPr>
        <w:spacing w:after="0" w:line="5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193" w:right="7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color w:val="auto"/>
        </w:rPr>
        <w:t>NOTE P – REVENUE</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Disaggregation of revenue</w:t>
      </w:r>
    </w:p>
    <w:p>
      <w:pPr>
        <w:spacing w:after="0" w:line="112" w:lineRule="exact"/>
        <w:rPr>
          <w:sz w:val="20"/>
          <w:szCs w:val="20"/>
          <w:color w:val="auto"/>
        </w:rPr>
      </w:pPr>
    </w:p>
    <w:p>
      <w:pPr>
        <w:jc w:val="both"/>
        <w:ind w:left="380"/>
        <w:spacing w:after="0" w:line="249" w:lineRule="auto"/>
        <w:rPr>
          <w:sz w:val="20"/>
          <w:szCs w:val="20"/>
          <w:color w:val="auto"/>
        </w:rPr>
      </w:pPr>
      <w:r>
        <w:rPr>
          <w:rFonts w:ascii="Times New Roman" w:cs="Times New Roman" w:eastAsia="Times New Roman" w:hAnsi="Times New Roman"/>
          <w:sz w:val="20"/>
          <w:szCs w:val="20"/>
          <w:color w:val="auto"/>
        </w:rPr>
        <w:t>Ashland disaggregates its revenue by reportable segment and geographical region as Ashland believes these categories best depict how management reviews the financial performance of its operations. Ashland includes only U.S. and Canada in its North America designation and includes Europe, the Middle East and Africa in its Europe designation. See the following tables for details. See Note Q for additional information.</w:t>
      </w:r>
    </w:p>
    <w:p>
      <w:pPr>
        <w:spacing w:after="0" w:line="8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Sales by geography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-118110</wp:posOffset>
            </wp:positionV>
            <wp:extent cx="66262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7" w:lineRule="exact"/>
        <w:rPr>
          <w:sz w:val="20"/>
          <w:szCs w:val="20"/>
          <w:color w:val="auto"/>
        </w:rPr>
      </w:pPr>
    </w:p>
    <w:tbl>
      <w:tblPr>
        <w:tblLayout w:type="fixed"/>
        <w:tblInd w:w="40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9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900" w:type="dxa"/>
            <w:vAlign w:val="bottom"/>
            <w:tcBorders>
              <w:top w:val="single" w:sz="8" w:color="auto"/>
            </w:tcBorders>
            <w:gridSpan w:val="5"/>
          </w:tcPr>
          <w:p>
            <w:pPr>
              <w:jc w:val="center"/>
              <w:ind w:right="155"/>
              <w:spacing w:after="0" w:line="176" w:lineRule="exact"/>
              <w:rPr>
                <w:sz w:val="20"/>
                <w:szCs w:val="20"/>
                <w:color w:val="auto"/>
              </w:rPr>
            </w:pPr>
            <w:r>
              <w:rPr>
                <w:rFonts w:ascii="Times New Roman" w:cs="Times New Roman" w:eastAsia="Times New Roman" w:hAnsi="Times New Roman"/>
                <w:sz w:val="17"/>
                <w:szCs w:val="17"/>
                <w:color w:val="auto"/>
                <w:w w:val="99"/>
              </w:rPr>
              <w:t>Three months ended</w:t>
            </w:r>
          </w:p>
        </w:tc>
        <w:tc>
          <w:tcPr>
            <w:tcW w:w="1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gridSpan w:val="4"/>
          </w:tcPr>
          <w:p>
            <w:pPr>
              <w:jc w:val="center"/>
              <w:ind w:right="315"/>
              <w:spacing w:after="0" w:line="176" w:lineRule="exact"/>
              <w:rPr>
                <w:sz w:val="20"/>
                <w:szCs w:val="20"/>
                <w:color w:val="auto"/>
              </w:rPr>
            </w:pPr>
            <w:r>
              <w:rPr>
                <w:rFonts w:ascii="Times New Roman" w:cs="Times New Roman" w:eastAsia="Times New Roman" w:hAnsi="Times New Roman"/>
                <w:sz w:val="17"/>
                <w:szCs w:val="17"/>
                <w:color w:val="auto"/>
              </w:rPr>
              <w:t>Six months ended</w:t>
            </w:r>
          </w:p>
        </w:tc>
        <w:tc>
          <w:tcPr>
            <w:tcW w:w="0" w:type="dxa"/>
            <w:vAlign w:val="bottom"/>
          </w:tcPr>
          <w:p>
            <w:pPr>
              <w:spacing w:after="0"/>
              <w:rPr>
                <w:sz w:val="1"/>
                <w:szCs w:val="1"/>
                <w:color w:val="auto"/>
              </w:rPr>
            </w:pPr>
          </w:p>
        </w:tc>
      </w:tr>
      <w:tr>
        <w:trPr>
          <w:trHeight w:val="223"/>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jc w:val="center"/>
              <w:ind w:left="755"/>
              <w:spacing w:after="0"/>
              <w:rPr>
                <w:sz w:val="20"/>
                <w:szCs w:val="20"/>
                <w:color w:val="auto"/>
              </w:rPr>
            </w:pPr>
            <w:r>
              <w:rPr>
                <w:rFonts w:ascii="Times New Roman" w:cs="Times New Roman" w:eastAsia="Times New Roman" w:hAnsi="Times New Roman"/>
                <w:sz w:val="17"/>
                <w:szCs w:val="17"/>
                <w:color w:val="auto"/>
              </w:rPr>
              <w:t>March 31</w:t>
            </w:r>
          </w:p>
        </w:tc>
        <w:tc>
          <w:tcPr>
            <w:tcW w:w="10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575"/>
              <w:spacing w:after="0"/>
              <w:rPr>
                <w:sz w:val="20"/>
                <w:szCs w:val="20"/>
                <w:color w:val="auto"/>
              </w:rPr>
            </w:pPr>
            <w:r>
              <w:rPr>
                <w:rFonts w:ascii="Times New Roman" w:cs="Times New Roman" w:eastAsia="Times New Roman" w:hAnsi="Times New Roman"/>
                <w:sz w:val="17"/>
                <w:szCs w:val="17"/>
                <w:color w:val="auto"/>
              </w:rPr>
              <w:t>March 31</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960" w:type="dxa"/>
            <w:vAlign w:val="bottom"/>
            <w:gridSpan w:val="2"/>
            <w:vMerge w:val="continue"/>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7"/>
                <w:szCs w:val="17"/>
                <w:color w:val="auto"/>
              </w:rPr>
              <w:t>2025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7"/>
                <w:szCs w:val="17"/>
                <w:color w:val="auto"/>
              </w:rPr>
              <w:t>2026</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95"/>
              <w:spacing w:after="0"/>
              <w:rPr>
                <w:sz w:val="20"/>
                <w:szCs w:val="20"/>
                <w:color w:val="auto"/>
              </w:rPr>
            </w:pPr>
            <w:r>
              <w:rPr>
                <w:rFonts w:ascii="Times New Roman" w:cs="Times New Roman" w:eastAsia="Times New Roman" w:hAnsi="Times New Roman"/>
                <w:sz w:val="17"/>
                <w:szCs w:val="17"/>
                <w:color w:val="auto"/>
              </w:rPr>
              <w:t>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Life Sciences</w:t>
            </w:r>
          </w:p>
        </w:tc>
        <w:tc>
          <w:tcPr>
            <w:tcW w:w="6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North America</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30</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59</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117</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Asia Pacific</w:t>
            </w: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53</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99</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Latin America &amp; other</w:t>
            </w:r>
          </w:p>
        </w:tc>
        <w:tc>
          <w:tcPr>
            <w:tcW w:w="1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20</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36</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172</w:t>
            </w:r>
          </w:p>
        </w:tc>
        <w:tc>
          <w:tcPr>
            <w:tcW w:w="12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172</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311</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306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40" w:type="dxa"/>
            <w:vAlign w:val="bottom"/>
            <w:tcBorders>
              <w:top w:val="single" w:sz="8" w:color="CFF0FC"/>
            </w:tcBorders>
          </w:tcPr>
          <w:p>
            <w:pPr>
              <w:spacing w:after="0"/>
              <w:rPr>
                <w:sz w:val="15"/>
                <w:szCs w:val="15"/>
                <w:color w:val="auto"/>
              </w:rPr>
            </w:pPr>
          </w:p>
        </w:tc>
        <w:tc>
          <w:tcPr>
            <w:tcW w:w="136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CFF0FC"/>
              <w:bottom w:val="single" w:sz="8" w:color="auto"/>
            </w:tcBorders>
            <w:gridSpan w:val="2"/>
          </w:tcPr>
          <w:p>
            <w:pPr>
              <w:spacing w:after="0"/>
              <w:rPr>
                <w:sz w:val="15"/>
                <w:szCs w:val="15"/>
                <w:color w:val="auto"/>
              </w:rPr>
            </w:pPr>
          </w:p>
        </w:tc>
        <w:tc>
          <w:tcPr>
            <w:tcW w:w="1380" w:type="dxa"/>
            <w:vAlign w:val="bottom"/>
            <w:tcBorders>
              <w:top w:val="single" w:sz="8" w:color="auto"/>
              <w:bottom w:val="single" w:sz="8" w:color="auto"/>
            </w:tcBorders>
            <w:gridSpan w:val="2"/>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CFF0FC"/>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gridSpan w:val="5"/>
          </w:tcPr>
          <w:p>
            <w:pPr>
              <w:jc w:val="center"/>
              <w:ind w:right="155"/>
              <w:spacing w:after="0" w:line="174" w:lineRule="exact"/>
              <w:rPr>
                <w:sz w:val="20"/>
                <w:szCs w:val="20"/>
                <w:color w:val="auto"/>
              </w:rPr>
            </w:pPr>
            <w:r>
              <w:rPr>
                <w:rFonts w:ascii="Times New Roman" w:cs="Times New Roman" w:eastAsia="Times New Roman" w:hAnsi="Times New Roman"/>
                <w:sz w:val="17"/>
                <w:szCs w:val="17"/>
                <w:color w:val="auto"/>
                <w:w w:val="99"/>
              </w:rPr>
              <w:t>Three months ended</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60" w:type="dxa"/>
            <w:vAlign w:val="bottom"/>
            <w:gridSpan w:val="4"/>
          </w:tcPr>
          <w:p>
            <w:pPr>
              <w:jc w:val="center"/>
              <w:ind w:right="315"/>
              <w:spacing w:after="0" w:line="174" w:lineRule="exact"/>
              <w:rPr>
                <w:sz w:val="20"/>
                <w:szCs w:val="20"/>
                <w:color w:val="auto"/>
              </w:rPr>
            </w:pPr>
            <w:r>
              <w:rPr>
                <w:rFonts w:ascii="Times New Roman" w:cs="Times New Roman" w:eastAsia="Times New Roman" w:hAnsi="Times New Roman"/>
                <w:sz w:val="17"/>
                <w:szCs w:val="17"/>
                <w:color w:val="auto"/>
              </w:rPr>
              <w:t>Six months ended</w:t>
            </w:r>
          </w:p>
        </w:tc>
        <w:tc>
          <w:tcPr>
            <w:tcW w:w="0" w:type="dxa"/>
            <w:vAlign w:val="bottom"/>
          </w:tcPr>
          <w:p>
            <w:pPr>
              <w:spacing w:after="0"/>
              <w:rPr>
                <w:sz w:val="1"/>
                <w:szCs w:val="1"/>
                <w:color w:val="auto"/>
              </w:rPr>
            </w:pPr>
          </w:p>
        </w:tc>
      </w:tr>
      <w:tr>
        <w:trPr>
          <w:trHeight w:val="223"/>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jc w:val="center"/>
              <w:ind w:left="755"/>
              <w:spacing w:after="0"/>
              <w:rPr>
                <w:sz w:val="20"/>
                <w:szCs w:val="20"/>
                <w:color w:val="auto"/>
              </w:rPr>
            </w:pPr>
            <w:r>
              <w:rPr>
                <w:rFonts w:ascii="Times New Roman" w:cs="Times New Roman" w:eastAsia="Times New Roman" w:hAnsi="Times New Roman"/>
                <w:sz w:val="17"/>
                <w:szCs w:val="17"/>
                <w:color w:val="auto"/>
              </w:rPr>
              <w:t>March 31</w:t>
            </w:r>
          </w:p>
        </w:tc>
        <w:tc>
          <w:tcPr>
            <w:tcW w:w="10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575"/>
              <w:spacing w:after="0"/>
              <w:rPr>
                <w:sz w:val="20"/>
                <w:szCs w:val="20"/>
                <w:color w:val="auto"/>
              </w:rPr>
            </w:pPr>
            <w:r>
              <w:rPr>
                <w:rFonts w:ascii="Times New Roman" w:cs="Times New Roman" w:eastAsia="Times New Roman" w:hAnsi="Times New Roman"/>
                <w:sz w:val="17"/>
                <w:szCs w:val="17"/>
                <w:color w:val="auto"/>
              </w:rPr>
              <w:t>March 31</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960" w:type="dxa"/>
            <w:vAlign w:val="bottom"/>
            <w:gridSpan w:val="2"/>
            <w:vMerge w:val="continue"/>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7"/>
                <w:szCs w:val="17"/>
                <w:color w:val="auto"/>
              </w:rPr>
              <w:t>2025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7"/>
                <w:szCs w:val="17"/>
                <w:color w:val="auto"/>
              </w:rPr>
              <w:t>2026</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95"/>
              <w:spacing w:after="0"/>
              <w:rPr>
                <w:sz w:val="20"/>
                <w:szCs w:val="20"/>
                <w:color w:val="auto"/>
              </w:rPr>
            </w:pPr>
            <w:r>
              <w:rPr>
                <w:rFonts w:ascii="Times New Roman" w:cs="Times New Roman" w:eastAsia="Times New Roman" w:hAnsi="Times New Roman"/>
                <w:sz w:val="17"/>
                <w:szCs w:val="17"/>
                <w:color w:val="auto"/>
              </w:rPr>
              <w:t>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99"/>
              </w:rPr>
              <w:t>Personal Care</w:t>
            </w:r>
          </w:p>
        </w:tc>
        <w:tc>
          <w:tcPr>
            <w:tcW w:w="6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North America</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41</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68</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106</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Asia Pacific</w:t>
            </w: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30</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64</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Latin America &amp; other</w:t>
            </w:r>
          </w:p>
        </w:tc>
        <w:tc>
          <w:tcPr>
            <w:tcW w:w="1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16</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35</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146</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273</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279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40" w:type="dxa"/>
            <w:vAlign w:val="bottom"/>
            <w:tcBorders>
              <w:top w:val="single" w:sz="8" w:color="CFF0FC"/>
            </w:tcBorders>
          </w:tcPr>
          <w:p>
            <w:pPr>
              <w:spacing w:after="0"/>
              <w:rPr>
                <w:sz w:val="15"/>
                <w:szCs w:val="15"/>
                <w:color w:val="auto"/>
              </w:rPr>
            </w:pPr>
          </w:p>
        </w:tc>
        <w:tc>
          <w:tcPr>
            <w:tcW w:w="136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CFF0FC"/>
              <w:bottom w:val="single" w:sz="8" w:color="auto"/>
            </w:tcBorders>
            <w:gridSpan w:val="2"/>
          </w:tcPr>
          <w:p>
            <w:pPr>
              <w:spacing w:after="0"/>
              <w:rPr>
                <w:sz w:val="15"/>
                <w:szCs w:val="15"/>
                <w:color w:val="auto"/>
              </w:rPr>
            </w:pPr>
          </w:p>
        </w:tc>
        <w:tc>
          <w:tcPr>
            <w:tcW w:w="1380" w:type="dxa"/>
            <w:vAlign w:val="bottom"/>
            <w:tcBorders>
              <w:top w:val="single" w:sz="8" w:color="auto"/>
              <w:bottom w:val="single" w:sz="8" w:color="auto"/>
            </w:tcBorders>
            <w:gridSpan w:val="2"/>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CFF0FC"/>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gridSpan w:val="5"/>
          </w:tcPr>
          <w:p>
            <w:pPr>
              <w:jc w:val="center"/>
              <w:ind w:right="155"/>
              <w:spacing w:after="0" w:line="174" w:lineRule="exact"/>
              <w:rPr>
                <w:sz w:val="20"/>
                <w:szCs w:val="20"/>
                <w:color w:val="auto"/>
              </w:rPr>
            </w:pPr>
            <w:r>
              <w:rPr>
                <w:rFonts w:ascii="Times New Roman" w:cs="Times New Roman" w:eastAsia="Times New Roman" w:hAnsi="Times New Roman"/>
                <w:sz w:val="17"/>
                <w:szCs w:val="17"/>
                <w:color w:val="auto"/>
                <w:w w:val="99"/>
              </w:rPr>
              <w:t>Three months ended</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60" w:type="dxa"/>
            <w:vAlign w:val="bottom"/>
            <w:gridSpan w:val="4"/>
          </w:tcPr>
          <w:p>
            <w:pPr>
              <w:jc w:val="center"/>
              <w:ind w:right="315"/>
              <w:spacing w:after="0" w:line="174" w:lineRule="exact"/>
              <w:rPr>
                <w:sz w:val="20"/>
                <w:szCs w:val="20"/>
                <w:color w:val="auto"/>
              </w:rPr>
            </w:pPr>
            <w:r>
              <w:rPr>
                <w:rFonts w:ascii="Times New Roman" w:cs="Times New Roman" w:eastAsia="Times New Roman" w:hAnsi="Times New Roman"/>
                <w:sz w:val="17"/>
                <w:szCs w:val="17"/>
                <w:color w:val="auto"/>
              </w:rPr>
              <w:t>Six months ended</w:t>
            </w:r>
          </w:p>
        </w:tc>
        <w:tc>
          <w:tcPr>
            <w:tcW w:w="0" w:type="dxa"/>
            <w:vAlign w:val="bottom"/>
          </w:tcPr>
          <w:p>
            <w:pPr>
              <w:spacing w:after="0"/>
              <w:rPr>
                <w:sz w:val="1"/>
                <w:szCs w:val="1"/>
                <w:color w:val="auto"/>
              </w:rPr>
            </w:pPr>
          </w:p>
        </w:tc>
      </w:tr>
      <w:tr>
        <w:trPr>
          <w:trHeight w:val="223"/>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jc w:val="center"/>
              <w:ind w:left="755"/>
              <w:spacing w:after="0"/>
              <w:rPr>
                <w:sz w:val="20"/>
                <w:szCs w:val="20"/>
                <w:color w:val="auto"/>
              </w:rPr>
            </w:pPr>
            <w:r>
              <w:rPr>
                <w:rFonts w:ascii="Times New Roman" w:cs="Times New Roman" w:eastAsia="Times New Roman" w:hAnsi="Times New Roman"/>
                <w:sz w:val="17"/>
                <w:szCs w:val="17"/>
                <w:color w:val="auto"/>
              </w:rPr>
              <w:t>March 31</w:t>
            </w:r>
          </w:p>
        </w:tc>
        <w:tc>
          <w:tcPr>
            <w:tcW w:w="10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575"/>
              <w:spacing w:after="0"/>
              <w:rPr>
                <w:sz w:val="20"/>
                <w:szCs w:val="20"/>
                <w:color w:val="auto"/>
              </w:rPr>
            </w:pPr>
            <w:r>
              <w:rPr>
                <w:rFonts w:ascii="Times New Roman" w:cs="Times New Roman" w:eastAsia="Times New Roman" w:hAnsi="Times New Roman"/>
                <w:sz w:val="17"/>
                <w:szCs w:val="17"/>
                <w:color w:val="auto"/>
              </w:rPr>
              <w:t>March 31</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960" w:type="dxa"/>
            <w:vAlign w:val="bottom"/>
            <w:gridSpan w:val="2"/>
            <w:vMerge w:val="continue"/>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7"/>
                <w:szCs w:val="17"/>
                <w:color w:val="auto"/>
              </w:rPr>
              <w:t>2025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7"/>
                <w:szCs w:val="17"/>
                <w:color w:val="auto"/>
              </w:rPr>
              <w:t>2026</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95"/>
              <w:spacing w:after="0"/>
              <w:rPr>
                <w:sz w:val="20"/>
                <w:szCs w:val="20"/>
                <w:color w:val="auto"/>
              </w:rPr>
            </w:pPr>
            <w:r>
              <w:rPr>
                <w:rFonts w:ascii="Times New Roman" w:cs="Times New Roman" w:eastAsia="Times New Roman" w:hAnsi="Times New Roman"/>
                <w:sz w:val="17"/>
                <w:szCs w:val="17"/>
                <w:color w:val="auto"/>
              </w:rPr>
              <w:t>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Specialty Additives</w:t>
            </w:r>
          </w:p>
        </w:tc>
        <w:tc>
          <w:tcPr>
            <w:tcW w:w="6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North America</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46</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79</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48</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79</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Asia Pacific</w:t>
            </w: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33</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64</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Latin America &amp; other</w:t>
            </w:r>
          </w:p>
        </w:tc>
        <w:tc>
          <w:tcPr>
            <w:tcW w:w="1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14</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134</w:t>
            </w:r>
          </w:p>
        </w:tc>
        <w:tc>
          <w:tcPr>
            <w:tcW w:w="12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134</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236</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249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40" w:type="dxa"/>
            <w:vAlign w:val="bottom"/>
            <w:tcBorders>
              <w:top w:val="single" w:sz="8" w:color="CFF0FC"/>
            </w:tcBorders>
          </w:tcPr>
          <w:p>
            <w:pPr>
              <w:spacing w:after="0"/>
              <w:rPr>
                <w:sz w:val="15"/>
                <w:szCs w:val="15"/>
                <w:color w:val="auto"/>
              </w:rPr>
            </w:pPr>
          </w:p>
        </w:tc>
        <w:tc>
          <w:tcPr>
            <w:tcW w:w="136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CFF0FC"/>
              <w:bottom w:val="single" w:sz="8" w:color="auto"/>
            </w:tcBorders>
            <w:gridSpan w:val="2"/>
          </w:tcPr>
          <w:p>
            <w:pPr>
              <w:spacing w:after="0"/>
              <w:rPr>
                <w:sz w:val="15"/>
                <w:szCs w:val="15"/>
                <w:color w:val="auto"/>
              </w:rPr>
            </w:pPr>
          </w:p>
        </w:tc>
        <w:tc>
          <w:tcPr>
            <w:tcW w:w="1380" w:type="dxa"/>
            <w:vAlign w:val="bottom"/>
            <w:tcBorders>
              <w:top w:val="single" w:sz="8" w:color="auto"/>
              <w:bottom w:val="single" w:sz="8" w:color="auto"/>
            </w:tcBorders>
            <w:gridSpan w:val="2"/>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CFF0FC"/>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gridSpan w:val="5"/>
          </w:tcPr>
          <w:p>
            <w:pPr>
              <w:jc w:val="center"/>
              <w:ind w:right="155"/>
              <w:spacing w:after="0" w:line="174" w:lineRule="exact"/>
              <w:rPr>
                <w:sz w:val="20"/>
                <w:szCs w:val="20"/>
                <w:color w:val="auto"/>
              </w:rPr>
            </w:pPr>
            <w:r>
              <w:rPr>
                <w:rFonts w:ascii="Times New Roman" w:cs="Times New Roman" w:eastAsia="Times New Roman" w:hAnsi="Times New Roman"/>
                <w:sz w:val="17"/>
                <w:szCs w:val="17"/>
                <w:color w:val="auto"/>
                <w:w w:val="99"/>
              </w:rPr>
              <w:t>Three months ended</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60" w:type="dxa"/>
            <w:vAlign w:val="bottom"/>
            <w:gridSpan w:val="4"/>
          </w:tcPr>
          <w:p>
            <w:pPr>
              <w:jc w:val="center"/>
              <w:ind w:right="315"/>
              <w:spacing w:after="0" w:line="174" w:lineRule="exact"/>
              <w:rPr>
                <w:sz w:val="20"/>
                <w:szCs w:val="20"/>
                <w:color w:val="auto"/>
              </w:rPr>
            </w:pPr>
            <w:r>
              <w:rPr>
                <w:rFonts w:ascii="Times New Roman" w:cs="Times New Roman" w:eastAsia="Times New Roman" w:hAnsi="Times New Roman"/>
                <w:sz w:val="17"/>
                <w:szCs w:val="17"/>
                <w:color w:val="auto"/>
              </w:rPr>
              <w:t>Six months ended</w:t>
            </w:r>
          </w:p>
        </w:tc>
        <w:tc>
          <w:tcPr>
            <w:tcW w:w="0" w:type="dxa"/>
            <w:vAlign w:val="bottom"/>
          </w:tcPr>
          <w:p>
            <w:pPr>
              <w:spacing w:after="0"/>
              <w:rPr>
                <w:sz w:val="1"/>
                <w:szCs w:val="1"/>
                <w:color w:val="auto"/>
              </w:rPr>
            </w:pPr>
          </w:p>
        </w:tc>
      </w:tr>
      <w:tr>
        <w:trPr>
          <w:trHeight w:val="223"/>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jc w:val="center"/>
              <w:ind w:left="755"/>
              <w:spacing w:after="0"/>
              <w:rPr>
                <w:sz w:val="20"/>
                <w:szCs w:val="20"/>
                <w:color w:val="auto"/>
              </w:rPr>
            </w:pPr>
            <w:r>
              <w:rPr>
                <w:rFonts w:ascii="Times New Roman" w:cs="Times New Roman" w:eastAsia="Times New Roman" w:hAnsi="Times New Roman"/>
                <w:sz w:val="17"/>
                <w:szCs w:val="17"/>
                <w:color w:val="auto"/>
              </w:rPr>
              <w:t>March 31</w:t>
            </w:r>
          </w:p>
        </w:tc>
        <w:tc>
          <w:tcPr>
            <w:tcW w:w="10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575"/>
              <w:spacing w:after="0"/>
              <w:rPr>
                <w:sz w:val="20"/>
                <w:szCs w:val="20"/>
                <w:color w:val="auto"/>
              </w:rPr>
            </w:pPr>
            <w:r>
              <w:rPr>
                <w:rFonts w:ascii="Times New Roman" w:cs="Times New Roman" w:eastAsia="Times New Roman" w:hAnsi="Times New Roman"/>
                <w:sz w:val="17"/>
                <w:szCs w:val="17"/>
                <w:color w:val="auto"/>
              </w:rPr>
              <w:t>March 31</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960" w:type="dxa"/>
            <w:vAlign w:val="bottom"/>
            <w:gridSpan w:val="2"/>
            <w:vMerge w:val="continue"/>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7"/>
                <w:szCs w:val="17"/>
                <w:color w:val="auto"/>
              </w:rPr>
              <w:t>2025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7"/>
                <w:szCs w:val="17"/>
                <w:color w:val="auto"/>
              </w:rPr>
              <w:t>2026</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95"/>
              <w:spacing w:after="0"/>
              <w:rPr>
                <w:sz w:val="20"/>
                <w:szCs w:val="20"/>
                <w:color w:val="auto"/>
              </w:rPr>
            </w:pPr>
            <w:r>
              <w:rPr>
                <w:rFonts w:ascii="Times New Roman" w:cs="Times New Roman" w:eastAsia="Times New Roman" w:hAnsi="Times New Roman"/>
                <w:sz w:val="17"/>
                <w:szCs w:val="17"/>
                <w:color w:val="auto"/>
              </w:rPr>
              <w:t>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Intermediates</w:t>
            </w:r>
          </w:p>
        </w:tc>
        <w:tc>
          <w:tcPr>
            <w:tcW w:w="6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North America</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25</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44</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Asia Pacific</w:t>
            </w: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8</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Latin America &amp; other</w:t>
            </w:r>
          </w:p>
        </w:tc>
        <w:tc>
          <w:tcPr>
            <w:tcW w:w="1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37</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66</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940" w:type="dxa"/>
            <w:vAlign w:val="bottom"/>
            <w:tcBorders>
              <w:top w:val="single" w:sz="8" w:color="CFF0FC"/>
              <w:bottom w:val="single" w:sz="8" w:color="auto"/>
            </w:tcBorders>
          </w:tcPr>
          <w:p>
            <w:pPr>
              <w:spacing w:after="0"/>
              <w:rPr>
                <w:sz w:val="4"/>
                <w:szCs w:val="4"/>
                <w:color w:val="auto"/>
              </w:rPr>
            </w:pPr>
          </w:p>
        </w:tc>
        <w:tc>
          <w:tcPr>
            <w:tcW w:w="1360" w:type="dxa"/>
            <w:vAlign w:val="bottom"/>
            <w:tcBorders>
              <w:top w:val="single" w:sz="8" w:color="CFF0FC"/>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34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60" w:type="dxa"/>
            <w:vAlign w:val="bottom"/>
            <w:tcBorders>
              <w:top w:val="single" w:sz="8" w:color="CFF0FC"/>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1080" w:type="dxa"/>
            <w:vAlign w:val="bottom"/>
            <w:tcBorders>
              <w:top w:val="single" w:sz="8" w:color="auto"/>
              <w:bottom w:val="single" w:sz="8" w:color="auto"/>
            </w:tcBorders>
          </w:tcPr>
          <w:p>
            <w:pPr>
              <w:spacing w:after="0"/>
              <w:rPr>
                <w:sz w:val="4"/>
                <w:szCs w:val="4"/>
                <w:color w:val="auto"/>
              </w:rPr>
            </w:pPr>
          </w:p>
        </w:tc>
        <w:tc>
          <w:tcPr>
            <w:tcW w:w="160" w:type="dxa"/>
            <w:vAlign w:val="bottom"/>
            <w:tcBorders>
              <w:top w:val="single" w:sz="8" w:color="CFF0FC"/>
              <w:bottom w:val="single" w:sz="8" w:color="auto"/>
            </w:tcBorders>
          </w:tcPr>
          <w:p>
            <w:pPr>
              <w:spacing w:after="0"/>
              <w:rPr>
                <w:sz w:val="4"/>
                <w:szCs w:val="4"/>
                <w:color w:val="auto"/>
              </w:rPr>
            </w:pPr>
          </w:p>
        </w:tc>
        <w:tc>
          <w:tcPr>
            <w:tcW w:w="280" w:type="dxa"/>
            <w:vAlign w:val="bottom"/>
            <w:tcBorders>
              <w:top w:val="single" w:sz="8" w:color="auto"/>
              <w:bottom w:val="single" w:sz="8" w:color="auto"/>
            </w:tcBorders>
          </w:tcPr>
          <w:p>
            <w:pPr>
              <w:spacing w:after="0"/>
              <w:rPr>
                <w:sz w:val="4"/>
                <w:szCs w:val="4"/>
                <w:color w:val="auto"/>
              </w:rPr>
            </w:pPr>
          </w:p>
        </w:tc>
        <w:tc>
          <w:tcPr>
            <w:tcW w:w="1120" w:type="dxa"/>
            <w:vAlign w:val="bottom"/>
            <w:tcBorders>
              <w:top w:val="single" w:sz="8" w:color="auto"/>
              <w:bottom w:val="single" w:sz="8" w:color="auto"/>
            </w:tcBorders>
          </w:tcPr>
          <w:p>
            <w:pPr>
              <w:spacing w:after="0"/>
              <w:rPr>
                <w:sz w:val="4"/>
                <w:szCs w:val="4"/>
                <w:color w:val="auto"/>
              </w:rPr>
            </w:pPr>
          </w:p>
        </w:tc>
        <w:tc>
          <w:tcPr>
            <w:tcW w:w="160" w:type="dxa"/>
            <w:vAlign w:val="bottom"/>
            <w:tcBorders>
              <w:top w:val="single" w:sz="8" w:color="CFF0FC"/>
              <w:bottom w:val="single" w:sz="8" w:color="auto"/>
            </w:tcBorders>
          </w:tcPr>
          <w:p>
            <w:pPr>
              <w:spacing w:after="0"/>
              <w:rPr>
                <w:sz w:val="4"/>
                <w:szCs w:val="4"/>
                <w:color w:val="auto"/>
              </w:rPr>
            </w:pPr>
          </w:p>
        </w:tc>
        <w:tc>
          <w:tcPr>
            <w:tcW w:w="320" w:type="dxa"/>
            <w:vAlign w:val="bottom"/>
            <w:tcBorders>
              <w:top w:val="single" w:sz="8" w:color="auto"/>
              <w:bottom w:val="single" w:sz="8" w:color="auto"/>
            </w:tcBorders>
          </w:tcPr>
          <w:p>
            <w:pPr>
              <w:spacing w:after="0"/>
              <w:rPr>
                <w:sz w:val="4"/>
                <w:szCs w:val="4"/>
                <w:color w:val="auto"/>
              </w:rPr>
            </w:pPr>
          </w:p>
        </w:tc>
        <w:tc>
          <w:tcPr>
            <w:tcW w:w="106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-4139565</wp:posOffset>
            </wp:positionV>
            <wp:extent cx="1111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-4122420</wp:posOffset>
            </wp:positionV>
            <wp:extent cx="1111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-4139565</wp:posOffset>
            </wp:positionV>
            <wp:extent cx="1028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-4122420</wp:posOffset>
            </wp:positionV>
            <wp:extent cx="1028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-4139565</wp:posOffset>
            </wp:positionV>
            <wp:extent cx="1028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-4122420</wp:posOffset>
            </wp:positionV>
            <wp:extent cx="1028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-2785110</wp:posOffset>
            </wp:positionV>
            <wp:extent cx="11112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-2767965</wp:posOffset>
            </wp:positionV>
            <wp:extent cx="1111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-2785110</wp:posOffset>
            </wp:positionV>
            <wp:extent cx="1028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-2767965</wp:posOffset>
            </wp:positionV>
            <wp:extent cx="1028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-2785110</wp:posOffset>
            </wp:positionV>
            <wp:extent cx="1028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-2767965</wp:posOffset>
            </wp:positionV>
            <wp:extent cx="1028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-1430655</wp:posOffset>
            </wp:positionV>
            <wp:extent cx="1111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-1413510</wp:posOffset>
            </wp:positionV>
            <wp:extent cx="1111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-1430655</wp:posOffset>
            </wp:positionV>
            <wp:extent cx="1028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-1413510</wp:posOffset>
            </wp:positionV>
            <wp:extent cx="1028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-1430655</wp:posOffset>
            </wp:positionV>
            <wp:extent cx="1028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-1413510</wp:posOffset>
            </wp:positionV>
            <wp:extent cx="1028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-76200</wp:posOffset>
            </wp:positionV>
            <wp:extent cx="1111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-59055</wp:posOffset>
            </wp:positionV>
            <wp:extent cx="1111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-76200</wp:posOffset>
            </wp:positionV>
            <wp:extent cx="1028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-59055</wp:posOffset>
            </wp:positionV>
            <wp:extent cx="1028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-76200</wp:posOffset>
            </wp:positionV>
            <wp:extent cx="1028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-59055</wp:posOffset>
            </wp:positionV>
            <wp:extent cx="1028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8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085" w:right="719" w:bottom="1440" w:gutter="0" w:footer="0" w:header="0"/>
        </w:sectPr>
      </w:pPr>
    </w:p>
    <w:bookmarkStart w:id="25" w:name="page26"/>
    <w:bookmarkEnd w:id="25"/>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Ashland has two product categories that represent 10% or greater of Ashland's total consolidated sales, which were cellulosics and polyvinylpyrrolidones ("PVP"). The following table summarizes the percentage of Ashland's total consolidated sales for these products:</w:t>
      </w:r>
    </w:p>
    <w:p>
      <w:pPr>
        <w:spacing w:after="0" w:line="69" w:lineRule="exact"/>
        <w:rPr>
          <w:sz w:val="20"/>
          <w:szCs w:val="20"/>
          <w:color w:val="auto"/>
        </w:rPr>
      </w:pPr>
    </w:p>
    <w:tbl>
      <w:tblPr>
        <w:tblLayout w:type="fixed"/>
        <w:tblInd w:w="40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600" w:type="dxa"/>
            <w:vAlign w:val="bottom"/>
            <w:tcBorders>
              <w:top w:val="single" w:sz="8" w:color="auto"/>
            </w:tcBorders>
            <w:gridSpan w:val="4"/>
          </w:tcPr>
          <w:p>
            <w:pPr>
              <w:jc w:val="center"/>
              <w:ind w:left="235"/>
              <w:spacing w:after="0" w:line="194" w:lineRule="exact"/>
              <w:rPr>
                <w:sz w:val="20"/>
                <w:szCs w:val="20"/>
                <w:color w:val="auto"/>
              </w:rPr>
            </w:pPr>
            <w:r>
              <w:rPr>
                <w:rFonts w:ascii="Times New Roman" w:cs="Times New Roman" w:eastAsia="Times New Roman" w:hAnsi="Times New Roman"/>
                <w:sz w:val="17"/>
                <w:szCs w:val="17"/>
                <w:color w:val="auto"/>
              </w:rPr>
              <w:t>Three months ended</w:t>
            </w:r>
          </w:p>
        </w:tc>
        <w:tc>
          <w:tcPr>
            <w:tcW w:w="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7"/>
                <w:szCs w:val="17"/>
                <w:color w:val="auto"/>
              </w:rPr>
              <w:t>Six months ended</w:t>
            </w: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9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ind w:right="680"/>
              <w:spacing w:after="0"/>
              <w:rPr>
                <w:sz w:val="20"/>
                <w:szCs w:val="20"/>
                <w:color w:val="auto"/>
              </w:rPr>
            </w:pPr>
            <w:r>
              <w:rPr>
                <w:rFonts w:ascii="Times New Roman" w:cs="Times New Roman" w:eastAsia="Times New Roman" w:hAnsi="Times New Roman"/>
                <w:sz w:val="17"/>
                <w:szCs w:val="17"/>
                <w:color w:val="auto"/>
              </w:rPr>
              <w:t>March 31</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7"/>
                <w:szCs w:val="17"/>
                <w:color w:val="auto"/>
              </w:rPr>
              <w:t>March 31</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160" w:type="dxa"/>
            <w:vAlign w:val="bottom"/>
            <w:gridSpan w:val="2"/>
            <w:vMerge w:val="continue"/>
          </w:tcPr>
          <w:p>
            <w:pPr>
              <w:spacing w:after="0"/>
              <w:rPr>
                <w:sz w:val="17"/>
                <w:szCs w:val="17"/>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2026</w:t>
            </w: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2025</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2026</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575"/>
              <w:spacing w:after="0"/>
              <w:rPr>
                <w:sz w:val="20"/>
                <w:szCs w:val="20"/>
                <w:color w:val="auto"/>
              </w:rPr>
            </w:pPr>
            <w:r>
              <w:rPr>
                <w:rFonts w:ascii="Times New Roman" w:cs="Times New Roman" w:eastAsia="Times New Roman" w:hAnsi="Times New Roman"/>
                <w:sz w:val="17"/>
                <w:szCs w:val="17"/>
                <w:color w:val="auto"/>
                <w:w w:val="93"/>
              </w:rPr>
              <w:t>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Cellulosics</w:t>
            </w:r>
          </w:p>
        </w:tc>
        <w:tc>
          <w:tcPr>
            <w:tcW w:w="9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PVP</w:t>
            </w:r>
          </w:p>
        </w:tc>
        <w:tc>
          <w:tcPr>
            <w:tcW w:w="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4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-76200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-59055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-59055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-59055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Trade receivables</w:t>
      </w:r>
    </w:p>
    <w:p>
      <w:pPr>
        <w:spacing w:after="0" w:line="112"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20"/>
          <w:szCs w:val="20"/>
          <w:color w:val="auto"/>
        </w:rPr>
        <w:t>Trade receivables are defined as receivables arising from contracts with customers and are recorded within the accounts receivable, net caption within the Condensed Consolidated Balance Sheets. Ashland’s trade receivables were $199 million and $200 million as of March 31, 2026 and September 30, 2025, respectively. See Note H for additional information on Ashland’s programs to sell certain accounts receivables on a revolving basis to third-party banks up to an aggregate purchase limit (U.S and Foreign Accounts Receivable Sales Programs).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Q – REPORTABLE SEGMENT INFORMATION</w:t>
      </w:r>
    </w:p>
    <w:p>
      <w:pPr>
        <w:spacing w:after="0" w:line="112"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20"/>
          <w:szCs w:val="20"/>
          <w:color w:val="auto"/>
        </w:rPr>
        <w:t>Ashland determines its reportable segments based on how operations are managed internally for the products and services sold to customers, including how the results are reviewed by Guillermo Novo, Chair and Chief Executive Officer of the Company, which includes determining resource allocation methodologies used for reportable segments. Operating income (loss) before income taxes, depreciation and amortization ("EBITDA") are the primary measures of performance that are reviewed by the chief operating decision maker in assessing each reportable segment's financial performance. Ashland does not aggregate operating segments to arrive at these reportable segments.</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Reportable segment business descriptions</w:t>
      </w:r>
    </w:p>
    <w:p>
      <w:pPr>
        <w:spacing w:after="0" w:line="112"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20"/>
          <w:szCs w:val="20"/>
          <w:color w:val="auto"/>
        </w:rPr>
        <w:t>Life Sciences is comprised of pharmaceuticals, nutrition, agricultural chemicals, diagnostic films (formerly known as advanced materials) and fine chemicals. Pharmaceutical solutions include controlled release polymers, disintegrants, tablet coatings, thickeners, solubilizers and tablet binders. Nutrition solutions include thickeners, stabilizers, emulsifiers and additives for enhancing mouthfeel, controlling moisture migration, reducing oil uptake and binding structured foods. Customers include pharmaceutical, food, beverage, hospitals and radiologists manufacturers.</w:t>
      </w:r>
    </w:p>
    <w:p>
      <w:pPr>
        <w:spacing w:after="0" w:line="77"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0"/>
          <w:szCs w:val="20"/>
          <w:color w:val="auto"/>
        </w:rPr>
        <w:t>Personal Care is comprised of biofunctionals, microbial protectants (preservatives), skin care, sun care, oral care, hair care and household. These businesses have a broad range of natural, nature-derived, biodegradable, and high-performance ingredients for customer-driven solutions to help protect, renew, moisturize and revitalize skin and hair, and provide solutions for toothpastes, mouth washes and rinses, denture cleaning and care for teeth. Personal Care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 The Avoca business was sold in March 2025. See Note B for additional information.</w:t>
      </w:r>
    </w:p>
    <w:p>
      <w:pPr>
        <w:spacing w:after="0" w:line="78"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Specialty Additives is comprised of rheology and performance-enhancing additives serving the architectural coatings, construction, energy, automotive and various industrial markets. Solutions include coatings additives for architectural paints, finishes and lacquers, cement- and gypsum-based dry mortars, ready-mixed joint compounds, synthetic plasters for commercial and residential construction, and specialty materials for industrial applications. Products include rheology modifiers (cellulosic and associative thickeners), foam 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but are not limited to, global paint manufacturers, electronics and automotive manufacturers, textile mills, the construction industry and welders.</w:t>
      </w:r>
    </w:p>
    <w:p>
      <w:pPr>
        <w:spacing w:after="0" w:line="8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089" w:right="719" w:bottom="1440" w:gutter="0" w:footer="0" w:header="0"/>
        </w:sectPr>
      </w:pPr>
    </w:p>
    <w:bookmarkStart w:id="26" w:name="page27"/>
    <w:bookmarkEnd w:id="26"/>
    <w:p>
      <w:pPr>
        <w:jc w:val="both"/>
        <w:spacing w:after="0" w:line="249" w:lineRule="auto"/>
        <w:rPr>
          <w:sz w:val="20"/>
          <w:szCs w:val="20"/>
          <w:color w:val="auto"/>
        </w:rPr>
      </w:pPr>
      <w:r>
        <w:rPr>
          <w:rFonts w:ascii="Times New Roman" w:cs="Times New Roman" w:eastAsia="Times New Roman" w:hAnsi="Times New Roman"/>
          <w:sz w:val="20"/>
          <w:szCs w:val="20"/>
          <w:color w:val="auto"/>
        </w:rPr>
        <w:t>Intermediates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agriculture, pharmaceuticals, water filtration membranes and more. BDO is also supplied to Life Sciences, Personal Care, and Specialty Additives for use as a raw material.</w:t>
      </w:r>
    </w:p>
    <w:p>
      <w:pPr>
        <w:spacing w:after="0" w:line="7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Unallocated and other generally includes items such as certain significant company-wide restructuring activities, corporate governance costs and legacy costs or activities that relate to divested businesses that are no longer operated by Ashland.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Reportable segment results</w:t>
      </w:r>
    </w:p>
    <w:p>
      <w:pPr>
        <w:spacing w:after="0" w:line="1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loss caption of the Statements of Condensed Consolidated Comprehensive Income (Loss). Ashland refines its expense allocation methodologies to the reportable segments from time to time as more refined information becomes available and the industry or market changes. Significant revisions to Ashland’s methodologies are adjusted for all reportable segments on a retrospective basis. There were no material changes in methodology for the three and six months ended March 31, 2026 or 2025.</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Ashland determined that disclosing sales by specific product was impracticable due to the highly customized and extensive portfolio of products offered to customers and since no one product or a small group of products could be aggregated together to represent a majority of revenue within a reportable segment.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various financial information for each reportable segment: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27" w:name="page28"/>
    <w:bookmarkEnd w:id="27"/>
    <w:p>
      <w:pPr>
        <w:jc w:val="center"/>
        <w:ind w:left="406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-127635</wp:posOffset>
            </wp:positionV>
            <wp:extent cx="45434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7"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18"/>
          <w:szCs w:val="18"/>
          <w:color w:val="auto"/>
        </w:rPr>
        <w:t>March 31</w:t>
      </w:r>
    </w:p>
    <w:p>
      <w:pPr>
        <w:spacing w:after="0" w:line="20" w:lineRule="exact"/>
        <w:rPr>
          <w:sz w:val="20"/>
          <w:szCs w:val="20"/>
          <w:color w:val="auto"/>
        </w:rPr>
      </w:pPr>
      <w:r>
        <w:rPr>
          <w:sz w:val="20"/>
          <w:szCs w:val="20"/>
          <w:color w:val="auto"/>
        </w:rPr>
        <w:br w:type="column"/>
      </w:r>
    </w:p>
    <w:p>
      <w:pPr>
        <w:jc w:val="center"/>
        <w:ind w:right="1380"/>
        <w:spacing w:after="0"/>
        <w:rPr>
          <w:sz w:val="20"/>
          <w:szCs w:val="20"/>
          <w:color w:val="auto"/>
        </w:rPr>
      </w:pPr>
      <w:r>
        <w:rPr>
          <w:rFonts w:ascii="Times New Roman" w:cs="Times New Roman" w:eastAsia="Times New Roman" w:hAnsi="Times New Roman"/>
          <w:sz w:val="17"/>
          <w:szCs w:val="17"/>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-120650</wp:posOffset>
            </wp:positionV>
            <wp:extent cx="197993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19"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18"/>
          <w:szCs w:val="18"/>
          <w:color w:val="auto"/>
        </w:rPr>
        <w:t>March 31</w:t>
      </w:r>
    </w:p>
    <w:p>
      <w:pPr>
        <w:spacing w:after="0" w:line="9" w:lineRule="exact"/>
        <w:rPr>
          <w:sz w:val="20"/>
          <w:szCs w:val="20"/>
          <w:color w:val="auto"/>
        </w:rPr>
      </w:pPr>
    </w:p>
    <w:p>
      <w:pPr>
        <w:sectPr>
          <w:pgSz w:w="11900" w:h="16838" w:orient="portrait"/>
          <w:cols w:equalWidth="0" w:num="2">
            <w:col w:w="7860" w:space="720"/>
            <w:col w:w="2660"/>
          </w:cols>
          <w:pgMar w:left="320" w:top="999" w:right="339" w:bottom="1440" w:gutter="0" w:footer="0" w:header="0"/>
        </w:sectPr>
      </w:pPr>
    </w:p>
    <w:tbl>
      <w:tblPr>
        <w:tblLayout w:type="fixed"/>
        <w:tblInd w:w="0" w:type="dxa"/>
        <w:tblCellMar>
          <w:top w:w="0" w:type="dxa"/>
          <w:left w:w="0" w:type="dxa"/>
          <w:bottom w:w="0" w:type="dxa"/>
          <w:right w:w="0" w:type="dxa"/>
        </w:tblCellMar>
      </w:tblPr>
      <w:tr>
        <w:trPr>
          <w:trHeight w:val="210"/>
        </w:trPr>
        <w:tc>
          <w:tcPr>
            <w:tcW w:w="4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 millions - unaudited)</w:t>
            </w:r>
          </w:p>
        </w:tc>
        <w:tc>
          <w:tcPr>
            <w:tcW w:w="3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8"/>
                <w:szCs w:val="18"/>
                <w:color w:val="auto"/>
              </w:rPr>
            </w:pPr>
          </w:p>
        </w:tc>
      </w:tr>
      <w:tr>
        <w:trPr>
          <w:trHeight w:val="209"/>
        </w:trPr>
        <w:tc>
          <w:tcPr>
            <w:tcW w:w="420" w:type="dxa"/>
            <w:vAlign w:val="bottom"/>
          </w:tcPr>
          <w:p>
            <w:pPr>
              <w:spacing w:after="0"/>
              <w:rPr>
                <w:sz w:val="18"/>
                <w:szCs w:val="18"/>
                <w:color w:val="auto"/>
              </w:rPr>
            </w:pPr>
          </w:p>
        </w:tc>
        <w:tc>
          <w:tcPr>
            <w:tcW w:w="36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3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i w:val="1"/>
                <w:iCs w:val="1"/>
                <w:color w:val="auto"/>
              </w:rPr>
              <w:t>Intersegment sales</w:t>
            </w:r>
            <w:r>
              <w:rPr>
                <w:rFonts w:ascii="Times New Roman" w:cs="Times New Roman" w:eastAsia="Times New Roman" w:hAnsi="Times New Roman"/>
                <w:sz w:val="24"/>
                <w:szCs w:val="24"/>
                <w:color w:val="auto"/>
                <w:vertAlign w:val="superscript"/>
              </w:rPr>
              <w:t>(a)</w:t>
            </w:r>
          </w:p>
        </w:tc>
        <w:tc>
          <w:tcPr>
            <w:tcW w:w="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Pr>
          <w:p>
            <w:pPr>
              <w:spacing w:after="0"/>
              <w:rPr>
                <w:sz w:val="18"/>
                <w:szCs w:val="18"/>
                <w:color w:val="auto"/>
              </w:rPr>
            </w:pPr>
          </w:p>
        </w:tc>
      </w:tr>
      <w:tr>
        <w:trPr>
          <w:trHeight w:val="249"/>
        </w:trPr>
        <w:tc>
          <w:tcPr>
            <w:tcW w:w="420" w:type="dxa"/>
            <w:vAlign w:val="bottom"/>
          </w:tcPr>
          <w:p>
            <w:pPr>
              <w:spacing w:after="0"/>
              <w:rPr>
                <w:sz w:val="21"/>
                <w:szCs w:val="21"/>
                <w:color w:val="auto"/>
              </w:rPr>
            </w:pPr>
          </w:p>
        </w:tc>
        <w:tc>
          <w:tcPr>
            <w:tcW w:w="368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482</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479</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868</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884</w:t>
            </w:r>
          </w:p>
        </w:tc>
        <w:tc>
          <w:tcPr>
            <w:tcW w:w="400" w:type="dxa"/>
            <w:vAlign w:val="bottom"/>
          </w:tcPr>
          <w:p>
            <w:pPr>
              <w:spacing w:after="0"/>
              <w:rPr>
                <w:sz w:val="21"/>
                <w:szCs w:val="21"/>
                <w:color w:val="auto"/>
              </w:rPr>
            </w:pPr>
          </w:p>
        </w:tc>
      </w:tr>
      <w:tr>
        <w:trPr>
          <w:trHeight w:val="197"/>
        </w:trPr>
        <w:tc>
          <w:tcPr>
            <w:tcW w:w="420" w:type="dxa"/>
            <w:vAlign w:val="bottom"/>
          </w:tcPr>
          <w:p>
            <w:pPr>
              <w:spacing w:after="0"/>
              <w:rPr>
                <w:sz w:val="17"/>
                <w:szCs w:val="17"/>
                <w:color w:val="auto"/>
              </w:rPr>
            </w:pPr>
          </w:p>
        </w:tc>
        <w:tc>
          <w:tcPr>
            <w:tcW w:w="36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of sales</w:t>
            </w:r>
          </w:p>
        </w:tc>
        <w:tc>
          <w:tcPr>
            <w:tcW w:w="3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r>
      <w:tr>
        <w:trPr>
          <w:trHeight w:val="216"/>
        </w:trPr>
        <w:tc>
          <w:tcPr>
            <w:tcW w:w="420" w:type="dxa"/>
            <w:vAlign w:val="bottom"/>
          </w:tcPr>
          <w:p>
            <w:pPr>
              <w:spacing w:after="0"/>
              <w:rPr>
                <w:sz w:val="18"/>
                <w:szCs w:val="18"/>
                <w:color w:val="auto"/>
              </w:rPr>
            </w:pPr>
          </w:p>
        </w:tc>
        <w:tc>
          <w:tcPr>
            <w:tcW w:w="3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208</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Intersegment sales</w:t>
            </w:r>
          </w:p>
        </w:tc>
        <w:tc>
          <w:tcPr>
            <w:tcW w:w="3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Pr>
          <w:p>
            <w:pPr>
              <w:spacing w:after="0"/>
              <w:rPr>
                <w:sz w:val="18"/>
                <w:szCs w:val="18"/>
                <w:color w:val="auto"/>
              </w:rPr>
            </w:pPr>
          </w:p>
        </w:tc>
      </w:tr>
      <w:tr>
        <w:trPr>
          <w:trHeight w:val="209"/>
        </w:trPr>
        <w:tc>
          <w:tcPr>
            <w:tcW w:w="4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616</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626</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w:t>
            </w: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8"/>
                <w:szCs w:val="18"/>
                <w:color w:val="auto"/>
              </w:rPr>
            </w:pPr>
          </w:p>
        </w:tc>
      </w:tr>
      <w:tr>
        <w:trPr>
          <w:trHeight w:val="210"/>
        </w:trPr>
        <w:tc>
          <w:tcPr>
            <w:tcW w:w="4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Total operating segments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3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400" w:type="dxa"/>
            <w:vAlign w:val="bottom"/>
          </w:tcPr>
          <w:p>
            <w:pPr>
              <w:spacing w:after="0"/>
              <w:rPr>
                <w:sz w:val="18"/>
                <w:szCs w:val="18"/>
                <w:color w:val="auto"/>
              </w:rPr>
            </w:pPr>
          </w:p>
        </w:tc>
      </w:tr>
      <w:tr>
        <w:trPr>
          <w:trHeight w:val="209"/>
        </w:trPr>
        <w:tc>
          <w:tcPr>
            <w:tcW w:w="4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w:t>
            </w: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r>
      <w:tr>
        <w:trPr>
          <w:trHeight w:val="210"/>
        </w:trPr>
        <w:tc>
          <w:tcPr>
            <w:tcW w:w="4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Total operating segments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3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r>
      <w:tr>
        <w:trPr>
          <w:trHeight w:val="210"/>
        </w:trPr>
        <w:tc>
          <w:tcPr>
            <w:tcW w:w="4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Amortization expense</w:t>
            </w: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r>
      <w:tr>
        <w:trPr>
          <w:trHeight w:val="210"/>
        </w:trPr>
        <w:tc>
          <w:tcPr>
            <w:tcW w:w="4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Total operating segments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3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r>
      <w:tr>
        <w:trPr>
          <w:trHeight w:val="210"/>
        </w:trPr>
        <w:tc>
          <w:tcPr>
            <w:tcW w:w="4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and other income</w:t>
            </w: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r>
      <w:tr>
        <w:trPr>
          <w:trHeight w:val="210"/>
        </w:trPr>
        <w:tc>
          <w:tcPr>
            <w:tcW w:w="4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Total operating segments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3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r>
      <w:tr>
        <w:trPr>
          <w:trHeight w:val="228"/>
        </w:trPr>
        <w:tc>
          <w:tcPr>
            <w:tcW w:w="4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9"/>
                <w:szCs w:val="19"/>
                <w:color w:val="auto"/>
              </w:rPr>
            </w:pPr>
          </w:p>
        </w:tc>
      </w:tr>
      <w:tr>
        <w:trPr>
          <w:trHeight w:val="49"/>
        </w:trPr>
        <w:tc>
          <w:tcPr>
            <w:tcW w:w="420" w:type="dxa"/>
            <w:vAlign w:val="bottom"/>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r>
      <w:tr>
        <w:trPr>
          <w:trHeight w:val="533"/>
        </w:trPr>
        <w:tc>
          <w:tcPr>
            <w:tcW w:w="4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63"/>
        </w:trPr>
        <w:tc>
          <w:tcPr>
            <w:tcW w:w="42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-6343015</wp:posOffset>
            </wp:positionV>
            <wp:extent cx="1028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-6325870</wp:posOffset>
            </wp:positionV>
            <wp:extent cx="1028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-6343015</wp:posOffset>
            </wp:positionV>
            <wp:extent cx="1028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-6325870</wp:posOffset>
            </wp:positionV>
            <wp:extent cx="1028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-6343015</wp:posOffset>
            </wp:positionV>
            <wp:extent cx="1028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-6325870</wp:posOffset>
            </wp:positionV>
            <wp:extent cx="1028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-5494020</wp:posOffset>
            </wp:positionV>
            <wp:extent cx="1028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-5494020</wp:posOffset>
            </wp:positionV>
            <wp:extent cx="1028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-5494020</wp:posOffset>
            </wp:positionV>
            <wp:extent cx="1028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-4662805</wp:posOffset>
            </wp:positionV>
            <wp:extent cx="1028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-4662805</wp:posOffset>
            </wp:positionV>
            <wp:extent cx="1028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-4662805</wp:posOffset>
            </wp:positionV>
            <wp:extent cx="1028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-4379595</wp:posOffset>
            </wp:positionV>
            <wp:extent cx="1028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-4379595</wp:posOffset>
            </wp:positionV>
            <wp:extent cx="1028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-4379595</wp:posOffset>
            </wp:positionV>
            <wp:extent cx="1028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-3548380</wp:posOffset>
            </wp:positionV>
            <wp:extent cx="1028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-3548380</wp:posOffset>
            </wp:positionV>
            <wp:extent cx="1028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-3548380</wp:posOffset>
            </wp:positionV>
            <wp:extent cx="1028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-3265170</wp:posOffset>
            </wp:positionV>
            <wp:extent cx="10287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-3265170</wp:posOffset>
            </wp:positionV>
            <wp:extent cx="10287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-3265170</wp:posOffset>
            </wp:positionV>
            <wp:extent cx="10287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-2433955</wp:posOffset>
            </wp:positionV>
            <wp:extent cx="1028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-2433955</wp:posOffset>
            </wp:positionV>
            <wp:extent cx="1028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-2433955</wp:posOffset>
            </wp:positionV>
            <wp:extent cx="1028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-2150745</wp:posOffset>
            </wp:positionV>
            <wp:extent cx="1028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-2150745</wp:posOffset>
            </wp:positionV>
            <wp:extent cx="1028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-2150745</wp:posOffset>
            </wp:positionV>
            <wp:extent cx="1028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-1319530</wp:posOffset>
            </wp:positionV>
            <wp:extent cx="10287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-1319530</wp:posOffset>
            </wp:positionV>
            <wp:extent cx="10287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-1319530</wp:posOffset>
            </wp:positionV>
            <wp:extent cx="10287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-1036320</wp:posOffset>
            </wp:positionV>
            <wp:extent cx="1028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-1036320</wp:posOffset>
            </wp:positionV>
            <wp:extent cx="1028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-1036320</wp:posOffset>
            </wp:positionV>
            <wp:extent cx="10287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0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4"/>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 - unaudited)</w:t>
            </w: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March 31</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March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(loss) on divestitures, net</w:t>
            </w:r>
          </w:p>
        </w:tc>
        <w:tc>
          <w:tcPr>
            <w:tcW w:w="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Total operating segments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Total operating segments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FF0FC"/>
            </w:tcBorders>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i w:val="1"/>
                <w:iCs w:val="1"/>
                <w:color w:val="auto"/>
              </w:rPr>
              <w:t>Unallocated and other</w:t>
            </w:r>
            <w:r>
              <w:rPr>
                <w:rFonts w:ascii="Times New Roman" w:cs="Times New Roman" w:eastAsia="Times New Roman" w:hAnsi="Times New Roman"/>
                <w:sz w:val="24"/>
                <w:szCs w:val="24"/>
                <w:i w:val="1"/>
                <w:iCs w:val="1"/>
                <w:color w:val="auto"/>
                <w:vertAlign w:val="superscript"/>
              </w:rPr>
              <w:t>(b)</w:t>
            </w: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Total operating income (loss)</w:t>
            </w: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interest and other expense</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net periodic benefit loss</w:t>
            </w: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4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Income (loss) from continuing operations before</w:t>
            </w:r>
          </w:p>
        </w:tc>
        <w:tc>
          <w:tcPr>
            <w:tcW w:w="3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52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4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income taxes</w:t>
            </w:r>
          </w:p>
        </w:tc>
        <w:tc>
          <w:tcPr>
            <w:tcW w:w="300" w:type="dxa"/>
            <w:vAlign w:val="bottom"/>
            <w:gridSpan w:val="2"/>
            <w:vMerge w:val="continue"/>
            <w:shd w:val="clear" w:color="auto" w:fill="CFF0FC"/>
          </w:tcPr>
          <w:p>
            <w:pPr>
              <w:spacing w:after="0"/>
              <w:rPr>
                <w:sz w:val="20"/>
                <w:szCs w:val="20"/>
                <w:color w:val="auto"/>
              </w:rPr>
            </w:pPr>
          </w:p>
        </w:tc>
        <w:tc>
          <w:tcPr>
            <w:tcW w:w="1180" w:type="dxa"/>
            <w:vAlign w:val="bottom"/>
            <w:vMerge w:val="continue"/>
            <w:shd w:val="clear" w:color="auto" w:fill="CFF0FC"/>
          </w:tcPr>
          <w:p>
            <w:pPr>
              <w:spacing w:after="0"/>
              <w:rPr>
                <w:sz w:val="20"/>
                <w:szCs w:val="20"/>
                <w:color w:val="auto"/>
              </w:rPr>
            </w:pPr>
          </w:p>
        </w:tc>
        <w:tc>
          <w:tcPr>
            <w:tcW w:w="520" w:type="dxa"/>
            <w:vAlign w:val="bottom"/>
            <w:gridSpan w:val="2"/>
            <w:vMerge w:val="continue"/>
            <w:shd w:val="clear" w:color="auto" w:fill="CFF0FC"/>
          </w:tcPr>
          <w:p>
            <w:pPr>
              <w:spacing w:after="0"/>
              <w:rPr>
                <w:sz w:val="20"/>
                <w:szCs w:val="20"/>
                <w:color w:val="auto"/>
              </w:rPr>
            </w:pPr>
          </w:p>
        </w:tc>
        <w:tc>
          <w:tcPr>
            <w:tcW w:w="1100" w:type="dxa"/>
            <w:vAlign w:val="bottom"/>
            <w:vMerge w:val="continue"/>
            <w:shd w:val="clear" w:color="auto" w:fill="CFF0FC"/>
          </w:tcPr>
          <w:p>
            <w:pPr>
              <w:spacing w:after="0"/>
              <w:rPr>
                <w:sz w:val="20"/>
                <w:szCs w:val="20"/>
                <w:color w:val="auto"/>
              </w:rPr>
            </w:pPr>
          </w:p>
        </w:tc>
        <w:tc>
          <w:tcPr>
            <w:tcW w:w="460" w:type="dxa"/>
            <w:vAlign w:val="bottom"/>
            <w:gridSpan w:val="2"/>
            <w:vMerge w:val="continue"/>
            <w:shd w:val="clear" w:color="auto" w:fill="CFF0FC"/>
          </w:tcPr>
          <w:p>
            <w:pPr>
              <w:spacing w:after="0"/>
              <w:rPr>
                <w:sz w:val="20"/>
                <w:szCs w:val="20"/>
                <w:color w:val="auto"/>
              </w:rPr>
            </w:pPr>
          </w:p>
        </w:tc>
        <w:tc>
          <w:tcPr>
            <w:tcW w:w="1180" w:type="dxa"/>
            <w:vAlign w:val="bottom"/>
            <w:vMerge w:val="continue"/>
            <w:shd w:val="clear" w:color="auto" w:fill="CFF0FC"/>
          </w:tcPr>
          <w:p>
            <w:pPr>
              <w:spacing w:after="0"/>
              <w:rPr>
                <w:sz w:val="20"/>
                <w:szCs w:val="20"/>
                <w:color w:val="auto"/>
              </w:rPr>
            </w:pPr>
          </w:p>
        </w:tc>
        <w:tc>
          <w:tcPr>
            <w:tcW w:w="520" w:type="dxa"/>
            <w:vAlign w:val="bottom"/>
            <w:gridSpan w:val="2"/>
            <w:vMerge w:val="continue"/>
            <w:shd w:val="clear" w:color="auto" w:fill="CFF0FC"/>
          </w:tcPr>
          <w:p>
            <w:pPr>
              <w:spacing w:after="0"/>
              <w:rPr>
                <w:sz w:val="20"/>
                <w:szCs w:val="20"/>
                <w:color w:val="auto"/>
              </w:rPr>
            </w:pPr>
          </w:p>
        </w:tc>
        <w:tc>
          <w:tcPr>
            <w:tcW w:w="112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04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24"/>
                <w:szCs w:val="24"/>
                <w:b w:val="1"/>
                <w:bCs w:val="1"/>
                <w:color w:val="auto"/>
                <w:vertAlign w:val="superscript"/>
              </w:rPr>
              <w:t>(c)</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Total operating segments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Total EBITDA</w:t>
            </w: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Depreciation expense</w:t>
            </w:r>
          </w:p>
        </w:tc>
        <w:tc>
          <w:tcPr>
            <w:tcW w:w="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Amortization expense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interest and other expense</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net periodic benefit loss</w:t>
            </w: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4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Income (loss) from continuing operations before</w:t>
            </w:r>
          </w:p>
        </w:tc>
        <w:tc>
          <w:tcPr>
            <w:tcW w:w="3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52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4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income taxes</w:t>
            </w:r>
          </w:p>
        </w:tc>
        <w:tc>
          <w:tcPr>
            <w:tcW w:w="300" w:type="dxa"/>
            <w:vAlign w:val="bottom"/>
            <w:gridSpan w:val="2"/>
            <w:vMerge w:val="continue"/>
            <w:shd w:val="clear" w:color="auto" w:fill="CFF0FC"/>
          </w:tcPr>
          <w:p>
            <w:pPr>
              <w:spacing w:after="0"/>
              <w:rPr>
                <w:sz w:val="20"/>
                <w:szCs w:val="20"/>
                <w:color w:val="auto"/>
              </w:rPr>
            </w:pPr>
          </w:p>
        </w:tc>
        <w:tc>
          <w:tcPr>
            <w:tcW w:w="1180" w:type="dxa"/>
            <w:vAlign w:val="bottom"/>
            <w:vMerge w:val="continue"/>
            <w:shd w:val="clear" w:color="auto" w:fill="CFF0FC"/>
          </w:tcPr>
          <w:p>
            <w:pPr>
              <w:spacing w:after="0"/>
              <w:rPr>
                <w:sz w:val="20"/>
                <w:szCs w:val="20"/>
                <w:color w:val="auto"/>
              </w:rPr>
            </w:pPr>
          </w:p>
        </w:tc>
        <w:tc>
          <w:tcPr>
            <w:tcW w:w="520" w:type="dxa"/>
            <w:vAlign w:val="bottom"/>
            <w:gridSpan w:val="2"/>
            <w:vMerge w:val="continue"/>
            <w:shd w:val="clear" w:color="auto" w:fill="CFF0FC"/>
          </w:tcPr>
          <w:p>
            <w:pPr>
              <w:spacing w:after="0"/>
              <w:rPr>
                <w:sz w:val="20"/>
                <w:szCs w:val="20"/>
                <w:color w:val="auto"/>
              </w:rPr>
            </w:pPr>
          </w:p>
        </w:tc>
        <w:tc>
          <w:tcPr>
            <w:tcW w:w="1100" w:type="dxa"/>
            <w:vAlign w:val="bottom"/>
            <w:vMerge w:val="continue"/>
            <w:shd w:val="clear" w:color="auto" w:fill="CFF0FC"/>
          </w:tcPr>
          <w:p>
            <w:pPr>
              <w:spacing w:after="0"/>
              <w:rPr>
                <w:sz w:val="20"/>
                <w:szCs w:val="20"/>
                <w:color w:val="auto"/>
              </w:rPr>
            </w:pPr>
          </w:p>
        </w:tc>
        <w:tc>
          <w:tcPr>
            <w:tcW w:w="460" w:type="dxa"/>
            <w:vAlign w:val="bottom"/>
            <w:gridSpan w:val="2"/>
            <w:vMerge w:val="continue"/>
            <w:shd w:val="clear" w:color="auto" w:fill="CFF0FC"/>
          </w:tcPr>
          <w:p>
            <w:pPr>
              <w:spacing w:after="0"/>
              <w:rPr>
                <w:sz w:val="20"/>
                <w:szCs w:val="20"/>
                <w:color w:val="auto"/>
              </w:rPr>
            </w:pPr>
          </w:p>
        </w:tc>
        <w:tc>
          <w:tcPr>
            <w:tcW w:w="1180" w:type="dxa"/>
            <w:vAlign w:val="bottom"/>
            <w:vMerge w:val="continue"/>
            <w:shd w:val="clear" w:color="auto" w:fill="CFF0FC"/>
          </w:tcPr>
          <w:p>
            <w:pPr>
              <w:spacing w:after="0"/>
              <w:rPr>
                <w:sz w:val="20"/>
                <w:szCs w:val="20"/>
                <w:color w:val="auto"/>
              </w:rPr>
            </w:pPr>
          </w:p>
        </w:tc>
        <w:tc>
          <w:tcPr>
            <w:tcW w:w="520" w:type="dxa"/>
            <w:vAlign w:val="bottom"/>
            <w:gridSpan w:val="2"/>
            <w:vMerge w:val="continue"/>
            <w:shd w:val="clear" w:color="auto" w:fill="CFF0FC"/>
          </w:tcPr>
          <w:p>
            <w:pPr>
              <w:spacing w:after="0"/>
              <w:rPr>
                <w:sz w:val="20"/>
                <w:szCs w:val="20"/>
                <w:color w:val="auto"/>
              </w:rPr>
            </w:pPr>
          </w:p>
        </w:tc>
        <w:tc>
          <w:tcPr>
            <w:tcW w:w="112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04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Depreciation expense</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i w:val="1"/>
                <w:iCs w:val="1"/>
                <w:color w:val="auto"/>
              </w:rPr>
              <w:t>Life Sciences</w:t>
            </w:r>
            <w:r>
              <w:rPr>
                <w:rFonts w:ascii="Times New Roman" w:cs="Times New Roman" w:eastAsia="Times New Roman" w:hAnsi="Times New Roman"/>
                <w:sz w:val="24"/>
                <w:szCs w:val="24"/>
                <w:i w:val="1"/>
                <w:iCs w:val="1"/>
                <w:color w:val="auto"/>
                <w:vertAlign w:val="superscript"/>
              </w:rPr>
              <w:t>(d)</w:t>
            </w: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i w:val="1"/>
                <w:iCs w:val="1"/>
                <w:color w:val="auto"/>
              </w:rPr>
              <w:t>Specialty Additives</w:t>
            </w:r>
            <w:r>
              <w:rPr>
                <w:rFonts w:ascii="Times New Roman" w:cs="Times New Roman" w:eastAsia="Times New Roman" w:hAnsi="Times New Roman"/>
                <w:sz w:val="24"/>
                <w:szCs w:val="24"/>
                <w:i w:val="1"/>
                <w:iCs w:val="1"/>
                <w:color w:val="auto"/>
                <w:vertAlign w:val="superscript"/>
              </w:rPr>
              <w:t>(e)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Total operating segments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-5502910</wp:posOffset>
            </wp:positionV>
            <wp:extent cx="1028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-5502910</wp:posOffset>
            </wp:positionV>
            <wp:extent cx="1028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-5502910</wp:posOffset>
            </wp:positionV>
            <wp:extent cx="1028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3514090</wp:posOffset>
            </wp:positionH>
            <wp:positionV relativeFrom="paragraph">
              <wp:posOffset>-5219700</wp:posOffset>
            </wp:positionV>
            <wp:extent cx="1028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-5219700</wp:posOffset>
            </wp:positionV>
            <wp:extent cx="10287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-5219700</wp:posOffset>
            </wp:positionV>
            <wp:extent cx="10287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3514090</wp:posOffset>
            </wp:positionH>
            <wp:positionV relativeFrom="paragraph">
              <wp:posOffset>-4388485</wp:posOffset>
            </wp:positionV>
            <wp:extent cx="10287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-4388485</wp:posOffset>
            </wp:positionV>
            <wp:extent cx="10287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-4388485</wp:posOffset>
            </wp:positionV>
            <wp:extent cx="10287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3514090</wp:posOffset>
            </wp:positionH>
            <wp:positionV relativeFrom="paragraph">
              <wp:posOffset>-4105275</wp:posOffset>
            </wp:positionV>
            <wp:extent cx="10287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-4105275</wp:posOffset>
            </wp:positionV>
            <wp:extent cx="10287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-4105275</wp:posOffset>
            </wp:positionV>
            <wp:extent cx="10287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3514090</wp:posOffset>
            </wp:positionH>
            <wp:positionV relativeFrom="paragraph">
              <wp:posOffset>-3428365</wp:posOffset>
            </wp:positionV>
            <wp:extent cx="10287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3514090</wp:posOffset>
            </wp:positionH>
            <wp:positionV relativeFrom="paragraph">
              <wp:posOffset>-3411220</wp:posOffset>
            </wp:positionV>
            <wp:extent cx="10287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-3428365</wp:posOffset>
            </wp:positionV>
            <wp:extent cx="1028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-3411220</wp:posOffset>
            </wp:positionV>
            <wp:extent cx="10287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-3428365</wp:posOffset>
            </wp:positionV>
            <wp:extent cx="1028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-3411220</wp:posOffset>
            </wp:positionV>
            <wp:extent cx="1028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3514090</wp:posOffset>
            </wp:positionH>
            <wp:positionV relativeFrom="paragraph">
              <wp:posOffset>-2579370</wp:posOffset>
            </wp:positionV>
            <wp:extent cx="10287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-2579370</wp:posOffset>
            </wp:positionV>
            <wp:extent cx="10287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-2579370</wp:posOffset>
            </wp:positionV>
            <wp:extent cx="10287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3514090</wp:posOffset>
            </wp:positionH>
            <wp:positionV relativeFrom="paragraph">
              <wp:posOffset>-2296795</wp:posOffset>
            </wp:positionV>
            <wp:extent cx="10287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-2296795</wp:posOffset>
            </wp:positionV>
            <wp:extent cx="10287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-2296795</wp:posOffset>
            </wp:positionV>
            <wp:extent cx="10287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3514090</wp:posOffset>
            </wp:positionH>
            <wp:positionV relativeFrom="paragraph">
              <wp:posOffset>-1336675</wp:posOffset>
            </wp:positionV>
            <wp:extent cx="1028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3514090</wp:posOffset>
            </wp:positionH>
            <wp:positionV relativeFrom="paragraph">
              <wp:posOffset>-1319530</wp:posOffset>
            </wp:positionV>
            <wp:extent cx="10287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-1336675</wp:posOffset>
            </wp:positionV>
            <wp:extent cx="10287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-1319530</wp:posOffset>
            </wp:positionV>
            <wp:extent cx="10287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-1336675</wp:posOffset>
            </wp:positionV>
            <wp:extent cx="1028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-1319530</wp:posOffset>
            </wp:positionV>
            <wp:extent cx="10287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3514090</wp:posOffset>
            </wp:positionH>
            <wp:positionV relativeFrom="paragraph">
              <wp:posOffset>-487680</wp:posOffset>
            </wp:positionV>
            <wp:extent cx="1028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-487680</wp:posOffset>
            </wp:positionV>
            <wp:extent cx="1028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-487680</wp:posOffset>
            </wp:positionV>
            <wp:extent cx="1028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3514090</wp:posOffset>
            </wp:positionH>
            <wp:positionV relativeFrom="paragraph">
              <wp:posOffset>-205105</wp:posOffset>
            </wp:positionV>
            <wp:extent cx="10287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-205105</wp:posOffset>
            </wp:positionV>
            <wp:extent cx="10287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-205105</wp:posOffset>
            </wp:positionV>
            <wp:extent cx="10287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0440"/>
          </w:cols>
          <w:pgMar w:left="720" w:top="1440" w:right="739" w:bottom="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9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75"/>
              <w:spacing w:after="0" w:line="194" w:lineRule="exact"/>
              <w:rPr>
                <w:sz w:val="20"/>
                <w:szCs w:val="20"/>
                <w:color w:val="auto"/>
              </w:rPr>
            </w:pPr>
            <w:r>
              <w:rPr>
                <w:rFonts w:ascii="Times New Roman" w:cs="Times New Roman" w:eastAsia="Times New Roman" w:hAnsi="Times New Roman"/>
                <w:sz w:val="17"/>
                <w:szCs w:val="17"/>
                <w:color w:val="auto"/>
              </w:rPr>
              <w:t>March 31</w:t>
            </w:r>
          </w:p>
        </w:tc>
        <w:tc>
          <w:tcPr>
            <w:tcW w:w="6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right"/>
              <w:ind w:right="575"/>
              <w:spacing w:after="0" w:line="194" w:lineRule="exact"/>
              <w:rPr>
                <w:sz w:val="20"/>
                <w:szCs w:val="20"/>
                <w:color w:val="auto"/>
              </w:rPr>
            </w:pPr>
            <w:r>
              <w:rPr>
                <w:rFonts w:ascii="Times New Roman" w:cs="Times New Roman" w:eastAsia="Times New Roman" w:hAnsi="Times New Roman"/>
                <w:sz w:val="17"/>
                <w:szCs w:val="17"/>
                <w:color w:val="auto"/>
              </w:rPr>
              <w:t>September 30</w:t>
            </w:r>
          </w:p>
        </w:tc>
      </w:tr>
      <w:tr>
        <w:trPr>
          <w:trHeight w:val="223"/>
        </w:trPr>
        <w:tc>
          <w:tcPr>
            <w:tcW w:w="5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millions - unaudited)</w:t>
            </w:r>
          </w:p>
        </w:tc>
        <w:tc>
          <w:tcPr>
            <w:tcW w:w="15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2026</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ind w:right="875"/>
              <w:spacing w:after="0"/>
              <w:rPr>
                <w:sz w:val="20"/>
                <w:szCs w:val="20"/>
                <w:color w:val="auto"/>
              </w:rPr>
            </w:pPr>
            <w:r>
              <w:rPr>
                <w:rFonts w:ascii="Times New Roman" w:cs="Times New Roman" w:eastAsia="Times New Roman" w:hAnsi="Times New Roman"/>
                <w:sz w:val="17"/>
                <w:szCs w:val="17"/>
                <w:color w:val="auto"/>
              </w:rPr>
              <w:t>2025</w:t>
            </w:r>
          </w:p>
        </w:tc>
      </w:tr>
      <w:tr>
        <w:trPr>
          <w:trHeight w:val="197"/>
        </w:trPr>
        <w:tc>
          <w:tcPr>
            <w:tcW w:w="20" w:type="dxa"/>
            <w:vAlign w:val="bottom"/>
          </w:tcPr>
          <w:p>
            <w:pPr>
              <w:spacing w:after="0"/>
              <w:rPr>
                <w:sz w:val="17"/>
                <w:szCs w:val="17"/>
                <w:color w:val="auto"/>
              </w:rPr>
            </w:pPr>
          </w:p>
        </w:tc>
        <w:tc>
          <w:tcPr>
            <w:tcW w:w="5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5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840" w:type="dxa"/>
            <w:vAlign w:val="bottom"/>
            <w:tcBorders>
              <w:top w:val="single" w:sz="8" w:color="auto"/>
            </w:tcBorders>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7"/>
                <w:szCs w:val="17"/>
                <w:i w:val="1"/>
                <w:iCs w:val="1"/>
                <w:color w:val="auto"/>
              </w:rPr>
              <w:t>Life Sciences</w:t>
            </w:r>
          </w:p>
        </w:tc>
        <w:tc>
          <w:tcPr>
            <w:tcW w:w="1500" w:type="dxa"/>
            <w:vAlign w:val="bottom"/>
          </w:tcPr>
          <w:p>
            <w:pPr>
              <w:jc w:val="right"/>
              <w:ind w:right="133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1,455</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1,498</w:t>
            </w:r>
          </w:p>
        </w:tc>
      </w:tr>
      <w:tr>
        <w:trPr>
          <w:trHeight w:val="203"/>
        </w:trPr>
        <w:tc>
          <w:tcPr>
            <w:tcW w:w="20" w:type="dxa"/>
            <w:vAlign w:val="bottom"/>
          </w:tcPr>
          <w:p>
            <w:pPr>
              <w:spacing w:after="0"/>
              <w:rPr>
                <w:sz w:val="17"/>
                <w:szCs w:val="17"/>
                <w:color w:val="auto"/>
              </w:rPr>
            </w:pPr>
          </w:p>
        </w:tc>
        <w:tc>
          <w:tcPr>
            <w:tcW w:w="5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i w:val="1"/>
                <w:iCs w:val="1"/>
                <w:color w:val="auto"/>
              </w:rPr>
              <w:t>Personal Care</w:t>
            </w:r>
          </w:p>
        </w:tc>
        <w:tc>
          <w:tcPr>
            <w:tcW w:w="150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714</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751</w:t>
            </w:r>
          </w:p>
        </w:tc>
      </w:tr>
      <w:tr>
        <w:trPr>
          <w:trHeight w:val="203"/>
        </w:trPr>
        <w:tc>
          <w:tcPr>
            <w:tcW w:w="20" w:type="dxa"/>
            <w:vAlign w:val="bottom"/>
          </w:tcPr>
          <w:p>
            <w:pPr>
              <w:spacing w:after="0"/>
              <w:rPr>
                <w:sz w:val="17"/>
                <w:szCs w:val="17"/>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7"/>
                <w:szCs w:val="17"/>
                <w:i w:val="1"/>
                <w:iCs w:val="1"/>
                <w:color w:val="auto"/>
              </w:rPr>
              <w:t>Specialty Additives</w:t>
            </w:r>
          </w:p>
        </w:tc>
        <w:tc>
          <w:tcPr>
            <w:tcW w:w="1500" w:type="dxa"/>
            <w:vAlign w:val="bottom"/>
          </w:tcPr>
          <w:p>
            <w:pPr>
              <w:spacing w:after="0"/>
              <w:rPr>
                <w:sz w:val="17"/>
                <w:szCs w:val="17"/>
                <w:color w:val="auto"/>
              </w:rPr>
            </w:pPr>
          </w:p>
        </w:tc>
        <w:tc>
          <w:tcPr>
            <w:tcW w:w="6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988</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1,020</w:t>
            </w:r>
          </w:p>
        </w:tc>
      </w:tr>
      <w:tr>
        <w:trPr>
          <w:trHeight w:val="203"/>
        </w:trPr>
        <w:tc>
          <w:tcPr>
            <w:tcW w:w="20" w:type="dxa"/>
            <w:vAlign w:val="bottom"/>
          </w:tcPr>
          <w:p>
            <w:pPr>
              <w:spacing w:after="0"/>
              <w:rPr>
                <w:sz w:val="17"/>
                <w:szCs w:val="17"/>
                <w:color w:val="auto"/>
              </w:rPr>
            </w:pPr>
          </w:p>
        </w:tc>
        <w:tc>
          <w:tcPr>
            <w:tcW w:w="5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i w:val="1"/>
                <w:iCs w:val="1"/>
                <w:color w:val="auto"/>
              </w:rPr>
              <w:t>Intermediates</w:t>
            </w:r>
          </w:p>
        </w:tc>
        <w:tc>
          <w:tcPr>
            <w:tcW w:w="150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107</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116</w:t>
            </w:r>
          </w:p>
        </w:tc>
      </w:tr>
      <w:tr>
        <w:trPr>
          <w:trHeight w:val="203"/>
        </w:trPr>
        <w:tc>
          <w:tcPr>
            <w:tcW w:w="20" w:type="dxa"/>
            <w:vAlign w:val="bottom"/>
          </w:tcPr>
          <w:p>
            <w:pPr>
              <w:spacing w:after="0"/>
              <w:rPr>
                <w:sz w:val="17"/>
                <w:szCs w:val="17"/>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7"/>
                <w:szCs w:val="17"/>
                <w:i w:val="1"/>
                <w:iCs w:val="1"/>
                <w:color w:val="auto"/>
              </w:rPr>
              <w:t>Unallocated and other</w:t>
            </w:r>
          </w:p>
        </w:tc>
        <w:tc>
          <w:tcPr>
            <w:tcW w:w="15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1,235</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1,226</w:t>
            </w:r>
          </w:p>
        </w:tc>
      </w:tr>
      <w:tr>
        <w:trPr>
          <w:trHeight w:val="236"/>
        </w:trPr>
        <w:tc>
          <w:tcPr>
            <w:tcW w:w="20" w:type="dxa"/>
            <w:vAlign w:val="bottom"/>
          </w:tcPr>
          <w:p>
            <w:pPr>
              <w:spacing w:after="0"/>
              <w:rPr>
                <w:sz w:val="20"/>
                <w:szCs w:val="20"/>
                <w:color w:val="auto"/>
              </w:rPr>
            </w:pPr>
          </w:p>
        </w:tc>
        <w:tc>
          <w:tcPr>
            <w:tcW w:w="590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133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4,499</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4,611</w:t>
            </w:r>
          </w:p>
        </w:tc>
      </w:tr>
      <w:tr>
        <w:trPr>
          <w:trHeight w:val="183"/>
        </w:trPr>
        <w:tc>
          <w:tcPr>
            <w:tcW w:w="20" w:type="dxa"/>
            <w:vAlign w:val="bottom"/>
          </w:tcPr>
          <w:p>
            <w:pPr>
              <w:spacing w:after="0"/>
              <w:rPr>
                <w:sz w:val="15"/>
                <w:szCs w:val="15"/>
                <w:color w:val="auto"/>
              </w:rPr>
            </w:pPr>
          </w:p>
        </w:tc>
        <w:tc>
          <w:tcPr>
            <w:tcW w:w="5900" w:type="dxa"/>
            <w:vAlign w:val="bottom"/>
            <w:tcBorders>
              <w:top w:val="single" w:sz="8" w:color="CFF0FC"/>
            </w:tcBorders>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Property, plant and equipment - net</w:t>
            </w:r>
          </w:p>
        </w:tc>
        <w:tc>
          <w:tcPr>
            <w:tcW w:w="15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i w:val="1"/>
                <w:iCs w:val="1"/>
                <w:color w:val="auto"/>
              </w:rPr>
              <w:t>Life Sciences</w:t>
            </w:r>
          </w:p>
        </w:tc>
        <w:tc>
          <w:tcPr>
            <w:tcW w:w="1500" w:type="dxa"/>
            <w:vAlign w:val="bottom"/>
            <w:shd w:val="clear" w:color="auto" w:fill="CFF0FC"/>
          </w:tcPr>
          <w:p>
            <w:pPr>
              <w:jc w:val="right"/>
              <w:ind w:right="133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468</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481</w:t>
            </w:r>
          </w:p>
        </w:tc>
      </w:tr>
      <w:tr>
        <w:trPr>
          <w:trHeight w:val="203"/>
        </w:trPr>
        <w:tc>
          <w:tcPr>
            <w:tcW w:w="20" w:type="dxa"/>
            <w:vAlign w:val="bottom"/>
          </w:tcPr>
          <w:p>
            <w:pPr>
              <w:spacing w:after="0"/>
              <w:rPr>
                <w:sz w:val="17"/>
                <w:szCs w:val="17"/>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7"/>
                <w:szCs w:val="17"/>
                <w:i w:val="1"/>
                <w:iCs w:val="1"/>
                <w:color w:val="auto"/>
              </w:rPr>
              <w:t>Personal Care</w:t>
            </w:r>
          </w:p>
        </w:tc>
        <w:tc>
          <w:tcPr>
            <w:tcW w:w="1500" w:type="dxa"/>
            <w:vAlign w:val="bottom"/>
          </w:tcPr>
          <w:p>
            <w:pPr>
              <w:spacing w:after="0"/>
              <w:rPr>
                <w:sz w:val="17"/>
                <w:szCs w:val="17"/>
                <w:color w:val="auto"/>
              </w:rPr>
            </w:pPr>
          </w:p>
        </w:tc>
        <w:tc>
          <w:tcPr>
            <w:tcW w:w="6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95</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101</w:t>
            </w:r>
          </w:p>
        </w:tc>
      </w:tr>
      <w:tr>
        <w:trPr>
          <w:trHeight w:val="203"/>
        </w:trPr>
        <w:tc>
          <w:tcPr>
            <w:tcW w:w="20" w:type="dxa"/>
            <w:vAlign w:val="bottom"/>
          </w:tcPr>
          <w:p>
            <w:pPr>
              <w:spacing w:after="0"/>
              <w:rPr>
                <w:sz w:val="17"/>
                <w:szCs w:val="17"/>
                <w:color w:val="auto"/>
              </w:rPr>
            </w:pPr>
          </w:p>
        </w:tc>
        <w:tc>
          <w:tcPr>
            <w:tcW w:w="5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i w:val="1"/>
                <w:iCs w:val="1"/>
                <w:color w:val="auto"/>
              </w:rPr>
              <w:t>Specialty Additives</w:t>
            </w:r>
          </w:p>
        </w:tc>
        <w:tc>
          <w:tcPr>
            <w:tcW w:w="150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468</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484</w:t>
            </w:r>
          </w:p>
        </w:tc>
      </w:tr>
      <w:tr>
        <w:trPr>
          <w:trHeight w:val="203"/>
        </w:trPr>
        <w:tc>
          <w:tcPr>
            <w:tcW w:w="20" w:type="dxa"/>
            <w:vAlign w:val="bottom"/>
          </w:tcPr>
          <w:p>
            <w:pPr>
              <w:spacing w:after="0"/>
              <w:rPr>
                <w:sz w:val="17"/>
                <w:szCs w:val="17"/>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7"/>
                <w:szCs w:val="17"/>
                <w:i w:val="1"/>
                <w:iCs w:val="1"/>
                <w:color w:val="auto"/>
              </w:rPr>
              <w:t>Intermediates</w:t>
            </w:r>
          </w:p>
        </w:tc>
        <w:tc>
          <w:tcPr>
            <w:tcW w:w="1500" w:type="dxa"/>
            <w:vAlign w:val="bottom"/>
          </w:tcPr>
          <w:p>
            <w:pPr>
              <w:spacing w:after="0"/>
              <w:rPr>
                <w:sz w:val="17"/>
                <w:szCs w:val="17"/>
                <w:color w:val="auto"/>
              </w:rPr>
            </w:pPr>
          </w:p>
        </w:tc>
        <w:tc>
          <w:tcPr>
            <w:tcW w:w="6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30</w:t>
            </w:r>
          </w:p>
        </w:tc>
      </w:tr>
      <w:tr>
        <w:trPr>
          <w:trHeight w:val="203"/>
        </w:trPr>
        <w:tc>
          <w:tcPr>
            <w:tcW w:w="20" w:type="dxa"/>
            <w:vAlign w:val="bottom"/>
          </w:tcPr>
          <w:p>
            <w:pPr>
              <w:spacing w:after="0"/>
              <w:rPr>
                <w:sz w:val="17"/>
                <w:szCs w:val="17"/>
                <w:color w:val="auto"/>
              </w:rPr>
            </w:pPr>
          </w:p>
        </w:tc>
        <w:tc>
          <w:tcPr>
            <w:tcW w:w="59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7"/>
                <w:szCs w:val="17"/>
                <w:i w:val="1"/>
                <w:iCs w:val="1"/>
                <w:color w:val="auto"/>
              </w:rPr>
              <w:t>Unallocated and other</w:t>
            </w:r>
          </w:p>
        </w:tc>
        <w:tc>
          <w:tcPr>
            <w:tcW w:w="15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102</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8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105</w:t>
            </w:r>
          </w:p>
        </w:tc>
      </w:tr>
      <w:tr>
        <w:trPr>
          <w:trHeight w:val="196"/>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500" w:type="dxa"/>
            <w:vAlign w:val="bottom"/>
          </w:tcPr>
          <w:p>
            <w:pPr>
              <w:jc w:val="right"/>
              <w:ind w:right="133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1,163</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1,201</w:t>
            </w: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59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5130165</wp:posOffset>
            </wp:positionH>
            <wp:positionV relativeFrom="paragraph">
              <wp:posOffset>-993775</wp:posOffset>
            </wp:positionV>
            <wp:extent cx="14605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5130165</wp:posOffset>
            </wp:positionH>
            <wp:positionV relativeFrom="paragraph">
              <wp:posOffset>-976630</wp:posOffset>
            </wp:positionV>
            <wp:extent cx="14605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5130165</wp:posOffset>
            </wp:positionH>
            <wp:positionV relativeFrom="paragraph">
              <wp:posOffset>-196215</wp:posOffset>
            </wp:positionV>
            <wp:extent cx="14605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65" w:lineRule="exact"/>
        <w:rPr>
          <w:sz w:val="20"/>
          <w:szCs w:val="20"/>
          <w:color w:val="auto"/>
        </w:rPr>
      </w:pPr>
    </w:p>
    <w:p>
      <w:pPr>
        <w:ind w:left="360" w:hanging="358"/>
        <w:spacing w:after="0"/>
        <w:tabs>
          <w:tab w:leader="none" w:pos="3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sales from Intermediates are accounted for at prices that approximate market value. All other intersegment sales are accounted for at cost.</w:t>
      </w:r>
    </w:p>
    <w:p>
      <w:pPr>
        <w:spacing w:after="0" w:line="28" w:lineRule="exact"/>
        <w:rPr>
          <w:rFonts w:ascii="Times New Roman" w:cs="Times New Roman" w:eastAsia="Times New Roman" w:hAnsi="Times New Roman"/>
          <w:sz w:val="14"/>
          <w:szCs w:val="14"/>
          <w:color w:val="auto"/>
        </w:rPr>
      </w:pPr>
    </w:p>
    <w:p>
      <w:pPr>
        <w:jc w:val="both"/>
        <w:ind w:left="360" w:hanging="358"/>
        <w:spacing w:after="0" w:line="241" w:lineRule="auto"/>
        <w:tabs>
          <w:tab w:leader="none" w:pos="3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$2 million gain on sale of excess corporate property for the six months ended March 31, 2026, a $8 million gain on sale of excess corporate property for both the three and six months ended March 31, 2025, and a $183 million impairment charge related to the Avoca business for the six months ended March 31, 2025, within the income (loss) on divestitures, net caption of the Statements of Condensed Consolidated Income (Loss).</w:t>
      </w:r>
    </w:p>
    <w:p>
      <w:pPr>
        <w:ind w:left="360" w:hanging="358"/>
        <w:spacing w:after="0" w:line="242" w:lineRule="auto"/>
        <w:tabs>
          <w:tab w:leader="none" w:pos="3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income from discontinued operations, net of income taxes and other net periodic benefit loss. See the Statements of Condensed Consolidated Comprehensive Income (Loss) for applicable amounts excluded.</w:t>
      </w:r>
    </w:p>
    <w:p>
      <w:pPr>
        <w:ind w:left="360" w:hanging="358"/>
        <w:spacing w:after="0"/>
        <w:tabs>
          <w:tab w:leader="none" w:pos="3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includes accelerated depreciation of $13 million for Life Sciences for both the three and six months ended March 31, 2025.</w:t>
      </w:r>
    </w:p>
    <w:p>
      <w:pPr>
        <w:spacing w:after="0" w:line="28"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includes accelerated depreciation of $3 million for Specialty Additives for the six months ended March 31, 2026.</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440" w:right="7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auto"/>
        </w:rPr>
        <w:t>ASHLAND INC. AND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12"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9"/>
          <w:szCs w:val="19"/>
          <w:color w:val="auto"/>
        </w:rPr>
        <w:t>This Quarterly Report on Form 10-Q contains forward-looking statements including, without limitation, statements made under the caption “Management’s Discussion and Analysis of Financial Condition and Results of Operation” (“MD&amp;A”),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Ashland may from time to time make forward-looking statements in its Annual Report to Stockholders, quarterly reports and other filings with the Securities and Exchange Commission ("SEC"), news releases and other written and oral communications. These forward-looking statements are based on Ashland’s expectations and assumptions, as of the date such statements are made, regarding Ashland’s future operating performance and financial condition, as well as the economy and other future events or circumstances. The risks and uncertainties we face which may cause our actual results to differ materially from the results expressed, projected, or implied in these forward-looking statements include, but are not limited to: Ashland’s aggressive growth goals and the extent to which such goals may be impacted by a failure to optimize our tangible and intangible assets, a failure to identify and integrate acquisition targets, any unexpected costs and liabilities associated with such acquisitions, and goodwill impairment; business disruptions stemming from natural, operational, and other catastrophic events, including disruptions to supply and logistics functions, manufacturing delays, and information technology system and network failures; climate change and related resource impacts; changes in consumer preferences and a reduction in demand for Ashland’s products; risks inherent in operating a global business, including tariffs and other trade policies, geopolitical instability and armed conflict, and challenges associated with hiring and managing a diverse workforce across countries with differing laws, regulations, and cultural practices; economic downturns and disruptions in the financial markets; Ashland’s substantial indebtedness, including the possibility that such indebtedness and related restrictive covenants may adversely affect our future cash flows, limit our ability to repay debt and obtain future financing, place Ashland at a competitive disadvantage, and make us more vulnerable to interest rate increases; our ability to develop and market new products and remain competitive in the markets in which we operate; our ability to pass increases in the costs of energy and raw materials to customers and to fulfill our contractual requirements with customers and vendors; downward pressures on prices and margins; the ability to attract and retain key employees and to provide for effective succession planning; cybersecurity risks, including disruptions to or failures in Ashland’s information technology systems and networks, malicious cyberattacks, and the inadvertent or accidental disclosure or loss of proprietary or sensitive information; Ashland’s ability to effectively protect and enforce its intellectual property rights; exposure to products liability claims; risks related to compliance with environmental, health, and safety regulations, including the potential for costly litigation, remediation, and settlement actions; exposure to pending and threatened asbestos-related litigation; changes in the legal and regulatory landscapes in which we operate; changes in taxation or adverse tax rulings; and without limitation, risks and uncertainties affecting Ashland that are contained in “Use of estimates, risks and uncertainties” in Note A of Notes to Consolidated Financial Statements and in Item 1A of its most recent Form 10-K filed with SEC. Ashland believes its expectations and assumptions are reasonable, but there can be no assurance that the expectations reflected herein will be achieved. Unless legally required, Ashland undertakes no obligation to update any forward-looking statements made in this Form 10-Q whether as a result of new information, future events or otherwise. Information on Ashland’s website is not incorporated into or a part of this Form 10-Q.</w:t>
      </w:r>
    </w:p>
    <w:p>
      <w:pPr>
        <w:spacing w:after="0" w:line="31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085" w:right="7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9"/>
          <w:szCs w:val="19"/>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ASHLAND INC. AND CONSOLIDATED SUBSIDIARIES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0" w:lineRule="exact"/>
        <w:rPr>
          <w:sz w:val="20"/>
          <w:szCs w:val="20"/>
          <w:color w:val="auto"/>
        </w:rPr>
      </w:pPr>
    </w:p>
    <w:p>
      <w:pPr>
        <w:jc w:val="both"/>
        <w:ind w:left="380" w:right="200"/>
        <w:spacing w:after="0" w:line="269" w:lineRule="auto"/>
        <w:rPr>
          <w:sz w:val="20"/>
          <w:szCs w:val="20"/>
          <w:color w:val="auto"/>
        </w:rPr>
      </w:pPr>
      <w:r>
        <w:rPr>
          <w:rFonts w:ascii="Times New Roman" w:cs="Times New Roman" w:eastAsia="Times New Roman" w:hAnsi="Times New Roman"/>
          <w:sz w:val="20"/>
          <w:szCs w:val="20"/>
          <w:color w:val="auto"/>
        </w:rPr>
        <w:t>The following discussion should be read in conjunction with the Condensed Consolidated Financial Statements and the accompanying Notes to Condensed Consolidated Financial Statements herein.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Ashland profile</w:t>
      </w:r>
    </w:p>
    <w:p>
      <w:pPr>
        <w:spacing w:after="0" w:line="112" w:lineRule="exact"/>
        <w:rPr>
          <w:sz w:val="20"/>
          <w:szCs w:val="20"/>
          <w:color w:val="auto"/>
        </w:rPr>
      </w:pPr>
    </w:p>
    <w:p>
      <w:pPr>
        <w:jc w:val="both"/>
        <w:ind w:left="380" w:right="200"/>
        <w:spacing w:after="0" w:line="249" w:lineRule="auto"/>
        <w:rPr>
          <w:sz w:val="20"/>
          <w:szCs w:val="20"/>
          <w:color w:val="auto"/>
        </w:rPr>
      </w:pPr>
      <w:r>
        <w:rPr>
          <w:rFonts w:ascii="Times New Roman" w:cs="Times New Roman" w:eastAsia="Times New Roman" w:hAnsi="Times New Roman"/>
          <w:sz w:val="20"/>
          <w:szCs w:val="20"/>
          <w:color w:val="auto"/>
        </w:rPr>
        <w:t>Ashland is a global additives and specialty ingredients company with a conscious and proactive mindset for sustainability. The Company serves customers in a wide range of consumer and industrial markets, including architectural coatings, construction, energy, food and beverage, personal care and pharmaceutical. With approximately 2,900 employees worldwide, Ashland serves customers in more than 100 countries.</w:t>
      </w:r>
    </w:p>
    <w:p>
      <w:pPr>
        <w:spacing w:after="0" w:line="72" w:lineRule="exact"/>
        <w:rPr>
          <w:sz w:val="20"/>
          <w:szCs w:val="20"/>
          <w:color w:val="auto"/>
        </w:rPr>
      </w:pPr>
    </w:p>
    <w:p>
      <w:pPr>
        <w:jc w:val="both"/>
        <w:ind w:left="380" w:right="200"/>
        <w:spacing w:after="0" w:line="254" w:lineRule="auto"/>
        <w:rPr>
          <w:sz w:val="20"/>
          <w:szCs w:val="20"/>
          <w:color w:val="auto"/>
        </w:rPr>
      </w:pPr>
      <w:r>
        <w:rPr>
          <w:rFonts w:ascii="Times New Roman" w:cs="Times New Roman" w:eastAsia="Times New Roman" w:hAnsi="Times New Roman"/>
          <w:sz w:val="20"/>
          <w:szCs w:val="20"/>
          <w:color w:val="auto"/>
        </w:rPr>
        <w:t>Ashland’s sales generated outside of North America were 73% for both the three and six months ended March 31, 2026, and 72% for both the three and six months ended March 31, 2025. Sales by region expressed as a percentage of total consolidated sales were as follows:</w:t>
      </w:r>
    </w:p>
    <w:p>
      <w:pPr>
        <w:spacing w:after="0" w:line="69"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70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color w:val="auto"/>
              </w:rPr>
              <w:t>Three months ended</w:t>
            </w: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Sales by Geography</w:t>
            </w:r>
          </w:p>
        </w:tc>
        <w:tc>
          <w:tcPr>
            <w:tcW w:w="2140" w:type="dxa"/>
            <w:vAlign w:val="bottom"/>
            <w:tcBorders>
              <w:bottom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7"/>
              </w:rPr>
              <w:t>March 31</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March 31</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4720" w:type="dxa"/>
            <w:vAlign w:val="bottom"/>
            <w:gridSpan w:val="2"/>
            <w:vMerge w:val="continue"/>
          </w:tcPr>
          <w:p>
            <w:pPr>
              <w:spacing w:after="0"/>
              <w:rPr>
                <w:sz w:val="14"/>
                <w:szCs w:val="14"/>
                <w:color w:val="auto"/>
              </w:rPr>
            </w:pPr>
          </w:p>
        </w:tc>
        <w:tc>
          <w:tcPr>
            <w:tcW w:w="1360" w:type="dxa"/>
            <w:vAlign w:val="bottom"/>
          </w:tcPr>
          <w:p>
            <w:pPr>
              <w:jc w:val="right"/>
              <w:ind w:right="110"/>
              <w:spacing w:after="0" w:line="171" w:lineRule="exact"/>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jc w:val="right"/>
              <w:ind w:right="110"/>
              <w:spacing w:after="0" w:line="171" w:lineRule="exact"/>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4"/>
                <w:szCs w:val="14"/>
                <w:color w:val="auto"/>
              </w:rPr>
            </w:pPr>
          </w:p>
        </w:tc>
        <w:tc>
          <w:tcPr>
            <w:tcW w:w="1380" w:type="dxa"/>
            <w:vAlign w:val="bottom"/>
          </w:tcPr>
          <w:p>
            <w:pPr>
              <w:jc w:val="right"/>
              <w:ind w:right="110"/>
              <w:spacing w:after="0" w:line="171" w:lineRule="exact"/>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jc w:val="right"/>
              <w:ind w:right="90"/>
              <w:spacing w:after="0" w:line="171" w:lineRule="exact"/>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4"/>
                <w:szCs w:val="24"/>
                <w:color w:val="auto"/>
                <w:vertAlign w:val="superscript"/>
              </w:rPr>
              <w:t>(a)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7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Europe</w:t>
            </w:r>
            <w:r>
              <w:rPr>
                <w:rFonts w:ascii="Times New Roman" w:cs="Times New Roman" w:eastAsia="Times New Roman" w:hAnsi="Times New Roman"/>
                <w:sz w:val="24"/>
                <w:szCs w:val="24"/>
                <w:color w:val="auto"/>
                <w:vertAlign w:val="superscript"/>
              </w:rPr>
              <w:t>(a)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 &amp; other</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700" w:type="dxa"/>
            <w:vAlign w:val="bottom"/>
            <w:tcBorders>
              <w:top w:val="single" w:sz="8" w:color="CFF0FC"/>
              <w:bottom w:val="single" w:sz="8" w:color="auto"/>
            </w:tcBorders>
          </w:tcPr>
          <w:p>
            <w:pPr>
              <w:spacing w:after="0"/>
              <w:rPr>
                <w:sz w:val="4"/>
                <w:szCs w:val="4"/>
                <w:color w:val="auto"/>
              </w:rPr>
            </w:pPr>
          </w:p>
        </w:tc>
        <w:tc>
          <w:tcPr>
            <w:tcW w:w="136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CFF0FC"/>
              <w:bottom w:val="single" w:sz="8" w:color="auto"/>
            </w:tcBorders>
          </w:tcPr>
          <w:p>
            <w:pPr>
              <w:spacing w:after="0"/>
              <w:rPr>
                <w:sz w:val="4"/>
                <w:szCs w:val="4"/>
                <w:color w:val="auto"/>
              </w:rPr>
            </w:pPr>
          </w:p>
        </w:tc>
        <w:tc>
          <w:tcPr>
            <w:tcW w:w="700" w:type="dxa"/>
            <w:vAlign w:val="bottom"/>
            <w:tcBorders>
              <w:top w:val="single" w:sz="8" w:color="auto"/>
              <w:bottom w:val="single" w:sz="8" w:color="auto"/>
            </w:tcBorders>
          </w:tcPr>
          <w:p>
            <w:pPr>
              <w:spacing w:after="0"/>
              <w:rPr>
                <w:sz w:val="4"/>
                <w:szCs w:val="4"/>
                <w:color w:val="auto"/>
              </w:rPr>
            </w:pPr>
          </w:p>
        </w:tc>
        <w:tc>
          <w:tcPr>
            <w:tcW w:w="68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CFF0FC"/>
              <w:bottom w:val="single" w:sz="8" w:color="auto"/>
            </w:tcBorders>
          </w:tcPr>
          <w:p>
            <w:pPr>
              <w:spacing w:after="0"/>
              <w:rPr>
                <w:sz w:val="4"/>
                <w:szCs w:val="4"/>
                <w:color w:val="auto"/>
              </w:rPr>
            </w:pPr>
          </w:p>
        </w:tc>
        <w:tc>
          <w:tcPr>
            <w:tcW w:w="138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CFF0FC"/>
              <w:bottom w:val="single" w:sz="8" w:color="auto"/>
            </w:tcBorders>
          </w:tcPr>
          <w:p>
            <w:pPr>
              <w:spacing w:after="0"/>
              <w:rPr>
                <w:sz w:val="4"/>
                <w:szCs w:val="4"/>
                <w:color w:val="auto"/>
              </w:rPr>
            </w:pPr>
          </w:p>
        </w:tc>
        <w:tc>
          <w:tcPr>
            <w:tcW w:w="660" w:type="dxa"/>
            <w:vAlign w:val="bottom"/>
            <w:tcBorders>
              <w:top w:val="single" w:sz="8" w:color="auto"/>
              <w:bottom w:val="single" w:sz="8" w:color="auto"/>
            </w:tcBorders>
          </w:tcPr>
          <w:p>
            <w:pPr>
              <w:spacing w:after="0"/>
              <w:rPr>
                <w:sz w:val="4"/>
                <w:szCs w:val="4"/>
                <w:color w:val="auto"/>
              </w:rPr>
            </w:pPr>
          </w:p>
        </w:tc>
        <w:tc>
          <w:tcPr>
            <w:tcW w:w="70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-779145</wp:posOffset>
            </wp:positionV>
            <wp:extent cx="6626225" cy="1454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626225" cy="14541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-76835</wp:posOffset>
            </wp:positionV>
            <wp:extent cx="596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-59690</wp:posOffset>
            </wp:positionV>
            <wp:extent cx="596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-76835</wp:posOffset>
            </wp:positionV>
            <wp:extent cx="6032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-59690</wp:posOffset>
            </wp:positionV>
            <wp:extent cx="603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-76835</wp:posOffset>
            </wp:positionV>
            <wp:extent cx="6032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-59690</wp:posOffset>
            </wp:positionV>
            <wp:extent cx="603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5" w:lineRule="exact"/>
        <w:rPr>
          <w:sz w:val="20"/>
          <w:szCs w:val="20"/>
          <w:color w:val="auto"/>
        </w:rPr>
      </w:pPr>
    </w:p>
    <w:p>
      <w:pPr>
        <w:ind w:left="740" w:hanging="358"/>
        <w:spacing w:after="0"/>
        <w:tabs>
          <w:tab w:leader="none" w:pos="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Ashland includes only U.S. and Canada in its North America designation and includes Europe, the Middle East and Africa in its Europe designation.</w:t>
      </w:r>
    </w:p>
    <w:p>
      <w:pPr>
        <w:spacing w:after="0" w:line="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Reportable segments</w:t>
      </w:r>
    </w:p>
    <w:p>
      <w:pPr>
        <w:spacing w:after="0" w:line="112" w:lineRule="exact"/>
        <w:rPr>
          <w:sz w:val="20"/>
          <w:szCs w:val="20"/>
          <w:color w:val="auto"/>
        </w:rPr>
      </w:pPr>
    </w:p>
    <w:p>
      <w:pPr>
        <w:jc w:val="both"/>
        <w:ind w:left="380" w:right="200"/>
        <w:spacing w:after="0" w:line="254" w:lineRule="auto"/>
        <w:rPr>
          <w:sz w:val="20"/>
          <w:szCs w:val="20"/>
          <w:color w:val="auto"/>
        </w:rPr>
      </w:pPr>
      <w:r>
        <w:rPr>
          <w:rFonts w:ascii="Times New Roman" w:cs="Times New Roman" w:eastAsia="Times New Roman" w:hAnsi="Times New Roman"/>
          <w:sz w:val="20"/>
          <w:szCs w:val="20"/>
          <w:color w:val="auto"/>
        </w:rPr>
        <w:t>Ashland’s reportable segments include Life Sciences, Personal Care, Specialty Additives and Intermediates. Unallocated and other includes corporate governance activities and certain legacy matters. The contribution to sales by each reportable segment expressed as a percentage of total consolidated sales were as follows:</w:t>
      </w:r>
    </w:p>
    <w:p>
      <w:pPr>
        <w:spacing w:after="0" w:line="69"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70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color w:val="auto"/>
              </w:rPr>
              <w:t>Three months ended</w:t>
            </w: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Sales by Reportable Segment</w:t>
            </w:r>
          </w:p>
        </w:tc>
        <w:tc>
          <w:tcPr>
            <w:tcW w:w="2140" w:type="dxa"/>
            <w:vAlign w:val="bottom"/>
            <w:tcBorders>
              <w:bottom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7"/>
              </w:rPr>
              <w:t>March 31</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March 31</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20" w:type="dxa"/>
            <w:vAlign w:val="bottom"/>
            <w:gridSpan w:val="2"/>
            <w:vMerge w:val="continue"/>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8"/>
                <w:szCs w:val="18"/>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Life Sciences</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Personal Care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Specialty Additives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Intermediates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7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700" w:type="dxa"/>
            <w:vAlign w:val="bottom"/>
            <w:tcBorders>
              <w:top w:val="single" w:sz="8" w:color="CFF0FC"/>
              <w:bottom w:val="single" w:sz="8" w:color="auto"/>
            </w:tcBorders>
          </w:tcPr>
          <w:p>
            <w:pPr>
              <w:spacing w:after="0"/>
              <w:rPr>
                <w:sz w:val="4"/>
                <w:szCs w:val="4"/>
                <w:color w:val="auto"/>
              </w:rPr>
            </w:pPr>
          </w:p>
        </w:tc>
        <w:tc>
          <w:tcPr>
            <w:tcW w:w="136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CFF0FC"/>
              <w:bottom w:val="single" w:sz="8" w:color="auto"/>
            </w:tcBorders>
          </w:tcPr>
          <w:p>
            <w:pPr>
              <w:spacing w:after="0"/>
              <w:rPr>
                <w:sz w:val="4"/>
                <w:szCs w:val="4"/>
                <w:color w:val="auto"/>
              </w:rPr>
            </w:pPr>
          </w:p>
        </w:tc>
        <w:tc>
          <w:tcPr>
            <w:tcW w:w="700" w:type="dxa"/>
            <w:vAlign w:val="bottom"/>
            <w:tcBorders>
              <w:top w:val="single" w:sz="8" w:color="auto"/>
              <w:bottom w:val="single" w:sz="8" w:color="auto"/>
            </w:tcBorders>
          </w:tcPr>
          <w:p>
            <w:pPr>
              <w:spacing w:after="0"/>
              <w:rPr>
                <w:sz w:val="4"/>
                <w:szCs w:val="4"/>
                <w:color w:val="auto"/>
              </w:rPr>
            </w:pPr>
          </w:p>
        </w:tc>
        <w:tc>
          <w:tcPr>
            <w:tcW w:w="68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CFF0FC"/>
              <w:bottom w:val="single" w:sz="8" w:color="auto"/>
            </w:tcBorders>
          </w:tcPr>
          <w:p>
            <w:pPr>
              <w:spacing w:after="0"/>
              <w:rPr>
                <w:sz w:val="4"/>
                <w:szCs w:val="4"/>
                <w:color w:val="auto"/>
              </w:rPr>
            </w:pPr>
          </w:p>
        </w:tc>
        <w:tc>
          <w:tcPr>
            <w:tcW w:w="138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CFF0FC"/>
              <w:bottom w:val="single" w:sz="8" w:color="auto"/>
            </w:tcBorders>
          </w:tcPr>
          <w:p>
            <w:pPr>
              <w:spacing w:after="0"/>
              <w:rPr>
                <w:sz w:val="4"/>
                <w:szCs w:val="4"/>
                <w:color w:val="auto"/>
              </w:rPr>
            </w:pPr>
          </w:p>
        </w:tc>
        <w:tc>
          <w:tcPr>
            <w:tcW w:w="660" w:type="dxa"/>
            <w:vAlign w:val="bottom"/>
            <w:tcBorders>
              <w:top w:val="single" w:sz="8" w:color="auto"/>
              <w:bottom w:val="single" w:sz="8" w:color="auto"/>
            </w:tcBorders>
          </w:tcPr>
          <w:p>
            <w:pPr>
              <w:spacing w:after="0"/>
              <w:rPr>
                <w:sz w:val="4"/>
                <w:szCs w:val="4"/>
                <w:color w:val="auto"/>
              </w:rPr>
            </w:pPr>
          </w:p>
        </w:tc>
        <w:tc>
          <w:tcPr>
            <w:tcW w:w="70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-76835</wp:posOffset>
            </wp:positionV>
            <wp:extent cx="596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-59690</wp:posOffset>
            </wp:positionV>
            <wp:extent cx="596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-76835</wp:posOffset>
            </wp:positionV>
            <wp:extent cx="6032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-59690</wp:posOffset>
            </wp:positionV>
            <wp:extent cx="6032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-76835</wp:posOffset>
            </wp:positionV>
            <wp:extent cx="6032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-59690</wp:posOffset>
            </wp:positionV>
            <wp:extent cx="6032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DEVELOPMENTS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Uncertainty related to tariffs and global trade policy changes</w:t>
      </w:r>
    </w:p>
    <w:p>
      <w:pPr>
        <w:spacing w:after="0" w:line="112" w:lineRule="exact"/>
        <w:rPr>
          <w:sz w:val="20"/>
          <w:szCs w:val="20"/>
          <w:color w:val="auto"/>
        </w:rPr>
      </w:pPr>
    </w:p>
    <w:p>
      <w:pPr>
        <w:jc w:val="both"/>
        <w:ind w:left="380" w:right="200"/>
        <w:spacing w:after="0" w:line="244" w:lineRule="auto"/>
        <w:rPr>
          <w:sz w:val="20"/>
          <w:szCs w:val="20"/>
          <w:color w:val="auto"/>
        </w:rPr>
      </w:pPr>
      <w:r>
        <w:rPr>
          <w:rFonts w:ascii="Times New Roman" w:cs="Times New Roman" w:eastAsia="Times New Roman" w:hAnsi="Times New Roman"/>
          <w:sz w:val="20"/>
          <w:szCs w:val="20"/>
          <w:color w:val="auto"/>
        </w:rPr>
        <w:t>The three months ended March 31, 2026, saw continuing regulatory activity involving notable changes to U.S. and foreign trade policy, leading to significant uncertainty in the macroeconomic and geopolitical environments. Beginning in the second quarter of fiscal 2025, the U.S. instituted a series of tariffs on imports from China, the E.U., India, and other countries which has resulted in the imposition of retaliatory measures against U.S. goods. As a global business, we are exposed to risks associated with tariffs and other trade conflicts. Such risks may include, but are not limited to, (i) changes to and strains on the global supply chain and our ability to source materials; (ii) increased sourcing and manufacturing costs; (iii) decreased demand for Ashland’s products in affected markets; and (iv) other impacts on Ashland’s ability to operate optimally.</w:t>
      </w:r>
    </w:p>
    <w:p>
      <w:pPr>
        <w:spacing w:after="0" w:line="8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77" w:right="519" w:bottom="1440" w:gutter="0" w:footer="0" w:header="0"/>
        </w:sectPr>
      </w:pPr>
    </w:p>
    <w:bookmarkStart w:id="33" w:name="page34"/>
    <w:bookmarkEnd w:id="33"/>
    <w:p>
      <w:pPr>
        <w:jc w:val="both"/>
        <w:spacing w:after="0" w:line="245" w:lineRule="auto"/>
        <w:rPr>
          <w:sz w:val="20"/>
          <w:szCs w:val="20"/>
          <w:color w:val="auto"/>
        </w:rPr>
      </w:pPr>
      <w:r>
        <w:rPr>
          <w:rFonts w:ascii="Times New Roman" w:cs="Times New Roman" w:eastAsia="Times New Roman" w:hAnsi="Times New Roman"/>
          <w:sz w:val="20"/>
          <w:szCs w:val="20"/>
          <w:color w:val="auto"/>
        </w:rPr>
        <w:t>The ultimate impact of these recent tariffs and trade disputes on general economic conditions, and on Ashland’s business, financial performance, and results of operations, is uncertain and depends on various factors, including the duration of the tariffs and disputes, negotiations between the U.S. and affected countries, whether additional or incremental tariffs are imposed and the responses of other countries or regions, and the potential for trade restriction-related exemptions including recent tariff reversal developments. Given the dynamic nature of the situation, Ashland continues to monitor tariff developments as well as the broader global trade landscape and is working to mitigate potential impacts on its business.</w:t>
      </w:r>
    </w:p>
    <w:p>
      <w:pPr>
        <w:spacing w:after="0" w:line="7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Uncertainty relating to the ongoing United States, Israel/Iran, Ukraine/Russia and Israel/Hamas conflicts and other political events</w:t>
      </w:r>
    </w:p>
    <w:p>
      <w:pPr>
        <w:spacing w:after="0" w:line="4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Business disruptions, including those related to the ongoing conflicts between the United States, Israel/Iran, Ukraine/Russia and Israel/Hamas, as well as the recent political events in Venezuela, continue to impact businesses around the globe. While it is impossible to predict the effects of the conflicts such as possible escalating geopolitical tensions (including the imposition of existing and additional sanctions by the U.S. and the European Union on Russia), worsening macroeconomic and general business conditions, supply chain interruptions and unfavorable energy markets, the impact could be material. Ashland is closely monitoring these situations and maintains business continuity plans that are intended to continue operations or mitigate the effects of events that could disrupt its business.</w:t>
      </w:r>
    </w:p>
    <w:p>
      <w:pPr>
        <w:spacing w:after="0" w:line="7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Ashland does not have manufacturing operations in Iran, Israel, Russia, Ukraine, Venezelua or Belarus. Ashland sells (or previously sold) additives and specialty ingredients to manufacturers in these countries for their use in pharmaceuticals, personal care, and coatings applications. Sales to Russia and Belarus were previously limited and our products were primarily used in products and applications that are essential to the population's well-being and currently support our customers' humanitarian efforts. We have sales controls in place to ensure that future potential sales into the region are only to support critical pharmaceutical or personal hygiene products which are essential for the general population and in accordance with any applicable sanctions. Sales to Israel, Ukraine, Russia, and Belarus represent less than 1% of total consolidated sales and less than 1% of total consolidated assets (related to accounts receivable). Ashland has no sales activity with Iran.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items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Restructuring programs</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previously announced, Ashland initiated a $30 million pre-tax restructuring plan to offset the impact from the Nutraceuticals business sale completed in fiscal 2024, the Avoca business sale completed in fiscal 2025, and other portfolio optimization actions, which were expected to be realized 50 percent in fiscal 2025 and 50 percent in fiscal 2026. See Note D of the Notes to Condensed Consolidated Financial Statements for severance reserves associated with this program.</w:t>
      </w:r>
    </w:p>
    <w:p>
      <w:pPr>
        <w:spacing w:after="0" w:line="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Ashland also executed its portfolio optimization actions to further strengthen Ashland’s resilience and improve margins and returns. These previously announced actions include initiatives focused on carboxymethylcellulose ("CMC"), methylcellulose ("MC"), the Nutraceuticals business sale and the Avoca business sale (collectively, "Portfolio Optimization"). Overall, these Portfolio Optimization actions reduced sales and Adjusted EBITDA by approximately $2 million and zero, respectively, for the three months ended March 31, 2026, and approximately $11 million and $1 million, respectively, for the six months ended March 31, 2026, compared to the prior year periods. Operating income (loss) was positively impacted by $2 million and $4 million for the three and six months ended March 31, 2026, respectively, compared to the prior year periods.</w:t>
      </w:r>
    </w:p>
    <w:p>
      <w:pPr>
        <w:spacing w:after="0" w:line="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Ashland is also advancing a multi-year manufacturing network optimization to improve operational cost and strengthen its competitive position. This optimization plan is expected to generate pre-tax savings of $50 million to $55 million with $60 million being achievable as market conditions improve, particularly within China. Ashland realized savings of approximately $10 million and $15 million during the three and six months ended March 31, 2026, compared to the prior year periods.</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34" w:name="page35"/>
    <w:bookmarkEnd w:id="34"/>
    <w:p>
      <w:pPr>
        <w:ind w:left="380"/>
        <w:spacing w:after="0"/>
        <w:rPr>
          <w:sz w:val="20"/>
          <w:szCs w:val="20"/>
          <w:color w:val="auto"/>
        </w:rPr>
      </w:pPr>
      <w:r>
        <w:rPr>
          <w:rFonts w:ascii="Times New Roman" w:cs="Times New Roman" w:eastAsia="Times New Roman" w:hAnsi="Times New Roman"/>
          <w:sz w:val="20"/>
          <w:szCs w:val="20"/>
          <w:color w:val="auto"/>
        </w:rPr>
        <w:t>The following table summarizes the expense impact of these actions:</w:t>
      </w:r>
    </w:p>
    <w:p>
      <w:pPr>
        <w:spacing w:after="0" w:line="110"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4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Three months ended</w:t>
            </w:r>
          </w:p>
        </w:tc>
        <w:tc>
          <w:tcPr>
            <w:tcW w:w="5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Six months ended</w:t>
            </w:r>
          </w:p>
        </w:tc>
        <w:tc>
          <w:tcPr>
            <w:tcW w:w="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March 31</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March 31</w:t>
            </w: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2025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Accelerated depreciation</w:t>
            </w:r>
            <w:r>
              <w:rPr>
                <w:rFonts w:ascii="Times New Roman" w:cs="Times New Roman" w:eastAsia="Times New Roman" w:hAnsi="Times New Roman"/>
                <w:sz w:val="24"/>
                <w:szCs w:val="24"/>
                <w:color w:val="auto"/>
                <w:vertAlign w:val="superscript"/>
              </w:rPr>
              <w:t>(a)</w:t>
            </w: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Borders>
              <w:top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tcBorders>
              <w:top w:val="single" w:sz="8" w:color="auto"/>
            </w:tcBorders>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Restructuring, separation and other costs</w:t>
            </w:r>
            <w:r>
              <w:rPr>
                <w:rFonts w:ascii="Times New Roman" w:cs="Times New Roman" w:eastAsia="Times New Roman" w:hAnsi="Times New Roman"/>
                <w:sz w:val="24"/>
                <w:szCs w:val="24"/>
                <w:color w:val="auto"/>
                <w:vertAlign w:val="superscript"/>
              </w:rPr>
              <w:t>(b)</w:t>
            </w:r>
          </w:p>
        </w:tc>
        <w:tc>
          <w:tcPr>
            <w:tcW w:w="2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Other plant optimization costs</w:t>
            </w:r>
            <w:r>
              <w:rPr>
                <w:rFonts w:ascii="Times New Roman" w:cs="Times New Roman" w:eastAsia="Times New Roman" w:hAnsi="Times New Roman"/>
                <w:sz w:val="24"/>
                <w:szCs w:val="24"/>
                <w:color w:val="auto"/>
                <w:vertAlign w:val="superscript"/>
              </w:rPr>
              <w:t>(a)</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8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7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54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-222250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-222250</wp:posOffset>
            </wp:positionV>
            <wp:extent cx="939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-222250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740" w:hanging="358"/>
        <w:spacing w:after="0"/>
        <w:tabs>
          <w:tab w:leader="none" w:pos="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Recorded within the cost of sales caption within the Statements of Condensed Consolidated Comprehensive Income (Loss).</w:t>
      </w:r>
    </w:p>
    <w:p>
      <w:pPr>
        <w:spacing w:after="0" w:line="28" w:lineRule="exact"/>
        <w:rPr>
          <w:rFonts w:ascii="Times New Roman" w:cs="Times New Roman" w:eastAsia="Times New Roman" w:hAnsi="Times New Roman"/>
          <w:sz w:val="14"/>
          <w:szCs w:val="14"/>
          <w:color w:val="auto"/>
        </w:rPr>
      </w:pPr>
    </w:p>
    <w:p>
      <w:pPr>
        <w:ind w:left="740" w:hanging="358"/>
        <w:spacing w:after="0"/>
        <w:tabs>
          <w:tab w:leader="none" w:pos="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Recorded within the selling, general and administrative expense caption within the Statements of Condensed Consolidated Comprehensive Income (Loss).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 – CONSOLIDATED REVIEW</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Consolidated review</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Overview</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Key financial results included the following:</w:t>
      </w:r>
    </w:p>
    <w:p>
      <w:pPr>
        <w:spacing w:after="0" w:line="110"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8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gridSpan w:val="5"/>
          </w:tcPr>
          <w:p>
            <w:pPr>
              <w:jc w:val="right"/>
              <w:ind w:right="53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 except per share data)</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March 31</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March 31</w:t>
            </w: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Change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800" w:type="dxa"/>
            <w:vAlign w:val="bottom"/>
            <w:tcBorders>
              <w:top w:val="single" w:sz="8" w:color="auto"/>
            </w:tcBorders>
          </w:tcPr>
          <w:p>
            <w:pPr>
              <w:spacing w:after="0" w:line="157" w:lineRule="exact"/>
              <w:rPr>
                <w:sz w:val="20"/>
                <w:szCs w:val="20"/>
                <w:color w:val="auto"/>
              </w:rPr>
            </w:pPr>
            <w:r>
              <w:rPr>
                <w:rFonts w:ascii="Times New Roman" w:cs="Times New Roman" w:eastAsia="Times New Roman" w:hAnsi="Times New Roman"/>
                <w:sz w:val="18"/>
                <w:szCs w:val="18"/>
                <w:color w:val="auto"/>
              </w:rPr>
              <w:t>Net income (loss)</w:t>
            </w:r>
          </w:p>
        </w:tc>
        <w:tc>
          <w:tcPr>
            <w:tcW w:w="560" w:type="dxa"/>
            <w:vAlign w:val="bottom"/>
            <w:tcBorders>
              <w:top w:val="single" w:sz="8" w:color="auto"/>
            </w:tcBorders>
            <w:gridSpan w:val="2"/>
          </w:tcPr>
          <w:p>
            <w:pPr>
              <w:jc w:val="right"/>
              <w:ind w:right="120"/>
              <w:spacing w:after="0" w:line="157"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ind w:right="10"/>
              <w:spacing w:after="0" w:line="157" w:lineRule="exact"/>
              <w:rPr>
                <w:sz w:val="20"/>
                <w:szCs w:val="20"/>
                <w:color w:val="auto"/>
              </w:rPr>
            </w:pPr>
            <w:r>
              <w:rPr>
                <w:rFonts w:ascii="Times New Roman" w:cs="Times New Roman" w:eastAsia="Times New Roman" w:hAnsi="Times New Roman"/>
                <w:sz w:val="18"/>
                <w:szCs w:val="18"/>
                <w:color w:val="auto"/>
              </w:rPr>
              <w:t>16</w:t>
            </w:r>
          </w:p>
        </w:tc>
        <w:tc>
          <w:tcPr>
            <w:tcW w:w="320" w:type="dxa"/>
            <w:vAlign w:val="bottom"/>
            <w:tcBorders>
              <w:top w:val="single" w:sz="8" w:color="auto"/>
            </w:tcBorders>
          </w:tcPr>
          <w:p>
            <w:pPr>
              <w:ind w:left="120"/>
              <w:spacing w:after="0" w:line="157"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ind w:right="30"/>
              <w:spacing w:after="0" w:line="157"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8"/>
                <w:szCs w:val="18"/>
                <w:color w:val="auto"/>
              </w:rPr>
              <w:t>(15)</w:t>
            </w:r>
          </w:p>
        </w:tc>
        <w:tc>
          <w:tcPr>
            <w:tcW w:w="300" w:type="dxa"/>
            <w:vAlign w:val="bottom"/>
            <w:tcBorders>
              <w:top w:val="single" w:sz="8" w:color="auto"/>
            </w:tcBorders>
            <w:gridSpan w:val="2"/>
          </w:tcPr>
          <w:p>
            <w:pPr>
              <w:jc w:val="right"/>
              <w:ind w:right="120"/>
              <w:spacing w:after="0" w:line="157"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ind w:right="10"/>
              <w:spacing w:after="0" w:line="157" w:lineRule="exact"/>
              <w:rPr>
                <w:sz w:val="20"/>
                <w:szCs w:val="20"/>
                <w:color w:val="auto"/>
              </w:rPr>
            </w:pPr>
            <w:r>
              <w:rPr>
                <w:rFonts w:ascii="Times New Roman" w:cs="Times New Roman" w:eastAsia="Times New Roman" w:hAnsi="Times New Roman"/>
                <w:sz w:val="18"/>
                <w:szCs w:val="18"/>
                <w:color w:val="auto"/>
              </w:rPr>
              <w:t>4</w:t>
            </w:r>
          </w:p>
        </w:tc>
        <w:tc>
          <w:tcPr>
            <w:tcW w:w="90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8"/>
                <w:szCs w:val="18"/>
                <w:color w:val="auto"/>
              </w:rPr>
              <w:t>$   (135)</w:t>
            </w:r>
          </w:p>
        </w:tc>
        <w:tc>
          <w:tcPr>
            <w:tcW w:w="2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30"/>
              <w:spacing w:after="0" w:line="157"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8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Diluted earnings per share (EPS) net income (loss)</w:t>
            </w:r>
            <w:r>
              <w:rPr>
                <w:rFonts w:ascii="Times New Roman" w:cs="Times New Roman" w:eastAsia="Times New Roman" w:hAnsi="Times New Roman"/>
                <w:sz w:val="24"/>
                <w:szCs w:val="24"/>
                <w:color w:val="auto"/>
                <w:vertAlign w:val="superscript"/>
              </w:rPr>
              <w:t>(a)</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0.34</w:t>
            </w:r>
          </w:p>
        </w:tc>
        <w:tc>
          <w:tcPr>
            <w:tcW w:w="32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0.65</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tcPr>
          <w:p>
            <w:pPr>
              <w:spacing w:after="0"/>
              <w:rPr>
                <w:sz w:val="23"/>
                <w:szCs w:val="23"/>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0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Income (loss) from continuing operations</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ind w:right="10"/>
              <w:spacing w:after="0" w:line="164" w:lineRule="exact"/>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14"/>
                <w:szCs w:val="14"/>
                <w:color w:val="auto"/>
              </w:rPr>
            </w:pPr>
          </w:p>
        </w:tc>
        <w:tc>
          <w:tcPr>
            <w:tcW w:w="580" w:type="dxa"/>
            <w:vAlign w:val="bottom"/>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ind w:right="10"/>
              <w:spacing w:after="0" w:line="164" w:lineRule="exact"/>
              <w:rPr>
                <w:sz w:val="20"/>
                <w:szCs w:val="20"/>
                <w:color w:val="auto"/>
              </w:rPr>
            </w:pPr>
            <w:r>
              <w:rPr>
                <w:rFonts w:ascii="Times New Roman" w:cs="Times New Roman" w:eastAsia="Times New Roman" w:hAnsi="Times New Roman"/>
                <w:sz w:val="18"/>
                <w:szCs w:val="18"/>
                <w:color w:val="auto"/>
              </w:rPr>
              <w:t>1</w:t>
            </w:r>
          </w:p>
        </w:tc>
        <w:tc>
          <w:tcPr>
            <w:tcW w:w="9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(136)</w:t>
            </w:r>
          </w:p>
        </w:tc>
        <w:tc>
          <w:tcPr>
            <w:tcW w:w="220" w:type="dxa"/>
            <w:vAlign w:val="bottom"/>
          </w:tcPr>
          <w:p>
            <w:pPr>
              <w:spacing w:after="0"/>
              <w:rPr>
                <w:sz w:val="14"/>
                <w:szCs w:val="14"/>
                <w:color w:val="auto"/>
              </w:rPr>
            </w:pPr>
          </w:p>
        </w:tc>
        <w:tc>
          <w:tcPr>
            <w:tcW w:w="680" w:type="dxa"/>
            <w:vAlign w:val="bottom"/>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8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Diluted EPS income (loss) from continuing operations</w:t>
            </w:r>
            <w:r>
              <w:rPr>
                <w:rFonts w:ascii="Times New Roman" w:cs="Times New Roman" w:eastAsia="Times New Roman" w:hAnsi="Times New Roman"/>
                <w:sz w:val="24"/>
                <w:szCs w:val="24"/>
                <w:color w:val="auto"/>
                <w:vertAlign w:val="superscript"/>
              </w:rPr>
              <w:t>(a)</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0.32</w:t>
            </w:r>
          </w:p>
        </w:tc>
        <w:tc>
          <w:tcPr>
            <w:tcW w:w="32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0.63</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20" w:type="dxa"/>
            <w:vAlign w:val="bottom"/>
          </w:tcPr>
          <w:p>
            <w:pPr>
              <w:spacing w:after="0"/>
              <w:rPr>
                <w:sz w:val="23"/>
                <w:szCs w:val="23"/>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0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Operating income (loss)</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ind w:right="10"/>
              <w:spacing w:after="0" w:line="164" w:lineRule="exact"/>
              <w:rPr>
                <w:sz w:val="20"/>
                <w:szCs w:val="20"/>
                <w:color w:val="auto"/>
              </w:rPr>
            </w:pPr>
            <w:r>
              <w:rPr>
                <w:rFonts w:ascii="Times New Roman" w:cs="Times New Roman" w:eastAsia="Times New Roman" w:hAnsi="Times New Roman"/>
                <w:sz w:val="18"/>
                <w:szCs w:val="18"/>
                <w:color w:val="auto"/>
              </w:rPr>
              <w:t>39</w:t>
            </w:r>
          </w:p>
        </w:tc>
        <w:tc>
          <w:tcPr>
            <w:tcW w:w="320" w:type="dxa"/>
            <w:vAlign w:val="bottom"/>
          </w:tcPr>
          <w:p>
            <w:pPr>
              <w:spacing w:after="0"/>
              <w:rPr>
                <w:sz w:val="14"/>
                <w:szCs w:val="14"/>
                <w:color w:val="auto"/>
              </w:rPr>
            </w:pPr>
          </w:p>
        </w:tc>
        <w:tc>
          <w:tcPr>
            <w:tcW w:w="580" w:type="dxa"/>
            <w:vAlign w:val="bottom"/>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ind w:right="10"/>
              <w:spacing w:after="0" w:line="164" w:lineRule="exact"/>
              <w:rPr>
                <w:sz w:val="20"/>
                <w:szCs w:val="20"/>
                <w:color w:val="auto"/>
              </w:rPr>
            </w:pPr>
            <w:r>
              <w:rPr>
                <w:rFonts w:ascii="Times New Roman" w:cs="Times New Roman" w:eastAsia="Times New Roman" w:hAnsi="Times New Roman"/>
                <w:sz w:val="18"/>
                <w:szCs w:val="18"/>
                <w:color w:val="auto"/>
              </w:rPr>
              <w:t>33</w:t>
            </w:r>
          </w:p>
        </w:tc>
        <w:tc>
          <w:tcPr>
            <w:tcW w:w="9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14"/>
                <w:szCs w:val="14"/>
                <w:color w:val="auto"/>
              </w:rPr>
            </w:pPr>
          </w:p>
        </w:tc>
        <w:tc>
          <w:tcPr>
            <w:tcW w:w="680" w:type="dxa"/>
            <w:vAlign w:val="bottom"/>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4"/>
                <w:szCs w:val="24"/>
                <w:color w:val="auto"/>
                <w:vertAlign w:val="superscript"/>
              </w:rPr>
              <w:t>(b)</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8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4"/>
                <w:szCs w:val="24"/>
                <w:color w:val="auto"/>
                <w:vertAlign w:val="superscript"/>
              </w:rPr>
              <w:t>(b)</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0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Adjusted Diluted EPS from Continuing Operations Excluding</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Intangibles Amortization Expense</w:t>
            </w:r>
            <w:r>
              <w:rPr>
                <w:rFonts w:ascii="Times New Roman" w:cs="Times New Roman" w:eastAsia="Times New Roman" w:hAnsi="Times New Roman"/>
                <w:sz w:val="24"/>
                <w:szCs w:val="24"/>
                <w:color w:val="auto"/>
                <w:vertAlign w:val="superscript"/>
              </w:rPr>
              <w:t>(b)</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0.91</w:t>
            </w:r>
          </w:p>
        </w:tc>
        <w:tc>
          <w:tcPr>
            <w:tcW w:w="320" w:type="dxa"/>
            <w:vAlign w:val="bottom"/>
          </w:tcPr>
          <w:p>
            <w:pPr>
              <w:spacing w:after="0"/>
              <w:rPr>
                <w:sz w:val="24"/>
                <w:szCs w:val="24"/>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0.99</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-1264920</wp:posOffset>
            </wp:positionV>
            <wp:extent cx="6626225" cy="1371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-990600</wp:posOffset>
            </wp:positionV>
            <wp:extent cx="6626225" cy="1371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-716280</wp:posOffset>
            </wp:positionV>
            <wp:extent cx="6626225" cy="1371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-441960</wp:posOffset>
            </wp:positionV>
            <wp:extent cx="6626225" cy="1371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12065</wp:posOffset>
            </wp:positionV>
            <wp:extent cx="662622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98" w:lineRule="exact"/>
        <w:rPr>
          <w:sz w:val="20"/>
          <w:szCs w:val="20"/>
          <w:color w:val="auto"/>
        </w:rPr>
      </w:pPr>
    </w:p>
    <w:p>
      <w:pPr>
        <w:ind w:left="740" w:hanging="358"/>
        <w:spacing w:after="0" w:line="250" w:lineRule="auto"/>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the loss from continuing operations attributable to Ashland during the six months ended March 31, 2025, the effect of the share-based awards convertible to common stock would be antidilutive and have been excluded from the diluted EPS calculation.</w:t>
      </w:r>
    </w:p>
    <w:p>
      <w:pPr>
        <w:spacing w:after="0" w:line="1" w:lineRule="exact"/>
        <w:rPr>
          <w:rFonts w:ascii="Times New Roman" w:cs="Times New Roman" w:eastAsia="Times New Roman" w:hAnsi="Times New Roman"/>
          <w:sz w:val="14"/>
          <w:szCs w:val="14"/>
          <w:color w:val="auto"/>
        </w:rPr>
      </w:pPr>
    </w:p>
    <w:p>
      <w:pPr>
        <w:ind w:left="740" w:hanging="358"/>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are non-GAAP financial measures. See "Use of Non-GAAP Financial Measures" section below for reconciliations to U.S. GAAP.</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Business results</w:t>
      </w:r>
    </w:p>
    <w:p>
      <w:pPr>
        <w:spacing w:after="0" w:line="112"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Ashland's net income of $16 million ($0.34 diluted EPS) and $31 million ($0.65 diluted EPS) included income from discontinued operations of $1 million ($0.02 diluted EPS) and $1 million ($0.02 diluted EPS) in the three months ended March 31, 2026 and 2025, respectively.</w:t>
      </w:r>
    </w:p>
    <w:p>
      <w:pPr>
        <w:spacing w:after="0" w:line="66"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20"/>
          <w:szCs w:val="20"/>
          <w:color w:val="auto"/>
        </w:rPr>
        <w:t>Results for Ashland’s continuing operations, diluted EPS from continuing operations and operating income for the three months ended March 31, 2026 and 2025, included certain key items that were excluded to arrive at Adjusted EBITDA and are quantified in the “Use of Non-GAAP Financial Measures” section below. These pre-tax key items totaled expense of $20 million and $6 million for the three months ended March 31, 2026 and 2025, respectively, impacting continuing operations. Continuing operations was also impacted by favorable tax specific key items for discrete tax items totaling zero and $1 million for the three months ended March 31, 2026 and 2025, respectively.</w:t>
      </w:r>
    </w:p>
    <w:p>
      <w:pPr>
        <w:spacing w:after="0" w:line="76"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20"/>
          <w:szCs w:val="20"/>
          <w:color w:val="auto"/>
        </w:rPr>
        <w:t>Excluding these key items, the decrease in continuing operations, diluted EPS from continuing operations and operating income was primarily driven by softer pricing, the Calvert City startup delay and weather-related operational disruptions during the quarter, partially offset by favorable foreign exchange currency and lower selling, general and administrative expenses. In addition, diluted EPS from continuing operations was also impacted by common stock reductions from repurchases of Ashland common stock over the last twelve months. These common stock repurchases reduced the number of weighted average shares from 47 million diluted shares at March 31, 2025 to 46 million diluted shares at March 31, 2026.</w:t>
      </w:r>
    </w:p>
    <w:p>
      <w:pPr>
        <w:spacing w:after="0" w:line="76"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Ashland’s Adjusted EBITDA was $98 million for the three months ended March 31, 2026 compared to $108 million for the three months ended March 31, 2025 (see U.S. GAAP reconciliation under “Use of Non-GAAP Financial</w:t>
      </w:r>
    </w:p>
    <w:p>
      <w:pPr>
        <w:spacing w:after="0" w:line="5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089" w:right="719" w:bottom="1440" w:gutter="0" w:footer="0" w:header="0"/>
        </w:sectPr>
      </w:pPr>
    </w:p>
    <w:bookmarkStart w:id="35" w:name="page36"/>
    <w:bookmarkEnd w:id="35"/>
    <w:p>
      <w:pPr>
        <w:jc w:val="both"/>
        <w:ind w:left="380" w:right="380"/>
        <w:spacing w:after="0" w:line="246" w:lineRule="auto"/>
        <w:rPr>
          <w:sz w:val="20"/>
          <w:szCs w:val="20"/>
          <w:color w:val="auto"/>
        </w:rPr>
      </w:pPr>
      <w:r>
        <w:rPr>
          <w:rFonts w:ascii="Times New Roman" w:cs="Times New Roman" w:eastAsia="Times New Roman" w:hAnsi="Times New Roman"/>
          <w:sz w:val="20"/>
          <w:szCs w:val="20"/>
          <w:color w:val="auto"/>
        </w:rPr>
        <w:t>Measures” below). The $10 million decrease in Adjusted EBITDA was primarily driven by softer pricing, the Calvert City startup delay and weather-related operational disruptions during the quarter, offset by favorable foreign exchange currency and lower selling, general and administrative expenses. Adjusted Diluted EPS from Continuing Operations (non-GAAP) Excluding Intangibles Amortization Expense was also impacted by these factors along with the impact of common stock repurchases noted above.</w:t>
      </w:r>
    </w:p>
    <w:p>
      <w:pPr>
        <w:spacing w:after="0" w:line="77"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For further information on the items reported above, see the discussion in the comparative Statements of Condensed Consolidated Comprehensive Income (Loss) caption review analysis.</w:t>
      </w:r>
    </w:p>
    <w:p>
      <w:pPr>
        <w:spacing w:after="0" w:line="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Statements of Condensed Consolidated Comprehensive Income (Loss) – caption review</w:t>
      </w:r>
    </w:p>
    <w:p>
      <w:pPr>
        <w:spacing w:after="0" w:line="112"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A comparative analysis of the Statements of Condensed Consolidated Comprehensive Income (Loss) by caption is provided as follows:</w:t>
      </w:r>
    </w:p>
    <w:p>
      <w:pPr>
        <w:spacing w:after="0" w:line="74" w:lineRule="exact"/>
        <w:rPr>
          <w:sz w:val="20"/>
          <w:szCs w:val="20"/>
          <w:color w:val="auto"/>
        </w:rPr>
      </w:pPr>
    </w:p>
    <w:tbl>
      <w:tblPr>
        <w:tblLayout w:type="fixed"/>
        <w:tblInd w:w="4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Six months ended March 31</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460" w:type="dxa"/>
            <w:vAlign w:val="bottom"/>
            <w:tcBorders>
              <w:top w:val="single" w:sz="8" w:color="auto"/>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482</w:t>
            </w:r>
          </w:p>
        </w:tc>
        <w:tc>
          <w:tcPr>
            <w:tcW w:w="50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479</w:t>
            </w:r>
          </w:p>
        </w:tc>
        <w:tc>
          <w:tcPr>
            <w:tcW w:w="52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Borders>
              <w:top w:val="single" w:sz="8" w:color="auto"/>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868</w:t>
            </w:r>
          </w:p>
        </w:tc>
        <w:tc>
          <w:tcPr>
            <w:tcW w:w="4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884</w:t>
            </w:r>
          </w:p>
        </w:tc>
        <w:tc>
          <w:tcPr>
            <w:tcW w:w="4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provides a reconciliation of the change in sales:</w:t>
      </w:r>
    </w:p>
    <w:p>
      <w:pPr>
        <w:spacing w:after="0" w:line="110"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0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3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March 31, 2026</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March 31, 2026</w:t>
            </w:r>
          </w:p>
        </w:tc>
      </w:tr>
      <w:tr>
        <w:trPr>
          <w:trHeight w:val="209"/>
        </w:trPr>
        <w:tc>
          <w:tcPr>
            <w:tcW w:w="20" w:type="dxa"/>
            <w:vAlign w:val="bottom"/>
          </w:tcPr>
          <w:p>
            <w:pPr>
              <w:spacing w:after="0"/>
              <w:rPr>
                <w:sz w:val="18"/>
                <w:szCs w:val="18"/>
                <w:color w:val="auto"/>
              </w:rPr>
            </w:pPr>
          </w:p>
        </w:tc>
        <w:tc>
          <w:tcPr>
            <w:tcW w:w="60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Sales change</w:t>
            </w:r>
          </w:p>
        </w:tc>
        <w:tc>
          <w:tcPr>
            <w:tcW w:w="17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900" w:type="dxa"/>
            <w:vAlign w:val="bottom"/>
            <w:tcBorders>
              <w:top w:val="single" w:sz="8" w:color="auto"/>
            </w:tcBorders>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Price/mix</w:t>
            </w:r>
          </w:p>
        </w:tc>
        <w:tc>
          <w:tcPr>
            <w:tcW w:w="174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0" w:type="dxa"/>
            <w:vAlign w:val="bottom"/>
          </w:tcPr>
          <w:p>
            <w:pPr>
              <w:spacing w:after="0"/>
              <w:rPr>
                <w:sz w:val="18"/>
                <w:szCs w:val="18"/>
                <w:color w:val="auto"/>
              </w:rPr>
            </w:pPr>
          </w:p>
        </w:tc>
        <w:tc>
          <w:tcPr>
            <w:tcW w:w="6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Volume</w:t>
            </w:r>
          </w:p>
        </w:tc>
        <w:tc>
          <w:tcPr>
            <w:tcW w:w="17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Avoca business</w:t>
            </w:r>
          </w:p>
        </w:tc>
        <w:tc>
          <w:tcPr>
            <w:tcW w:w="1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174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 in sales</w:t>
            </w:r>
          </w:p>
        </w:tc>
        <w:tc>
          <w:tcPr>
            <w:tcW w:w="174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602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-222250</wp:posOffset>
            </wp:positionV>
            <wp:extent cx="10287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Three months ended March 31, 2026 compared to three months ended March 31, 2025</w:t>
      </w:r>
    </w:p>
    <w:p>
      <w:pPr>
        <w:spacing w:after="0" w:line="112" w:lineRule="exact"/>
        <w:rPr>
          <w:sz w:val="20"/>
          <w:szCs w:val="20"/>
          <w:color w:val="auto"/>
        </w:rPr>
      </w:pPr>
    </w:p>
    <w:p>
      <w:pPr>
        <w:jc w:val="both"/>
        <w:ind w:left="380" w:right="380"/>
        <w:spacing w:after="0" w:line="254" w:lineRule="auto"/>
        <w:rPr>
          <w:sz w:val="20"/>
          <w:szCs w:val="20"/>
          <w:color w:val="auto"/>
        </w:rPr>
      </w:pPr>
      <w:r>
        <w:rPr>
          <w:rFonts w:ascii="Times New Roman" w:cs="Times New Roman" w:eastAsia="Times New Roman" w:hAnsi="Times New Roman"/>
          <w:sz w:val="20"/>
          <w:szCs w:val="20"/>
          <w:color w:val="auto"/>
        </w:rPr>
        <w:t>Sales for the three months ended March 31, 2026 increased $3 million compared to the three months ended March 31, 2025. The increase was driven by favorable foreign currency exchange which was partially offset by unfavorable pricing. Portfolio Optimization initiatives had a negative $2 million impact on sales in the three months ended March 31, 2026.</w:t>
      </w:r>
    </w:p>
    <w:p>
      <w:pPr>
        <w:spacing w:after="0" w:line="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Six months ended March 31, 2026 compared to six months ended March 31, 2025</w:t>
      </w:r>
    </w:p>
    <w:p>
      <w:pPr>
        <w:spacing w:after="0" w:line="112" w:lineRule="exact"/>
        <w:rPr>
          <w:sz w:val="20"/>
          <w:szCs w:val="20"/>
          <w:color w:val="auto"/>
        </w:rPr>
      </w:pPr>
    </w:p>
    <w:p>
      <w:pPr>
        <w:jc w:val="both"/>
        <w:ind w:left="380" w:right="380"/>
        <w:spacing w:after="0" w:line="249" w:lineRule="auto"/>
        <w:rPr>
          <w:sz w:val="20"/>
          <w:szCs w:val="20"/>
          <w:color w:val="auto"/>
        </w:rPr>
      </w:pPr>
      <w:r>
        <w:rPr>
          <w:rFonts w:ascii="Times New Roman" w:cs="Times New Roman" w:eastAsia="Times New Roman" w:hAnsi="Times New Roman"/>
          <w:sz w:val="20"/>
          <w:szCs w:val="20"/>
          <w:color w:val="auto"/>
        </w:rPr>
        <w:t>Sales for the six months ended March 31, 2026 decreased $16 million compared to the six months ended March 31, 2025. The decrease was driven by unfavorable pricing, lower volume and the impact of the Avoca business sale, which was partially offset by favorable foreign currency exchange. Portfolio Optimization initiatives had a negative $11 million impact on sales in the six months ended March 31, 2026.</w:t>
      </w:r>
    </w:p>
    <w:p>
      <w:pPr>
        <w:spacing w:after="0" w:line="94" w:lineRule="exact"/>
        <w:rPr>
          <w:sz w:val="20"/>
          <w:szCs w:val="20"/>
          <w:color w:val="auto"/>
        </w:rPr>
      </w:pPr>
    </w:p>
    <w:tbl>
      <w:tblPr>
        <w:tblLayout w:type="fixed"/>
        <w:tblInd w:w="4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8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10"/>
        </w:trPr>
        <w:tc>
          <w:tcPr>
            <w:tcW w:w="332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060" w:type="dxa"/>
            <w:vAlign w:val="bottom"/>
            <w:tcBorders>
              <w:top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335</w:t>
            </w:r>
          </w:p>
        </w:tc>
        <w:tc>
          <w:tcPr>
            <w:tcW w:w="32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332</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Borders>
              <w:top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616</w:t>
            </w:r>
          </w:p>
        </w:tc>
        <w:tc>
          <w:tcPr>
            <w:tcW w:w="32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626</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as a percent of sales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28575</wp:posOffset>
            </wp:positionV>
            <wp:extent cx="662622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provides a reconciliation of the change in cost of sales: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358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Six months ended</w:t>
            </w:r>
          </w:p>
        </w:tc>
        <w:tc>
          <w:tcPr>
            <w:tcW w:w="400" w:type="dxa"/>
            <w:vAlign w:val="bottom"/>
          </w:tcPr>
          <w:p>
            <w:pPr>
              <w:spacing w:after="0"/>
              <w:rPr>
                <w:sz w:val="18"/>
                <w:szCs w:val="18"/>
                <w:color w:val="auto"/>
              </w:rPr>
            </w:pPr>
          </w:p>
        </w:tc>
      </w:tr>
      <w:tr>
        <w:trPr>
          <w:trHeight w:val="234"/>
        </w:trPr>
        <w:tc>
          <w:tcPr>
            <w:tcW w:w="40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 millions)</w:t>
            </w:r>
          </w:p>
        </w:tc>
        <w:tc>
          <w:tcPr>
            <w:tcW w:w="2780" w:type="dxa"/>
            <w:vAlign w:val="bottom"/>
          </w:tcPr>
          <w:p>
            <w:pPr>
              <w:spacing w:after="0"/>
              <w:rPr>
                <w:sz w:val="20"/>
                <w:szCs w:val="20"/>
                <w:color w:val="auto"/>
              </w:rPr>
            </w:pPr>
          </w:p>
        </w:tc>
        <w:tc>
          <w:tcPr>
            <w:tcW w:w="16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March 31, 2026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09"/>
        </w:trPr>
        <w:tc>
          <w:tcPr>
            <w:tcW w:w="420" w:type="dxa"/>
            <w:vAlign w:val="bottom"/>
          </w:tcPr>
          <w:p>
            <w:pPr>
              <w:spacing w:after="0"/>
              <w:rPr>
                <w:sz w:val="18"/>
                <w:szCs w:val="18"/>
                <w:color w:val="auto"/>
              </w:rPr>
            </w:pPr>
          </w:p>
        </w:tc>
        <w:tc>
          <w:tcPr>
            <w:tcW w:w="35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sales change</w:t>
            </w:r>
          </w:p>
        </w:tc>
        <w:tc>
          <w:tcPr>
            <w:tcW w:w="278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Avoca business</w:t>
            </w:r>
          </w:p>
        </w:tc>
        <w:tc>
          <w:tcPr>
            <w:tcW w:w="4440" w:type="dxa"/>
            <w:vAlign w:val="bottom"/>
            <w:gridSpan w:val="2"/>
          </w:tcPr>
          <w:p>
            <w:pPr>
              <w:jc w:val="right"/>
              <w:ind w:right="14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Price/mix</w:t>
            </w:r>
          </w:p>
        </w:tc>
        <w:tc>
          <w:tcPr>
            <w:tcW w:w="27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Volume</w:t>
            </w:r>
          </w:p>
        </w:tc>
        <w:tc>
          <w:tcPr>
            <w:tcW w:w="27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costs</w:t>
            </w:r>
          </w:p>
        </w:tc>
        <w:tc>
          <w:tcPr>
            <w:tcW w:w="27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278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tcPr>
          <w:p>
            <w:pPr>
              <w:spacing w:after="0"/>
              <w:rPr>
                <w:sz w:val="18"/>
                <w:szCs w:val="18"/>
                <w:color w:val="auto"/>
              </w:rPr>
            </w:pPr>
          </w:p>
        </w:tc>
      </w:tr>
      <w:tr>
        <w:trPr>
          <w:trHeight w:val="209"/>
        </w:trPr>
        <w:tc>
          <w:tcPr>
            <w:tcW w:w="40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Change in cost of sales</w:t>
            </w:r>
          </w:p>
        </w:tc>
        <w:tc>
          <w:tcPr>
            <w:tcW w:w="2780" w:type="dxa"/>
            <w:vAlign w:val="bottom"/>
          </w:tcPr>
          <w:p>
            <w:pPr>
              <w:spacing w:after="0"/>
              <w:rPr>
                <w:sz w:val="18"/>
                <w:szCs w:val="18"/>
                <w:color w:val="auto"/>
              </w:rPr>
            </w:pPr>
          </w:p>
        </w:tc>
        <w:tc>
          <w:tcPr>
            <w:tcW w:w="1660" w:type="dxa"/>
            <w:vAlign w:val="bottom"/>
            <w:tcBorders>
              <w:bottom w:val="single" w:sz="8" w:color="auto"/>
            </w:tcBorders>
          </w:tcPr>
          <w:p>
            <w:pPr>
              <w:jc w:val="right"/>
              <w:ind w:right="149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Pr>
          <w:p>
            <w:pPr>
              <w:spacing w:after="0"/>
              <w:rPr>
                <w:sz w:val="18"/>
                <w:szCs w:val="18"/>
                <w:color w:val="auto"/>
              </w:rPr>
            </w:pPr>
          </w:p>
        </w:tc>
      </w:tr>
      <w:tr>
        <w:trPr>
          <w:trHeight w:val="20"/>
        </w:trPr>
        <w:tc>
          <w:tcPr>
            <w:tcW w:w="4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8"/>
        </w:trPr>
        <w:tc>
          <w:tcPr>
            <w:tcW w:w="420" w:type="dxa"/>
            <w:vAlign w:val="bottom"/>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r>
      <w:tr>
        <w:trPr>
          <w:trHeight w:val="534"/>
        </w:trPr>
        <w:tc>
          <w:tcPr>
            <w:tcW w:w="4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7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35</w:t>
            </w: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63"/>
        </w:trPr>
        <w:tc>
          <w:tcPr>
            <w:tcW w:w="42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i w:val="1"/>
          <w:iCs w:val="1"/>
          <w:color w:val="auto"/>
        </w:rPr>
        <w:t>Three months ended March 31, 2026 compared to three months ended March 31, 2025</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Cost of sales for the three months ended March 31, 2026, increased $3 million compared to the three months ended March 31, 2025. The increase was primarily driven by a $10 million negative combined impact from the Calvert City startup delay and weather-related operational disruptions during the quarter as well as unfavorable foreign exchange currency, partially offset by favorable price/mix. The three months ended March 31, 2026, operating costs were affected by $10 million of other plant optimization costs while the three months ended March 31, 2025 included $13 million of accelerated depreciation for product line optimization activities at manufacturing facilities within Life Sciences reportable segment and $6 million of other plant optimization costs. Gross profit as a percentage of sales decreased 0.2% primarily due to higher operating costs compared to the three months ended March 31,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Six months ended March 31, 2026 compared to six months ended March 31, 2025</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Cost of sales for the six months ended March 31, 2026, decreased $10 million compared to the six months ended March 31, 2025. The decrease was primarily driven by the impact of the Avoca business sale, favorable price/mix and lower sales volume, partially offset by unfavorable foreign exchange currency and unfavorable operating costs. The six months ended March 31, 2026, operating costs were affected by $3 million of accelerated depreciation for product line optimization activities at manufacturing facilities within Specialty Additives reportable segment and $15 million of other plant optimization costs while the six months ended March 31, 2025 included $13 million of accelerated depreciation for product line optimization activities at manufacturing facilities within Life Sciences reportable segment and $9 million of other plant optimization costs. Gross profit as a percentage of sales decreased 0.2% primarily due to lower sales volume, higher operating costs and other plant optimization costs compared to the six months ended March 31, 2025.</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10"/>
        </w:trPr>
        <w:tc>
          <w:tcPr>
            <w:tcW w:w="37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w:t>
            </w:r>
          </w:p>
        </w:tc>
        <w:tc>
          <w:tcPr>
            <w:tcW w:w="640" w:type="dxa"/>
            <w:vAlign w:val="bottom"/>
            <w:tcBorders>
              <w:top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tcBorders>
              <w:top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165</w:t>
            </w:r>
          </w:p>
        </w:tc>
        <w:tc>
          <w:tcPr>
            <w:tcW w:w="32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 percent of sales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28575</wp:posOffset>
            </wp:positionV>
            <wp:extent cx="66262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Three months ended March 31, 2026 compared to three months ended March 31, 2025</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Selling, general and administrative expense for the three months ended March 31, 2026, decreased $6 million compared to the three months ended March 31, 2025, with expenses as a percent of sales decreasing 1.3%. Key drivers of the fluctuation in selling, general and administrative expense compared to the three months ended March 31, 2025, were:</w:t>
      </w:r>
    </w:p>
    <w:p>
      <w:pPr>
        <w:spacing w:after="0" w:line="66" w:lineRule="exact"/>
        <w:rPr>
          <w:sz w:val="20"/>
          <w:szCs w:val="20"/>
          <w:color w:val="auto"/>
        </w:rPr>
      </w:pPr>
    </w:p>
    <w:p>
      <w:pPr>
        <w:ind w:left="360" w:hanging="358"/>
        <w:spacing w:after="0" w:line="269" w:lineRule="auto"/>
        <w:tabs>
          <w:tab w:leader="none" w:pos="3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million in net environmental-related expenses during both the three months ended March 31, 2026 and 2025 (see Note L of the Notes to Condensed Consolidated Financial Statements for more information);</w:t>
      </w:r>
    </w:p>
    <w:p>
      <w:pPr>
        <w:spacing w:after="0" w:line="51" w:lineRule="exact"/>
        <w:rPr>
          <w:rFonts w:ascii="Times New Roman" w:cs="Times New Roman" w:eastAsia="Times New Roman" w:hAnsi="Times New Roman"/>
          <w:sz w:val="20"/>
          <w:szCs w:val="20"/>
          <w:color w:val="auto"/>
        </w:rPr>
      </w:pPr>
    </w:p>
    <w:p>
      <w:pPr>
        <w:ind w:left="360" w:hanging="358"/>
        <w:spacing w:after="0" w:line="269" w:lineRule="auto"/>
        <w:tabs>
          <w:tab w:leader="none" w:pos="3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 of $3 million and $8 million comprised of key items for severance, lease abandonment and other restructuring costs during the three months ended March 31, 2026 and 2025, respectively; and</w:t>
      </w:r>
    </w:p>
    <w:p>
      <w:pPr>
        <w:spacing w:after="0" w:line="51" w:lineRule="exact"/>
        <w:rPr>
          <w:rFonts w:ascii="Times New Roman" w:cs="Times New Roman" w:eastAsia="Times New Roman" w:hAnsi="Times New Roman"/>
          <w:sz w:val="20"/>
          <w:szCs w:val="20"/>
          <w:color w:val="auto"/>
        </w:rPr>
      </w:pPr>
    </w:p>
    <w:p>
      <w:pPr>
        <w:jc w:val="both"/>
        <w:ind w:left="360" w:hanging="358"/>
        <w:spacing w:after="0" w:line="254" w:lineRule="auto"/>
        <w:tabs>
          <w:tab w:leader="none" w:pos="3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income associated with company-owned life insurance contracts and realized cost reductions associated with restructuring actions partially offset by increased bad debt expense, higher variable compensation expense and lower transition services income.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Six months ended March 31, 2026 compared to six months ended March 31, 2025</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Selling, general and administrative expense for the six months ended March 31, 2026, increased $3 million compared to the six months ended March 31, 2025, with expenses as a percent of sales increasing 0.7%. Key drivers of the fluctuation in selling, general and administrative expense compared to the six months ended March 31, 2025 were:</w:t>
      </w:r>
    </w:p>
    <w:p>
      <w:pPr>
        <w:spacing w:after="0" w:line="66" w:lineRule="exact"/>
        <w:rPr>
          <w:sz w:val="20"/>
          <w:szCs w:val="20"/>
          <w:color w:val="auto"/>
        </w:rPr>
      </w:pPr>
    </w:p>
    <w:p>
      <w:pPr>
        <w:ind w:left="360" w:hanging="358"/>
        <w:spacing w:after="0" w:line="269" w:lineRule="auto"/>
        <w:tabs>
          <w:tab w:leader="none" w:pos="3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 million and $3 million in net environmental-related expenses during the six months ended March 31, 2026 and 2025, respectively (see Note L of the Notes to Condensed Consolidated Financial Statements for more information);</w:t>
      </w:r>
    </w:p>
    <w:p>
      <w:pPr>
        <w:spacing w:after="0" w:line="51" w:lineRule="exact"/>
        <w:rPr>
          <w:rFonts w:ascii="Times New Roman" w:cs="Times New Roman" w:eastAsia="Times New Roman" w:hAnsi="Times New Roman"/>
          <w:sz w:val="20"/>
          <w:szCs w:val="20"/>
          <w:color w:val="auto"/>
        </w:rPr>
      </w:pPr>
    </w:p>
    <w:p>
      <w:pPr>
        <w:ind w:left="360" w:hanging="358"/>
        <w:spacing w:after="0" w:line="269" w:lineRule="auto"/>
        <w:tabs>
          <w:tab w:leader="none" w:pos="3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 of $7 million and $11 million comprised of key items for severance, lease abandonment and other restructuring costs during the six months ended March 31, 2026 and 2025, respectively; and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5" w:right="719" w:bottom="1440" w:gutter="0" w:footer="0" w:header="0"/>
        </w:sectPr>
      </w:pPr>
    </w:p>
    <w:bookmarkStart w:id="37" w:name="page38"/>
    <w:bookmarkEnd w:id="37"/>
    <w:p>
      <w:pPr>
        <w:jc w:val="both"/>
        <w:ind w:left="360" w:hanging="358"/>
        <w:spacing w:after="0" w:line="254" w:lineRule="auto"/>
        <w:tabs>
          <w:tab w:leader="none" w:pos="3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variable compensation expense, increased bad debt expense, lower transition services income and unfavorable currency exchange partially offset by increased income associated with company-owned life insurance contracs and realized cost reductions, including the Avoca business sale, associated with restructuring actions.</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760" w:type="dxa"/>
            <w:vAlign w:val="bottom"/>
            <w:gridSpan w:val="5"/>
          </w:tcPr>
          <w:p>
            <w:pPr>
              <w:jc w:val="right"/>
              <w:ind w:right="45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09"/>
        </w:trPr>
        <w:tc>
          <w:tcPr>
            <w:tcW w:w="352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w:t>
            </w:r>
          </w:p>
        </w:tc>
        <w:tc>
          <w:tcPr>
            <w:tcW w:w="102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gridSpan w:val="3"/>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4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5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Three months ended March 31, 2026 compared to three months ended March 31, 2025</w:t>
      </w:r>
    </w:p>
    <w:p>
      <w:pPr>
        <w:spacing w:after="0" w:line="112" w:lineRule="exact"/>
        <w:rPr>
          <w:sz w:val="20"/>
          <w:szCs w:val="20"/>
          <w:color w:val="auto"/>
        </w:rPr>
      </w:pPr>
    </w:p>
    <w:p>
      <w:pPr>
        <w:ind w:right="1120"/>
        <w:spacing w:after="0" w:line="352" w:lineRule="auto"/>
        <w:rPr>
          <w:sz w:val="20"/>
          <w:szCs w:val="20"/>
          <w:color w:val="auto"/>
        </w:rPr>
      </w:pPr>
      <w:r>
        <w:rPr>
          <w:rFonts w:ascii="Times New Roman" w:cs="Times New Roman" w:eastAsia="Times New Roman" w:hAnsi="Times New Roman"/>
          <w:sz w:val="20"/>
          <w:szCs w:val="20"/>
          <w:color w:val="auto"/>
        </w:rPr>
        <w:t xml:space="preserve">Research and development expense is generally consistent between the three months ended March 31, 2026 and 2025. </w:t>
      </w:r>
      <w:r>
        <w:rPr>
          <w:rFonts w:ascii="Times New Roman" w:cs="Times New Roman" w:eastAsia="Times New Roman" w:hAnsi="Times New Roman"/>
          <w:sz w:val="20"/>
          <w:szCs w:val="20"/>
          <w:i w:val="1"/>
          <w:iCs w:val="1"/>
          <w:color w:val="auto"/>
        </w:rPr>
        <w:t>Six months ended March 31, 2026 compared to six months ended March 31, 2025</w:t>
      </w:r>
    </w:p>
    <w:p>
      <w:pPr>
        <w:spacing w:after="0"/>
        <w:rPr>
          <w:sz w:val="20"/>
          <w:szCs w:val="20"/>
          <w:color w:val="auto"/>
        </w:rPr>
      </w:pPr>
      <w:r>
        <w:rPr>
          <w:rFonts w:ascii="Times New Roman" w:cs="Times New Roman" w:eastAsia="Times New Roman" w:hAnsi="Times New Roman"/>
          <w:sz w:val="20"/>
          <w:szCs w:val="20"/>
          <w:color w:val="auto"/>
        </w:rPr>
        <w:t>Research and development expense is generally consistent between the six months ended March 31, 2026 and 2025.</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760" w:type="dxa"/>
            <w:vAlign w:val="bottom"/>
            <w:gridSpan w:val="5"/>
          </w:tcPr>
          <w:p>
            <w:pPr>
              <w:jc w:val="right"/>
              <w:ind w:right="45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10"/>
        </w:trPr>
        <w:tc>
          <w:tcPr>
            <w:tcW w:w="344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Intangibles amortization expense</w:t>
            </w:r>
          </w:p>
        </w:tc>
        <w:tc>
          <w:tcPr>
            <w:tcW w:w="110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gridSpan w:val="3"/>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4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Three months ended March 31, 2026 compared to three months ended March 31, 2025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Intangibles amortization expense is generally consistent between the three months ended March 31, 2026 and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Six months ended March 31, 2026 compared to six months ended March 31, 2025</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lower intangibles amortization expense in the six months ended March 31, 2026, is driven by the impact of amortization related to the divested Avoca business in the six months ended March 31, 2025.</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760" w:type="dxa"/>
            <w:vAlign w:val="bottom"/>
            <w:gridSpan w:val="5"/>
          </w:tcPr>
          <w:p>
            <w:pPr>
              <w:jc w:val="right"/>
              <w:ind w:right="45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10"/>
        </w:trPr>
        <w:tc>
          <w:tcPr>
            <w:tcW w:w="312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and other income</w:t>
            </w:r>
          </w:p>
        </w:tc>
        <w:tc>
          <w:tcPr>
            <w:tcW w:w="142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gridSpan w:val="3"/>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1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Three months ended March 31, 2026 compared to three months ended March 31, 2025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Equity and other income was zero in both three months ended March 31, 2026 and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Six months ended March 31, 2026 compared to six months ended March 31, 2025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Equity and other income is generally consistent between the six months ended March 31, 2026 and 2025.</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9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5"/>
          </w:tcPr>
          <w:p>
            <w:pPr>
              <w:jc w:val="right"/>
              <w:ind w:right="45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10"/>
        </w:trPr>
        <w:tc>
          <w:tcPr>
            <w:tcW w:w="342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(loss) on divestitures, net</w:t>
            </w:r>
          </w:p>
        </w:tc>
        <w:tc>
          <w:tcPr>
            <w:tcW w:w="112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Borders>
              <w:top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Three months ended March 31, 2026 compared to three months ended March 31, 2025</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Income (loss) on divestitures, net for the three months ended March 31, 2025, primarily relates to a pre-tax gain on sale of $8 million associated with the Avoca business and a pre-tax gain on sale of excess corporate real estate of $11 million, partially offset by $1 million adjustment related to the Nutraceuticals business sale completed in fiscal 2024. See Note B of the Notes to Condensed Consolidated Financial Statements for more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Six months ended March 31, 2026 compared to six months ended March 31, 2025</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Income (loss) on divestitures, net for the six months ended March 31, 2026, primarily relates to a pre-tax gain on sale of excess corporate real estate while the three months ended March 31, 2025, primarily relates to a $183 million impairment charge, a pre-tax gain on sale of $8 million associated with the Avoca business and a pre-tax gain on sale of excess corporate real estate of $11 million, partially offset by $1 million adjustment related to the Nutraceuticals business sale completed in fiscal 2024. See Note B of the Notes to Condensed Consolidated Financial Statements for more information.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38" w:name="page39"/>
    <w:bookmarkEnd w:id="38"/>
    <w:tbl>
      <w:tblPr>
        <w:tblLayout w:type="fixed"/>
        <w:tblInd w:w="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7"/>
          </w:tcPr>
          <w:p>
            <w:pPr>
              <w:jc w:val="right"/>
              <w:ind w:right="39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7"/>
          </w:tcPr>
          <w:p>
            <w:pPr>
              <w:jc w:val="right"/>
              <w:ind w:right="47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10"/>
        </w:trPr>
        <w:tc>
          <w:tcPr>
            <w:tcW w:w="42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interest and other expense (income)</w:t>
            </w: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 securities (income) expense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financing costs</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-222250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-222250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-222250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5301615</wp:posOffset>
            </wp:positionH>
            <wp:positionV relativeFrom="paragraph">
              <wp:posOffset>-222250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5970270</wp:posOffset>
            </wp:positionH>
            <wp:positionV relativeFrom="paragraph">
              <wp:posOffset>-222250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Three months ended March 31, 2026 compared to three months ended March 31, 2025</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Net interest and other expense increased by $7 million during the three months ended March 31, 2026, compared to the three months ended March 31, 2025. Interest expense and interest income are generally consistent between the three months ended March 31, 2026 and 2025. Investment securities expense of $2 million and income of $6 million included realized losses of $5 million and gains of $3 million for the three months ended March 31, 2026 and 2025, respectively, and was the primary change. See Note E of the Notes to Condensed Consolidated Financial Statements for more information.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Six months ended March 31, 2026 compared to six months ended March 31, 2025</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Net interest and other expense decreased by $13 million during the six months ended March 31, 2026, compared to the six months ended March 31, 2025. Interest expense and interest income are generally consistent between the six months ended March 31, 2026 and 2025. Investment securities income of $5 million and expense of $7 million included realized losses of $3 million and $14 million for the six months ended March 31, 2026 and 2025, respectively, and was the primary change. See Note E of the Notes to Condensed Consolidated Financial Statements for more information.</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760" w:type="dxa"/>
            <w:vAlign w:val="bottom"/>
            <w:gridSpan w:val="5"/>
          </w:tcPr>
          <w:p>
            <w:pPr>
              <w:jc w:val="right"/>
              <w:ind w:right="45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10"/>
        </w:trPr>
        <w:tc>
          <w:tcPr>
            <w:tcW w:w="334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net periodic benefit loss</w:t>
            </w:r>
          </w:p>
        </w:tc>
        <w:tc>
          <w:tcPr>
            <w:tcW w:w="120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gridSpan w:val="3"/>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Three months ended March 31, 2026 compared to three months ended March 31, 2025</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Other net periodic benefit loss for the three months ended March 31, 2026, primarily included interest cost of $3 million, which was partially offset by expected return on plan assets of $2 million. Other net periodic benefit loss for the three months ended March 31, 2025, primarily included interest cost of $4 million, which was partially offset by expected return on plan assets of $3 million. See Note K of the Notes to Condensed Consolidated Financial Statements for more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Six months ended March 31, 2026 compared to six months ended March 31, 2025</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Other net periodic benefit loss for the six months ended March 31, 2026, primarily included interest cost of $7 million, which was partially offset by expected return on plan assets of $5 million. Other net periodic benefit loss for the six months ended March 31, 2025, primarily included interest cost of $7 million and a $1 million curtailment loss, which was partially offset by expected return on plan assets of $5 million. See Note K of the Notes to Condensed Consolidated Financial Statements for more information.</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10"/>
        </w:trPr>
        <w:tc>
          <w:tcPr>
            <w:tcW w:w="318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1200" w:type="dxa"/>
            <w:vAlign w:val="bottom"/>
            <w:tcBorders>
              <w:top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Borders>
              <w:top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28575</wp:posOffset>
            </wp:positionV>
            <wp:extent cx="66262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Three months ended March 31, 2026 compared to three months ended March 31, 2025</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Ashland’s effective tax rate in any interim period is subject to adjustments related to discrete items and the mix of domestic and foreign operating results. The effective tax rate was 25% for the three months ended March 31, 2026,</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04" w:right="719" w:bottom="1440" w:gutter="0" w:footer="0" w:header="0"/>
        </w:sectPr>
      </w:pPr>
    </w:p>
    <w:bookmarkStart w:id="39" w:name="page40"/>
    <w:bookmarkEnd w:id="39"/>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and was primarily impacted by jurisdictional income mix and a net $1 million from favorable tax discrete items primarily related to equity compensation adjustments and changes in uncertain tax positions.</w:t>
      </w:r>
    </w:p>
    <w:p>
      <w:pPr>
        <w:spacing w:after="0" w:line="51"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The effective tax rate was 23% for the three months ended March 31, 2025, and was primarily impacted by jurisdictional income mix.</w:t>
      </w:r>
    </w:p>
    <w:p>
      <w:pPr>
        <w:spacing w:after="0" w:line="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Six months ended March 31, 2026 compared to six months ended March 31, 2025</w:t>
      </w:r>
    </w:p>
    <w:p>
      <w:pPr>
        <w:spacing w:after="0" w:line="112" w:lineRule="exact"/>
        <w:rPr>
          <w:sz w:val="20"/>
          <w:szCs w:val="20"/>
          <w:color w:val="auto"/>
        </w:rPr>
      </w:pPr>
    </w:p>
    <w:p>
      <w:pPr>
        <w:jc w:val="both"/>
        <w:ind w:left="380" w:right="380"/>
        <w:spacing w:after="0" w:line="254" w:lineRule="auto"/>
        <w:rPr>
          <w:sz w:val="20"/>
          <w:szCs w:val="20"/>
          <w:color w:val="auto"/>
        </w:rPr>
      </w:pPr>
      <w:r>
        <w:rPr>
          <w:rFonts w:ascii="Times New Roman" w:cs="Times New Roman" w:eastAsia="Times New Roman" w:hAnsi="Times New Roman"/>
          <w:sz w:val="20"/>
          <w:szCs w:val="20"/>
          <w:color w:val="auto"/>
        </w:rPr>
        <w:t>The effective tax rate was 80% for the six months ended March 31, 2026, and was primarily impacted by jurisdictional income mix and a net $1 million from unfavorable tax discrete items primarily related to equity compensation adjustments and changes in uncertain tax positions.</w:t>
      </w:r>
    </w:p>
    <w:p>
      <w:pPr>
        <w:spacing w:after="0" w:line="66" w:lineRule="exact"/>
        <w:rPr>
          <w:sz w:val="20"/>
          <w:szCs w:val="20"/>
          <w:color w:val="auto"/>
        </w:rPr>
      </w:pPr>
    </w:p>
    <w:p>
      <w:pPr>
        <w:jc w:val="both"/>
        <w:ind w:left="380" w:right="380"/>
        <w:spacing w:after="0" w:line="274" w:lineRule="auto"/>
        <w:rPr>
          <w:sz w:val="20"/>
          <w:szCs w:val="20"/>
          <w:color w:val="auto"/>
        </w:rPr>
      </w:pPr>
      <w:r>
        <w:rPr>
          <w:rFonts w:ascii="Times New Roman" w:cs="Times New Roman" w:eastAsia="Times New Roman" w:hAnsi="Times New Roman"/>
          <w:sz w:val="19"/>
          <w:szCs w:val="19"/>
          <w:color w:val="auto"/>
        </w:rPr>
        <w:t>The effective tax rate was 20% for the six months ended March 31, 2025, and was primarily impacted by jurisdictional income mix as well as a net $7 million from unfavorable tax discrete items primarily related to final regulations issued in the U.S. during the six months ended March 31, 2025, impacting the recognition of deferred taxes on certain unrealized foreign exchange gains and losses.</w:t>
      </w:r>
    </w:p>
    <w:p>
      <w:pPr>
        <w:spacing w:after="0" w:line="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Adjusted income tax expense (benefit)</w:t>
      </w:r>
    </w:p>
    <w:p>
      <w:pPr>
        <w:spacing w:after="0" w:line="112" w:lineRule="exact"/>
        <w:rPr>
          <w:sz w:val="20"/>
          <w:szCs w:val="20"/>
          <w:color w:val="auto"/>
        </w:rPr>
      </w:pPr>
    </w:p>
    <w:p>
      <w:pPr>
        <w:jc w:val="both"/>
        <w:ind w:left="380" w:right="380"/>
        <w:spacing w:after="0" w:line="243" w:lineRule="auto"/>
        <w:rPr>
          <w:sz w:val="20"/>
          <w:szCs w:val="20"/>
          <w:color w:val="auto"/>
        </w:rPr>
      </w:pPr>
      <w:r>
        <w:rPr>
          <w:rFonts w:ascii="Times New Roman" w:cs="Times New Roman" w:eastAsia="Times New Roman" w:hAnsi="Times New Roman"/>
          <w:sz w:val="20"/>
          <w:szCs w:val="20"/>
          <w:color w:val="auto"/>
        </w:rPr>
        <w:t>Key items are defined as the financial effects from significant transactions that may have caused short-term fluctuations in net income (loss) and/or operating income (loss) which Ashland believes do not accurately reflect Ashland’s underlying business performance and trends. Tax specific key items are defined as the financial effects from tax specific financial transactions, tax law changes or other matters that fall within the definition of key items as previously described. The effective tax rate, excluding key items, which is a non-GAAP financial measure, has been prepared to illustrate the ongoing tax effects of Ashland’s operations. Management believes investors and analysts use this financial measure in assessing Ashland's business performance and that presenting this non-GAAP financial measure on a consolidated basis assists investors in better understanding Ashland’s ongoing business performance enhancing their ability to compare period-to-period financial results.</w:t>
      </w:r>
    </w:p>
    <w:p>
      <w:pPr>
        <w:spacing w:after="0" w:line="81"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The effective tax rate during the three and six months ended March 31, 2025 was significantly impacted by the following tax specific key items:</w:t>
      </w:r>
    </w:p>
    <w:p>
      <w:pPr>
        <w:spacing w:after="0" w:line="51" w:lineRule="exact"/>
        <w:rPr>
          <w:sz w:val="20"/>
          <w:szCs w:val="20"/>
          <w:color w:val="auto"/>
        </w:rPr>
      </w:pPr>
    </w:p>
    <w:p>
      <w:pPr>
        <w:ind w:left="740" w:hanging="358"/>
        <w:spacing w:after="0"/>
        <w:tabs>
          <w:tab w:leader="none" w:pos="7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 tax position – Includes the impact from the settlement of uncertain tax positions with various tax authorities; and</w:t>
      </w:r>
    </w:p>
    <w:p>
      <w:pPr>
        <w:spacing w:after="0" w:line="107" w:lineRule="exact"/>
        <w:rPr>
          <w:rFonts w:ascii="Times New Roman" w:cs="Times New Roman" w:eastAsia="Times New Roman" w:hAnsi="Times New Roman"/>
          <w:sz w:val="20"/>
          <w:szCs w:val="20"/>
          <w:color w:val="auto"/>
        </w:rPr>
      </w:pPr>
    </w:p>
    <w:p>
      <w:pPr>
        <w:ind w:left="740" w:hanging="358"/>
        <w:spacing w:after="0"/>
        <w:tabs>
          <w:tab w:leader="none" w:pos="7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and tax reform related activity – Includes miscellaneous state and foreign statute adjustments.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is a calculation of the effective tax rate, excluding these key items.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50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color w:val="auto"/>
              </w:rPr>
              <w:t>Six months ended</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(In millions)</w:t>
            </w:r>
          </w:p>
        </w:tc>
        <w:tc>
          <w:tcPr>
            <w:tcW w:w="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March 31</w:t>
            </w:r>
          </w:p>
        </w:tc>
        <w:tc>
          <w:tcPr>
            <w:tcW w:w="7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8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50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1020" w:type="dxa"/>
            <w:vAlign w:val="bottom"/>
            <w:tcBorders>
              <w:top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480" w:type="dxa"/>
            <w:vAlign w:val="bottom"/>
            <w:tcBorders>
              <w:top w:val="single" w:sz="8" w:color="auto"/>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Borders>
              <w:top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Borders>
              <w:top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0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Key items (pre-tax)</w:t>
            </w:r>
            <w:r>
              <w:rPr>
                <w:rFonts w:ascii="Times New Roman" w:cs="Times New Roman" w:eastAsia="Times New Roman" w:hAnsi="Times New Roman"/>
                <w:sz w:val="24"/>
                <w:szCs w:val="24"/>
                <w:color w:val="auto"/>
                <w:vertAlign w:val="superscript"/>
              </w:rPr>
              <w:t>(a)</w:t>
            </w:r>
          </w:p>
        </w:tc>
        <w:tc>
          <w:tcPr>
            <w:tcW w:w="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income from continuing operations before income taxes</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43</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0" w:type="dxa"/>
            <w:vAlign w:val="bottom"/>
            <w:vMerge w:val="restart"/>
          </w:tcPr>
          <w:p>
            <w:pPr>
              <w:spacing w:after="0"/>
              <w:rPr>
                <w:sz w:val="17"/>
                <w:szCs w:val="17"/>
                <w:color w:val="auto"/>
              </w:rPr>
            </w:pPr>
          </w:p>
        </w:tc>
        <w:tc>
          <w:tcPr>
            <w:tcW w:w="5060" w:type="dxa"/>
            <w:vAlign w:val="bottom"/>
            <w:tcBorders>
              <w:top w:val="single" w:sz="8" w:color="CFF0FC"/>
            </w:tcBorders>
          </w:tcPr>
          <w:p>
            <w:pPr>
              <w:spacing w:after="0"/>
              <w:rPr>
                <w:sz w:val="17"/>
                <w:szCs w:val="17"/>
                <w:color w:val="auto"/>
              </w:rPr>
            </w:pPr>
          </w:p>
        </w:tc>
        <w:tc>
          <w:tcPr>
            <w:tcW w:w="8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50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rate adjustments:</w:t>
            </w:r>
          </w:p>
        </w:tc>
        <w:tc>
          <w:tcPr>
            <w:tcW w:w="8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060" w:type="dxa"/>
            <w:vAlign w:val="bottom"/>
            <w:shd w:val="clear" w:color="auto" w:fill="CFF0FC"/>
          </w:tcPr>
          <w:p>
            <w:pPr>
              <w:jc w:val="center"/>
              <w:ind w:right="3090"/>
              <w:spacing w:after="0" w:line="216" w:lineRule="exact"/>
              <w:rPr>
                <w:sz w:val="20"/>
                <w:szCs w:val="20"/>
                <w:color w:val="auto"/>
              </w:rPr>
            </w:pPr>
            <w:r>
              <w:rPr>
                <w:rFonts w:ascii="Times New Roman" w:cs="Times New Roman" w:eastAsia="Times New Roman" w:hAnsi="Times New Roman"/>
                <w:sz w:val="18"/>
                <w:szCs w:val="18"/>
                <w:color w:val="auto"/>
                <w:w w:val="96"/>
              </w:rPr>
              <w:t>Tax effect of key items</w:t>
            </w:r>
            <w:r>
              <w:rPr>
                <w:rFonts w:ascii="Times New Roman" w:cs="Times New Roman" w:eastAsia="Times New Roman" w:hAnsi="Times New Roman"/>
                <w:sz w:val="24"/>
                <w:szCs w:val="24"/>
                <w:color w:val="auto"/>
                <w:w w:val="96"/>
                <w:vertAlign w:val="superscript"/>
              </w:rPr>
              <w:t>(b)</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060" w:type="dxa"/>
            <w:vAlign w:val="bottom"/>
          </w:tcPr>
          <w:p>
            <w:pPr>
              <w:jc w:val="center"/>
              <w:ind w:right="3090"/>
              <w:spacing w:after="0" w:line="216" w:lineRule="exact"/>
              <w:rPr>
                <w:sz w:val="20"/>
                <w:szCs w:val="20"/>
                <w:color w:val="auto"/>
              </w:rPr>
            </w:pPr>
            <w:r>
              <w:rPr>
                <w:rFonts w:ascii="Times New Roman" w:cs="Times New Roman" w:eastAsia="Times New Roman" w:hAnsi="Times New Roman"/>
                <w:sz w:val="18"/>
                <w:szCs w:val="18"/>
                <w:color w:val="auto"/>
                <w:w w:val="97"/>
              </w:rPr>
              <w:t>Tax specific key items:</w:t>
            </w:r>
            <w:r>
              <w:rPr>
                <w:rFonts w:ascii="Times New Roman" w:cs="Times New Roman" w:eastAsia="Times New Roman" w:hAnsi="Times New Roman"/>
                <w:sz w:val="24"/>
                <w:szCs w:val="24"/>
                <w:color w:val="auto"/>
                <w:w w:val="97"/>
                <w:vertAlign w:val="superscript"/>
              </w:rPr>
              <w:t>(c)</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060" w:type="dxa"/>
            <w:vAlign w:val="bottom"/>
            <w:shd w:val="clear" w:color="auto" w:fill="CFF0FC"/>
          </w:tcPr>
          <w:p>
            <w:pPr>
              <w:jc w:val="center"/>
              <w:ind w:right="3110"/>
              <w:spacing w:after="0"/>
              <w:rPr>
                <w:sz w:val="20"/>
                <w:szCs w:val="20"/>
                <w:color w:val="auto"/>
              </w:rPr>
            </w:pPr>
            <w:r>
              <w:rPr>
                <w:rFonts w:ascii="Times New Roman" w:cs="Times New Roman" w:eastAsia="Times New Roman" w:hAnsi="Times New Roman"/>
                <w:sz w:val="18"/>
                <w:szCs w:val="18"/>
                <w:color w:val="auto"/>
                <w:w w:val="99"/>
              </w:rPr>
              <w:t>Uncertain tax positions</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and tax reform related activity</w:t>
            </w:r>
          </w:p>
        </w:tc>
        <w:tc>
          <w:tcPr>
            <w:tcW w:w="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 rate adjustments</w:t>
            </w:r>
          </w:p>
        </w:tc>
        <w:tc>
          <w:tcPr>
            <w:tcW w:w="8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income tax expense</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50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Effective tax rate</w:t>
            </w:r>
          </w:p>
        </w:tc>
        <w:tc>
          <w:tcPr>
            <w:tcW w:w="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420" w:type="dxa"/>
            <w:vAlign w:val="bottom"/>
          </w:tcPr>
          <w:p>
            <w:pPr>
              <w:spacing w:after="0"/>
              <w:rPr>
                <w:sz w:val="24"/>
                <w:szCs w:val="24"/>
                <w:color w:val="auto"/>
              </w:rPr>
            </w:pP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Effective Tax Rate, Excluding Key Items (Non-GAAP)</w:t>
            </w:r>
            <w:r>
              <w:rPr>
                <w:rFonts w:ascii="Times New Roman" w:cs="Times New Roman" w:eastAsia="Times New Roman" w:hAnsi="Times New Roman"/>
                <w:sz w:val="24"/>
                <w:szCs w:val="24"/>
                <w:b w:val="1"/>
                <w:bCs w:val="1"/>
                <w:color w:val="auto"/>
                <w:vertAlign w:val="superscript"/>
              </w:rPr>
              <w:t>(d)</w:t>
            </w: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4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-2476500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-2459355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-2476500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-2459355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-2476500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-2459355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-2176780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-2176780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-2176780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-1336675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-1336675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-1336675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0" w:name="page41"/>
    <w:bookmarkEnd w:id="40"/>
    <w:p>
      <w:pPr>
        <w:ind w:left="360" w:hanging="358"/>
        <w:spacing w:after="0" w:line="251" w:lineRule="auto"/>
        <w:tabs>
          <w:tab w:leader="none" w:pos="3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Adjusted EBITDA reconciliation table disclosed in this Management’s Discussion and Analysis of Financial Condition and Results of Operation for a summary of the key items, before tax.</w:t>
      </w:r>
    </w:p>
    <w:p>
      <w:pPr>
        <w:ind w:left="360" w:hanging="358"/>
        <w:spacing w:after="0"/>
        <w:tabs>
          <w:tab w:leader="none" w:pos="3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rate specific to the jurisdiction in which the key item originates is used to calculate the tax effect of key items.</w:t>
      </w:r>
    </w:p>
    <w:p>
      <w:pPr>
        <w:spacing w:after="0" w:line="27" w:lineRule="exact"/>
        <w:rPr>
          <w:rFonts w:ascii="Times New Roman" w:cs="Times New Roman" w:eastAsia="Times New Roman" w:hAnsi="Times New Roman"/>
          <w:sz w:val="14"/>
          <w:szCs w:val="14"/>
          <w:color w:val="auto"/>
        </w:rPr>
      </w:pPr>
    </w:p>
    <w:p>
      <w:pPr>
        <w:ind w:left="360" w:hanging="358"/>
        <w:spacing w:after="0" w:line="242" w:lineRule="auto"/>
        <w:tabs>
          <w:tab w:leader="none" w:pos="3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additional information on the effect that these tax specific key items had on EPS, see the Adjusted Diluted EPS table disclosed in this Management’s Discussion and Analysis of Financial Condition and Results of Operation.</w:t>
      </w:r>
    </w:p>
    <w:p>
      <w:pPr>
        <w:ind w:left="360" w:hanging="358"/>
        <w:spacing w:after="0"/>
        <w:tabs>
          <w:tab w:leader="none" w:pos="3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rounding conventions, the effective tax rate presented may not recalculate precisely based on the numbers disclosed within this table.</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0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900" w:type="dxa"/>
            <w:vAlign w:val="bottom"/>
            <w:gridSpan w:val="7"/>
          </w:tcPr>
          <w:p>
            <w:pPr>
              <w:jc w:val="right"/>
              <w:ind w:right="55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10"/>
        </w:trPr>
        <w:tc>
          <w:tcPr>
            <w:tcW w:w="35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40" w:type="dxa"/>
            <w:vAlign w:val="bottom"/>
            <w:tcBorders>
              <w:top w:val="single" w:sz="8" w:color="auto"/>
            </w:tcBorders>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Income from discontinued operations, net of</w:t>
            </w:r>
          </w:p>
        </w:tc>
        <w:tc>
          <w:tcPr>
            <w:tcW w:w="16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Water Technologies</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Performance Adhesives</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Valvoline</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40" w:type="dxa"/>
            <w:vAlign w:val="bottom"/>
            <w:tcBorders>
              <w:top w:val="single" w:sz="8" w:color="CFF0FC"/>
              <w:bottom w:val="single" w:sz="8" w:color="auto"/>
            </w:tcBorders>
          </w:tcPr>
          <w:p>
            <w:pPr>
              <w:spacing w:after="0"/>
              <w:rPr>
                <w:sz w:val="4"/>
                <w:szCs w:val="4"/>
                <w:color w:val="auto"/>
              </w:rPr>
            </w:pPr>
          </w:p>
        </w:tc>
        <w:tc>
          <w:tcPr>
            <w:tcW w:w="160" w:type="dxa"/>
            <w:vAlign w:val="bottom"/>
            <w:tcBorders>
              <w:top w:val="single" w:sz="8" w:color="CFF0FC"/>
              <w:bottom w:val="single" w:sz="8" w:color="auto"/>
            </w:tcBorders>
          </w:tcPr>
          <w:p>
            <w:pPr>
              <w:spacing w:after="0"/>
              <w:rPr>
                <w:sz w:val="4"/>
                <w:szCs w:val="4"/>
                <w:color w:val="auto"/>
              </w:rPr>
            </w:pPr>
          </w:p>
        </w:tc>
        <w:tc>
          <w:tcPr>
            <w:tcW w:w="320" w:type="dxa"/>
            <w:vAlign w:val="bottom"/>
            <w:tcBorders>
              <w:top w:val="single" w:sz="8" w:color="auto"/>
              <w:bottom w:val="single" w:sz="8" w:color="auto"/>
            </w:tcBorders>
          </w:tcPr>
          <w:p>
            <w:pPr>
              <w:spacing w:after="0"/>
              <w:rPr>
                <w:sz w:val="4"/>
                <w:szCs w:val="4"/>
                <w:color w:val="auto"/>
              </w:rPr>
            </w:pPr>
          </w:p>
        </w:tc>
        <w:tc>
          <w:tcPr>
            <w:tcW w:w="74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320" w:type="dxa"/>
            <w:vAlign w:val="bottom"/>
            <w:tcBorders>
              <w:top w:val="single" w:sz="8" w:color="auto"/>
              <w:bottom w:val="single" w:sz="8" w:color="auto"/>
            </w:tcBorders>
          </w:tcPr>
          <w:p>
            <w:pPr>
              <w:spacing w:after="0"/>
              <w:rPr>
                <w:sz w:val="4"/>
                <w:szCs w:val="4"/>
                <w:color w:val="auto"/>
              </w:rPr>
            </w:pPr>
          </w:p>
        </w:tc>
        <w:tc>
          <w:tcPr>
            <w:tcW w:w="74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220" w:type="dxa"/>
            <w:vAlign w:val="bottom"/>
            <w:tcBorders>
              <w:top w:val="single" w:sz="8" w:color="auto"/>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70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70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220" w:type="dxa"/>
            <w:vAlign w:val="bottom"/>
            <w:tcBorders>
              <w:top w:val="single" w:sz="8" w:color="auto"/>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3046730</wp:posOffset>
            </wp:positionH>
            <wp:positionV relativeFrom="paragraph">
              <wp:posOffset>-76835</wp:posOffset>
            </wp:positionV>
            <wp:extent cx="7747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3046730</wp:posOffset>
            </wp:positionH>
            <wp:positionV relativeFrom="paragraph">
              <wp:posOffset>-59055</wp:posOffset>
            </wp:positionV>
            <wp:extent cx="774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3792855</wp:posOffset>
            </wp:positionH>
            <wp:positionV relativeFrom="paragraph">
              <wp:posOffset>-76835</wp:posOffset>
            </wp:positionV>
            <wp:extent cx="7747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3792855</wp:posOffset>
            </wp:positionH>
            <wp:positionV relativeFrom="paragraph">
              <wp:posOffset>-59055</wp:posOffset>
            </wp:positionV>
            <wp:extent cx="774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-76835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-59055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5241290</wp:posOffset>
            </wp:positionH>
            <wp:positionV relativeFrom="paragraph">
              <wp:posOffset>-76835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5241290</wp:posOffset>
            </wp:positionH>
            <wp:positionV relativeFrom="paragraph">
              <wp:posOffset>-59055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-76835</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-59055</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Three months ended March 31, 2026 compared to three months ended March 31, 2025</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activity for Performance Adhesives and Valvoline represents subsequent adjustments that were made in conjunction with tax related reserves.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Six months ended March 31, 2026 compared to six months ended March 31, 2025</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activity for Water Technologies, Performance Adhesives and Valvoline represents represents subsequent adjustments that were made in conjunction with environmental and tax related reserves.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comprehensive income (loss)</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7"/>
          </w:tcPr>
          <w:p>
            <w:pPr>
              <w:jc w:val="right"/>
              <w:ind w:right="29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7"/>
          </w:tcPr>
          <w:p>
            <w:pPr>
              <w:jc w:val="right"/>
              <w:ind w:right="37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Unrealized translation gain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Unrealized gain on commodity hedges</w:t>
            </w: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46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3509645</wp:posOffset>
            </wp:positionH>
            <wp:positionV relativeFrom="paragraph">
              <wp:posOffset>-222250</wp:posOffset>
            </wp:positionV>
            <wp:extent cx="685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-222250</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-222250</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-222250</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6038850</wp:posOffset>
            </wp:positionH>
            <wp:positionV relativeFrom="paragraph">
              <wp:posOffset>-222250</wp:posOffset>
            </wp:positionV>
            <wp:extent cx="685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Three months ended March 31, 2026 compared to three months ended March 31, 2025</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Total other comprehensive income (loss), net of tax, for the three months ended March 31, 2026, decreased $63 million compared to the three months ended March 31, 2025, primarily as a result of the following:</w:t>
      </w:r>
    </w:p>
    <w:p>
      <w:pPr>
        <w:spacing w:after="0" w:line="51" w:lineRule="exact"/>
        <w:rPr>
          <w:sz w:val="20"/>
          <w:szCs w:val="20"/>
          <w:color w:val="auto"/>
        </w:rPr>
      </w:pPr>
    </w:p>
    <w:p>
      <w:pPr>
        <w:jc w:val="both"/>
        <w:ind w:left="740" w:hanging="363"/>
        <w:spacing w:after="0" w:line="249" w:lineRule="auto"/>
        <w:tabs>
          <w:tab w:leader="none" w:pos="7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three months ended March 31, 2026 and 2025, the change in unrealized gain (loss) from foreign currency translation adjustments resulted in losses of $12 million and gains of $49 million, respectively. The fluctuations in unrealized translation gains and losses are primarily due to translating foreign subsidiary financial statements from local currencies to U.S. Dollars.</w:t>
      </w:r>
    </w:p>
    <w:p>
      <w:pPr>
        <w:spacing w:after="0" w:line="71" w:lineRule="exact"/>
        <w:rPr>
          <w:rFonts w:ascii="Times New Roman" w:cs="Times New Roman" w:eastAsia="Times New Roman" w:hAnsi="Times New Roman"/>
          <w:sz w:val="20"/>
          <w:szCs w:val="20"/>
          <w:color w:val="auto"/>
        </w:rPr>
      </w:pPr>
    </w:p>
    <w:p>
      <w:pPr>
        <w:jc w:val="both"/>
        <w:ind w:left="740" w:hanging="363"/>
        <w:spacing w:after="0" w:line="254" w:lineRule="auto"/>
        <w:tabs>
          <w:tab w:leader="none" w:pos="7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three months ended March 31, 2026 and 2025, the change in commodity hedges is primarily due to the fluctuations of the market prices of the underlying commodities. Commodity hedges resulted in unrealized gains of zero and $2 million for the three months ended March 31, 2026 and 2025, respectively.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Six months ended March 31, 2026 compared to six months ended March 31, 2025</w:t>
      </w:r>
    </w:p>
    <w:p>
      <w:pPr>
        <w:spacing w:after="0" w:line="11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Total other comprehensive income (loss), net of tax, for the six months ended March 31, 2026, increased $32 million compared to the six months ended March 31, 2025, primarily as a result of the following:</w:t>
      </w:r>
    </w:p>
    <w:p>
      <w:pPr>
        <w:spacing w:after="0" w:line="51" w:lineRule="exact"/>
        <w:rPr>
          <w:sz w:val="20"/>
          <w:szCs w:val="20"/>
          <w:color w:val="auto"/>
        </w:rPr>
      </w:pPr>
    </w:p>
    <w:p>
      <w:pPr>
        <w:jc w:val="both"/>
        <w:ind w:left="740" w:hanging="363"/>
        <w:spacing w:after="0" w:line="274" w:lineRule="auto"/>
        <w:tabs>
          <w:tab w:leader="none" w:pos="74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six months ended March 31, 2026 and 2025, the change in unrealized gain (loss) from foreign currency translation adjustments resulted in losses of $10 million and $45 million, respectively. The fluctuations in unrealized translation gains and losses are primarily due to translating foreign subsidiary financial statements from local currencies to U.S. Dollars.</w:t>
      </w:r>
    </w:p>
    <w:p>
      <w:pPr>
        <w:spacing w:after="0" w:line="48" w:lineRule="exact"/>
        <w:rPr>
          <w:rFonts w:ascii="Times New Roman" w:cs="Times New Roman" w:eastAsia="Times New Roman" w:hAnsi="Times New Roman"/>
          <w:sz w:val="19"/>
          <w:szCs w:val="19"/>
          <w:color w:val="auto"/>
        </w:rPr>
      </w:pPr>
    </w:p>
    <w:p>
      <w:pPr>
        <w:jc w:val="both"/>
        <w:ind w:left="740" w:hanging="363"/>
        <w:spacing w:after="0" w:line="254" w:lineRule="auto"/>
        <w:tabs>
          <w:tab w:leader="none" w:pos="7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six months ended March 31, 2026 and 2025, the change in commodity hedges is primarily due to the fluctuations of the market prices of the underlying commodities. Commodity hedges resulted in unrealized gains of zero and $3 million for the six months ended March 31, 2026 and 2025, respectively.</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i w:val="1"/>
          <w:iCs w:val="1"/>
          <w:color w:val="auto"/>
        </w:rPr>
        <w:t>Use of Non-GAAP Financial Measures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Ashland has included within this document the following non-GAAP financial measures, on both a consolidated and reportable segment basis, which are not defined within U.S. GAAP and do not purport to be alternatives to net income (loss) or cash flows from operating activities as a measure of operating performance or cash flows: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EBITDA, Adjusted EBITDA and Adjusted EBITDA Margin</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EBITDA is defined as net income (loss), plus income tax expense (benefit), net interest and other expense, and depreciation and amortization. Adjusted EBITDA is EBITDA adjusted for discontinued operations and key items. Adjusted EBITDA margin is Adjusted EBITDA divided by sales.</w:t>
      </w:r>
    </w:p>
    <w:p>
      <w:pPr>
        <w:spacing w:after="0" w:line="6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Management believes the use of EBITDA and Adjusted EBITDA measures on a consolidated and reportable segment basis assists investors in understanding the ongoing operating performance by presenting comparable financial results between periods. Ashland believes that by removing the impact of depreciation and amortization and excluding certain non-cash charges, amounts spent on interest and taxes and certain other charges that are highly variable from year to year, EBITDA and Adjusted EBITDA provide Ashland’s investors with performance measures that reflect the impact to operations from trends in changes in sales, margin and operating expenses, providing a perspective not immediately apparent from net income (loss) and operating income (loss). The adjustments Ashland makes to derive the non-GAAP financial measures of EBITDA and Adjusted EBITDA exclude items which may cause short-term fluctuations in net income (loss) and operating income (loss) and which Ashland does not consider to be the fundamental attributes or primary drivers of its business. EBITDA and Adjusted EBITDA provide disclosure on the same basis as that used by Ashland’s management to evaluate financial performance on a consolidated and reportable segment basis and provide consistency in our financial reporting, facilitate internal and external comparisons of Ashland’s historical operating performance and its segments and provide continuity to investors for comparability purposes.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Diluted Earnings Per Share (EPS)</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Adjusted Diluted EPS is defined as loss from continuing operations, adjusted for key items, net of tax, divided by the average outstanding diluted shares for the applicable period. The Adjusted Diluted EPS metric enables Ashland to demonstrate what effect key items have on an earnings per diluted share basis by taking loss from continuing operations, adjusted for key items after tax that have been identified in the Adjusted EBITDA table, and dividing by the average outstanding diluted shares for the applicable period. Ashland’s management believes this presentation is helpful to illustrate how the key items have impacted this metric during the applicable period.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Diluted Earnings Per Share (EPS) Excluding Intangibles Amortization Expense</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Adjusted Diluted EPS Excluding Intangibles Amortization Expense is adjusted earnings per share adjusted for intangibles amortization expense net of tax, divided by the average outstanding diluted shares for the applicable period. The Adjusted Diluted EPS, Excluding Intangibles Amortization Expense metric enables Ashland to demonstrate the impact of non-cash intangibles amortization expense on EPS, in addition to the key items previously mentioned. Ashland’s management believes this presentation is helpful to illustrate how previous acquisitions impact applicable period results.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Free Cash Flow, Ongoing Free Cash Flow and Ongoing Free Cash Flow Conversion</w:t>
      </w:r>
    </w:p>
    <w:p>
      <w:pPr>
        <w:spacing w:after="0" w:line="1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Free Cash Flow is defined as operating cash flows less capital expenditures while Ongoing Free Cash Flow is operating cash flows less capital expenditures and certain other adjustments as applicable. Ongoing Free Cash Flow Conversion is Ongoing Free Cash flow divided by Adjusted EBITDA. These free cash flow metrics enable Ashland to provide a better indication of the ongoing cash being generated that is ultimately available for both debt and equity holders as well as other investment opportunities. Unlike cash flow provided by operating activities, Free Cash Flow and Ongoing Free Cash Flow include the impact of capital expenditures from continuing operations and other significant items impacting cash flow, providing a more complete picture of current and future cash generation. Free Cash Flow, Ongoing Free Cash Flow, and Free Cash Flow Conversion are non-GAAP liquidity measures that Ashland believes provide useful information to management and investors about Ashland's ability to convert Adjusted EBITDA to Ongoing Free Cash Flow. These liquidity measures are used regularly by Ashland's stakeholders and industry peers to measure the efficiency at providing cash from regular business activity. Free Cash Flow, Ongoing Free Cash Flow, and Free Cash Flow Conversion have certain limitations, including that they</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5" w:right="719" w:bottom="1440" w:gutter="0" w:footer="0" w:header="0"/>
        </w:sectPr>
      </w:pPr>
    </w:p>
    <w:bookmarkStart w:id="42" w:name="page43"/>
    <w:bookmarkEnd w:id="42"/>
    <w:p>
      <w:pPr>
        <w:jc w:val="both"/>
        <w:spacing w:after="0" w:line="269" w:lineRule="auto"/>
        <w:rPr>
          <w:sz w:val="20"/>
          <w:szCs w:val="20"/>
          <w:color w:val="auto"/>
        </w:rPr>
      </w:pPr>
      <w:r>
        <w:rPr>
          <w:rFonts w:ascii="Times New Roman" w:cs="Times New Roman" w:eastAsia="Times New Roman" w:hAnsi="Times New Roman"/>
          <w:sz w:val="20"/>
          <w:szCs w:val="20"/>
          <w:color w:val="auto"/>
        </w:rPr>
        <w:t>do not reflect adjustments for certain non-discretionary cash flows such as mandatory debt repayments. The amount of mandatory versus discretionary expenditures can vary significantly between periods.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disclosures on non-GAAP financial measures</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Although Ashland may provide forward-looking guidance for Adjusted EBITDA, Adjusted diluted EPS and Ongoing Free Cash Flow, Ashland is not reaffirming or providing forward-looking guidance for U.S. GAAP-reported financial measures or a reconciliation of forward-looking non-GAAP financial measures to the most directly comparable U.S. GAAP measure because it is unable to predict with reasonable certainty the ultimate outcome of certain significant items that affect these metrics such as domestic and international economic, political, legislative, regulatory and legal actions. In addition, certain economic conditions, such as recessionary trends, inflation, interest and monetary exchange rates, government fiscal policies and changes in the prices of certain key raw materials, can have a significant effect on operations and are difficult to predict with certainty.</w:t>
      </w:r>
    </w:p>
    <w:p>
      <w:pPr>
        <w:spacing w:after="0" w:line="7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These non-GAAP financial measures should be considered supplemental in nature and should not be construed as more significant than comparable measures defined by U.S. GAAP. Limitations associated with the use of these non-GAAP financial measures include that these measures do not present all of the amounts associated with our results as determined in accordance with U.S. GAAP. The non-GAAP financial measures provided are used by Ashland management and may not be determined in a manner consistent with the methodologies used by other companies. EBITDA and Adjusted EBITDA provide a supplemental presentation of Ashland’s operating performance on a consolidated and reportable segment basis. Adjusted EBITDA generally includes adjustments for items that impact comparability between periods. In addition, certain financial covenants related to Ashland’s 2022 Credit Agreement are based on similar non-GAAP financial measures and are defined further in the sections that reference this metric.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EBITDA and Adjusted EBITDA</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EBITDA totaled $84 million and $100 million for the three months ended March 31, 2026 and 2025, respectively, and income of $124 million and loss of $30 million for the six months ended March 31, 2026 and 2025, respectively. EBITDA and Adjusted EBITDA results in the table below have been prepared to illustrate the ongoing effects of Ashland’s operations, which exclude certain key items previously described. Management believes the use of such non-GAAP measures on a consolidated and reportable segment basis assists investors in understanding the ongoing operating performance by presenting the financial results between periods on a more comparable basis.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operating key items for the applicable periods are summarized as follows:</w:t>
      </w:r>
    </w:p>
    <w:p>
      <w:pPr>
        <w:spacing w:after="0" w:line="108" w:lineRule="exact"/>
        <w:rPr>
          <w:sz w:val="20"/>
          <w:szCs w:val="20"/>
          <w:color w:val="auto"/>
        </w:rPr>
      </w:pPr>
    </w:p>
    <w:p>
      <w:pPr>
        <w:ind w:left="740" w:hanging="363"/>
        <w:spacing w:after="0" w:line="269" w:lineRule="auto"/>
        <w:tabs>
          <w:tab w:leader="none" w:pos="7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plant optimization costs – Ashland incurred inventory adjustments and production costs associated with product line optimization actions;</w:t>
      </w:r>
    </w:p>
    <w:p>
      <w:pPr>
        <w:spacing w:after="0" w:line="51" w:lineRule="exact"/>
        <w:rPr>
          <w:rFonts w:ascii="Times New Roman" w:cs="Times New Roman" w:eastAsia="Times New Roman" w:hAnsi="Times New Roman"/>
          <w:sz w:val="20"/>
          <w:szCs w:val="20"/>
          <w:color w:val="auto"/>
        </w:rPr>
      </w:pPr>
    </w:p>
    <w:p>
      <w:pPr>
        <w:jc w:val="both"/>
        <w:ind w:left="740" w:hanging="363"/>
        <w:spacing w:after="0" w:line="246" w:lineRule="auto"/>
        <w:tabs>
          <w:tab w:leader="none" w:pos="7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Environmental reserve adjustments – Ashland is subject to various federal, state and local environmental laws and regulations that require environmental assessment or remediation efforts (collectively environmental remediation) at multiple locations. As a result of these activities, Ashland recorded adjustments during each year to its environmental remediation reserves and receivables primarily related to previously divested businesses or non-operational sites. See Note L of the Notes to Condensed Consolidated Financial Statements for more information;</w:t>
      </w:r>
    </w:p>
    <w:p>
      <w:pPr>
        <w:spacing w:after="0" w:line="76" w:lineRule="exact"/>
        <w:rPr>
          <w:rFonts w:ascii="Times New Roman" w:cs="Times New Roman" w:eastAsia="Times New Roman" w:hAnsi="Times New Roman"/>
          <w:sz w:val="20"/>
          <w:szCs w:val="20"/>
          <w:color w:val="auto"/>
        </w:rPr>
      </w:pPr>
    </w:p>
    <w:p>
      <w:pPr>
        <w:jc w:val="both"/>
        <w:ind w:left="740" w:hanging="363"/>
        <w:spacing w:after="0" w:line="246" w:lineRule="auto"/>
        <w:tabs>
          <w:tab w:leader="none" w:pos="7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Restructuring, separation and other costs – Ashland periodically implements company-wide and targeted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See Note D of the Notes to Condensed Consolidated Financial Statements for further information;</w:t>
      </w:r>
    </w:p>
    <w:p>
      <w:pPr>
        <w:spacing w:after="0" w:line="76" w:lineRule="exact"/>
        <w:rPr>
          <w:rFonts w:ascii="Times New Roman" w:cs="Times New Roman" w:eastAsia="Times New Roman" w:hAnsi="Times New Roman"/>
          <w:sz w:val="20"/>
          <w:szCs w:val="20"/>
          <w:color w:val="auto"/>
        </w:rPr>
      </w:pPr>
    </w:p>
    <w:p>
      <w:pPr>
        <w:jc w:val="both"/>
        <w:ind w:left="740" w:hanging="363"/>
        <w:spacing w:after="0" w:line="246" w:lineRule="auto"/>
        <w:tabs>
          <w:tab w:leader="none" w:pos="7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Accelerated depreciation – As a result of product line optimization activities at manufacturing facilities within the Life Sciences and Specialty Additives reportable segment, Ashland recorded accelerated depreciation due to changes in the expected useful life of certain property, plant and equipment during the six months ended March 31, 2026 and during the three and six months ended March 31, 2025. See Note D of the Notes to Condensed Consolidated Financial Statements for more information;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43" w:name="page44"/>
    <w:bookmarkEnd w:id="43"/>
    <w:p>
      <w:pPr>
        <w:jc w:val="both"/>
        <w:ind w:left="740" w:hanging="363"/>
        <w:spacing w:after="0" w:line="249" w:lineRule="auto"/>
        <w:tabs>
          <w:tab w:leader="none" w:pos="7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Avoca business impairment and sale – During March 2025, Ashland sold substantially all of the net assets of its Avoca business. As a result, Ashland recorded an impairment charge and a gain on sale within the income (loss) on divestitures, net caption of the Statements of Condensed Consolidated Comprehensive Income (Loss) for the three and six months ended March 31, 2025. See Note B of the Notes to Condensed Consolidated Financial Statements for more information;</w:t>
      </w:r>
    </w:p>
    <w:p>
      <w:pPr>
        <w:spacing w:after="0" w:line="71" w:lineRule="exact"/>
        <w:rPr>
          <w:rFonts w:ascii="Times New Roman" w:cs="Times New Roman" w:eastAsia="Times New Roman" w:hAnsi="Times New Roman"/>
          <w:sz w:val="20"/>
          <w:szCs w:val="20"/>
          <w:color w:val="auto"/>
        </w:rPr>
      </w:pPr>
    </w:p>
    <w:p>
      <w:pPr>
        <w:jc w:val="both"/>
        <w:ind w:left="740" w:hanging="363"/>
        <w:spacing w:after="0" w:line="254" w:lineRule="auto"/>
        <w:tabs>
          <w:tab w:leader="none" w:pos="7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Held for sale depreciation and amortization – Represents the depreciation and amortization for the Avoca business assets during the six months ended March 31, 2025. See Note B of the Notes to the Condensed Consolidated Financial Statements for more information; and</w:t>
      </w:r>
    </w:p>
    <w:p>
      <w:pPr>
        <w:spacing w:after="0" w:line="66" w:lineRule="exact"/>
        <w:rPr>
          <w:rFonts w:ascii="Times New Roman" w:cs="Times New Roman" w:eastAsia="Times New Roman" w:hAnsi="Times New Roman"/>
          <w:sz w:val="20"/>
          <w:szCs w:val="20"/>
          <w:color w:val="auto"/>
        </w:rPr>
      </w:pPr>
    </w:p>
    <w:p>
      <w:pPr>
        <w:jc w:val="both"/>
        <w:ind w:left="740" w:hanging="363"/>
        <w:spacing w:after="0" w:line="249" w:lineRule="auto"/>
        <w:tabs>
          <w:tab w:leader="none" w:pos="7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(loss) on divestitures, net – Ashland recorded income of zero and $2 million during the three and six months ended March 31, 2026, respectively, and income of $10 million during both the three and six months ended March 31, 2025. The income was related to the pre-tax gains in connection with the sale of excess corporate properties. See Note B of the Notes to Condensed Consolidated Financial Statements for more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Non-operating key items affecting EBITDA</w:t>
      </w:r>
    </w:p>
    <w:p>
      <w:pPr>
        <w:spacing w:after="0" w:line="11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During the current and prior years, there were certain key items that were not included in operating income (loss) but were excluded to arrive at Adjusted EBITDA. These non-operating key items for the applicable periods are summarized as follows:</w:t>
      </w:r>
    </w:p>
    <w:p>
      <w:pPr>
        <w:spacing w:after="0" w:line="51" w:lineRule="exact"/>
        <w:rPr>
          <w:sz w:val="20"/>
          <w:szCs w:val="20"/>
          <w:color w:val="auto"/>
        </w:rPr>
      </w:pPr>
    </w:p>
    <w:p>
      <w:pPr>
        <w:jc w:val="both"/>
        <w:ind w:left="360" w:hanging="358"/>
        <w:spacing w:after="0" w:line="254" w:lineRule="auto"/>
        <w:tabs>
          <w:tab w:leader="none" w:pos="3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on pension plan remeasurements – During the six months ended March 31, 2025, Ashland recognized a curtailment loss for pension plan remeasurement for defined benefit pension plan. See Note K of the Notes to Condensed Consolidated Financial Statements for more information.</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4"/>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March 31</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March 31</w:t>
            </w: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4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80" w:type="dxa"/>
            <w:vAlign w:val="bottom"/>
            <w:tcBorders>
              <w:top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tcBorders>
              <w:top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Borders>
              <w:top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Borders>
              <w:top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interest and other expense</w:t>
            </w: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4"/>
                <w:szCs w:val="24"/>
                <w:color w:val="auto"/>
                <w:vertAlign w:val="superscript"/>
              </w:rPr>
              <w:t>(a)</w:t>
            </w:r>
          </w:p>
        </w:tc>
        <w:tc>
          <w:tcPr>
            <w:tcW w:w="1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from discontinued operations, net of income taxes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Key items included in EBITDA:</w:t>
            </w: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plant optimization costs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Environmental reserve adjustments</w:t>
            </w: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separation and other costs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Accelerated depreciation</w:t>
            </w: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Avoca business impairment and sale</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Loss on pension plan remeasurements</w:t>
            </w: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Held for sale depreciation and amortization</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Income on divestitures, net</w:t>
            </w:r>
          </w:p>
        </w:tc>
        <w:tc>
          <w:tcPr>
            <w:tcW w:w="10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key items included in EBITDA</w:t>
            </w:r>
          </w:p>
        </w:tc>
        <w:tc>
          <w:tcPr>
            <w:tcW w:w="1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20" w:type="dxa"/>
            <w:vAlign w:val="bottom"/>
            <w:tcBorders>
              <w:top w:val="single" w:sz="8" w:color="CFF0FC"/>
            </w:tcBorders>
          </w:tcPr>
          <w:p>
            <w:pPr>
              <w:spacing w:after="0"/>
              <w:rPr>
                <w:sz w:val="17"/>
                <w:szCs w:val="17"/>
                <w:color w:val="auto"/>
              </w:rPr>
            </w:pPr>
          </w:p>
        </w:tc>
        <w:tc>
          <w:tcPr>
            <w:tcW w:w="10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key items included in EBITDA</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losses (gains) on securities</w:t>
            </w:r>
          </w:p>
        </w:tc>
        <w:tc>
          <w:tcPr>
            <w:tcW w:w="1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key items, before tax</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320" w:type="dxa"/>
            <w:vAlign w:val="bottom"/>
            <w:tcBorders>
              <w:top w:val="single" w:sz="8" w:color="CFF0FC"/>
              <w:bottom w:val="single" w:sz="8" w:color="auto"/>
            </w:tcBorders>
          </w:tcPr>
          <w:p>
            <w:pPr>
              <w:spacing w:after="0"/>
              <w:rPr>
                <w:sz w:val="4"/>
                <w:szCs w:val="4"/>
                <w:color w:val="auto"/>
              </w:rPr>
            </w:pPr>
          </w:p>
        </w:tc>
        <w:tc>
          <w:tcPr>
            <w:tcW w:w="1040" w:type="dxa"/>
            <w:vAlign w:val="bottom"/>
            <w:tcBorders>
              <w:top w:val="single" w:sz="8" w:color="CFF0FC"/>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760" w:type="dxa"/>
            <w:vAlign w:val="bottom"/>
            <w:tcBorders>
              <w:top w:val="single" w:sz="8" w:color="auto"/>
              <w:bottom w:val="single" w:sz="8" w:color="auto"/>
            </w:tcBorders>
          </w:tcPr>
          <w:p>
            <w:pPr>
              <w:spacing w:after="0"/>
              <w:rPr>
                <w:sz w:val="4"/>
                <w:szCs w:val="4"/>
                <w:color w:val="auto"/>
              </w:rPr>
            </w:pPr>
          </w:p>
        </w:tc>
        <w:tc>
          <w:tcPr>
            <w:tcW w:w="200" w:type="dxa"/>
            <w:vAlign w:val="bottom"/>
            <w:tcBorders>
              <w:top w:val="single" w:sz="8" w:color="CFF0FC"/>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580" w:type="dxa"/>
            <w:vAlign w:val="bottom"/>
            <w:tcBorders>
              <w:top w:val="single" w:sz="8" w:color="auto"/>
              <w:bottom w:val="single" w:sz="8" w:color="auto"/>
            </w:tcBorders>
          </w:tcPr>
          <w:p>
            <w:pPr>
              <w:spacing w:after="0"/>
              <w:rPr>
                <w:sz w:val="4"/>
                <w:szCs w:val="4"/>
                <w:color w:val="auto"/>
              </w:rPr>
            </w:pPr>
          </w:p>
        </w:tc>
        <w:tc>
          <w:tcPr>
            <w:tcW w:w="180" w:type="dxa"/>
            <w:vAlign w:val="bottom"/>
            <w:tcBorders>
              <w:top w:val="single" w:sz="8" w:color="CFF0FC"/>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700" w:type="dxa"/>
            <w:vAlign w:val="bottom"/>
            <w:tcBorders>
              <w:top w:val="single" w:sz="8" w:color="auto"/>
              <w:bottom w:val="single" w:sz="8" w:color="auto"/>
            </w:tcBorders>
          </w:tcPr>
          <w:p>
            <w:pPr>
              <w:spacing w:after="0"/>
              <w:rPr>
                <w:sz w:val="4"/>
                <w:szCs w:val="4"/>
                <w:color w:val="auto"/>
              </w:rPr>
            </w:pPr>
          </w:p>
        </w:tc>
        <w:tc>
          <w:tcPr>
            <w:tcW w:w="180" w:type="dxa"/>
            <w:vAlign w:val="bottom"/>
            <w:tcBorders>
              <w:top w:val="single" w:sz="8" w:color="CFF0FC"/>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56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4641215</wp:posOffset>
            </wp:positionH>
            <wp:positionV relativeFrom="paragraph">
              <wp:posOffset>-950595</wp:posOffset>
            </wp:positionV>
            <wp:extent cx="12001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-950595</wp:posOffset>
            </wp:positionV>
            <wp:extent cx="1111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5987415</wp:posOffset>
            </wp:positionH>
            <wp:positionV relativeFrom="paragraph">
              <wp:posOffset>-950595</wp:posOffset>
            </wp:positionV>
            <wp:extent cx="1111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-659765</wp:posOffset>
            </wp:positionV>
            <wp:extent cx="12001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-642620</wp:posOffset>
            </wp:positionV>
            <wp:extent cx="12001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-659765</wp:posOffset>
            </wp:positionV>
            <wp:extent cx="11112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-642620</wp:posOffset>
            </wp:positionV>
            <wp:extent cx="11112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5987415</wp:posOffset>
            </wp:positionH>
            <wp:positionV relativeFrom="paragraph">
              <wp:posOffset>-659765</wp:posOffset>
            </wp:positionV>
            <wp:extent cx="11112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5987415</wp:posOffset>
            </wp:positionH>
            <wp:positionV relativeFrom="paragraph">
              <wp:posOffset>-642620</wp:posOffset>
            </wp:positionV>
            <wp:extent cx="1111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-76835</wp:posOffset>
            </wp:positionV>
            <wp:extent cx="12001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-59690</wp:posOffset>
            </wp:positionV>
            <wp:extent cx="12001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-76835</wp:posOffset>
            </wp:positionV>
            <wp:extent cx="11112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-59690</wp:posOffset>
            </wp:positionV>
            <wp:extent cx="11112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5987415</wp:posOffset>
            </wp:positionH>
            <wp:positionV relativeFrom="paragraph">
              <wp:posOffset>-76835</wp:posOffset>
            </wp:positionV>
            <wp:extent cx="11112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5987415</wp:posOffset>
            </wp:positionH>
            <wp:positionV relativeFrom="paragraph">
              <wp:posOffset>-59690</wp:posOffset>
            </wp:positionV>
            <wp:extent cx="11112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65" w:lineRule="exact"/>
        <w:rPr>
          <w:sz w:val="20"/>
          <w:szCs w:val="20"/>
          <w:color w:val="auto"/>
        </w:rPr>
      </w:pPr>
    </w:p>
    <w:p>
      <w:pPr>
        <w:jc w:val="both"/>
        <w:ind w:left="360" w:hanging="358"/>
        <w:spacing w:after="0" w:line="236" w:lineRule="auto"/>
        <w:tabs>
          <w:tab w:leader="none" w:pos="3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excludes accelerated depreciation of $3 million for Specialty Additives reportable segment for the six months ended March 31, 2026, and $13 million for Life Sciences for both the three and six months ended March 31, 2025, which is included as a key item within this table as a component of Adjusted EBITDA. Depreciation and amortization includes $2 million for Personal Care associated with the Avoca business for both the three and six months ended March 31, 2025, which is included as a key item within this table as a component of Adjusted EBITDA.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Diluted EPS and Adjusted Diluted EPS</w:t>
      </w:r>
    </w:p>
    <w:p>
      <w:pPr>
        <w:spacing w:after="0" w:line="11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reflects the U.S. GAAP calculation for the income (loss) from continuing operations adjusted for the cumulative diluted EPS effect for key items after tax that have been identified in the Adjusted EBITDA table</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44" w:name="page45"/>
    <w:bookmarkEnd w:id="44"/>
    <w:p>
      <w:pPr>
        <w:jc w:val="both"/>
        <w:spacing w:after="0" w:line="244" w:lineRule="auto"/>
        <w:rPr>
          <w:sz w:val="20"/>
          <w:szCs w:val="20"/>
          <w:color w:val="auto"/>
        </w:rPr>
      </w:pPr>
      <w:r>
        <w:rPr>
          <w:rFonts w:ascii="Times New Roman" w:cs="Times New Roman" w:eastAsia="Times New Roman" w:hAnsi="Times New Roman"/>
          <w:sz w:val="20"/>
          <w:szCs w:val="20"/>
          <w:color w:val="auto"/>
        </w:rPr>
        <w:t>in the previous section. Key items are defined as the financial effects from significant transactions that may have caused short-term fluctuations in net income (loss) and/or operating income (loss) which Ashland believes do not accurately reflect Ashland’s underlying business performance and trends. The Adjusted Diluted EPS for the income (loss) from continuing operations in the following table has been prepared to illustrate the ongoing effects of Ashland’s operations. Management believes investors and analysts use this financial measure in assessing Ashland's business performance and that presenting this non-GAAP financial measure on a consolidated basis assists investors in better understanding Ashland’s ongoing business performance and enhances their ability to compare period-to-period financial results.</w:t>
      </w:r>
    </w:p>
    <w:p>
      <w:pPr>
        <w:spacing w:after="0" w:line="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addition to the operating key items previously described, additional non-operating key items for the applicable periods are summarized as follows:</w:t>
      </w:r>
    </w:p>
    <w:p>
      <w:pPr>
        <w:spacing w:after="0" w:line="38" w:lineRule="exact"/>
        <w:rPr>
          <w:sz w:val="20"/>
          <w:szCs w:val="20"/>
          <w:color w:val="auto"/>
        </w:rPr>
      </w:pPr>
    </w:p>
    <w:p>
      <w:pPr>
        <w:jc w:val="both"/>
        <w:ind w:left="740" w:hanging="363"/>
        <w:spacing w:after="0" w:line="254" w:lineRule="auto"/>
        <w:tabs>
          <w:tab w:leader="none" w:pos="7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Unrealized losses (gains) on securities – represents (gains) or losses recognized on restricted investments related to the Asbestos trust and Environmental trust for each period. See Note E of the Notes to Condensed Consolidated Financial Statements for more information;</w:t>
      </w:r>
    </w:p>
    <w:p>
      <w:pPr>
        <w:spacing w:after="0" w:line="39" w:lineRule="exact"/>
        <w:rPr>
          <w:rFonts w:ascii="Times New Roman" w:cs="Times New Roman" w:eastAsia="Times New Roman" w:hAnsi="Times New Roman"/>
          <w:sz w:val="20"/>
          <w:szCs w:val="20"/>
          <w:color w:val="auto"/>
        </w:rPr>
      </w:pPr>
    </w:p>
    <w:p>
      <w:pPr>
        <w:ind w:left="740" w:hanging="363"/>
        <w:spacing w:after="0" w:line="269" w:lineRule="auto"/>
        <w:tabs>
          <w:tab w:leader="none" w:pos="7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 tax positions – represents the impact from the settlement of uncertain tax positions with various tax authorities for the three and six months ended March 31, 2025; and</w:t>
      </w:r>
    </w:p>
    <w:p>
      <w:pPr>
        <w:spacing w:after="0" w:line="37" w:lineRule="exact"/>
        <w:rPr>
          <w:rFonts w:ascii="Times New Roman" w:cs="Times New Roman" w:eastAsia="Times New Roman" w:hAnsi="Times New Roman"/>
          <w:sz w:val="20"/>
          <w:szCs w:val="20"/>
          <w:color w:val="auto"/>
        </w:rPr>
      </w:pPr>
    </w:p>
    <w:p>
      <w:pPr>
        <w:ind w:left="740" w:hanging="363"/>
        <w:spacing w:after="0" w:line="269" w:lineRule="auto"/>
        <w:tabs>
          <w:tab w:leader="none" w:pos="7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and tax reform related activity – primarily represents tax specific key items associated with final tax regulations and tax reform related activity for the three and six months ended March 31, 2025.</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3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March 31</w:t>
            </w:r>
          </w:p>
        </w:tc>
        <w:tc>
          <w:tcPr>
            <w:tcW w:w="6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March 31</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EPS from continuing operations (as reported)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0.32</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0.63</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Key items, before tax:</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plant optimization costs</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0.22</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0.33</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Environmental reserve adjustments</w:t>
            </w:r>
          </w:p>
        </w:tc>
        <w:tc>
          <w:tcPr>
            <w:tcW w:w="1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Restructuring, separation and other costs</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0.15</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losses (gains) on securities</w:t>
            </w:r>
          </w:p>
        </w:tc>
        <w:tc>
          <w:tcPr>
            <w:tcW w:w="1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Accelerated depreciation</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0.28</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Avoca business impairment and sale</w:t>
            </w:r>
          </w:p>
        </w:tc>
        <w:tc>
          <w:tcPr>
            <w:tcW w:w="1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on pension plan remeasurements</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Held for sale depreciation and amortization</w:t>
            </w:r>
          </w:p>
        </w:tc>
        <w:tc>
          <w:tcPr>
            <w:tcW w:w="1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on divestitures, net</w:t>
            </w:r>
          </w:p>
        </w:tc>
        <w:tc>
          <w:tcPr>
            <w:tcW w:w="1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Key items, before tax</w:t>
            </w:r>
          </w:p>
        </w:tc>
        <w:tc>
          <w:tcPr>
            <w:tcW w:w="1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Tax effect of key items</w:t>
            </w:r>
            <w:r>
              <w:rPr>
                <w:rFonts w:ascii="Times New Roman" w:cs="Times New Roman" w:eastAsia="Times New Roman" w:hAnsi="Times New Roman"/>
                <w:sz w:val="24"/>
                <w:szCs w:val="24"/>
                <w:color w:val="auto"/>
                <w:vertAlign w:val="superscript"/>
              </w:rPr>
              <w:t>(a)</w:t>
            </w:r>
          </w:p>
        </w:tc>
        <w:tc>
          <w:tcPr>
            <w:tcW w:w="1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Key items, after tax</w:t>
            </w:r>
          </w:p>
        </w:tc>
        <w:tc>
          <w:tcPr>
            <w:tcW w:w="1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specific key items:</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Uncertain tax positions</w:t>
            </w:r>
          </w:p>
        </w:tc>
        <w:tc>
          <w:tcPr>
            <w:tcW w:w="1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and tax reform related activity</w:t>
            </w:r>
          </w:p>
        </w:tc>
        <w:tc>
          <w:tcPr>
            <w:tcW w:w="1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Tax specific key items</w:t>
            </w:r>
            <w:r>
              <w:rPr>
                <w:rFonts w:ascii="Times New Roman" w:cs="Times New Roman" w:eastAsia="Times New Roman" w:hAnsi="Times New Roman"/>
                <w:sz w:val="24"/>
                <w:szCs w:val="24"/>
                <w:color w:val="auto"/>
                <w:vertAlign w:val="superscript"/>
              </w:rPr>
              <w:t>(b)</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key items</w:t>
            </w:r>
          </w:p>
        </w:tc>
        <w:tc>
          <w:tcPr>
            <w:tcW w:w="1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0.32</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0.62</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Adjusted Diluted EPS from Continuing Operations (non-GAAP)</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0.64</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0.71</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0.64</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shd w:val="clear" w:color="auto" w:fill="CFF0FC"/>
          </w:tcPr>
          <w:p>
            <w:pPr>
              <w:spacing w:after="0" w:line="197" w:lineRule="exact"/>
              <w:rPr>
                <w:sz w:val="20"/>
                <w:szCs w:val="20"/>
                <w:color w:val="auto"/>
              </w:rPr>
            </w:pPr>
            <w:r>
              <w:rPr>
                <w:rFonts w:ascii="Times New Roman" w:cs="Times New Roman" w:eastAsia="Times New Roman" w:hAnsi="Times New Roman"/>
                <w:sz w:val="17"/>
                <w:szCs w:val="17"/>
                <w:color w:val="auto"/>
              </w:rPr>
              <w:t>Amortization expense adjustment (net of tax)</w:t>
            </w:r>
            <w:r>
              <w:rPr>
                <w:rFonts w:ascii="Times New Roman" w:cs="Times New Roman" w:eastAsia="Times New Roman" w:hAnsi="Times New Roman"/>
                <w:sz w:val="22"/>
                <w:szCs w:val="22"/>
                <w:color w:val="auto"/>
                <w:vertAlign w:val="superscript"/>
              </w:rPr>
              <w:t>(c)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0.27</w:t>
            </w:r>
          </w:p>
        </w:tc>
        <w:tc>
          <w:tcPr>
            <w:tcW w:w="42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34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0.53</w:t>
            </w:r>
          </w:p>
        </w:tc>
        <w:tc>
          <w:tcPr>
            <w:tcW w:w="44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6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Adjusted Diluted EPS from Continuing Operations (non-GAAP) Excluding</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0.91</w:t>
            </w:r>
          </w:p>
        </w:tc>
        <w:tc>
          <w:tcPr>
            <w:tcW w:w="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0.99</w:t>
            </w:r>
          </w:p>
        </w:tc>
        <w:tc>
          <w:tcPr>
            <w:tcW w:w="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4"/>
        </w:trPr>
        <w:tc>
          <w:tcPr>
            <w:tcW w:w="63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Intangibles Amortization Expense</w:t>
            </w: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4650105</wp:posOffset>
            </wp:positionH>
            <wp:positionV relativeFrom="paragraph">
              <wp:posOffset>-1774190</wp:posOffset>
            </wp:positionV>
            <wp:extent cx="10287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-1774190</wp:posOffset>
            </wp:positionV>
            <wp:extent cx="10287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-1774190</wp:posOffset>
            </wp:positionV>
            <wp:extent cx="10287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4650105</wp:posOffset>
            </wp:positionH>
            <wp:positionV relativeFrom="paragraph">
              <wp:posOffset>-1490980</wp:posOffset>
            </wp:positionV>
            <wp:extent cx="10287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-1490980</wp:posOffset>
            </wp:positionV>
            <wp:extent cx="10287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-1490980</wp:posOffset>
            </wp:positionV>
            <wp:extent cx="10287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4650105</wp:posOffset>
            </wp:positionH>
            <wp:positionV relativeFrom="paragraph">
              <wp:posOffset>-934085</wp:posOffset>
            </wp:positionV>
            <wp:extent cx="10287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-934085</wp:posOffset>
            </wp:positionV>
            <wp:extent cx="10287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-934085</wp:posOffset>
            </wp:positionV>
            <wp:extent cx="10287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4650105</wp:posOffset>
            </wp:positionH>
            <wp:positionV relativeFrom="paragraph">
              <wp:posOffset>-642620</wp:posOffset>
            </wp:positionV>
            <wp:extent cx="10287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-642620</wp:posOffset>
            </wp:positionV>
            <wp:extent cx="10287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-642620</wp:posOffset>
            </wp:positionV>
            <wp:extent cx="10287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4650105</wp:posOffset>
            </wp:positionH>
            <wp:positionV relativeFrom="paragraph">
              <wp:posOffset>-334010</wp:posOffset>
            </wp:positionV>
            <wp:extent cx="10287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-334010</wp:posOffset>
            </wp:positionV>
            <wp:extent cx="10287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-334010</wp:posOffset>
            </wp:positionV>
            <wp:extent cx="10287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65" w:lineRule="exact"/>
        <w:rPr>
          <w:sz w:val="20"/>
          <w:szCs w:val="20"/>
          <w:color w:val="auto"/>
        </w:rPr>
      </w:pPr>
    </w:p>
    <w:p>
      <w:pPr>
        <w:ind w:left="360" w:hanging="358"/>
        <w:spacing w:after="0"/>
        <w:tabs>
          <w:tab w:leader="none" w:pos="3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diluted EPS impact from the tax effect of the key items that are identified above.</w:t>
      </w:r>
    </w:p>
    <w:p>
      <w:pPr>
        <w:spacing w:after="0" w:line="28" w:lineRule="exact"/>
        <w:rPr>
          <w:rFonts w:ascii="Times New Roman" w:cs="Times New Roman" w:eastAsia="Times New Roman" w:hAnsi="Times New Roman"/>
          <w:sz w:val="14"/>
          <w:szCs w:val="14"/>
          <w:color w:val="auto"/>
        </w:rPr>
      </w:pPr>
    </w:p>
    <w:p>
      <w:pPr>
        <w:jc w:val="both"/>
        <w:ind w:left="360" w:hanging="358"/>
        <w:spacing w:after="0" w:line="241" w:lineRule="auto"/>
        <w:tabs>
          <w:tab w:leader="none" w:pos="3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diluted EPS impact from tax specific financial transactions, tax law changes or other matters that fall within the definition of tax specific key items. For additional explanation of these tax specific key items, see the income tax expense (benefit) discussion within the Statements of Condensed Consolidated Comprehensive Income (Loss) caption review section above.</w:t>
      </w:r>
    </w:p>
    <w:p>
      <w:pPr>
        <w:ind w:left="360" w:hanging="358"/>
        <w:spacing w:after="0" w:line="243" w:lineRule="auto"/>
        <w:tabs>
          <w:tab w:leader="none" w:pos="3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expense adjustment (net of tax) tax rates were 20% for both the three and six months ended March 31, 2026, and 21% for both the three and six months ended March 31, 2025.</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color w:val="auto"/>
        </w:rPr>
        <w:t>RESULTS OF OPERATIONS – REPORTABLE SEGMENT REVIEW</w:t>
      </w:r>
    </w:p>
    <w:p>
      <w:pPr>
        <w:spacing w:after="0" w:line="112"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Ashland’s reportable segments include Life Sciences, Personal Care, Specialty Additives, and Intermediates. Unallocated and other includes corporate governance activities and certain legacy matters.</w:t>
      </w:r>
    </w:p>
    <w:p>
      <w:pPr>
        <w:spacing w:after="0" w:line="51"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loss caption on the Statements of Condensed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 There were no material changes in methodology for the three and six months ended March 31, 2026 or 2025.</w:t>
      </w:r>
    </w:p>
    <w:p>
      <w:pPr>
        <w:spacing w:after="0" w:line="1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085" w:right="7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color w:val="auto"/>
        </w:rPr>
        <w:t>The following table discloses sales, operating income (loss), depreciation and amortization and EBITDA by reportable segment:</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5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Three months ended</w:t>
            </w: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color w:val="auto"/>
              </w:rPr>
              <w:t>Six months ended</w:t>
            </w:r>
          </w:p>
        </w:tc>
        <w:tc>
          <w:tcPr>
            <w:tcW w:w="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 - unaudited)</w:t>
            </w:r>
          </w:p>
        </w:tc>
        <w:tc>
          <w:tcPr>
            <w:tcW w:w="1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March 31</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March 31</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8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Change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8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0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i w:val="1"/>
                <w:iCs w:val="1"/>
                <w:color w:val="auto"/>
              </w:rPr>
              <w:t>Intersegment sales</w:t>
            </w:r>
            <w:r>
              <w:rPr>
                <w:rFonts w:ascii="Times New Roman" w:cs="Times New Roman" w:eastAsia="Times New Roman" w:hAnsi="Times New Roman"/>
                <w:sz w:val="24"/>
                <w:szCs w:val="24"/>
                <w:color w:val="auto"/>
                <w:vertAlign w:val="superscript"/>
              </w:rPr>
              <w:t>(a)</w:t>
            </w:r>
          </w:p>
        </w:tc>
        <w:tc>
          <w:tcPr>
            <w:tcW w:w="1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482</w:t>
            </w: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479</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868</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884</w:t>
            </w: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10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bottom w:val="single" w:sz="8" w:color="CFF0FC"/>
            </w:tcBorders>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i w:val="1"/>
                <w:iCs w:val="1"/>
                <w:color w:val="auto"/>
              </w:rPr>
              <w:t>Unallocated and other</w:t>
            </w:r>
            <w:r>
              <w:rPr>
                <w:rFonts w:ascii="Times New Roman" w:cs="Times New Roman" w:eastAsia="Times New Roman" w:hAnsi="Times New Roman"/>
                <w:sz w:val="24"/>
                <w:szCs w:val="24"/>
                <w:i w:val="1"/>
                <w:iCs w:val="1"/>
                <w:color w:val="auto"/>
                <w:vertAlign w:val="superscript"/>
              </w:rPr>
              <w:t>(b)</w:t>
            </w:r>
          </w:p>
        </w:tc>
        <w:tc>
          <w:tcPr>
            <w:tcW w:w="10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 EXPENSE</w:t>
            </w: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i w:val="1"/>
                <w:iCs w:val="1"/>
                <w:color w:val="auto"/>
              </w:rPr>
              <w:t>Life Sciences</w:t>
            </w:r>
            <w:r>
              <w:rPr>
                <w:rFonts w:ascii="Times New Roman" w:cs="Times New Roman" w:eastAsia="Times New Roman" w:hAnsi="Times New Roman"/>
                <w:sz w:val="24"/>
                <w:szCs w:val="24"/>
                <w:i w:val="1"/>
                <w:iCs w:val="1"/>
                <w:color w:val="auto"/>
                <w:vertAlign w:val="superscript"/>
              </w:rPr>
              <w:t>(c)</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i w:val="1"/>
                <w:iCs w:val="1"/>
                <w:color w:val="auto"/>
              </w:rPr>
              <w:t>Specialty Additives</w:t>
            </w:r>
            <w:r>
              <w:rPr>
                <w:rFonts w:ascii="Times New Roman" w:cs="Times New Roman" w:eastAsia="Times New Roman" w:hAnsi="Times New Roman"/>
                <w:sz w:val="24"/>
                <w:szCs w:val="24"/>
                <w:i w:val="1"/>
                <w:iCs w:val="1"/>
                <w:color w:val="auto"/>
                <w:vertAlign w:val="superscript"/>
              </w:rPr>
              <w:t>(d)</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10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5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AMORTIZATION EXPENSE</w:t>
            </w: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10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shd w:val="clear" w:color="auto" w:fill="CFF0FC"/>
          </w:tcPr>
          <w:p>
            <w:pPr>
              <w:spacing w:after="0" w:line="197" w:lineRule="exact"/>
              <w:rPr>
                <w:sz w:val="20"/>
                <w:szCs w:val="20"/>
                <w:color w:val="auto"/>
              </w:rPr>
            </w:pPr>
            <w:r>
              <w:rPr>
                <w:rFonts w:ascii="Times New Roman" w:cs="Times New Roman" w:eastAsia="Times New Roman" w:hAnsi="Times New Roman"/>
                <w:sz w:val="17"/>
                <w:szCs w:val="17"/>
                <w:b w:val="1"/>
                <w:bCs w:val="1"/>
                <w:color w:val="auto"/>
              </w:rPr>
              <w:t>EBITDA</w:t>
            </w:r>
            <w:r>
              <w:rPr>
                <w:rFonts w:ascii="Times New Roman" w:cs="Times New Roman" w:eastAsia="Times New Roman" w:hAnsi="Times New Roman"/>
                <w:sz w:val="22"/>
                <w:szCs w:val="22"/>
                <w:color w:val="auto"/>
                <w:vertAlign w:val="superscript"/>
              </w:rPr>
              <w:t>(e)</w:t>
            </w: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1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top w:val="single" w:sz="8" w:color="CFF0FC"/>
              <w:bottom w:val="single" w:sz="8" w:color="auto"/>
            </w:tcBorders>
          </w:tcPr>
          <w:p>
            <w:pPr>
              <w:spacing w:after="0"/>
              <w:rPr>
                <w:sz w:val="4"/>
                <w:szCs w:val="4"/>
                <w:color w:val="auto"/>
              </w:rPr>
            </w:pPr>
          </w:p>
        </w:tc>
        <w:tc>
          <w:tcPr>
            <w:tcW w:w="1040" w:type="dxa"/>
            <w:vAlign w:val="bottom"/>
            <w:tcBorders>
              <w:top w:val="single" w:sz="8" w:color="CFF0FC"/>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74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74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74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240" w:type="dxa"/>
            <w:vAlign w:val="bottom"/>
            <w:tcBorders>
              <w:top w:val="single" w:sz="8" w:color="auto"/>
              <w:bottom w:val="single" w:sz="8" w:color="auto"/>
            </w:tcBorders>
          </w:tcPr>
          <w:p>
            <w:pPr>
              <w:spacing w:after="0"/>
              <w:rPr>
                <w:sz w:val="4"/>
                <w:szCs w:val="4"/>
                <w:color w:val="auto"/>
              </w:rPr>
            </w:pPr>
          </w:p>
        </w:tc>
        <w:tc>
          <w:tcPr>
            <w:tcW w:w="56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-3779520</wp:posOffset>
            </wp:positionV>
            <wp:extent cx="685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-3762375</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4187190</wp:posOffset>
            </wp:positionH>
            <wp:positionV relativeFrom="paragraph">
              <wp:posOffset>-3779520</wp:posOffset>
            </wp:positionV>
            <wp:extent cx="685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4187190</wp:posOffset>
            </wp:positionH>
            <wp:positionV relativeFrom="paragraph">
              <wp:posOffset>-3762375</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-3779520</wp:posOffset>
            </wp:positionV>
            <wp:extent cx="6858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-3762375</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5447030</wp:posOffset>
            </wp:positionH>
            <wp:positionV relativeFrom="paragraph">
              <wp:posOffset>-3779520</wp:posOffset>
            </wp:positionV>
            <wp:extent cx="6858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5447030</wp:posOffset>
            </wp:positionH>
            <wp:positionV relativeFrom="paragraph">
              <wp:posOffset>-3762375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-3779520</wp:posOffset>
            </wp:positionV>
            <wp:extent cx="6858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-3762375</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-2931160</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4187190</wp:posOffset>
            </wp:positionH>
            <wp:positionV relativeFrom="paragraph">
              <wp:posOffset>-2931160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-2931160</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5447030</wp:posOffset>
            </wp:positionH>
            <wp:positionV relativeFrom="paragraph">
              <wp:posOffset>-2931160</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-2931160</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-2073910</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4187190</wp:posOffset>
            </wp:positionH>
            <wp:positionV relativeFrom="paragraph">
              <wp:posOffset>-2073910</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-2073910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5447030</wp:posOffset>
            </wp:positionH>
            <wp:positionV relativeFrom="paragraph">
              <wp:posOffset>-2073910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-2073910</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-1216660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4187190</wp:posOffset>
            </wp:positionH>
            <wp:positionV relativeFrom="paragraph">
              <wp:posOffset>-1216660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-1216660</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5447030</wp:posOffset>
            </wp:positionH>
            <wp:positionV relativeFrom="paragraph">
              <wp:posOffset>-1216660</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-1216660</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-76200</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-59690</wp:posOffset>
            </wp:positionV>
            <wp:extent cx="6858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4187190</wp:posOffset>
            </wp:positionH>
            <wp:positionV relativeFrom="paragraph">
              <wp:posOffset>-76200</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4187190</wp:posOffset>
            </wp:positionH>
            <wp:positionV relativeFrom="paragraph">
              <wp:posOffset>-59690</wp:posOffset>
            </wp:positionV>
            <wp:extent cx="6858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-76200</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-59690</wp:posOffset>
            </wp:positionV>
            <wp:extent cx="6858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5447030</wp:posOffset>
            </wp:positionH>
            <wp:positionV relativeFrom="paragraph">
              <wp:posOffset>-76200</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5447030</wp:posOffset>
            </wp:positionH>
            <wp:positionV relativeFrom="paragraph">
              <wp:posOffset>-59690</wp:posOffset>
            </wp:positionV>
            <wp:extent cx="6858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-76200</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-59690</wp:posOffset>
            </wp:positionV>
            <wp:extent cx="6858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5" w:lineRule="exact"/>
        <w:rPr>
          <w:sz w:val="20"/>
          <w:szCs w:val="20"/>
          <w:color w:val="auto"/>
        </w:rPr>
      </w:pPr>
    </w:p>
    <w:p>
      <w:pPr>
        <w:ind w:left="360" w:hanging="358"/>
        <w:spacing w:after="0"/>
        <w:tabs>
          <w:tab w:leader="none" w:pos="3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sales from Intermediates are accounted for at prices that approximate market value. All other intersegment sales are accounted for at cost.</w:t>
      </w:r>
    </w:p>
    <w:p>
      <w:pPr>
        <w:spacing w:after="0" w:line="28" w:lineRule="exact"/>
        <w:rPr>
          <w:rFonts w:ascii="Times New Roman" w:cs="Times New Roman" w:eastAsia="Times New Roman" w:hAnsi="Times New Roman"/>
          <w:sz w:val="14"/>
          <w:szCs w:val="14"/>
          <w:color w:val="auto"/>
        </w:rPr>
      </w:pPr>
    </w:p>
    <w:p>
      <w:pPr>
        <w:jc w:val="both"/>
        <w:ind w:left="360" w:hanging="358"/>
        <w:spacing w:after="0" w:line="241" w:lineRule="auto"/>
        <w:tabs>
          <w:tab w:leader="none" w:pos="3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$2 million gain on sale of excess corporate property for the six months ended March 31, 2026, a $8 million gain on sale of excess corporate property for both the three and six months ended March 31, 2025, and a $183 million impairment charge related to the Avoca business for the six months ended March 31, 2025, within the income (loss) on divestitures, net caption of the Statements of Condensed Consolidated Income (Loss).</w:t>
      </w:r>
    </w:p>
    <w:p>
      <w:pPr>
        <w:ind w:left="360" w:hanging="358"/>
        <w:spacing w:after="0"/>
        <w:tabs>
          <w:tab w:leader="none" w:pos="3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includes accelerated depreciation of $13 million for Life Sciences for both the three and six months ended March 31, 2025.</w:t>
      </w:r>
    </w:p>
    <w:p>
      <w:pPr>
        <w:spacing w:after="0" w:line="15"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includes accelerated depreciation of $3 million for Specialty Additives for the six months ended March 31, 2026.</w:t>
      </w:r>
    </w:p>
    <w:p>
      <w:pPr>
        <w:spacing w:after="0" w:line="28" w:lineRule="exact"/>
        <w:rPr>
          <w:rFonts w:ascii="Times New Roman" w:cs="Times New Roman" w:eastAsia="Times New Roman" w:hAnsi="Times New Roman"/>
          <w:sz w:val="14"/>
          <w:szCs w:val="14"/>
          <w:color w:val="auto"/>
        </w:rPr>
      </w:pPr>
    </w:p>
    <w:p>
      <w:pPr>
        <w:ind w:left="360" w:hanging="358"/>
        <w:spacing w:after="0" w:line="261" w:lineRule="auto"/>
        <w:tabs>
          <w:tab w:leader="none" w:pos="3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income from discontinued operations, net of income taxes and other net periodic benefit loss. See the Statements of Condensed Consolidated Comprehensive Income (Loss) for applicable amounts excluded.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47" w:name="page48"/>
    <w:bookmarkEnd w:id="47"/>
    <w:p>
      <w:pPr>
        <w:ind w:left="380"/>
        <w:spacing w:after="0"/>
        <w:rPr>
          <w:sz w:val="20"/>
          <w:szCs w:val="20"/>
          <w:color w:val="auto"/>
        </w:rPr>
      </w:pPr>
      <w:r>
        <w:rPr>
          <w:rFonts w:ascii="Times New Roman" w:cs="Times New Roman" w:eastAsia="Times New Roman" w:hAnsi="Times New Roman"/>
          <w:sz w:val="20"/>
          <w:szCs w:val="20"/>
          <w:b w:val="1"/>
          <w:bCs w:val="1"/>
          <w:color w:val="auto"/>
        </w:rPr>
        <w:t>Life Sciences</w:t>
      </w:r>
    </w:p>
    <w:p>
      <w:pPr>
        <w:spacing w:after="0" w:line="112" w:lineRule="exact"/>
        <w:rPr>
          <w:sz w:val="20"/>
          <w:szCs w:val="20"/>
          <w:color w:val="auto"/>
        </w:rPr>
      </w:pPr>
    </w:p>
    <w:p>
      <w:pPr>
        <w:jc w:val="both"/>
        <w:ind w:left="380" w:right="380"/>
        <w:spacing w:after="0" w:line="246" w:lineRule="auto"/>
        <w:rPr>
          <w:sz w:val="20"/>
          <w:szCs w:val="20"/>
          <w:color w:val="auto"/>
        </w:rPr>
      </w:pPr>
      <w:r>
        <w:rPr>
          <w:rFonts w:ascii="Times New Roman" w:cs="Times New Roman" w:eastAsia="Times New Roman" w:hAnsi="Times New Roman"/>
          <w:sz w:val="20"/>
          <w:szCs w:val="20"/>
          <w:color w:val="auto"/>
        </w:rPr>
        <w:t>Life Sciences is comprised of pharmaceuticals, nutrition, agricultural chemicals, diagnostic films (formerly known as advanced materials) and fine chemicals. Pharmaceutical solutions include controlled release polymers, disintegrants, tablet coatings, thickeners, solubilizers and tablet binders. Nutrition solutions include thickeners, stabilizers, emulsifiers and additives for enhancing mouthfeel, controlling moisture migration, reducing oil uptake and binding structured foods. Customers include pharmaceutical, food, beverage, hospitals and radiologists manufacturers.</w:t>
      </w:r>
    </w:p>
    <w:p>
      <w:pPr>
        <w:spacing w:after="0" w:line="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provides a reconciliation of the change in sales for the Life Sciences reportable segment.</w:t>
      </w:r>
    </w:p>
    <w:p>
      <w:pPr>
        <w:spacing w:after="0" w:line="110"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8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760" w:type="dxa"/>
            <w:vAlign w:val="bottom"/>
          </w:tcPr>
          <w:p>
            <w:pPr>
              <w:spacing w:after="0"/>
              <w:rPr>
                <w:sz w:val="20"/>
                <w:szCs w:val="20"/>
                <w:color w:val="auto"/>
              </w:rPr>
            </w:pPr>
          </w:p>
        </w:tc>
        <w:tc>
          <w:tcPr>
            <w:tcW w:w="1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March 31, 2026</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March 31, 2026</w:t>
            </w:r>
          </w:p>
        </w:tc>
      </w:tr>
      <w:tr>
        <w:trPr>
          <w:trHeight w:val="210"/>
        </w:trPr>
        <w:tc>
          <w:tcPr>
            <w:tcW w:w="20" w:type="dxa"/>
            <w:vAlign w:val="bottom"/>
          </w:tcPr>
          <w:p>
            <w:pPr>
              <w:spacing w:after="0"/>
              <w:rPr>
                <w:sz w:val="18"/>
                <w:szCs w:val="18"/>
                <w:color w:val="auto"/>
              </w:rPr>
            </w:pPr>
          </w:p>
        </w:tc>
        <w:tc>
          <w:tcPr>
            <w:tcW w:w="3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Sales change</w:t>
            </w:r>
          </w:p>
        </w:tc>
        <w:tc>
          <w:tcPr>
            <w:tcW w:w="1760" w:type="dxa"/>
            <w:vAlign w:val="bottom"/>
            <w:tcBorders>
              <w:top w:val="single" w:sz="8" w:color="auto"/>
            </w:tcBorders>
            <w:shd w:val="clear" w:color="auto" w:fill="CFF0FC"/>
          </w:tcPr>
          <w:p>
            <w:pPr>
              <w:spacing w:after="0"/>
              <w:rPr>
                <w:sz w:val="18"/>
                <w:szCs w:val="18"/>
                <w:color w:val="auto"/>
              </w:rPr>
            </w:pPr>
          </w:p>
        </w:tc>
        <w:tc>
          <w:tcPr>
            <w:tcW w:w="192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060" w:type="dxa"/>
            <w:vAlign w:val="bottom"/>
            <w:tcBorders>
              <w:top w:val="single" w:sz="8" w:color="auto"/>
            </w:tcBorders>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3680" w:type="dxa"/>
            <w:vAlign w:val="bottom"/>
            <w:gridSpan w:val="2"/>
          </w:tcPr>
          <w:p>
            <w:pPr>
              <w:jc w:val="right"/>
              <w:ind w:right="17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0" w:type="dxa"/>
            <w:vAlign w:val="bottom"/>
          </w:tcPr>
          <w:p>
            <w:pPr>
              <w:spacing w:after="0"/>
              <w:rPr>
                <w:sz w:val="18"/>
                <w:szCs w:val="18"/>
                <w:color w:val="auto"/>
              </w:rPr>
            </w:pPr>
          </w:p>
        </w:tc>
        <w:tc>
          <w:tcPr>
            <w:tcW w:w="3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Price/mix</w:t>
            </w:r>
          </w:p>
        </w:tc>
        <w:tc>
          <w:tcPr>
            <w:tcW w:w="176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Pr>
          <w:p>
            <w:pPr>
              <w:spacing w:after="0"/>
              <w:rPr>
                <w:sz w:val="18"/>
                <w:szCs w:val="18"/>
                <w:color w:val="auto"/>
              </w:rPr>
            </w:pP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Volume</w:t>
            </w:r>
          </w:p>
        </w:tc>
        <w:tc>
          <w:tcPr>
            <w:tcW w:w="1760" w:type="dxa"/>
            <w:vAlign w:val="bottom"/>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20" w:type="dxa"/>
            <w:vAlign w:val="bottom"/>
          </w:tcPr>
          <w:p>
            <w:pPr>
              <w:spacing w:after="0"/>
              <w:rPr>
                <w:sz w:val="21"/>
                <w:szCs w:val="21"/>
                <w:color w:val="auto"/>
              </w:rPr>
            </w:pPr>
          </w:p>
        </w:tc>
        <w:tc>
          <w:tcPr>
            <w:tcW w:w="3800" w:type="dxa"/>
            <w:vAlign w:val="bottom"/>
            <w:shd w:val="clear" w:color="auto" w:fill="CFF0FC"/>
          </w:tcPr>
          <w:p>
            <w:pPr>
              <w:spacing w:after="0"/>
              <w:rPr>
                <w:sz w:val="21"/>
                <w:szCs w:val="21"/>
                <w:color w:val="auto"/>
              </w:rPr>
            </w:pPr>
          </w:p>
        </w:tc>
        <w:tc>
          <w:tcPr>
            <w:tcW w:w="3680" w:type="dxa"/>
            <w:vAlign w:val="bottom"/>
            <w:gridSpan w:val="2"/>
            <w:shd w:val="clear" w:color="auto" w:fill="CFF0FC"/>
          </w:tcPr>
          <w:p>
            <w:pPr>
              <w:jc w:val="right"/>
              <w:ind w:right="17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48"/>
        </w:trPr>
        <w:tc>
          <w:tcPr>
            <w:tcW w:w="20" w:type="dxa"/>
            <w:vAlign w:val="bottom"/>
          </w:tcPr>
          <w:p>
            <w:pPr>
              <w:spacing w:after="0"/>
              <w:rPr>
                <w:sz w:val="4"/>
                <w:szCs w:val="4"/>
                <w:color w:val="auto"/>
              </w:rPr>
            </w:pPr>
          </w:p>
        </w:tc>
        <w:tc>
          <w:tcPr>
            <w:tcW w:w="3800" w:type="dxa"/>
            <w:vAlign w:val="bottom"/>
            <w:tcBorders>
              <w:top w:val="single" w:sz="8" w:color="CFF0FC"/>
              <w:bottom w:val="single" w:sz="8" w:color="auto"/>
            </w:tcBorders>
          </w:tcPr>
          <w:p>
            <w:pPr>
              <w:spacing w:after="0"/>
              <w:rPr>
                <w:sz w:val="4"/>
                <w:szCs w:val="4"/>
                <w:color w:val="auto"/>
              </w:rPr>
            </w:pPr>
          </w:p>
        </w:tc>
        <w:tc>
          <w:tcPr>
            <w:tcW w:w="1760" w:type="dxa"/>
            <w:vAlign w:val="bottom"/>
            <w:tcBorders>
              <w:top w:val="single" w:sz="8" w:color="CFF0FC"/>
              <w:bottom w:val="single" w:sz="8" w:color="auto"/>
            </w:tcBorders>
          </w:tcPr>
          <w:p>
            <w:pPr>
              <w:spacing w:after="0"/>
              <w:rPr>
                <w:sz w:val="4"/>
                <w:szCs w:val="4"/>
                <w:color w:val="auto"/>
              </w:rPr>
            </w:pPr>
          </w:p>
        </w:tc>
        <w:tc>
          <w:tcPr>
            <w:tcW w:w="1920" w:type="dxa"/>
            <w:vAlign w:val="bottom"/>
            <w:tcBorders>
              <w:top w:val="single" w:sz="8" w:color="auto"/>
              <w:bottom w:val="single" w:sz="8" w:color="auto"/>
            </w:tcBorders>
          </w:tcPr>
          <w:p>
            <w:pPr>
              <w:spacing w:after="0"/>
              <w:rPr>
                <w:sz w:val="4"/>
                <w:szCs w:val="4"/>
                <w:color w:val="auto"/>
              </w:rPr>
            </w:pPr>
          </w:p>
        </w:tc>
        <w:tc>
          <w:tcPr>
            <w:tcW w:w="400" w:type="dxa"/>
            <w:vAlign w:val="bottom"/>
            <w:tcBorders>
              <w:top w:val="single" w:sz="8" w:color="auto"/>
              <w:bottom w:val="single" w:sz="8" w:color="auto"/>
            </w:tcBorders>
          </w:tcPr>
          <w:p>
            <w:pPr>
              <w:spacing w:after="0"/>
              <w:rPr>
                <w:sz w:val="4"/>
                <w:szCs w:val="4"/>
                <w:color w:val="auto"/>
              </w:rPr>
            </w:pPr>
          </w:p>
        </w:tc>
        <w:tc>
          <w:tcPr>
            <w:tcW w:w="200" w:type="dxa"/>
            <w:vAlign w:val="bottom"/>
            <w:tcBorders>
              <w:top w:val="single" w:sz="8" w:color="CFF0FC"/>
              <w:bottom w:val="single" w:sz="8" w:color="auto"/>
            </w:tcBorders>
          </w:tcPr>
          <w:p>
            <w:pPr>
              <w:spacing w:after="0"/>
              <w:rPr>
                <w:sz w:val="4"/>
                <w:szCs w:val="4"/>
                <w:color w:val="auto"/>
              </w:rPr>
            </w:pPr>
          </w:p>
        </w:tc>
        <w:tc>
          <w:tcPr>
            <w:tcW w:w="280" w:type="dxa"/>
            <w:vAlign w:val="bottom"/>
            <w:tcBorders>
              <w:top w:val="single" w:sz="8" w:color="auto"/>
              <w:bottom w:val="single" w:sz="8" w:color="auto"/>
            </w:tcBorders>
          </w:tcPr>
          <w:p>
            <w:pPr>
              <w:spacing w:after="0"/>
              <w:rPr>
                <w:sz w:val="4"/>
                <w:szCs w:val="4"/>
                <w:color w:val="auto"/>
              </w:rPr>
            </w:pPr>
          </w:p>
        </w:tc>
        <w:tc>
          <w:tcPr>
            <w:tcW w:w="206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-76200</wp:posOffset>
            </wp:positionV>
            <wp:extent cx="12890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-59055</wp:posOffset>
            </wp:positionV>
            <wp:extent cx="12890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provides a reconciliation of the change in operating income for the Life Sciences reportable segment.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35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rPr>
              <w:t>Six months ended</w:t>
            </w:r>
          </w:p>
        </w:tc>
        <w:tc>
          <w:tcPr>
            <w:tcW w:w="400" w:type="dxa"/>
            <w:vAlign w:val="bottom"/>
          </w:tcPr>
          <w:p>
            <w:pPr>
              <w:spacing w:after="0"/>
              <w:rPr>
                <w:sz w:val="18"/>
                <w:szCs w:val="18"/>
                <w:color w:val="auto"/>
              </w:rPr>
            </w:pPr>
          </w:p>
        </w:tc>
      </w:tr>
      <w:tr>
        <w:trPr>
          <w:trHeight w:val="234"/>
        </w:trPr>
        <w:tc>
          <w:tcPr>
            <w:tcW w:w="40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 millions)</w:t>
            </w:r>
          </w:p>
        </w:tc>
        <w:tc>
          <w:tcPr>
            <w:tcW w:w="1980" w:type="dxa"/>
            <w:vAlign w:val="bottom"/>
          </w:tcPr>
          <w:p>
            <w:pPr>
              <w:spacing w:after="0"/>
              <w:rPr>
                <w:sz w:val="20"/>
                <w:szCs w:val="20"/>
                <w:color w:val="auto"/>
              </w:rPr>
            </w:pPr>
          </w:p>
        </w:tc>
        <w:tc>
          <w:tcPr>
            <w:tcW w:w="1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March 31, 2026</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09"/>
        </w:trPr>
        <w:tc>
          <w:tcPr>
            <w:tcW w:w="420" w:type="dxa"/>
            <w:vAlign w:val="bottom"/>
          </w:tcPr>
          <w:p>
            <w:pPr>
              <w:spacing w:after="0"/>
              <w:rPr>
                <w:sz w:val="18"/>
                <w:szCs w:val="18"/>
                <w:color w:val="auto"/>
              </w:rPr>
            </w:pPr>
          </w:p>
        </w:tc>
        <w:tc>
          <w:tcPr>
            <w:tcW w:w="35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income change</w:t>
            </w:r>
          </w:p>
        </w:tc>
        <w:tc>
          <w:tcPr>
            <w:tcW w:w="1980" w:type="dxa"/>
            <w:vAlign w:val="bottom"/>
            <w:tcBorders>
              <w:top w:val="single" w:sz="8" w:color="auto"/>
            </w:tcBorders>
            <w:shd w:val="clear" w:color="auto" w:fill="CFF0FC"/>
          </w:tcPr>
          <w:p>
            <w:pPr>
              <w:spacing w:after="0"/>
              <w:rPr>
                <w:sz w:val="18"/>
                <w:szCs w:val="18"/>
                <w:color w:val="auto"/>
              </w:rPr>
            </w:pPr>
          </w:p>
        </w:tc>
        <w:tc>
          <w:tcPr>
            <w:tcW w:w="19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060" w:type="dxa"/>
            <w:vAlign w:val="bottom"/>
            <w:tcBorders>
              <w:top w:val="single" w:sz="8" w:color="auto"/>
            </w:tcBorders>
            <w:shd w:val="clear" w:color="auto" w:fill="CFF0FC"/>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w:t>
            </w:r>
          </w:p>
        </w:tc>
        <w:tc>
          <w:tcPr>
            <w:tcW w:w="3920" w:type="dxa"/>
            <w:vAlign w:val="bottom"/>
            <w:gridSpan w:val="2"/>
          </w:tcPr>
          <w:p>
            <w:pPr>
              <w:jc w:val="right"/>
              <w:ind w:right="17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198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Price/mix</w:t>
            </w:r>
          </w:p>
        </w:tc>
        <w:tc>
          <w:tcPr>
            <w:tcW w:w="19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5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Volume</w:t>
            </w:r>
          </w:p>
        </w:tc>
        <w:tc>
          <w:tcPr>
            <w:tcW w:w="1980" w:type="dxa"/>
            <w:vAlign w:val="bottom"/>
            <w:tcBorders>
              <w:bottom w:val="single" w:sz="8" w:color="CFF0FC"/>
            </w:tcBorders>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r>
      <w:tr>
        <w:trPr>
          <w:trHeight w:val="209"/>
        </w:trPr>
        <w:tc>
          <w:tcPr>
            <w:tcW w:w="4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920" w:type="dxa"/>
            <w:vAlign w:val="bottom"/>
            <w:gridSpan w:val="2"/>
          </w:tcPr>
          <w:p>
            <w:pPr>
              <w:jc w:val="right"/>
              <w:ind w:right="17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Pr>
          <w:p>
            <w:pPr>
              <w:spacing w:after="0"/>
              <w:rPr>
                <w:sz w:val="18"/>
                <w:szCs w:val="18"/>
                <w:color w:val="auto"/>
              </w:rPr>
            </w:pPr>
          </w:p>
        </w:tc>
      </w:tr>
      <w:tr>
        <w:trPr>
          <w:trHeight w:val="20"/>
        </w:trPr>
        <w:tc>
          <w:tcPr>
            <w:tcW w:w="4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8"/>
        </w:trPr>
        <w:tc>
          <w:tcPr>
            <w:tcW w:w="420" w:type="dxa"/>
            <w:vAlign w:val="bottom"/>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r>
      <w:tr>
        <w:trPr>
          <w:trHeight w:val="534"/>
        </w:trPr>
        <w:tc>
          <w:tcPr>
            <w:tcW w:w="4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47</w:t>
            </w:r>
          </w:p>
        </w:tc>
        <w:tc>
          <w:tcPr>
            <w:tcW w:w="1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63"/>
        </w:trPr>
        <w:tc>
          <w:tcPr>
            <w:tcW w:w="42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-1062355</wp:posOffset>
            </wp:positionV>
            <wp:extent cx="12890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48" w:name="page49"/>
    <w:bookmarkEnd w:id="48"/>
    <w:p>
      <w:pPr>
        <w:ind w:left="380"/>
        <w:spacing w:after="0"/>
        <w:rPr>
          <w:sz w:val="20"/>
          <w:szCs w:val="20"/>
          <w:color w:val="auto"/>
        </w:rPr>
      </w:pPr>
      <w:r>
        <w:rPr>
          <w:rFonts w:ascii="Times New Roman" w:cs="Times New Roman" w:eastAsia="Times New Roman" w:hAnsi="Times New Roman"/>
          <w:sz w:val="20"/>
          <w:szCs w:val="20"/>
          <w:i w:val="1"/>
          <w:iCs w:val="1"/>
          <w:color w:val="auto"/>
        </w:rPr>
        <w:t>EBITDA and Adjusted EBITDA reconciliation</w:t>
      </w:r>
    </w:p>
    <w:p>
      <w:pPr>
        <w:spacing w:after="0" w:line="112" w:lineRule="exact"/>
        <w:rPr>
          <w:sz w:val="20"/>
          <w:szCs w:val="20"/>
          <w:color w:val="auto"/>
        </w:rPr>
      </w:pPr>
    </w:p>
    <w:p>
      <w:pPr>
        <w:jc w:val="both"/>
        <w:ind w:left="380" w:right="380"/>
        <w:spacing w:after="0" w:line="249" w:lineRule="auto"/>
        <w:rPr>
          <w:sz w:val="20"/>
          <w:szCs w:val="20"/>
          <w:color w:val="auto"/>
        </w:rPr>
      </w:pPr>
      <w:r>
        <w:rPr>
          <w:rFonts w:ascii="Times New Roman" w:cs="Times New Roman" w:eastAsia="Times New Roman" w:hAnsi="Times New Roman"/>
          <w:sz w:val="20"/>
          <w:szCs w:val="20"/>
          <w:color w:val="auto"/>
        </w:rPr>
        <w:t>The following EBITDA presentation is provided as a means to enhance the understanding of financial measurements that Ashland has internally determined to be relevant measures of comparison for the results of Life Sciences. Life Sciences had key items in the three and six months ended March 31, 2026 and 2025. These items are listed below and described within the "Use of Non-GAAP Financial Measures" section above.</w:t>
      </w:r>
    </w:p>
    <w:p>
      <w:pPr>
        <w:spacing w:after="0" w:line="74"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5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Life Sciences</w:t>
            </w: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right"/>
              <w:ind w:right="49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09"/>
        </w:trPr>
        <w:tc>
          <w:tcPr>
            <w:tcW w:w="35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80" w:type="dxa"/>
            <w:vAlign w:val="bottom"/>
            <w:tcBorders>
              <w:top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tcBorders>
              <w:top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top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tcBorders>
              <w:top w:val="single" w:sz="8" w:color="auto"/>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tcBorders>
              <w:top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Borders>
              <w:top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4"/>
                <w:szCs w:val="24"/>
                <w:color w:val="auto"/>
                <w:vertAlign w:val="superscript"/>
              </w:rPr>
              <w:t>(a)</w:t>
            </w:r>
          </w:p>
        </w:tc>
        <w:tc>
          <w:tcPr>
            <w:tcW w:w="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Accelerated depreciation</w:t>
            </w:r>
          </w:p>
        </w:tc>
        <w:tc>
          <w:tcPr>
            <w:tcW w:w="5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plant optimization costs</w:t>
            </w:r>
          </w:p>
        </w:tc>
        <w:tc>
          <w:tcPr>
            <w:tcW w:w="5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5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as a percent of sales</w:t>
            </w:r>
          </w:p>
        </w:tc>
        <w:tc>
          <w:tcPr>
            <w:tcW w:w="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400 bps</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300 bps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as a percent of sales</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 bps</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 bps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-759460</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-742315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-759460</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-742315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-759460</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-742315</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-759460</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-742315</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-759460</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-742315</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-459105</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-459105</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-459105</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-459105</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-459105</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28575</wp:posOffset>
            </wp:positionV>
            <wp:extent cx="662622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24" w:lineRule="exact"/>
        <w:rPr>
          <w:sz w:val="20"/>
          <w:szCs w:val="20"/>
          <w:color w:val="auto"/>
        </w:rPr>
      </w:pPr>
    </w:p>
    <w:p>
      <w:pPr>
        <w:ind w:left="740" w:right="380" w:hanging="358"/>
        <w:spacing w:after="0" w:line="261" w:lineRule="auto"/>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for Life Sciences excludes accelerated depreciation of $13 million for both the three and six months ended March 31, 2025, which is included as a key item within this table as a component of Adjusted EBITDA.</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Three months ended March 31, 2026 compared to three months ended March 31, 2025</w:t>
      </w:r>
    </w:p>
    <w:p>
      <w:pPr>
        <w:spacing w:after="0" w:line="112" w:lineRule="exact"/>
        <w:rPr>
          <w:sz w:val="20"/>
          <w:szCs w:val="20"/>
          <w:color w:val="auto"/>
        </w:rPr>
      </w:pPr>
    </w:p>
    <w:p>
      <w:pPr>
        <w:jc w:val="both"/>
        <w:ind w:left="380" w:right="380"/>
        <w:spacing w:after="0" w:line="246" w:lineRule="auto"/>
        <w:rPr>
          <w:sz w:val="20"/>
          <w:szCs w:val="20"/>
          <w:color w:val="auto"/>
        </w:rPr>
      </w:pPr>
      <w:r>
        <w:rPr>
          <w:rFonts w:ascii="Times New Roman" w:cs="Times New Roman" w:eastAsia="Times New Roman" w:hAnsi="Times New Roman"/>
          <w:sz w:val="20"/>
          <w:szCs w:val="20"/>
          <w:color w:val="auto"/>
        </w:rPr>
        <w:t>Life Sciences' sales remained consistent compared to the prior quarter. Operating income increased in the current quarter primarily due to lower costs associated with plant optimization and favorable foreign currency exchange partially offset by unfavorable price/mix. Adjusted EBITDA decreased in the current quarter primarily due to higher costs, including the Calvert City startup delay and weather-related operational disruptions during the quarter and unfavorable price/mix, partially offset by favorable foreign currency exchange.</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Six months ended March 31, 2026 compared to six months ended March 31, 2025</w:t>
      </w:r>
    </w:p>
    <w:p>
      <w:pPr>
        <w:spacing w:after="0" w:line="112" w:lineRule="exact"/>
        <w:rPr>
          <w:sz w:val="20"/>
          <w:szCs w:val="20"/>
          <w:color w:val="auto"/>
        </w:rPr>
      </w:pPr>
    </w:p>
    <w:p>
      <w:pPr>
        <w:jc w:val="both"/>
        <w:ind w:left="380" w:right="380"/>
        <w:spacing w:after="0" w:line="246" w:lineRule="auto"/>
        <w:rPr>
          <w:sz w:val="20"/>
          <w:szCs w:val="20"/>
          <w:color w:val="auto"/>
        </w:rPr>
      </w:pPr>
      <w:r>
        <w:rPr>
          <w:rFonts w:ascii="Times New Roman" w:cs="Times New Roman" w:eastAsia="Times New Roman" w:hAnsi="Times New Roman"/>
          <w:sz w:val="20"/>
          <w:szCs w:val="20"/>
          <w:color w:val="auto"/>
        </w:rPr>
        <w:t>Life Sciences' sales increased primarily due to favorable foreign currency exchange. Operating income increased in the current period primarily due to lower costs associated with plant optimization and favorable foreign currency exchange partially offset by unfavorable price/mix. Adjusted EBITDA decreased in the current period primarily due to higher costs, including the Calvert City startup delay and weather-related operational disruptions during the period and unfavorable price/mix, partially offset by favorable foreign currency exchange.</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Personal Care</w:t>
      </w:r>
    </w:p>
    <w:p>
      <w:pPr>
        <w:spacing w:after="0" w:line="112" w:lineRule="exact"/>
        <w:rPr>
          <w:sz w:val="20"/>
          <w:szCs w:val="20"/>
          <w:color w:val="auto"/>
        </w:rPr>
      </w:pPr>
    </w:p>
    <w:p>
      <w:pPr>
        <w:jc w:val="both"/>
        <w:ind w:left="380" w:right="380"/>
        <w:spacing w:after="0" w:line="243" w:lineRule="auto"/>
        <w:rPr>
          <w:sz w:val="20"/>
          <w:szCs w:val="20"/>
          <w:color w:val="auto"/>
        </w:rPr>
      </w:pPr>
      <w:r>
        <w:rPr>
          <w:rFonts w:ascii="Times New Roman" w:cs="Times New Roman" w:eastAsia="Times New Roman" w:hAnsi="Times New Roman"/>
          <w:sz w:val="20"/>
          <w:szCs w:val="20"/>
          <w:color w:val="auto"/>
        </w:rPr>
        <w:t>Personal Care is comprised of biofunctionals, microbial protectants (preservatives), skin care, sun care, oral care, hair care and household solutions. These businesses have a broad range of natural, nature-derived, biodegradable, and high-performance ingredients for customer driven solutions to help protect, renew, moisturize and revitalize skin and hair, and provide solutions for toothpastes, mouth washes and rinses, denture cleaning and care for teeth. Personal Care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 The Avoca business was sold in March 2025. See Note B of the Notes to Condensed Consolidated Financial Statements for additional information.</w:t>
      </w:r>
    </w:p>
    <w:p>
      <w:pPr>
        <w:spacing w:after="0" w:line="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provides a reconciliation of the change in sales for the Personal Care reportable segment.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35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rPr>
              <w:t>Six months ended</w:t>
            </w:r>
          </w:p>
        </w:tc>
        <w:tc>
          <w:tcPr>
            <w:tcW w:w="400" w:type="dxa"/>
            <w:vAlign w:val="bottom"/>
          </w:tcPr>
          <w:p>
            <w:pPr>
              <w:spacing w:after="0"/>
              <w:rPr>
                <w:sz w:val="18"/>
                <w:szCs w:val="18"/>
                <w:color w:val="auto"/>
              </w:rPr>
            </w:pPr>
          </w:p>
        </w:tc>
      </w:tr>
      <w:tr>
        <w:trPr>
          <w:trHeight w:val="234"/>
        </w:trPr>
        <w:tc>
          <w:tcPr>
            <w:tcW w:w="40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 millions)</w:t>
            </w:r>
          </w:p>
        </w:tc>
        <w:tc>
          <w:tcPr>
            <w:tcW w:w="1980" w:type="dxa"/>
            <w:vAlign w:val="bottom"/>
          </w:tcPr>
          <w:p>
            <w:pPr>
              <w:spacing w:after="0"/>
              <w:rPr>
                <w:sz w:val="20"/>
                <w:szCs w:val="20"/>
                <w:color w:val="auto"/>
              </w:rPr>
            </w:pPr>
          </w:p>
        </w:tc>
        <w:tc>
          <w:tcPr>
            <w:tcW w:w="1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March 31, 2026</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09"/>
        </w:trPr>
        <w:tc>
          <w:tcPr>
            <w:tcW w:w="420" w:type="dxa"/>
            <w:vAlign w:val="bottom"/>
          </w:tcPr>
          <w:p>
            <w:pPr>
              <w:spacing w:after="0"/>
              <w:rPr>
                <w:sz w:val="18"/>
                <w:szCs w:val="18"/>
                <w:color w:val="auto"/>
              </w:rPr>
            </w:pPr>
          </w:p>
        </w:tc>
        <w:tc>
          <w:tcPr>
            <w:tcW w:w="35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Sales change</w:t>
            </w:r>
          </w:p>
        </w:tc>
        <w:tc>
          <w:tcPr>
            <w:tcW w:w="1980" w:type="dxa"/>
            <w:vAlign w:val="bottom"/>
            <w:tcBorders>
              <w:top w:val="single" w:sz="8" w:color="auto"/>
            </w:tcBorders>
            <w:shd w:val="clear" w:color="auto" w:fill="CFF0FC"/>
          </w:tcPr>
          <w:p>
            <w:pPr>
              <w:spacing w:after="0"/>
              <w:rPr>
                <w:sz w:val="18"/>
                <w:szCs w:val="18"/>
                <w:color w:val="auto"/>
              </w:rPr>
            </w:pPr>
          </w:p>
        </w:tc>
        <w:tc>
          <w:tcPr>
            <w:tcW w:w="19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060" w:type="dxa"/>
            <w:vAlign w:val="bottom"/>
            <w:tcBorders>
              <w:top w:val="single" w:sz="8" w:color="auto"/>
            </w:tcBorders>
            <w:shd w:val="clear" w:color="auto" w:fill="CFF0FC"/>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3920" w:type="dxa"/>
            <w:vAlign w:val="bottom"/>
            <w:gridSpan w:val="2"/>
          </w:tcPr>
          <w:p>
            <w:pPr>
              <w:jc w:val="right"/>
              <w:ind w:right="17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Volume</w:t>
            </w:r>
          </w:p>
        </w:tc>
        <w:tc>
          <w:tcPr>
            <w:tcW w:w="198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Price/mix</w:t>
            </w:r>
          </w:p>
        </w:tc>
        <w:tc>
          <w:tcPr>
            <w:tcW w:w="19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5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Avoca business</w:t>
            </w:r>
          </w:p>
        </w:tc>
        <w:tc>
          <w:tcPr>
            <w:tcW w:w="1980" w:type="dxa"/>
            <w:vAlign w:val="bottom"/>
            <w:tcBorders>
              <w:bottom w:val="single" w:sz="8" w:color="CFF0FC"/>
            </w:tcBorders>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18"/>
                <w:szCs w:val="18"/>
                <w:color w:val="auto"/>
              </w:rPr>
            </w:pPr>
          </w:p>
        </w:tc>
      </w:tr>
      <w:tr>
        <w:trPr>
          <w:trHeight w:val="210"/>
        </w:trPr>
        <w:tc>
          <w:tcPr>
            <w:tcW w:w="4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920" w:type="dxa"/>
            <w:vAlign w:val="bottom"/>
            <w:gridSpan w:val="2"/>
          </w:tcPr>
          <w:p>
            <w:pPr>
              <w:jc w:val="right"/>
              <w:ind w:right="17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tcPr>
          <w:p>
            <w:pPr>
              <w:spacing w:after="0"/>
              <w:rPr>
                <w:sz w:val="18"/>
                <w:szCs w:val="18"/>
                <w:color w:val="auto"/>
              </w:rPr>
            </w:pPr>
          </w:p>
        </w:tc>
      </w:tr>
      <w:tr>
        <w:trPr>
          <w:trHeight w:val="20"/>
        </w:trPr>
        <w:tc>
          <w:tcPr>
            <w:tcW w:w="4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8"/>
        </w:trPr>
        <w:tc>
          <w:tcPr>
            <w:tcW w:w="420" w:type="dxa"/>
            <w:vAlign w:val="bottom"/>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r>
      <w:tr>
        <w:trPr>
          <w:trHeight w:val="534"/>
        </w:trPr>
        <w:tc>
          <w:tcPr>
            <w:tcW w:w="4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48</w:t>
            </w:r>
          </w:p>
        </w:tc>
        <w:tc>
          <w:tcPr>
            <w:tcW w:w="1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63"/>
        </w:trPr>
        <w:tc>
          <w:tcPr>
            <w:tcW w:w="42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-1062355</wp:posOffset>
            </wp:positionV>
            <wp:extent cx="12890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color w:val="auto"/>
        </w:rPr>
        <w:t>The following table provides a reconciliation of the change in operating income for the Personal Care reportable segment.</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8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760" w:type="dxa"/>
            <w:vAlign w:val="bottom"/>
          </w:tcPr>
          <w:p>
            <w:pPr>
              <w:spacing w:after="0"/>
              <w:rPr>
                <w:sz w:val="20"/>
                <w:szCs w:val="20"/>
                <w:color w:val="auto"/>
              </w:rPr>
            </w:pPr>
          </w:p>
        </w:tc>
        <w:tc>
          <w:tcPr>
            <w:tcW w:w="1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March 31, 2026</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March 31, 2026</w:t>
            </w:r>
          </w:p>
        </w:tc>
      </w:tr>
      <w:tr>
        <w:trPr>
          <w:trHeight w:val="210"/>
        </w:trPr>
        <w:tc>
          <w:tcPr>
            <w:tcW w:w="20" w:type="dxa"/>
            <w:vAlign w:val="bottom"/>
          </w:tcPr>
          <w:p>
            <w:pPr>
              <w:spacing w:after="0"/>
              <w:rPr>
                <w:sz w:val="18"/>
                <w:szCs w:val="18"/>
                <w:color w:val="auto"/>
              </w:rPr>
            </w:pPr>
          </w:p>
        </w:tc>
        <w:tc>
          <w:tcPr>
            <w:tcW w:w="3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income change</w:t>
            </w:r>
          </w:p>
        </w:tc>
        <w:tc>
          <w:tcPr>
            <w:tcW w:w="1760" w:type="dxa"/>
            <w:vAlign w:val="bottom"/>
            <w:tcBorders>
              <w:top w:val="single" w:sz="8" w:color="auto"/>
            </w:tcBorders>
            <w:shd w:val="clear" w:color="auto" w:fill="CFF0FC"/>
          </w:tcPr>
          <w:p>
            <w:pPr>
              <w:spacing w:after="0"/>
              <w:rPr>
                <w:sz w:val="18"/>
                <w:szCs w:val="18"/>
                <w:color w:val="auto"/>
              </w:rPr>
            </w:pPr>
          </w:p>
        </w:tc>
        <w:tc>
          <w:tcPr>
            <w:tcW w:w="19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060" w:type="dxa"/>
            <w:vAlign w:val="bottom"/>
            <w:tcBorders>
              <w:top w:val="single" w:sz="8" w:color="auto"/>
            </w:tcBorders>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w:t>
            </w:r>
          </w:p>
        </w:tc>
        <w:tc>
          <w:tcPr>
            <w:tcW w:w="3700" w:type="dxa"/>
            <w:vAlign w:val="bottom"/>
            <w:gridSpan w:val="2"/>
          </w:tcPr>
          <w:p>
            <w:pPr>
              <w:jc w:val="right"/>
              <w:ind w:right="17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Pr>
          <w:p>
            <w:pPr>
              <w:spacing w:after="0"/>
              <w:rPr>
                <w:sz w:val="18"/>
                <w:szCs w:val="18"/>
                <w:color w:val="auto"/>
              </w:rPr>
            </w:pPr>
          </w:p>
        </w:tc>
        <w:tc>
          <w:tcPr>
            <w:tcW w:w="3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Price/mix</w:t>
            </w:r>
          </w:p>
        </w:tc>
        <w:tc>
          <w:tcPr>
            <w:tcW w:w="176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Pr>
          <w:p>
            <w:pPr>
              <w:spacing w:after="0"/>
              <w:rPr>
                <w:sz w:val="18"/>
                <w:szCs w:val="18"/>
                <w:color w:val="auto"/>
              </w:rPr>
            </w:pP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Avoca business</w:t>
            </w:r>
          </w:p>
        </w:tc>
        <w:tc>
          <w:tcPr>
            <w:tcW w:w="1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Pr>
          <w:p>
            <w:pPr>
              <w:spacing w:after="0"/>
              <w:rPr>
                <w:sz w:val="18"/>
                <w:szCs w:val="18"/>
                <w:color w:val="auto"/>
              </w:rPr>
            </w:pPr>
          </w:p>
        </w:tc>
        <w:tc>
          <w:tcPr>
            <w:tcW w:w="3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176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Pr>
          <w:p>
            <w:pPr>
              <w:spacing w:after="0"/>
              <w:rPr>
                <w:sz w:val="18"/>
                <w:szCs w:val="18"/>
                <w:color w:val="auto"/>
              </w:rPr>
            </w:pP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Volume</w:t>
            </w:r>
          </w:p>
        </w:tc>
        <w:tc>
          <w:tcPr>
            <w:tcW w:w="1760" w:type="dxa"/>
            <w:vAlign w:val="bottom"/>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49"/>
        </w:trPr>
        <w:tc>
          <w:tcPr>
            <w:tcW w:w="20" w:type="dxa"/>
            <w:vAlign w:val="bottom"/>
          </w:tcPr>
          <w:p>
            <w:pPr>
              <w:spacing w:after="0"/>
              <w:rPr>
                <w:sz w:val="21"/>
                <w:szCs w:val="21"/>
                <w:color w:val="auto"/>
              </w:rPr>
            </w:pPr>
          </w:p>
        </w:tc>
        <w:tc>
          <w:tcPr>
            <w:tcW w:w="3800" w:type="dxa"/>
            <w:vAlign w:val="bottom"/>
            <w:shd w:val="clear" w:color="auto" w:fill="CFF0FC"/>
          </w:tcPr>
          <w:p>
            <w:pPr>
              <w:spacing w:after="0"/>
              <w:rPr>
                <w:sz w:val="21"/>
                <w:szCs w:val="21"/>
                <w:color w:val="auto"/>
              </w:rPr>
            </w:pPr>
          </w:p>
        </w:tc>
        <w:tc>
          <w:tcPr>
            <w:tcW w:w="3700" w:type="dxa"/>
            <w:vAlign w:val="bottom"/>
            <w:gridSpan w:val="2"/>
            <w:shd w:val="clear" w:color="auto" w:fill="CFF0FC"/>
          </w:tcPr>
          <w:p>
            <w:pPr>
              <w:jc w:val="right"/>
              <w:ind w:right="17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8"/>
        </w:trPr>
        <w:tc>
          <w:tcPr>
            <w:tcW w:w="20" w:type="dxa"/>
            <w:vAlign w:val="bottom"/>
          </w:tcPr>
          <w:p>
            <w:pPr>
              <w:spacing w:after="0"/>
              <w:rPr>
                <w:sz w:val="4"/>
                <w:szCs w:val="4"/>
                <w:color w:val="auto"/>
              </w:rPr>
            </w:pPr>
          </w:p>
        </w:tc>
        <w:tc>
          <w:tcPr>
            <w:tcW w:w="3800" w:type="dxa"/>
            <w:vAlign w:val="bottom"/>
            <w:tcBorders>
              <w:top w:val="single" w:sz="8" w:color="CFF0FC"/>
              <w:bottom w:val="single" w:sz="8" w:color="auto"/>
            </w:tcBorders>
          </w:tcPr>
          <w:p>
            <w:pPr>
              <w:spacing w:after="0"/>
              <w:rPr>
                <w:sz w:val="4"/>
                <w:szCs w:val="4"/>
                <w:color w:val="auto"/>
              </w:rPr>
            </w:pPr>
          </w:p>
        </w:tc>
        <w:tc>
          <w:tcPr>
            <w:tcW w:w="1760" w:type="dxa"/>
            <w:vAlign w:val="bottom"/>
            <w:tcBorders>
              <w:top w:val="single" w:sz="8" w:color="CFF0FC"/>
              <w:bottom w:val="single" w:sz="8" w:color="auto"/>
            </w:tcBorders>
          </w:tcPr>
          <w:p>
            <w:pPr>
              <w:spacing w:after="0"/>
              <w:rPr>
                <w:sz w:val="4"/>
                <w:szCs w:val="4"/>
                <w:color w:val="auto"/>
              </w:rPr>
            </w:pPr>
          </w:p>
        </w:tc>
        <w:tc>
          <w:tcPr>
            <w:tcW w:w="1940" w:type="dxa"/>
            <w:vAlign w:val="bottom"/>
            <w:tcBorders>
              <w:top w:val="single" w:sz="8" w:color="auto"/>
              <w:bottom w:val="single" w:sz="8" w:color="auto"/>
            </w:tcBorders>
          </w:tcPr>
          <w:p>
            <w:pPr>
              <w:spacing w:after="0"/>
              <w:rPr>
                <w:sz w:val="4"/>
                <w:szCs w:val="4"/>
                <w:color w:val="auto"/>
              </w:rPr>
            </w:pPr>
          </w:p>
        </w:tc>
        <w:tc>
          <w:tcPr>
            <w:tcW w:w="380" w:type="dxa"/>
            <w:vAlign w:val="bottom"/>
            <w:tcBorders>
              <w:top w:val="single" w:sz="8" w:color="auto"/>
              <w:bottom w:val="single" w:sz="8" w:color="auto"/>
            </w:tcBorders>
          </w:tcPr>
          <w:p>
            <w:pPr>
              <w:spacing w:after="0"/>
              <w:rPr>
                <w:sz w:val="4"/>
                <w:szCs w:val="4"/>
                <w:color w:val="auto"/>
              </w:rPr>
            </w:pPr>
          </w:p>
        </w:tc>
        <w:tc>
          <w:tcPr>
            <w:tcW w:w="200" w:type="dxa"/>
            <w:vAlign w:val="bottom"/>
            <w:tcBorders>
              <w:top w:val="single" w:sz="8" w:color="CFF0FC"/>
              <w:bottom w:val="single" w:sz="8" w:color="auto"/>
            </w:tcBorders>
          </w:tcPr>
          <w:p>
            <w:pPr>
              <w:spacing w:after="0"/>
              <w:rPr>
                <w:sz w:val="4"/>
                <w:szCs w:val="4"/>
                <w:color w:val="auto"/>
              </w:rPr>
            </w:pPr>
          </w:p>
        </w:tc>
        <w:tc>
          <w:tcPr>
            <w:tcW w:w="280" w:type="dxa"/>
            <w:vAlign w:val="bottom"/>
            <w:tcBorders>
              <w:top w:val="single" w:sz="8" w:color="auto"/>
              <w:bottom w:val="single" w:sz="8" w:color="auto"/>
            </w:tcBorders>
          </w:tcPr>
          <w:p>
            <w:pPr>
              <w:spacing w:after="0"/>
              <w:rPr>
                <w:sz w:val="4"/>
                <w:szCs w:val="4"/>
                <w:color w:val="auto"/>
              </w:rPr>
            </w:pPr>
          </w:p>
        </w:tc>
        <w:tc>
          <w:tcPr>
            <w:tcW w:w="206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5027295</wp:posOffset>
            </wp:positionH>
            <wp:positionV relativeFrom="paragraph">
              <wp:posOffset>-76835</wp:posOffset>
            </wp:positionV>
            <wp:extent cx="12890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5027295</wp:posOffset>
            </wp:positionH>
            <wp:positionV relativeFrom="paragraph">
              <wp:posOffset>-59690</wp:posOffset>
            </wp:positionV>
            <wp:extent cx="12890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EBITDA and Adjusted EBITDA reconciliation</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following EBITDA presentation is provided as a means to enhance the understanding of financial measurements that Ashland has internally determined to be relevant measures of comparison for the results of Personal Care. There were key items in the three and six months ended March 31, 2026 and 2025. These items are listed below and described within the "Use of Non-GAAP Financial Measures" section above.</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Personal Care</w:t>
            </w: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jc w:val="right"/>
              <w:ind w:right="41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right"/>
              <w:ind w:right="53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09"/>
        </w:trPr>
        <w:tc>
          <w:tcPr>
            <w:tcW w:w="362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20" w:type="dxa"/>
            <w:vAlign w:val="bottom"/>
            <w:tcBorders>
              <w:top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tcBorders>
              <w:top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Borders>
              <w:top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Borders>
              <w:top w:val="single" w:sz="8" w:color="auto"/>
            </w:tcBorders>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38</w:t>
            </w:r>
          </w:p>
        </w:tc>
        <w:tc>
          <w:tcPr>
            <w:tcW w:w="380" w:type="dxa"/>
            <w:vAlign w:val="bottom"/>
            <w:tcBorders>
              <w:top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Borders>
              <w:top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4"/>
                <w:szCs w:val="24"/>
                <w:color w:val="auto"/>
                <w:vertAlign w:val="superscript"/>
              </w:rPr>
              <w:t>(a)</w:t>
            </w:r>
          </w:p>
        </w:tc>
        <w:tc>
          <w:tcPr>
            <w:tcW w:w="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68</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Held for sale depreciation and amortization</w:t>
            </w:r>
          </w:p>
        </w:tc>
        <w:tc>
          <w:tcPr>
            <w:tcW w:w="4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plant optimization costs</w:t>
            </w:r>
          </w:p>
        </w:tc>
        <w:tc>
          <w:tcPr>
            <w:tcW w:w="4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69</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as a percent of sales</w:t>
            </w:r>
          </w:p>
        </w:tc>
        <w:tc>
          <w:tcPr>
            <w:tcW w:w="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-120 bps</w:t>
            </w: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 bps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as a percent of sales</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 bps</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 bps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3227070</wp:posOffset>
            </wp:positionH>
            <wp:positionV relativeFrom="paragraph">
              <wp:posOffset>-759460</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3227070</wp:posOffset>
            </wp:positionH>
            <wp:positionV relativeFrom="paragraph">
              <wp:posOffset>-742315</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-759460</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-742315</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-759460</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-742315</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-759460</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-742315</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6012815</wp:posOffset>
            </wp:positionH>
            <wp:positionV relativeFrom="paragraph">
              <wp:posOffset>-759460</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6012815</wp:posOffset>
            </wp:positionH>
            <wp:positionV relativeFrom="paragraph">
              <wp:posOffset>-742315</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3227070</wp:posOffset>
            </wp:positionH>
            <wp:positionV relativeFrom="paragraph">
              <wp:posOffset>-459105</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-459105</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-459105</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-459105</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6012815</wp:posOffset>
            </wp:positionH>
            <wp:positionV relativeFrom="paragraph">
              <wp:posOffset>-459105</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28575</wp:posOffset>
            </wp:positionV>
            <wp:extent cx="662622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56" w:lineRule="exact"/>
        <w:rPr>
          <w:sz w:val="20"/>
          <w:szCs w:val="20"/>
          <w:color w:val="auto"/>
        </w:rPr>
      </w:pPr>
    </w:p>
    <w:p>
      <w:pPr>
        <w:ind w:left="380" w:hanging="352"/>
        <w:spacing w:after="0" w:line="250" w:lineRule="auto"/>
        <w:tabs>
          <w:tab w:leader="none" w:pos="319"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includes $2 million for Personal Care associated with the Avoca business assets for both the three and six months ended March 31, 2025, which is included as a key item within this table as a component of Adjusted EBITDA.</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Three months ended March 31, 2026 compared to three months ended March 31, 2025</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Personal Care's sales increased in the current quarter primarily due to higher volume and favorable foreign currency exchange, partially offset by unfavorable price/mix and the divestiture of the Avoca business in the prior period. Operating income and Adjusted EBITDA remained relatively consistent compared to prior year quarter.</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Six months ended March 31, 2026 compared to six months ended March 31, 2025</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Personal Care's sales decreased primarily due to the Avoca business sale in the prior period. Operating income and Adjusted EBITDA decreased in the current period primarily due to higher costs, including the continued effects of other plant optimization costs, and unfavorable price/mix partially offset by higher volume and favorable foreign currency exchange.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50" w:name="page51"/>
    <w:bookmarkEnd w:id="50"/>
    <w:p>
      <w:pPr>
        <w:ind w:left="380"/>
        <w:spacing w:after="0"/>
        <w:rPr>
          <w:sz w:val="20"/>
          <w:szCs w:val="20"/>
          <w:color w:val="auto"/>
        </w:rPr>
      </w:pPr>
      <w:r>
        <w:rPr>
          <w:rFonts w:ascii="Times New Roman" w:cs="Times New Roman" w:eastAsia="Times New Roman" w:hAnsi="Times New Roman"/>
          <w:sz w:val="20"/>
          <w:szCs w:val="20"/>
          <w:b w:val="1"/>
          <w:bCs w:val="1"/>
          <w:color w:val="auto"/>
        </w:rPr>
        <w:t>Specialty Additives</w:t>
      </w:r>
    </w:p>
    <w:p>
      <w:pPr>
        <w:spacing w:after="0" w:line="112" w:lineRule="exact"/>
        <w:rPr>
          <w:sz w:val="20"/>
          <w:szCs w:val="20"/>
          <w:color w:val="auto"/>
        </w:rPr>
      </w:pPr>
    </w:p>
    <w:p>
      <w:pPr>
        <w:jc w:val="both"/>
        <w:ind w:left="380" w:right="380"/>
        <w:spacing w:after="0" w:line="242" w:lineRule="auto"/>
        <w:rPr>
          <w:sz w:val="20"/>
          <w:szCs w:val="20"/>
          <w:color w:val="auto"/>
        </w:rPr>
      </w:pPr>
      <w:r>
        <w:rPr>
          <w:rFonts w:ascii="Times New Roman" w:cs="Times New Roman" w:eastAsia="Times New Roman" w:hAnsi="Times New Roman"/>
          <w:sz w:val="20"/>
          <w:szCs w:val="20"/>
          <w:color w:val="auto"/>
        </w:rPr>
        <w:t>Specialty Additives is comprised of rheology and performance-enhancing additives serving the architectural coatings, construction, energy, automotive and various industrial markets. Solutions include coatings additives for architectural paints, finishes and lacquers, cement- and gypsum-based dry mortars, ready-mixed joint compounds, synthetic plasters for commercial and residential construction, and specialty materials for industrial applications. Products include rheology modifiers (cellulosic and associative thickeners), foam 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but are not limited to, global paint manufacturers, electronics and automotive manufacturers, textile mills, the construction industry and welders.</w:t>
      </w:r>
    </w:p>
    <w:p>
      <w:pPr>
        <w:spacing w:after="0" w:line="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provides a reconciliation of the change in sales for the Specialty Additives reportable segment.</w:t>
      </w:r>
    </w:p>
    <w:p>
      <w:pPr>
        <w:spacing w:after="0" w:line="110"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8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760" w:type="dxa"/>
            <w:vAlign w:val="bottom"/>
          </w:tcPr>
          <w:p>
            <w:pPr>
              <w:spacing w:after="0"/>
              <w:rPr>
                <w:sz w:val="20"/>
                <w:szCs w:val="20"/>
                <w:color w:val="auto"/>
              </w:rPr>
            </w:pPr>
          </w:p>
        </w:tc>
        <w:tc>
          <w:tcPr>
            <w:tcW w:w="1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March 31, 2026</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March 31, 2026</w:t>
            </w:r>
          </w:p>
        </w:tc>
      </w:tr>
      <w:tr>
        <w:trPr>
          <w:trHeight w:val="209"/>
        </w:trPr>
        <w:tc>
          <w:tcPr>
            <w:tcW w:w="20" w:type="dxa"/>
            <w:vAlign w:val="bottom"/>
          </w:tcPr>
          <w:p>
            <w:pPr>
              <w:spacing w:after="0"/>
              <w:rPr>
                <w:sz w:val="18"/>
                <w:szCs w:val="18"/>
                <w:color w:val="auto"/>
              </w:rPr>
            </w:pPr>
          </w:p>
        </w:tc>
        <w:tc>
          <w:tcPr>
            <w:tcW w:w="3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Sales change</w:t>
            </w:r>
          </w:p>
        </w:tc>
        <w:tc>
          <w:tcPr>
            <w:tcW w:w="1760" w:type="dxa"/>
            <w:vAlign w:val="bottom"/>
            <w:tcBorders>
              <w:top w:val="single" w:sz="8" w:color="auto"/>
            </w:tcBorders>
            <w:shd w:val="clear" w:color="auto" w:fill="CFF0FC"/>
          </w:tcPr>
          <w:p>
            <w:pPr>
              <w:spacing w:after="0"/>
              <w:rPr>
                <w:sz w:val="18"/>
                <w:szCs w:val="18"/>
                <w:color w:val="auto"/>
              </w:rPr>
            </w:pPr>
          </w:p>
        </w:tc>
        <w:tc>
          <w:tcPr>
            <w:tcW w:w="192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060" w:type="dxa"/>
            <w:vAlign w:val="bottom"/>
            <w:tcBorders>
              <w:top w:val="single" w:sz="8" w:color="auto"/>
            </w:tcBorders>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3680" w:type="dxa"/>
            <w:vAlign w:val="bottom"/>
            <w:gridSpan w:val="2"/>
          </w:tcPr>
          <w:p>
            <w:pPr>
              <w:jc w:val="right"/>
              <w:ind w:right="17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Pr>
          <w:p>
            <w:pPr>
              <w:spacing w:after="0"/>
              <w:rPr>
                <w:sz w:val="18"/>
                <w:szCs w:val="18"/>
                <w:color w:val="auto"/>
              </w:rPr>
            </w:pPr>
          </w:p>
        </w:tc>
        <w:tc>
          <w:tcPr>
            <w:tcW w:w="3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Price/mix</w:t>
            </w:r>
          </w:p>
        </w:tc>
        <w:tc>
          <w:tcPr>
            <w:tcW w:w="176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Pr>
          <w:p>
            <w:pPr>
              <w:spacing w:after="0"/>
              <w:rPr>
                <w:sz w:val="18"/>
                <w:szCs w:val="18"/>
                <w:color w:val="auto"/>
              </w:rPr>
            </w:pP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Volume</w:t>
            </w:r>
          </w:p>
        </w:tc>
        <w:tc>
          <w:tcPr>
            <w:tcW w:w="1760" w:type="dxa"/>
            <w:vAlign w:val="bottom"/>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9"/>
        </w:trPr>
        <w:tc>
          <w:tcPr>
            <w:tcW w:w="20" w:type="dxa"/>
            <w:vAlign w:val="bottom"/>
          </w:tcPr>
          <w:p>
            <w:pPr>
              <w:spacing w:after="0"/>
              <w:rPr>
                <w:sz w:val="21"/>
                <w:szCs w:val="21"/>
                <w:color w:val="auto"/>
              </w:rPr>
            </w:pPr>
          </w:p>
        </w:tc>
        <w:tc>
          <w:tcPr>
            <w:tcW w:w="3800" w:type="dxa"/>
            <w:vAlign w:val="bottom"/>
            <w:shd w:val="clear" w:color="auto" w:fill="CFF0FC"/>
          </w:tcPr>
          <w:p>
            <w:pPr>
              <w:spacing w:after="0"/>
              <w:rPr>
                <w:sz w:val="21"/>
                <w:szCs w:val="21"/>
                <w:color w:val="auto"/>
              </w:rPr>
            </w:pPr>
          </w:p>
        </w:tc>
        <w:tc>
          <w:tcPr>
            <w:tcW w:w="3680" w:type="dxa"/>
            <w:vAlign w:val="bottom"/>
            <w:gridSpan w:val="2"/>
            <w:shd w:val="clear" w:color="auto" w:fill="CFF0FC"/>
          </w:tcPr>
          <w:p>
            <w:pPr>
              <w:jc w:val="right"/>
              <w:ind w:right="17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8"/>
        </w:trPr>
        <w:tc>
          <w:tcPr>
            <w:tcW w:w="20" w:type="dxa"/>
            <w:vAlign w:val="bottom"/>
          </w:tcPr>
          <w:p>
            <w:pPr>
              <w:spacing w:after="0"/>
              <w:rPr>
                <w:sz w:val="4"/>
                <w:szCs w:val="4"/>
                <w:color w:val="auto"/>
              </w:rPr>
            </w:pPr>
          </w:p>
        </w:tc>
        <w:tc>
          <w:tcPr>
            <w:tcW w:w="3800" w:type="dxa"/>
            <w:vAlign w:val="bottom"/>
            <w:tcBorders>
              <w:top w:val="single" w:sz="8" w:color="CFF0FC"/>
              <w:bottom w:val="single" w:sz="8" w:color="auto"/>
            </w:tcBorders>
          </w:tcPr>
          <w:p>
            <w:pPr>
              <w:spacing w:after="0"/>
              <w:rPr>
                <w:sz w:val="4"/>
                <w:szCs w:val="4"/>
                <w:color w:val="auto"/>
              </w:rPr>
            </w:pPr>
          </w:p>
        </w:tc>
        <w:tc>
          <w:tcPr>
            <w:tcW w:w="1760" w:type="dxa"/>
            <w:vAlign w:val="bottom"/>
            <w:tcBorders>
              <w:top w:val="single" w:sz="8" w:color="CFF0FC"/>
              <w:bottom w:val="single" w:sz="8" w:color="auto"/>
            </w:tcBorders>
          </w:tcPr>
          <w:p>
            <w:pPr>
              <w:spacing w:after="0"/>
              <w:rPr>
                <w:sz w:val="4"/>
                <w:szCs w:val="4"/>
                <w:color w:val="auto"/>
              </w:rPr>
            </w:pPr>
          </w:p>
        </w:tc>
        <w:tc>
          <w:tcPr>
            <w:tcW w:w="1920" w:type="dxa"/>
            <w:vAlign w:val="bottom"/>
            <w:tcBorders>
              <w:top w:val="single" w:sz="8" w:color="auto"/>
              <w:bottom w:val="single" w:sz="8" w:color="auto"/>
            </w:tcBorders>
          </w:tcPr>
          <w:p>
            <w:pPr>
              <w:spacing w:after="0"/>
              <w:rPr>
                <w:sz w:val="4"/>
                <w:szCs w:val="4"/>
                <w:color w:val="auto"/>
              </w:rPr>
            </w:pPr>
          </w:p>
        </w:tc>
        <w:tc>
          <w:tcPr>
            <w:tcW w:w="400" w:type="dxa"/>
            <w:vAlign w:val="bottom"/>
            <w:tcBorders>
              <w:top w:val="single" w:sz="8" w:color="auto"/>
              <w:bottom w:val="single" w:sz="8" w:color="auto"/>
            </w:tcBorders>
          </w:tcPr>
          <w:p>
            <w:pPr>
              <w:spacing w:after="0"/>
              <w:rPr>
                <w:sz w:val="4"/>
                <w:szCs w:val="4"/>
                <w:color w:val="auto"/>
              </w:rPr>
            </w:pPr>
          </w:p>
        </w:tc>
        <w:tc>
          <w:tcPr>
            <w:tcW w:w="200" w:type="dxa"/>
            <w:vAlign w:val="bottom"/>
            <w:tcBorders>
              <w:top w:val="single" w:sz="8" w:color="CFF0FC"/>
              <w:bottom w:val="single" w:sz="8" w:color="auto"/>
            </w:tcBorders>
          </w:tcPr>
          <w:p>
            <w:pPr>
              <w:spacing w:after="0"/>
              <w:rPr>
                <w:sz w:val="4"/>
                <w:szCs w:val="4"/>
                <w:color w:val="auto"/>
              </w:rPr>
            </w:pPr>
          </w:p>
        </w:tc>
        <w:tc>
          <w:tcPr>
            <w:tcW w:w="280" w:type="dxa"/>
            <w:vAlign w:val="bottom"/>
            <w:tcBorders>
              <w:top w:val="single" w:sz="8" w:color="auto"/>
              <w:bottom w:val="single" w:sz="8" w:color="auto"/>
            </w:tcBorders>
          </w:tcPr>
          <w:p>
            <w:pPr>
              <w:spacing w:after="0"/>
              <w:rPr>
                <w:sz w:val="4"/>
                <w:szCs w:val="4"/>
                <w:color w:val="auto"/>
              </w:rPr>
            </w:pPr>
          </w:p>
        </w:tc>
        <w:tc>
          <w:tcPr>
            <w:tcW w:w="206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-76835</wp:posOffset>
            </wp:positionV>
            <wp:extent cx="12890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-59690</wp:posOffset>
            </wp:positionV>
            <wp:extent cx="12890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65"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The following table provides a reconciliation of the change in operating income (loss) for the Specialty Additives reportable segment.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37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rPr>
              <w:t>Six months ended</w:t>
            </w:r>
          </w:p>
        </w:tc>
        <w:tc>
          <w:tcPr>
            <w:tcW w:w="400" w:type="dxa"/>
            <w:vAlign w:val="bottom"/>
          </w:tcPr>
          <w:p>
            <w:pPr>
              <w:spacing w:after="0"/>
              <w:rPr>
                <w:sz w:val="18"/>
                <w:szCs w:val="18"/>
                <w:color w:val="auto"/>
              </w:rPr>
            </w:pPr>
          </w:p>
        </w:tc>
      </w:tr>
      <w:tr>
        <w:trPr>
          <w:trHeight w:val="234"/>
        </w:trPr>
        <w:tc>
          <w:tcPr>
            <w:tcW w:w="4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 millions)</w:t>
            </w:r>
          </w:p>
        </w:tc>
        <w:tc>
          <w:tcPr>
            <w:tcW w:w="1800" w:type="dxa"/>
            <w:vAlign w:val="bottom"/>
          </w:tcPr>
          <w:p>
            <w:pPr>
              <w:spacing w:after="0"/>
              <w:rPr>
                <w:sz w:val="20"/>
                <w:szCs w:val="20"/>
                <w:color w:val="auto"/>
              </w:rPr>
            </w:pPr>
          </w:p>
        </w:tc>
        <w:tc>
          <w:tcPr>
            <w:tcW w:w="1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March 31, 2026</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09"/>
        </w:trPr>
        <w:tc>
          <w:tcPr>
            <w:tcW w:w="420" w:type="dxa"/>
            <w:vAlign w:val="bottom"/>
          </w:tcPr>
          <w:p>
            <w:pPr>
              <w:spacing w:after="0"/>
              <w:rPr>
                <w:sz w:val="18"/>
                <w:szCs w:val="18"/>
                <w:color w:val="auto"/>
              </w:rPr>
            </w:pPr>
          </w:p>
        </w:tc>
        <w:tc>
          <w:tcPr>
            <w:tcW w:w="37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income (loss) change</w:t>
            </w:r>
          </w:p>
        </w:tc>
        <w:tc>
          <w:tcPr>
            <w:tcW w:w="1800" w:type="dxa"/>
            <w:vAlign w:val="bottom"/>
            <w:tcBorders>
              <w:top w:val="single" w:sz="8" w:color="auto"/>
            </w:tcBorders>
            <w:shd w:val="clear" w:color="auto" w:fill="CFF0FC"/>
          </w:tcPr>
          <w:p>
            <w:pPr>
              <w:spacing w:after="0"/>
              <w:rPr>
                <w:sz w:val="18"/>
                <w:szCs w:val="18"/>
                <w:color w:val="auto"/>
              </w:rPr>
            </w:pPr>
          </w:p>
        </w:tc>
        <w:tc>
          <w:tcPr>
            <w:tcW w:w="19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060" w:type="dxa"/>
            <w:vAlign w:val="bottom"/>
            <w:tcBorders>
              <w:top w:val="single" w:sz="8" w:color="auto"/>
            </w:tcBorders>
            <w:shd w:val="clear" w:color="auto" w:fill="CFF0FC"/>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Costs</w:t>
            </w:r>
          </w:p>
        </w:tc>
        <w:tc>
          <w:tcPr>
            <w:tcW w:w="3700" w:type="dxa"/>
            <w:vAlign w:val="bottom"/>
            <w:gridSpan w:val="2"/>
          </w:tcPr>
          <w:p>
            <w:pPr>
              <w:jc w:val="right"/>
              <w:ind w:right="17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Price/mix</w:t>
            </w:r>
          </w:p>
        </w:tc>
        <w:tc>
          <w:tcPr>
            <w:tcW w:w="180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Volume</w:t>
            </w:r>
          </w:p>
        </w:tc>
        <w:tc>
          <w:tcPr>
            <w:tcW w:w="18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7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180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r>
      <w:tr>
        <w:trPr>
          <w:trHeight w:val="210"/>
        </w:trPr>
        <w:tc>
          <w:tcPr>
            <w:tcW w:w="4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700" w:type="dxa"/>
            <w:vAlign w:val="bottom"/>
            <w:gridSpan w:val="2"/>
          </w:tcPr>
          <w:p>
            <w:pPr>
              <w:jc w:val="right"/>
              <w:ind w:right="17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0" w:type="dxa"/>
            <w:vAlign w:val="bottom"/>
          </w:tcPr>
          <w:p>
            <w:pPr>
              <w:spacing w:after="0"/>
              <w:rPr>
                <w:sz w:val="18"/>
                <w:szCs w:val="18"/>
                <w:color w:val="auto"/>
              </w:rPr>
            </w:pPr>
          </w:p>
        </w:tc>
      </w:tr>
      <w:tr>
        <w:trPr>
          <w:trHeight w:val="20"/>
        </w:trPr>
        <w:tc>
          <w:tcPr>
            <w:tcW w:w="4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8"/>
        </w:trPr>
        <w:tc>
          <w:tcPr>
            <w:tcW w:w="420" w:type="dxa"/>
            <w:vAlign w:val="bottom"/>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r>
      <w:tr>
        <w:trPr>
          <w:trHeight w:val="533"/>
        </w:trPr>
        <w:tc>
          <w:tcPr>
            <w:tcW w:w="4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50</w:t>
            </w:r>
          </w:p>
        </w:tc>
        <w:tc>
          <w:tcPr>
            <w:tcW w:w="1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63"/>
        </w:trPr>
        <w:tc>
          <w:tcPr>
            <w:tcW w:w="42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-1062355</wp:posOffset>
            </wp:positionV>
            <wp:extent cx="12890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51" w:name="page52"/>
    <w:bookmarkEnd w:id="51"/>
    <w:p>
      <w:pPr>
        <w:ind w:left="380"/>
        <w:spacing w:after="0"/>
        <w:rPr>
          <w:sz w:val="20"/>
          <w:szCs w:val="20"/>
          <w:color w:val="auto"/>
        </w:rPr>
      </w:pPr>
      <w:r>
        <w:rPr>
          <w:rFonts w:ascii="Times New Roman" w:cs="Times New Roman" w:eastAsia="Times New Roman" w:hAnsi="Times New Roman"/>
          <w:sz w:val="20"/>
          <w:szCs w:val="20"/>
          <w:i w:val="1"/>
          <w:iCs w:val="1"/>
          <w:color w:val="auto"/>
        </w:rPr>
        <w:t>EBITDA and Adjusted EBITDA reconciliation</w:t>
      </w:r>
    </w:p>
    <w:p>
      <w:pPr>
        <w:spacing w:after="0" w:line="112" w:lineRule="exact"/>
        <w:rPr>
          <w:sz w:val="20"/>
          <w:szCs w:val="20"/>
          <w:color w:val="auto"/>
        </w:rPr>
      </w:pPr>
    </w:p>
    <w:p>
      <w:pPr>
        <w:jc w:val="both"/>
        <w:ind w:left="380" w:right="380"/>
        <w:spacing w:after="0" w:line="249" w:lineRule="auto"/>
        <w:rPr>
          <w:sz w:val="20"/>
          <w:szCs w:val="20"/>
          <w:color w:val="auto"/>
        </w:rPr>
      </w:pPr>
      <w:r>
        <w:rPr>
          <w:rFonts w:ascii="Times New Roman" w:cs="Times New Roman" w:eastAsia="Times New Roman" w:hAnsi="Times New Roman"/>
          <w:sz w:val="20"/>
          <w:szCs w:val="20"/>
          <w:color w:val="auto"/>
        </w:rPr>
        <w:t>The following EBITDA presentation is provided as a means to enhance the understanding of financial measurements that Ashland has internally determined to be relevant measures of comparison for the results of Specialty Additives. There were key items in the three and six months ended March 31, 2026 and 2025. These items are listed below and described within the "Use of Non-GAAP Financial Measures" section above.</w:t>
      </w:r>
    </w:p>
    <w:p>
      <w:pPr>
        <w:spacing w:after="0" w:line="74"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6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Specialty Additives</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7"/>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jc w:val="right"/>
              <w:ind w:right="49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10"/>
        </w:trPr>
        <w:tc>
          <w:tcPr>
            <w:tcW w:w="37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540" w:type="dxa"/>
            <w:vAlign w:val="bottom"/>
            <w:tcBorders>
              <w:top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tcBorders>
              <w:top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top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Borders>
              <w:top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tcBorders>
              <w:top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top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4"/>
                <w:szCs w:val="24"/>
                <w:color w:val="auto"/>
                <w:vertAlign w:val="superscript"/>
              </w:rPr>
              <w:t>(a)</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Accelerated depreciation</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plant optimization costs</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6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(loss) as a percent of sales</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-1040 bps</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-720 bps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as a percent of sales</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 bps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 bps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-759460</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-742315</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-759460</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-742315</wp:posOffset>
            </wp:positionV>
            <wp:extent cx="685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-759460</wp:posOffset>
            </wp:positionV>
            <wp:extent cx="685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-742315</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-759460</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-742315</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-759460</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-742315</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-459105</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-459105</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-459105</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-459105</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-459105</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28575</wp:posOffset>
            </wp:positionV>
            <wp:extent cx="662622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24" w:lineRule="exact"/>
        <w:rPr>
          <w:sz w:val="20"/>
          <w:szCs w:val="20"/>
          <w:color w:val="auto"/>
        </w:rPr>
      </w:pPr>
    </w:p>
    <w:p>
      <w:pPr>
        <w:ind w:left="740" w:right="380" w:hanging="358"/>
        <w:spacing w:after="0" w:line="261" w:lineRule="auto"/>
        <w:tabs>
          <w:tab w:leader="none" w:pos="7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for Specialty Additives excludes accelerated depreciation of $3 million for the six months ended March 31, 2026, which is included as a key item within this table as a component of Adjusted EBITDA.</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Three months ended March 31, 2026 compared to three months ended March 31, 2025</w:t>
      </w:r>
    </w:p>
    <w:p>
      <w:pPr>
        <w:spacing w:after="0" w:line="112" w:lineRule="exact"/>
        <w:rPr>
          <w:sz w:val="20"/>
          <w:szCs w:val="20"/>
          <w:color w:val="auto"/>
        </w:rPr>
      </w:pPr>
    </w:p>
    <w:p>
      <w:pPr>
        <w:jc w:val="both"/>
        <w:ind w:left="380" w:right="380"/>
        <w:spacing w:after="0" w:line="254" w:lineRule="auto"/>
        <w:rPr>
          <w:sz w:val="20"/>
          <w:szCs w:val="20"/>
          <w:color w:val="auto"/>
        </w:rPr>
      </w:pPr>
      <w:r>
        <w:rPr>
          <w:rFonts w:ascii="Times New Roman" w:cs="Times New Roman" w:eastAsia="Times New Roman" w:hAnsi="Times New Roman"/>
          <w:sz w:val="20"/>
          <w:szCs w:val="20"/>
          <w:color w:val="auto"/>
        </w:rPr>
        <w:t>Specialty Additives' sales remained consistent compared to the prior quarter. Operating loss and Adjusted EBITDA for the current quarter decreased as a result of higher costs, including the continued effects of other plant optimization costs, and unfavorable price/mix.</w:t>
      </w:r>
    </w:p>
    <w:p>
      <w:pPr>
        <w:spacing w:after="0" w:line="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Six months ended March 31, 2026 compared to six months ended March 31, 2025</w:t>
      </w:r>
    </w:p>
    <w:p>
      <w:pPr>
        <w:spacing w:after="0" w:line="112" w:lineRule="exact"/>
        <w:rPr>
          <w:sz w:val="20"/>
          <w:szCs w:val="20"/>
          <w:color w:val="auto"/>
        </w:rPr>
      </w:pPr>
    </w:p>
    <w:p>
      <w:pPr>
        <w:jc w:val="both"/>
        <w:ind w:left="380" w:right="380"/>
        <w:spacing w:after="0" w:line="254" w:lineRule="auto"/>
        <w:rPr>
          <w:sz w:val="20"/>
          <w:szCs w:val="20"/>
          <w:color w:val="auto"/>
        </w:rPr>
      </w:pPr>
      <w:r>
        <w:rPr>
          <w:rFonts w:ascii="Times New Roman" w:cs="Times New Roman" w:eastAsia="Times New Roman" w:hAnsi="Times New Roman"/>
          <w:sz w:val="20"/>
          <w:szCs w:val="20"/>
          <w:color w:val="auto"/>
        </w:rPr>
        <w:t>Specialty Additives sales, operating loss and Adjusted EBITDA for the current period decreased as a result of higher costs, including the continued effects of plant optimization costs, lower volume, and unfavorable price/mix, partially offset by favorable foreign currency exchange.</w:t>
      </w:r>
    </w:p>
    <w:p>
      <w:pPr>
        <w:spacing w:after="0" w:line="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Intermediates</w:t>
      </w:r>
    </w:p>
    <w:p>
      <w:pPr>
        <w:spacing w:after="0" w:line="112" w:lineRule="exact"/>
        <w:rPr>
          <w:sz w:val="20"/>
          <w:szCs w:val="20"/>
          <w:color w:val="auto"/>
        </w:rPr>
      </w:pPr>
    </w:p>
    <w:p>
      <w:pPr>
        <w:jc w:val="both"/>
        <w:ind w:left="380" w:right="380"/>
        <w:spacing w:after="0" w:line="249" w:lineRule="auto"/>
        <w:rPr>
          <w:sz w:val="20"/>
          <w:szCs w:val="20"/>
          <w:color w:val="auto"/>
        </w:rPr>
      </w:pPr>
      <w:r>
        <w:rPr>
          <w:rFonts w:ascii="Times New Roman" w:cs="Times New Roman" w:eastAsia="Times New Roman" w:hAnsi="Times New Roman"/>
          <w:sz w:val="20"/>
          <w:szCs w:val="20"/>
          <w:color w:val="auto"/>
        </w:rPr>
        <w:t>Intermediates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agriculture, pharmaceuticals, water filtration membranes and more. BDO is also supplied to Life Sciences, Personal Care, and Specialty Additives for use as a raw material.</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provides a reconciliation of the change in sales for the Intermediates reportable segment.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35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rPr>
              <w:t>Six months ended</w:t>
            </w:r>
          </w:p>
        </w:tc>
        <w:tc>
          <w:tcPr>
            <w:tcW w:w="400" w:type="dxa"/>
            <w:vAlign w:val="bottom"/>
          </w:tcPr>
          <w:p>
            <w:pPr>
              <w:spacing w:after="0"/>
              <w:rPr>
                <w:sz w:val="18"/>
                <w:szCs w:val="18"/>
                <w:color w:val="auto"/>
              </w:rPr>
            </w:pPr>
          </w:p>
        </w:tc>
      </w:tr>
      <w:tr>
        <w:trPr>
          <w:trHeight w:val="234"/>
        </w:trPr>
        <w:tc>
          <w:tcPr>
            <w:tcW w:w="40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 millions)</w:t>
            </w:r>
          </w:p>
        </w:tc>
        <w:tc>
          <w:tcPr>
            <w:tcW w:w="1980" w:type="dxa"/>
            <w:vAlign w:val="bottom"/>
          </w:tcPr>
          <w:p>
            <w:pPr>
              <w:spacing w:after="0"/>
              <w:rPr>
                <w:sz w:val="20"/>
                <w:szCs w:val="20"/>
                <w:color w:val="auto"/>
              </w:rPr>
            </w:pPr>
          </w:p>
        </w:tc>
        <w:tc>
          <w:tcPr>
            <w:tcW w:w="1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March 31, 2026</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09"/>
        </w:trPr>
        <w:tc>
          <w:tcPr>
            <w:tcW w:w="420" w:type="dxa"/>
            <w:vAlign w:val="bottom"/>
          </w:tcPr>
          <w:p>
            <w:pPr>
              <w:spacing w:after="0"/>
              <w:rPr>
                <w:sz w:val="18"/>
                <w:szCs w:val="18"/>
                <w:color w:val="auto"/>
              </w:rPr>
            </w:pPr>
          </w:p>
        </w:tc>
        <w:tc>
          <w:tcPr>
            <w:tcW w:w="35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Sales change</w:t>
            </w:r>
          </w:p>
        </w:tc>
        <w:tc>
          <w:tcPr>
            <w:tcW w:w="1980" w:type="dxa"/>
            <w:vAlign w:val="bottom"/>
            <w:tcBorders>
              <w:top w:val="single" w:sz="8" w:color="auto"/>
            </w:tcBorders>
            <w:shd w:val="clear" w:color="auto" w:fill="CFF0FC"/>
          </w:tcPr>
          <w:p>
            <w:pPr>
              <w:spacing w:after="0"/>
              <w:rPr>
                <w:sz w:val="18"/>
                <w:szCs w:val="18"/>
                <w:color w:val="auto"/>
              </w:rPr>
            </w:pPr>
          </w:p>
        </w:tc>
        <w:tc>
          <w:tcPr>
            <w:tcW w:w="192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060" w:type="dxa"/>
            <w:vAlign w:val="bottom"/>
            <w:tcBorders>
              <w:top w:val="single" w:sz="8" w:color="auto"/>
            </w:tcBorders>
            <w:shd w:val="clear" w:color="auto" w:fill="CFF0FC"/>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Volume</w:t>
            </w:r>
          </w:p>
        </w:tc>
        <w:tc>
          <w:tcPr>
            <w:tcW w:w="3900" w:type="dxa"/>
            <w:vAlign w:val="bottom"/>
            <w:gridSpan w:val="2"/>
          </w:tcPr>
          <w:p>
            <w:pPr>
              <w:jc w:val="right"/>
              <w:ind w:right="17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198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Price/mix</w:t>
            </w:r>
          </w:p>
        </w:tc>
        <w:tc>
          <w:tcPr>
            <w:tcW w:w="1980" w:type="dxa"/>
            <w:vAlign w:val="bottom"/>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r>
      <w:tr>
        <w:trPr>
          <w:trHeight w:val="250"/>
        </w:trPr>
        <w:tc>
          <w:tcPr>
            <w:tcW w:w="420" w:type="dxa"/>
            <w:vAlign w:val="bottom"/>
          </w:tcPr>
          <w:p>
            <w:pPr>
              <w:spacing w:after="0"/>
              <w:rPr>
                <w:sz w:val="21"/>
                <w:szCs w:val="21"/>
                <w:color w:val="auto"/>
              </w:rPr>
            </w:pPr>
          </w:p>
        </w:tc>
        <w:tc>
          <w:tcPr>
            <w:tcW w:w="3580" w:type="dxa"/>
            <w:vAlign w:val="bottom"/>
            <w:shd w:val="clear" w:color="auto" w:fill="CFF0FC"/>
          </w:tcPr>
          <w:p>
            <w:pPr>
              <w:spacing w:after="0"/>
              <w:rPr>
                <w:sz w:val="21"/>
                <w:szCs w:val="21"/>
                <w:color w:val="auto"/>
              </w:rPr>
            </w:pPr>
          </w:p>
        </w:tc>
        <w:tc>
          <w:tcPr>
            <w:tcW w:w="3900" w:type="dxa"/>
            <w:vAlign w:val="bottom"/>
            <w:gridSpan w:val="2"/>
            <w:shd w:val="clear" w:color="auto" w:fill="CFF0FC"/>
          </w:tcPr>
          <w:p>
            <w:pPr>
              <w:jc w:val="right"/>
              <w:ind w:right="17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Pr>
          <w:p>
            <w:pPr>
              <w:spacing w:after="0"/>
              <w:rPr>
                <w:sz w:val="21"/>
                <w:szCs w:val="21"/>
                <w:color w:val="auto"/>
              </w:rPr>
            </w:pPr>
          </w:p>
        </w:tc>
      </w:tr>
      <w:tr>
        <w:trPr>
          <w:trHeight w:val="48"/>
        </w:trPr>
        <w:tc>
          <w:tcPr>
            <w:tcW w:w="420" w:type="dxa"/>
            <w:vAlign w:val="bottom"/>
          </w:tcPr>
          <w:p>
            <w:pPr>
              <w:spacing w:after="0"/>
              <w:rPr>
                <w:sz w:val="4"/>
                <w:szCs w:val="4"/>
                <w:color w:val="auto"/>
              </w:rPr>
            </w:pPr>
          </w:p>
        </w:tc>
        <w:tc>
          <w:tcPr>
            <w:tcW w:w="3580" w:type="dxa"/>
            <w:vAlign w:val="bottom"/>
            <w:tcBorders>
              <w:top w:val="single" w:sz="8" w:color="CFF0FC"/>
              <w:bottom w:val="single" w:sz="8" w:color="auto"/>
            </w:tcBorders>
          </w:tcPr>
          <w:p>
            <w:pPr>
              <w:spacing w:after="0"/>
              <w:rPr>
                <w:sz w:val="4"/>
                <w:szCs w:val="4"/>
                <w:color w:val="auto"/>
              </w:rPr>
            </w:pPr>
          </w:p>
        </w:tc>
        <w:tc>
          <w:tcPr>
            <w:tcW w:w="1980" w:type="dxa"/>
            <w:vAlign w:val="bottom"/>
            <w:tcBorders>
              <w:top w:val="single" w:sz="8" w:color="CFF0FC"/>
              <w:bottom w:val="single" w:sz="8" w:color="auto"/>
            </w:tcBorders>
          </w:tcPr>
          <w:p>
            <w:pPr>
              <w:spacing w:after="0"/>
              <w:rPr>
                <w:sz w:val="4"/>
                <w:szCs w:val="4"/>
                <w:color w:val="auto"/>
              </w:rPr>
            </w:pPr>
          </w:p>
        </w:tc>
        <w:tc>
          <w:tcPr>
            <w:tcW w:w="1920" w:type="dxa"/>
            <w:vAlign w:val="bottom"/>
            <w:tcBorders>
              <w:top w:val="single" w:sz="8" w:color="auto"/>
              <w:bottom w:val="single" w:sz="8" w:color="auto"/>
            </w:tcBorders>
          </w:tcPr>
          <w:p>
            <w:pPr>
              <w:spacing w:after="0"/>
              <w:rPr>
                <w:sz w:val="4"/>
                <w:szCs w:val="4"/>
                <w:color w:val="auto"/>
              </w:rPr>
            </w:pPr>
          </w:p>
        </w:tc>
        <w:tc>
          <w:tcPr>
            <w:tcW w:w="400" w:type="dxa"/>
            <w:vAlign w:val="bottom"/>
            <w:tcBorders>
              <w:top w:val="single" w:sz="8" w:color="auto"/>
              <w:bottom w:val="single" w:sz="8" w:color="auto"/>
            </w:tcBorders>
          </w:tcPr>
          <w:p>
            <w:pPr>
              <w:spacing w:after="0"/>
              <w:rPr>
                <w:sz w:val="4"/>
                <w:szCs w:val="4"/>
                <w:color w:val="auto"/>
              </w:rPr>
            </w:pPr>
          </w:p>
        </w:tc>
        <w:tc>
          <w:tcPr>
            <w:tcW w:w="200" w:type="dxa"/>
            <w:vAlign w:val="bottom"/>
            <w:tcBorders>
              <w:top w:val="single" w:sz="8" w:color="CFF0FC"/>
              <w:bottom w:val="single" w:sz="8" w:color="auto"/>
            </w:tcBorders>
          </w:tcPr>
          <w:p>
            <w:pPr>
              <w:spacing w:after="0"/>
              <w:rPr>
                <w:sz w:val="4"/>
                <w:szCs w:val="4"/>
                <w:color w:val="auto"/>
              </w:rPr>
            </w:pPr>
          </w:p>
        </w:tc>
        <w:tc>
          <w:tcPr>
            <w:tcW w:w="280" w:type="dxa"/>
            <w:vAlign w:val="bottom"/>
            <w:tcBorders>
              <w:top w:val="single" w:sz="8" w:color="auto"/>
              <w:bottom w:val="single" w:sz="8" w:color="auto"/>
            </w:tcBorders>
          </w:tcPr>
          <w:p>
            <w:pPr>
              <w:spacing w:after="0"/>
              <w:rPr>
                <w:sz w:val="4"/>
                <w:szCs w:val="4"/>
                <w:color w:val="auto"/>
              </w:rPr>
            </w:pPr>
          </w:p>
        </w:tc>
        <w:tc>
          <w:tcPr>
            <w:tcW w:w="2060" w:type="dxa"/>
            <w:vAlign w:val="bottom"/>
            <w:tcBorders>
              <w:top w:val="single" w:sz="8" w:color="auto"/>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r>
      <w:tr>
        <w:trPr>
          <w:trHeight w:val="534"/>
        </w:trPr>
        <w:tc>
          <w:tcPr>
            <w:tcW w:w="4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51</w:t>
            </w:r>
          </w:p>
        </w:tc>
        <w:tc>
          <w:tcPr>
            <w:tcW w:w="1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63"/>
        </w:trPr>
        <w:tc>
          <w:tcPr>
            <w:tcW w:w="42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-916940</wp:posOffset>
            </wp:positionV>
            <wp:extent cx="12890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-899795</wp:posOffset>
            </wp:positionV>
            <wp:extent cx="12890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color w:val="auto"/>
        </w:rPr>
        <w:t>The following table provides a reconciliation of the change in operating income (loss) for the Intermediates reportable segment.</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5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 w:type="dxa"/>
            <w:vAlign w:val="bottom"/>
          </w:tcPr>
          <w:p>
            <w:pPr>
              <w:spacing w:after="0"/>
              <w:rPr>
                <w:sz w:val="20"/>
                <w:szCs w:val="20"/>
                <w:color w:val="auto"/>
              </w:rPr>
            </w:pPr>
          </w:p>
        </w:tc>
        <w:tc>
          <w:tcPr>
            <w:tcW w:w="1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March 31, 2026</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March 31, 2026</w:t>
            </w:r>
          </w:p>
        </w:tc>
      </w:tr>
      <w:tr>
        <w:trPr>
          <w:trHeight w:val="210"/>
        </w:trPr>
        <w:tc>
          <w:tcPr>
            <w:tcW w:w="20" w:type="dxa"/>
            <w:vAlign w:val="bottom"/>
          </w:tcPr>
          <w:p>
            <w:pPr>
              <w:spacing w:after="0"/>
              <w:rPr>
                <w:sz w:val="18"/>
                <w:szCs w:val="18"/>
                <w:color w:val="auto"/>
              </w:rPr>
            </w:pPr>
          </w:p>
        </w:tc>
        <w:tc>
          <w:tcPr>
            <w:tcW w:w="55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income (loss) change</w:t>
            </w:r>
          </w:p>
        </w:tc>
        <w:tc>
          <w:tcPr>
            <w:tcW w:w="20" w:type="dxa"/>
            <w:vAlign w:val="bottom"/>
            <w:tcBorders>
              <w:top w:val="single" w:sz="8" w:color="auto"/>
            </w:tcBorders>
            <w:shd w:val="clear" w:color="auto" w:fill="CFF0FC"/>
          </w:tcPr>
          <w:p>
            <w:pPr>
              <w:spacing w:after="0"/>
              <w:rPr>
                <w:sz w:val="18"/>
                <w:szCs w:val="18"/>
                <w:color w:val="auto"/>
              </w:rPr>
            </w:pPr>
          </w:p>
        </w:tc>
        <w:tc>
          <w:tcPr>
            <w:tcW w:w="192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060" w:type="dxa"/>
            <w:vAlign w:val="bottom"/>
            <w:tcBorders>
              <w:top w:val="single" w:sz="8" w:color="auto"/>
            </w:tcBorders>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w:t>
            </w:r>
          </w:p>
        </w:tc>
        <w:tc>
          <w:tcPr>
            <w:tcW w:w="1940" w:type="dxa"/>
            <w:vAlign w:val="bottom"/>
            <w:gridSpan w:val="2"/>
          </w:tcPr>
          <w:p>
            <w:pPr>
              <w:jc w:val="right"/>
              <w:ind w:right="17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5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2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Volume</w:t>
            </w:r>
          </w:p>
        </w:tc>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Price/mix</w:t>
            </w:r>
          </w:p>
        </w:tc>
        <w:tc>
          <w:tcPr>
            <w:tcW w:w="2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2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940" w:type="dxa"/>
            <w:vAlign w:val="bottom"/>
            <w:gridSpan w:val="2"/>
          </w:tcPr>
          <w:p>
            <w:pPr>
              <w:jc w:val="right"/>
              <w:ind w:right="17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5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5027295</wp:posOffset>
            </wp:positionH>
            <wp:positionV relativeFrom="paragraph">
              <wp:posOffset>-222250</wp:posOffset>
            </wp:positionV>
            <wp:extent cx="12890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EBITDA reconciliation</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EBITDA presentation is provided as a means to enhance the understanding of financial measurements that Ashland has internally determined to be relevant measures of comparison for the results of Intermediates. Intermediates had no key items for the three or six months ended March 31, 2026 or 2025.</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7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Intermediates</w:t>
            </w: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right"/>
              <w:ind w:right="49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09"/>
        </w:trPr>
        <w:tc>
          <w:tcPr>
            <w:tcW w:w="37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580" w:type="dxa"/>
            <w:vAlign w:val="bottom"/>
            <w:tcBorders>
              <w:top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Borders>
              <w:top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top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Borders>
              <w:top w:val="single" w:sz="8" w:color="auto"/>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Borders>
              <w:top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top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(loss) as a percent of sales</w:t>
            </w:r>
          </w:p>
        </w:tc>
        <w:tc>
          <w:tcPr>
            <w:tcW w:w="36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1410 bps</w:t>
            </w:r>
          </w:p>
        </w:tc>
        <w:tc>
          <w:tcPr>
            <w:tcW w:w="12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330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 as a percent of sales</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890 bps</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-220 bps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7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-350520</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3201035</wp:posOffset>
            </wp:positionH>
            <wp:positionV relativeFrom="paragraph">
              <wp:posOffset>-334010</wp:posOffset>
            </wp:positionV>
            <wp:extent cx="68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3878580</wp:posOffset>
            </wp:positionH>
            <wp:positionV relativeFrom="paragraph">
              <wp:posOffset>-350520</wp:posOffset>
            </wp:positionV>
            <wp:extent cx="685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3878580</wp:posOffset>
            </wp:positionH>
            <wp:positionV relativeFrom="paragraph">
              <wp:posOffset>-334010</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4615815</wp:posOffset>
            </wp:positionH>
            <wp:positionV relativeFrom="paragraph">
              <wp:posOffset>-350520</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4615815</wp:posOffset>
            </wp:positionH>
            <wp:positionV relativeFrom="paragraph">
              <wp:posOffset>-334010</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-350520</wp:posOffset>
            </wp:positionV>
            <wp:extent cx="685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-334010</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6012815</wp:posOffset>
            </wp:positionH>
            <wp:positionV relativeFrom="paragraph">
              <wp:posOffset>-350520</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6012815</wp:posOffset>
            </wp:positionH>
            <wp:positionV relativeFrom="paragraph">
              <wp:posOffset>-334010</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Three months ended March 31, 2026 compared to three months ended March 31, 2025</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Intermediates' sales decreased in the current quarter primarily due to lower volume while operating income and EBITDA increased primarily due to lower costs.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Six months ended March 31, 2026 compared to six months ended March 31, 2025</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Intermediates' sales and EBITDA decreased in the current period primarily due to lower volume while operating income increased primarily due to favorable price/mix.</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Unallocated and other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key components of the Unallocated and other’s operating loss.</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Unallocated and other</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7"/>
          </w:tcPr>
          <w:p>
            <w:pPr>
              <w:jc w:val="right"/>
              <w:ind w:right="29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7"/>
          </w:tcPr>
          <w:p>
            <w:pPr>
              <w:jc w:val="right"/>
              <w:ind w:right="27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10"/>
        </w:trPr>
        <w:tc>
          <w:tcPr>
            <w:tcW w:w="45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activities</w:t>
            </w:r>
          </w:p>
        </w:tc>
        <w:tc>
          <w:tcPr>
            <w:tcW w:w="440" w:type="dxa"/>
            <w:vAlign w:val="bottom"/>
            <w:tcBorders>
              <w:top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Borders>
              <w:top w:val="single" w:sz="8" w:color="auto"/>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top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Borders>
              <w:top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expenses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on divestitures, net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(primarily governance and legacy expenses)</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expense</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560" w:type="dxa"/>
            <w:vAlign w:val="bottom"/>
            <w:tcBorders>
              <w:top w:val="single" w:sz="8" w:color="CFF0FC"/>
              <w:bottom w:val="single" w:sz="8" w:color="auto"/>
            </w:tcBorders>
          </w:tcPr>
          <w:p>
            <w:pPr>
              <w:spacing w:after="0"/>
              <w:rPr>
                <w:sz w:val="4"/>
                <w:szCs w:val="4"/>
                <w:color w:val="auto"/>
              </w:rPr>
            </w:pPr>
          </w:p>
        </w:tc>
        <w:tc>
          <w:tcPr>
            <w:tcW w:w="260" w:type="dxa"/>
            <w:vAlign w:val="bottom"/>
            <w:tcBorders>
              <w:top w:val="single" w:sz="8" w:color="CFF0FC"/>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74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200" w:type="dxa"/>
            <w:vAlign w:val="bottom"/>
            <w:tcBorders>
              <w:top w:val="single" w:sz="8" w:color="auto"/>
              <w:bottom w:val="single" w:sz="8" w:color="auto"/>
            </w:tcBorders>
          </w:tcPr>
          <w:p>
            <w:pPr>
              <w:spacing w:after="0"/>
              <w:rPr>
                <w:sz w:val="4"/>
                <w:szCs w:val="4"/>
                <w:color w:val="auto"/>
              </w:rPr>
            </w:pPr>
          </w:p>
        </w:tc>
        <w:tc>
          <w:tcPr>
            <w:tcW w:w="60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74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62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220" w:type="dxa"/>
            <w:vAlign w:val="bottom"/>
            <w:tcBorders>
              <w:top w:val="single" w:sz="8" w:color="auto"/>
              <w:bottom w:val="single" w:sz="8" w:color="auto"/>
            </w:tcBorders>
          </w:tcPr>
          <w:p>
            <w:pPr>
              <w:spacing w:after="0"/>
              <w:rPr>
                <w:sz w:val="4"/>
                <w:szCs w:val="4"/>
                <w:color w:val="auto"/>
              </w:rPr>
            </w:pPr>
          </w:p>
        </w:tc>
        <w:tc>
          <w:tcPr>
            <w:tcW w:w="62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68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3663950</wp:posOffset>
            </wp:positionH>
            <wp:positionV relativeFrom="paragraph">
              <wp:posOffset>-76200</wp:posOffset>
            </wp:positionV>
            <wp:extent cx="7747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-59055</wp:posOffset>
            </wp:positionV>
            <wp:extent cx="7747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4255770</wp:posOffset>
            </wp:positionH>
            <wp:positionV relativeFrom="paragraph">
              <wp:posOffset>-76200</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4255770</wp:posOffset>
            </wp:positionH>
            <wp:positionV relativeFrom="paragraph">
              <wp:posOffset>-59055</wp:posOffset>
            </wp:positionV>
            <wp:extent cx="685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-76200</wp:posOffset>
            </wp:positionV>
            <wp:extent cx="685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-59055</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5464175</wp:posOffset>
            </wp:positionH>
            <wp:positionV relativeFrom="paragraph">
              <wp:posOffset>-76200</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5464175</wp:posOffset>
            </wp:positionH>
            <wp:positionV relativeFrom="paragraph">
              <wp:posOffset>-59055</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6073140</wp:posOffset>
            </wp:positionH>
            <wp:positionV relativeFrom="paragraph">
              <wp:posOffset>-76200</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6073140</wp:posOffset>
            </wp:positionH>
            <wp:positionV relativeFrom="paragraph">
              <wp:posOffset>-59055</wp:posOffset>
            </wp:positionV>
            <wp:extent cx="685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Three months ended March 31, 2026 compared to three months ended March 31, 2025</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current and prior year quarter included expense of $3 million and $8 million, respectively, for restructuring activities mainly comprised of severance, lease abandonment and other restructuring costs related to company-wide cost reduction programs.</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color w:val="auto"/>
        </w:rPr>
        <w:t>The current and prior year quarter both included $2 million for environmental expenses.</w:t>
      </w:r>
    </w:p>
    <w:p>
      <w:pPr>
        <w:spacing w:after="0" w:line="10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The prior year quarter included gains of $18 million from divestitures primarily related to the sale of the Avoca business and excess corporate land property. See Note B of the Notes to the Condensed Consolidated Financial Statements for more information.</w:t>
      </w:r>
    </w:p>
    <w:p>
      <w:pPr>
        <w:spacing w:after="0" w:line="3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Other expenses between quarters were driven by changes in governance and legacy expenses primarily associated with fluctuations in foreign currency, deferred compensation, company-owned life insurance contracts and variable incentive compensation.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Six months ended March 31, 2026 compared to six months ended March 31, 2025</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current and prior year period included expense of $7 million and $11 million, respectively, for restructuring activities mainly comprised of severance, lease abandonment and other restructuring costs related to company-wide cost reduction programs.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current and prior year period included $12 million and $3 million for environmental expenses, respectively.</w:t>
      </w:r>
    </w:p>
    <w:p>
      <w:pPr>
        <w:spacing w:after="0" w:line="1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current year period included a $2 million income on the sale of excess corporate property. See Note B of the Notes to Condensed Consolidated Financial Statements for more information.</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prior year period included a loss on divestiture of $165 million, primarily related to the $183 million impairment of the Avoca business, $8 million pre-tax gain on the final sale of the Avoca business, and $11 million gain on the sale of a property. See Note B of the Notes to Condensed Consolidated Financial Statements for more information.</w:t>
      </w:r>
    </w:p>
    <w:p>
      <w:pPr>
        <w:spacing w:after="0" w:line="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Other expenses between periods were driven by changes in governance and legacy expenses primarily associated with fluctuations in foreign currency, deferred compensation, company-owned life insurance contracts and variable incentive compensation, including stock compensation expense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auto"/>
        </w:rPr>
        <w:t>FINANCIAL POSITION</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Liquidity</w:t>
      </w:r>
    </w:p>
    <w:p>
      <w:pPr>
        <w:spacing w:after="0" w:line="112"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20"/>
          <w:szCs w:val="20"/>
          <w:color w:val="auto"/>
        </w:rPr>
        <w:t>Ashland believes that cash flow from operations, availability under existing credit facilities and arrangements, current cash and investment balances and the ability to obtain other financing, if necessary, will provide adequate cash funds for Ashland’s foreseeable working capital needs, capital expenditures at existing facilities, dividend payments and debt service obligations. Ashland’s cash requirements are subject to change as business conditions warrant and opportunities arise. The timing and size of any new business ventures or acquisitions that the Company may complete may also impact its cash requirements.</w:t>
      </w:r>
    </w:p>
    <w:p>
      <w:pPr>
        <w:spacing w:after="0" w:line="77"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20"/>
          <w:szCs w:val="20"/>
          <w:color w:val="auto"/>
        </w:rPr>
        <w:t>During April 2024, Ashland authorized a financing program offered through JP Morgan and Taulia Alliance. Under this program, JP Morgan and its affiliates may purchase certain confirmed receivables directly from suppliers pursuant to the terms of a separate arrangement entered into between JPMorgan and Taulia Alliance and such suppliers. There were no changes to Ashland's standard payment terms with its suppliers in connection with this program. Ashland provides no guarantees to JP Morgan and Taulia Alliance under this program. The program was implemented during June 2025 and has been actively offered to suppliers. There were $5 million and $10 million, respectively, of confirmed invoices, of which $4 million and $5 million, respectively, were paid during the three and six months ended March 31, 2026. There were $5 million and less than $1 million of confirmed invoices remaining under this program at March 31, 2026 and September 30, 2025, respectively.</w:t>
      </w:r>
    </w:p>
    <w:p>
      <w:pPr>
        <w:spacing w:after="0" w:line="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Cash flows</w:t>
      </w:r>
    </w:p>
    <w:p>
      <w:pPr>
        <w:spacing w:after="0" w:line="112"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Ashland’s cash flows from operating, investing and financing activities, as reflected in the Statements of Condensed Consolidated Cash Flows, are summarized as follows:</w:t>
      </w:r>
    </w:p>
    <w:p>
      <w:pPr>
        <w:spacing w:after="0" w:line="68"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0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Six months ended</w:t>
            </w: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6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March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2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provided (used) by:</w:t>
            </w:r>
          </w:p>
        </w:tc>
        <w:tc>
          <w:tcPr>
            <w:tcW w:w="68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 from continuing operations</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Investing activities from continuing operations</w:t>
            </w:r>
          </w:p>
        </w:tc>
        <w:tc>
          <w:tcPr>
            <w:tcW w:w="6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activities from continuing operations</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Discontinued operations</w:t>
            </w:r>
          </w:p>
        </w:tc>
        <w:tc>
          <w:tcPr>
            <w:tcW w:w="6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Effect of currency exchange rate changes on cash and cash equivalents</w:t>
            </w:r>
            <w:r>
              <w:rPr>
                <w:rFonts w:ascii="Times New Roman" w:cs="Times New Roman" w:eastAsia="Times New Roman" w:hAnsi="Times New Roman"/>
                <w:sz w:val="24"/>
                <w:szCs w:val="24"/>
                <w:color w:val="auto"/>
                <w:vertAlign w:val="superscript"/>
              </w:rPr>
              <w:t>(a)</w:t>
            </w:r>
          </w:p>
        </w:tc>
        <w:tc>
          <w:tcPr>
            <w:tcW w:w="6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66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000" w:type="dxa"/>
            <w:vAlign w:val="bottom"/>
            <w:tcBorders>
              <w:top w:val="single" w:sz="8" w:color="CFF0FC"/>
              <w:bottom w:val="single" w:sz="8" w:color="auto"/>
            </w:tcBorders>
          </w:tcPr>
          <w:p>
            <w:pPr>
              <w:spacing w:after="0"/>
              <w:rPr>
                <w:sz w:val="4"/>
                <w:szCs w:val="4"/>
                <w:color w:val="auto"/>
              </w:rPr>
            </w:pPr>
          </w:p>
        </w:tc>
        <w:tc>
          <w:tcPr>
            <w:tcW w:w="680" w:type="dxa"/>
            <w:vAlign w:val="bottom"/>
            <w:tcBorders>
              <w:top w:val="single" w:sz="8" w:color="CFF0FC"/>
              <w:bottom w:val="single" w:sz="8" w:color="auto"/>
            </w:tcBorders>
          </w:tcPr>
          <w:p>
            <w:pPr>
              <w:spacing w:after="0"/>
              <w:rPr>
                <w:sz w:val="4"/>
                <w:szCs w:val="4"/>
                <w:color w:val="auto"/>
              </w:rPr>
            </w:pPr>
          </w:p>
        </w:tc>
        <w:tc>
          <w:tcPr>
            <w:tcW w:w="380" w:type="dxa"/>
            <w:vAlign w:val="bottom"/>
            <w:tcBorders>
              <w:top w:val="single" w:sz="8" w:color="auto"/>
              <w:bottom w:val="single" w:sz="8" w:color="auto"/>
            </w:tcBorders>
          </w:tcPr>
          <w:p>
            <w:pPr>
              <w:spacing w:after="0"/>
              <w:rPr>
                <w:sz w:val="4"/>
                <w:szCs w:val="4"/>
                <w:color w:val="auto"/>
              </w:rPr>
            </w:pPr>
          </w:p>
        </w:tc>
        <w:tc>
          <w:tcPr>
            <w:tcW w:w="150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560" w:type="dxa"/>
            <w:vAlign w:val="bottom"/>
            <w:tcBorders>
              <w:top w:val="single" w:sz="8" w:color="auto"/>
              <w:bottom w:val="single" w:sz="8" w:color="auto"/>
            </w:tcBorders>
          </w:tcPr>
          <w:p>
            <w:pPr>
              <w:spacing w:after="0"/>
              <w:rPr>
                <w:sz w:val="4"/>
                <w:szCs w:val="4"/>
                <w:color w:val="auto"/>
              </w:rPr>
            </w:pPr>
          </w:p>
        </w:tc>
        <w:tc>
          <w:tcPr>
            <w:tcW w:w="120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-76835</wp:posOffset>
            </wp:positionV>
            <wp:extent cx="6858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-59690</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740" w:hanging="358"/>
        <w:spacing w:after="0"/>
        <w:tabs>
          <w:tab w:leader="none" w:pos="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Zero denotes less than $1 million of activity.</w:t>
      </w:r>
    </w:p>
    <w:p>
      <w:pPr>
        <w:spacing w:after="0" w:line="95"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Cash and cash equivalents increased $128 million for the six months ended March 31, 2026 and decreased $132 million for the six months ended March 31, 2025.</w:t>
      </w:r>
    </w:p>
    <w:p>
      <w:pPr>
        <w:spacing w:after="0" w:line="51"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0"/>
          <w:szCs w:val="20"/>
          <w:color w:val="auto"/>
        </w:rPr>
        <w:t>The $128 million increase for the six months ended March 31, 2026, was primarily driven by favorable changes in working capital (fluctuations within accounts receivable, inventory, trade payables and accrued expenses) and other operating cash flows from continuing operations which amounted to inflows of $175 million. The current period was also affected by inflows of $20 million for the settlement of company-owned life insurance policies and $33 million of reimbursements from restricted investments. These inflows were partially offset from outflows from payment of cash dividends, additions to property, plant and equipment and discontinued operations primarily related to retained liabilities for asbestos and environmental claims of $38 million, $31 million and $25 million, respectively.</w:t>
      </w:r>
    </w:p>
    <w:p>
      <w:pPr>
        <w:spacing w:after="0" w:line="78"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20"/>
          <w:szCs w:val="20"/>
          <w:color w:val="auto"/>
        </w:rPr>
        <w:t>The $132 million decrease for the six months ended March 31, 2025, was primarily driven by payment of cash dividends, additions to property, plant and equipment and stock repurchase activity of $38 million, $44 million and $100 million, respectively. Operating cash flows from continuing operations were outflows of $21 million, while discontinued operations cash flows were outflows of $18 million. These outflows were partially offset by inflows from short-term debt, proceeds from the sale of the Avoca business, and proceeds from the sale of a land proprerty of $50 million, $16 million and $11 million, respectively.</w:t>
      </w:r>
    </w:p>
    <w:p>
      <w:pPr>
        <w:spacing w:after="0" w:line="77"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The change in cash flows from operating activities from continuing operations was primarily driven by favorable working capital, including the favorable impact between periods of the U.S. and Foreign Accounts Receivable Sales Program activity.</w:t>
      </w:r>
    </w:p>
    <w:p>
      <w:pPr>
        <w:spacing w:after="0" w:line="16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085" w:right="7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0"/>
          <w:szCs w:val="20"/>
          <w:color w:val="auto"/>
        </w:rPr>
        <w:t>See the Statements of Condensed Consolidated Cash Flows for additional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Free Cash Flow and other liquidity resources</w:t>
      </w:r>
    </w:p>
    <w:p>
      <w:pPr>
        <w:spacing w:after="0" w:line="11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represents Ashland’s calculation of Free Cash Flow and Ongoing Free Cash Flow for the disclosed periods. Free Cash Flow does not reflect adjustments for certain non-discretionary cash flows such as mandatory debt repayments.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5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gridSpan w:val="4"/>
          </w:tcPr>
          <w:p>
            <w:pPr>
              <w:jc w:val="right"/>
              <w:ind w:right="101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4"/>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March 31</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58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flows provided (used) by operating activities from continuing operations</w:t>
            </w:r>
          </w:p>
        </w:tc>
        <w:tc>
          <w:tcPr>
            <w:tcW w:w="760" w:type="dxa"/>
            <w:vAlign w:val="bottom"/>
            <w:tcBorders>
              <w:top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175</w:t>
            </w:r>
          </w:p>
        </w:tc>
        <w:tc>
          <w:tcPr>
            <w:tcW w:w="32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5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Tax refund</w:t>
            </w:r>
            <w:r>
              <w:rPr>
                <w:rFonts w:ascii="Times New Roman" w:cs="Times New Roman" w:eastAsia="Times New Roman" w:hAnsi="Times New Roman"/>
                <w:sz w:val="24"/>
                <w:szCs w:val="24"/>
                <w:color w:val="auto"/>
                <w:vertAlign w:val="superscript"/>
              </w:rPr>
              <w:t>(a)</w:t>
            </w: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Cash (inflows) outflows from U.S. Accounts Receivable Sales Program</w:t>
            </w:r>
            <w:r>
              <w:rPr>
                <w:rFonts w:ascii="Times New Roman" w:cs="Times New Roman" w:eastAsia="Times New Roman" w:hAnsi="Times New Roman"/>
                <w:sz w:val="24"/>
                <w:szCs w:val="24"/>
                <w:color w:val="auto"/>
                <w:vertAlign w:val="superscript"/>
              </w:rPr>
              <w:t>(b)</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Cash outflows from Foreign Accounts Receivable Sales Program</w:t>
            </w:r>
            <w:r>
              <w:rPr>
                <w:rFonts w:ascii="Times New Roman" w:cs="Times New Roman" w:eastAsia="Times New Roman" w:hAnsi="Times New Roman"/>
                <w:sz w:val="24"/>
                <w:szCs w:val="24"/>
                <w:color w:val="auto"/>
                <w:vertAlign w:val="superscript"/>
              </w:rPr>
              <w:t>(c)</w:t>
            </w: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Restructuring-related payments</w:t>
            </w:r>
            <w:r>
              <w:rPr>
                <w:rFonts w:ascii="Times New Roman" w:cs="Times New Roman" w:eastAsia="Times New Roman" w:hAnsi="Times New Roman"/>
                <w:sz w:val="24"/>
                <w:szCs w:val="24"/>
                <w:color w:val="auto"/>
                <w:vertAlign w:val="superscript"/>
              </w:rPr>
              <w:t>(d)</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Environmental and related litigation payments</w:t>
            </w:r>
            <w:r>
              <w:rPr>
                <w:rFonts w:ascii="Times New Roman" w:cs="Times New Roman" w:eastAsia="Times New Roman" w:hAnsi="Times New Roman"/>
                <w:sz w:val="24"/>
                <w:szCs w:val="24"/>
                <w:color w:val="auto"/>
                <w:vertAlign w:val="superscript"/>
              </w:rPr>
              <w:t>(e)</w:t>
            </w:r>
          </w:p>
        </w:tc>
        <w:tc>
          <w:tcPr>
            <w:tcW w:w="5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Ongoing Free Cash Flow</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5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4"/>
                <w:szCs w:val="24"/>
                <w:color w:val="auto"/>
                <w:vertAlign w:val="superscript"/>
              </w:rPr>
              <w:t>(f)</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156</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Operating Cash Flow Conversion</w:t>
            </w:r>
            <w:r>
              <w:rPr>
                <w:rFonts w:ascii="Times New Roman" w:cs="Times New Roman" w:eastAsia="Times New Roman" w:hAnsi="Times New Roman"/>
                <w:sz w:val="24"/>
                <w:szCs w:val="24"/>
                <w:color w:val="auto"/>
                <w:vertAlign w:val="superscript"/>
              </w:rPr>
              <w:t>(g)</w:t>
            </w: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Not meaningful</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Not meaningful</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Ongoing Free Cash Flow Conversion</w:t>
            </w:r>
            <w:r>
              <w:rPr>
                <w:rFonts w:ascii="Times New Roman" w:cs="Times New Roman" w:eastAsia="Times New Roman" w:hAnsi="Times New Roman"/>
                <w:sz w:val="24"/>
                <w:szCs w:val="24"/>
                <w:color w:val="auto"/>
                <w:vertAlign w:val="superscript"/>
              </w:rPr>
              <w:t>(h)</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5575935</wp:posOffset>
            </wp:positionH>
            <wp:positionV relativeFrom="paragraph">
              <wp:posOffset>-1889125</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5575935</wp:posOffset>
            </wp:positionH>
            <wp:positionV relativeFrom="paragraph">
              <wp:posOffset>-1057910</wp:posOffset>
            </wp:positionV>
            <wp:extent cx="685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-20320</wp:posOffset>
            </wp:positionV>
            <wp:extent cx="662622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ind w:left="360" w:hanging="358"/>
        <w:spacing w:after="0"/>
        <w:tabs>
          <w:tab w:leader="none" w:pos="3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receipt of tax refund related to the capital loss carryback from the Nutraceutical divestiture.</w:t>
      </w:r>
    </w:p>
    <w:p>
      <w:pPr>
        <w:spacing w:after="0" w:line="25"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activity associated with the U.S. Accounts Receivable Sales Program impacting each period presented.</w:t>
      </w:r>
    </w:p>
    <w:p>
      <w:pPr>
        <w:spacing w:after="0" w:line="15"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activity associated with the Foreign Accounts Receivable Sales Program impacting each period presented.</w:t>
      </w:r>
    </w:p>
    <w:p>
      <w:pPr>
        <w:spacing w:after="0" w:line="28"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payments incurred during each period.</w:t>
      </w:r>
    </w:p>
    <w:p>
      <w:pPr>
        <w:spacing w:after="0" w:line="27"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outflows associated with environmental and related litigation payments which will be reimbursed by the environmental trust.</w:t>
      </w:r>
    </w:p>
    <w:p>
      <w:pPr>
        <w:spacing w:after="0" w:line="15"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Adjusted EBITDA reconciliation.</w:t>
      </w:r>
    </w:p>
    <w:p>
      <w:pPr>
        <w:spacing w:after="0" w:line="28"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Cash Flow Conversion is defined as Cash flows provided (used) by operating activities from continuing operations divided by net income (loss).</w:t>
      </w:r>
    </w:p>
    <w:p>
      <w:pPr>
        <w:spacing w:after="0" w:line="27"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Ongoing Free Cash Flow Conversion is defined as Ongoing Free Cash Flow divided by Adjusted EBITDA.</w:t>
      </w:r>
    </w:p>
    <w:p>
      <w:pPr>
        <w:spacing w:after="0" w:line="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Working capital (current assets minus current liabilities, excluding long-term debt due within one year) amounted to $814 million and $782 million as of March 31, 2026 and September 30, 2025, respectively. Liquid assets (cash and cash equivalents and accounts receivable) amounted to 149% and 108% of current liabilities as of March 31, 2026 and September 30, 2025, respectively. The increase in Ongoing Free Cash Flows was primarily a result of favorable working capital, lower additions to property, plant and equipment and lower variable compensation payouts between periods.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summary reflects Ashland’s cash and cash equivalents, unused borrowing capacity and liquidity as of:</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82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tcPr>
          <w:p>
            <w:pPr>
              <w:jc w:val="center"/>
              <w:ind w:left="1950"/>
              <w:spacing w:after="0"/>
              <w:rPr>
                <w:sz w:val="20"/>
                <w:szCs w:val="20"/>
                <w:color w:val="auto"/>
              </w:rPr>
            </w:pPr>
            <w:r>
              <w:rPr>
                <w:rFonts w:ascii="Times New Roman" w:cs="Times New Roman" w:eastAsia="Times New Roman" w:hAnsi="Times New Roman"/>
                <w:sz w:val="18"/>
                <w:szCs w:val="18"/>
                <w:color w:val="auto"/>
              </w:rPr>
              <w:t>March 31</w:t>
            </w:r>
          </w:p>
        </w:tc>
        <w:tc>
          <w:tcPr>
            <w:tcW w:w="5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0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investment securities</w:t>
            </w:r>
          </w:p>
        </w:tc>
        <w:tc>
          <w:tcPr>
            <w:tcW w:w="30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343</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Restricted investments</w:t>
            </w:r>
            <w:r>
              <w:rPr>
                <w:rFonts w:ascii="Times New Roman" w:cs="Times New Roman" w:eastAsia="Times New Roman" w:hAnsi="Times New Roman"/>
                <w:sz w:val="24"/>
                <w:szCs w:val="24"/>
                <w:color w:val="auto"/>
                <w:vertAlign w:val="superscript"/>
              </w:rPr>
              <w:t>(a)</w:t>
            </w:r>
          </w:p>
        </w:tc>
        <w:tc>
          <w:tcPr>
            <w:tcW w:w="30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326</w:t>
            </w:r>
          </w:p>
        </w:tc>
        <w:tc>
          <w:tcPr>
            <w:tcW w:w="38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Unused borrowing capacity and liquidity</w:t>
            </w:r>
          </w:p>
        </w:tc>
        <w:tc>
          <w:tcPr>
            <w:tcW w:w="30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02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596</w:t>
            </w:r>
          </w:p>
        </w:tc>
        <w:tc>
          <w:tcPr>
            <w:tcW w:w="38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Accounts Receivable Sales Program</w:t>
            </w:r>
          </w:p>
        </w:tc>
        <w:tc>
          <w:tcPr>
            <w:tcW w:w="30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Foreign Accounts Receivable Sales Program</w:t>
            </w:r>
          </w:p>
        </w:tc>
        <w:tc>
          <w:tcPr>
            <w:tcW w:w="30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31115</wp:posOffset>
            </wp:positionV>
            <wp:extent cx="662622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60" w:lineRule="exact"/>
        <w:rPr>
          <w:sz w:val="20"/>
          <w:szCs w:val="20"/>
          <w:color w:val="auto"/>
        </w:rPr>
      </w:pPr>
    </w:p>
    <w:p>
      <w:pPr>
        <w:ind w:left="360" w:hanging="358"/>
        <w:spacing w:after="0" w:line="261" w:lineRule="auto"/>
        <w:tabs>
          <w:tab w:leader="none" w:pos="3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$213 million and $231 million related to the Asbestos trust and $113 million and $116 million related to the Environmental trust as of March 31, 2026 and September 30, 2025, respectively.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89" w:right="719" w:bottom="1440" w:gutter="0" w:footer="0" w:header="0"/>
        </w:sectPr>
      </w:pPr>
    </w:p>
    <w:bookmarkStart w:id="56" w:name="page57"/>
    <w:bookmarkEnd w:id="56"/>
    <w:p>
      <w:pPr>
        <w:jc w:val="both"/>
        <w:spacing w:after="0" w:line="245" w:lineRule="auto"/>
        <w:rPr>
          <w:sz w:val="20"/>
          <w:szCs w:val="20"/>
          <w:color w:val="auto"/>
        </w:rPr>
      </w:pPr>
      <w:r>
        <w:rPr>
          <w:rFonts w:ascii="Times New Roman" w:cs="Times New Roman" w:eastAsia="Times New Roman" w:hAnsi="Times New Roman"/>
          <w:sz w:val="20"/>
          <w:szCs w:val="20"/>
          <w:color w:val="auto"/>
        </w:rPr>
        <w:t>The borrowing capacity remaining under the 2022 Credit Agreement was $596 million, which reflects the full $600 million revolving credit facility less a reduction of $4 million for letters of credit outstanding at March 31, 2026. In total, Ashland’s available liquidity position, which includes cash and cash equivalents and the revolving credit facility, was $939 million at March 31, 2026, compared to $811 million at September 30, 2025. Ashland had no available liquidity under the U.S. and Foreign Accounts Receivable Sales Programs as of March 31, 2026. Ashland also maintained $326 million of restricted investments at March 31, 2026, to pay for future asbestos claims and environmental remediation and related litigation.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resources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Debt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summary reflects Ashland’s debt as of:</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7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2025</w:t>
            </w:r>
          </w:p>
        </w:tc>
      </w:tr>
      <w:tr>
        <w:trPr>
          <w:trHeight w:val="210"/>
        </w:trPr>
        <w:tc>
          <w:tcPr>
            <w:tcW w:w="20" w:type="dxa"/>
            <w:vAlign w:val="bottom"/>
          </w:tcPr>
          <w:p>
            <w:pPr>
              <w:spacing w:after="0"/>
              <w:rPr>
                <w:sz w:val="18"/>
                <w:szCs w:val="18"/>
                <w:color w:val="auto"/>
              </w:rPr>
            </w:pPr>
          </w:p>
        </w:tc>
        <w:tc>
          <w:tcPr>
            <w:tcW w:w="5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2700" w:type="dxa"/>
            <w:vAlign w:val="bottom"/>
            <w:tcBorders>
              <w:top w:val="single" w:sz="8" w:color="auto"/>
            </w:tcBorders>
            <w:gridSpan w:val="2"/>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1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Long-term debt (less debt issuance cost discounts)</w:t>
            </w:r>
            <w:r>
              <w:rPr>
                <w:rFonts w:ascii="Times New Roman" w:cs="Times New Roman" w:eastAsia="Times New Roman" w:hAnsi="Times New Roman"/>
                <w:sz w:val="24"/>
                <w:szCs w:val="24"/>
                <w:color w:val="auto"/>
                <w:vertAlign w:val="superscript"/>
              </w:rPr>
              <w:t>(a)</w:t>
            </w:r>
          </w:p>
        </w:tc>
        <w:tc>
          <w:tcPr>
            <w:tcW w:w="138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1,384</w:t>
            </w:r>
          </w:p>
        </w:tc>
      </w:tr>
      <w:tr>
        <w:trPr>
          <w:trHeight w:val="249"/>
        </w:trPr>
        <w:tc>
          <w:tcPr>
            <w:tcW w:w="20" w:type="dxa"/>
            <w:vAlign w:val="bottom"/>
          </w:tcPr>
          <w:p>
            <w:pPr>
              <w:spacing w:after="0"/>
              <w:rPr>
                <w:sz w:val="21"/>
                <w:szCs w:val="21"/>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2700" w:type="dxa"/>
            <w:vAlign w:val="bottom"/>
            <w:gridSpan w:val="2"/>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1,374</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1,384</w:t>
            </w:r>
          </w:p>
        </w:tc>
      </w:tr>
      <w:tr>
        <w:trPr>
          <w:trHeight w:val="48"/>
        </w:trPr>
        <w:tc>
          <w:tcPr>
            <w:tcW w:w="20" w:type="dxa"/>
            <w:vAlign w:val="bottom"/>
          </w:tcPr>
          <w:p>
            <w:pPr>
              <w:spacing w:after="0"/>
              <w:rPr>
                <w:sz w:val="4"/>
                <w:szCs w:val="4"/>
                <w:color w:val="auto"/>
              </w:rPr>
            </w:pPr>
          </w:p>
        </w:tc>
        <w:tc>
          <w:tcPr>
            <w:tcW w:w="5140" w:type="dxa"/>
            <w:vAlign w:val="bottom"/>
            <w:tcBorders>
              <w:top w:val="single" w:sz="8" w:color="CFF0FC"/>
              <w:bottom w:val="single" w:sz="8" w:color="auto"/>
            </w:tcBorders>
          </w:tcPr>
          <w:p>
            <w:pPr>
              <w:spacing w:after="0"/>
              <w:rPr>
                <w:sz w:val="4"/>
                <w:szCs w:val="4"/>
                <w:color w:val="auto"/>
              </w:rPr>
            </w:pPr>
          </w:p>
        </w:tc>
        <w:tc>
          <w:tcPr>
            <w:tcW w:w="1380" w:type="dxa"/>
            <w:vAlign w:val="bottom"/>
            <w:tcBorders>
              <w:top w:val="single" w:sz="8" w:color="CFF0FC"/>
              <w:bottom w:val="single" w:sz="8" w:color="auto"/>
            </w:tcBorders>
          </w:tcPr>
          <w:p>
            <w:pPr>
              <w:spacing w:after="0"/>
              <w:rPr>
                <w:sz w:val="4"/>
                <w:szCs w:val="4"/>
                <w:color w:val="auto"/>
              </w:rPr>
            </w:pPr>
          </w:p>
        </w:tc>
        <w:tc>
          <w:tcPr>
            <w:tcW w:w="1320" w:type="dxa"/>
            <w:vAlign w:val="bottom"/>
            <w:tcBorders>
              <w:top w:val="single" w:sz="8" w:color="auto"/>
              <w:bottom w:val="single" w:sz="8" w:color="auto"/>
            </w:tcBorders>
          </w:tcPr>
          <w:p>
            <w:pPr>
              <w:spacing w:after="0"/>
              <w:rPr>
                <w:sz w:val="4"/>
                <w:szCs w:val="4"/>
                <w:color w:val="auto"/>
              </w:rPr>
            </w:pPr>
          </w:p>
        </w:tc>
        <w:tc>
          <w:tcPr>
            <w:tcW w:w="58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240" w:type="dxa"/>
            <w:vAlign w:val="bottom"/>
            <w:tcBorders>
              <w:top w:val="single" w:sz="8" w:color="auto"/>
              <w:bottom w:val="single" w:sz="8" w:color="auto"/>
            </w:tcBorders>
          </w:tcPr>
          <w:p>
            <w:pPr>
              <w:spacing w:after="0"/>
              <w:rPr>
                <w:sz w:val="4"/>
                <w:szCs w:val="4"/>
                <w:color w:val="auto"/>
              </w:rPr>
            </w:pPr>
          </w:p>
        </w:tc>
        <w:tc>
          <w:tcPr>
            <w:tcW w:w="166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5370195</wp:posOffset>
            </wp:positionH>
            <wp:positionV relativeFrom="paragraph">
              <wp:posOffset>-76835</wp:posOffset>
            </wp:positionV>
            <wp:extent cx="685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5370195</wp:posOffset>
            </wp:positionH>
            <wp:positionV relativeFrom="paragraph">
              <wp:posOffset>-59690</wp:posOffset>
            </wp:positionV>
            <wp:extent cx="6858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 w:lineRule="exact"/>
        <w:rPr>
          <w:sz w:val="20"/>
          <w:szCs w:val="20"/>
          <w:color w:val="auto"/>
        </w:rPr>
      </w:pPr>
    </w:p>
    <w:p>
      <w:pPr>
        <w:ind w:left="360" w:hanging="358"/>
        <w:spacing w:after="0"/>
        <w:tabs>
          <w:tab w:leader="none" w:pos="3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$9 million and $10 million of debt issuance cost discounts as of March 31, 2026 and September 30, 2025</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respectively.</w:t>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Debt as a percent of capital employed was 42% at both March 31, 2026 and September 30, 2025. At March 31, 2026, Ashland’s total debt had an outstanding principal balance of $1,405 million, discounts of $22 million, and debt issuance costs of $9 million. Ashland has no long-term debt (excluding debt issuance costs) maturing within 2026, $4 million in 2027, $573 million due in fiscal 2028, $97 million due in 2029, zero in 2030, and $450 million in 2031.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Ashland credit ratings</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Ashland’s corporate credit rating by Standard &amp; Poor’s was downgraded to BB during the three months ended March 31, 2026, and Moody’s Investor Services was downgraded to Ba2 during the six months ended March 31, 2026. As of March 31, 2026, both Moody’s Investor Services and Standard &amp; Poor's outlook remained at stable. Subsequent changes to these ratings or outlook may have an effect on Ashland’s borrowing rate or ability to access capital markets in the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Ashland debt covenant restrictions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Ashland's 2022 Credit Agreement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March 31, 2026, Ashland is in compliance with all debt agreement covenant restrictions under the 2022 Credit Agreement.</w:t>
      </w:r>
    </w:p>
    <w:p>
      <w:pPr>
        <w:spacing w:after="0" w:line="5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maximum consolidated net leverage ratio permitted under the 2022 Credit Agreement is 4.0. The 2022 Credit Agreement defines the consolidated net leverage ratio as the ratio of consolidated indebtedness minus unrestricted cash and cash equivalents to consolidated EBITDA (Covenant Adjusted EBITDA) for any measurement period. In general, the 2022 Credit Agreement defines Covenant Adjusted EBITDA as net income (loss) plus consolidated interest charges, taxes, depreciation and amortization expense, fees and expenses related to capital market transactions and proposed or actual acquisitions and divestitures, restructuring and integration charges, noncash stock and equity compensation expense, and any other nonrecurring expenses or losses that do not represent a cash item in such period or any future period; less any noncash gains or other items increasing net income (loss). The computation of Covenant Adjusted EBITDA differs from the calculation of EBITDA and Adjusted EBITDA, which have been reconciled above in the “consolidated review” section. In general, consolidated indebtedness includes debt plus all purchase money indebtedness, banker’s acceptances and bank guaranties, deferred purchase price of property or services, attributable indebtedness and guarantees. At March 31, 2026, Ashland’s calculation of the consolidated net leverage ratio was 2.6.</w:t>
      </w:r>
    </w:p>
    <w:p>
      <w:pPr>
        <w:spacing w:after="0" w:line="8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minimum required consolidated interest coverage ratio under the 2022 Credit Agreement is 3.0. The 2022 Credit Agreement defines the consolidated interest coverage ratio as the ratio of Covenant Adjusted EBITDA to</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981" w:right="719" w:bottom="1440" w:gutter="0" w:footer="0" w:header="0"/>
        </w:sectPr>
      </w:pPr>
    </w:p>
    <w:bookmarkStart w:id="57" w:name="page58"/>
    <w:bookmarkEnd w:id="57"/>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consolidated interest charges for any measurement period. At March 31, 2026, Ashland’s calculation of the consolidated interest coverage ratio was 6.5.</w:t>
      </w:r>
    </w:p>
    <w:p>
      <w:pPr>
        <w:spacing w:after="0" w:line="51"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Any change in Covenant Adjusted EBITDA of $100 million would have an approximate 0.5x effect on the consolidated net leverage ratio and a 1.6x effect on the consolidated interest coverage ratio. The change in consolidated indebtedness of $100 million would affect the consolidated leverage ratio by approximately 0.3x.</w:t>
      </w:r>
    </w:p>
    <w:p>
      <w:pPr>
        <w:spacing w:after="0" w:line="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Additional capital resources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Total equity</w:t>
      </w:r>
    </w:p>
    <w:p>
      <w:pPr>
        <w:spacing w:after="0" w:line="112"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Total equity decreased by $38 million since September 30, 2025 to $1,866 million at March 31, 2026. The decrease of $38 million was due to dividends of $38 million and $10 million of translation losses partially offset by $6 million of common stock issued and $4 net income.</w:t>
      </w:r>
    </w:p>
    <w:p>
      <w:pPr>
        <w:spacing w:after="0" w:line="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2023 Stock Repurchase program</w:t>
      </w:r>
    </w:p>
    <w:p>
      <w:pPr>
        <w:spacing w:after="0" w:line="112"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On June 28, 2023, Ashland's board of directors authorized a new evergreen $1 billion common share repurchase program ("2023 Stock Repurchase Program"). As of March 31, 2026, $520 million remained available for repurchase under the 2023 Stock Repurchase Program.</w:t>
      </w:r>
    </w:p>
    <w:p>
      <w:pPr>
        <w:spacing w:after="0" w:line="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Stock repurchase program agreements</w:t>
      </w:r>
    </w:p>
    <w:p>
      <w:pPr>
        <w:spacing w:after="0" w:line="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provides the common stock repurchase activity:</w:t>
      </w:r>
    </w:p>
    <w:p>
      <w:pPr>
        <w:spacing w:after="0" w:line="110"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Three months ended</w:t>
            </w: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Six months ended</w:t>
            </w: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millions, except per share data)</w:t>
            </w:r>
          </w:p>
        </w:tc>
        <w:tc>
          <w:tcPr>
            <w:tcW w:w="4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March 31</w:t>
            </w: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March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2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Pr>
          <w:p>
            <w:pPr>
              <w:spacing w:after="0"/>
              <w:rPr>
                <w:sz w:val="18"/>
                <w:szCs w:val="18"/>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4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Weighted-average price per share</w:t>
            </w:r>
            <w:r>
              <w:rPr>
                <w:rFonts w:ascii="Times New Roman" w:cs="Times New Roman" w:eastAsia="Times New Roman" w:hAnsi="Times New Roman"/>
                <w:sz w:val="24"/>
                <w:szCs w:val="24"/>
                <w:color w:val="auto"/>
                <w:vertAlign w:val="superscript"/>
              </w:rPr>
              <w:t>(a)</w:t>
            </w:r>
          </w:p>
        </w:tc>
        <w:tc>
          <w:tcPr>
            <w:tcW w:w="126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64.90</w:t>
            </w:r>
          </w:p>
        </w:tc>
        <w:tc>
          <w:tcPr>
            <w:tcW w:w="104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Aggregate purchase price</w:t>
            </w:r>
            <w:r>
              <w:rPr>
                <w:rFonts w:ascii="Times New Roman" w:cs="Times New Roman" w:eastAsia="Times New Roman" w:hAnsi="Times New Roman"/>
                <w:sz w:val="24"/>
                <w:szCs w:val="24"/>
                <w:color w:val="auto"/>
                <w:vertAlign w:val="superscript"/>
              </w:rPr>
              <w:t>(a)</w:t>
            </w:r>
          </w:p>
        </w:tc>
        <w:tc>
          <w:tcPr>
            <w:tcW w:w="1260" w:type="dxa"/>
            <w:vAlign w:val="bottom"/>
            <w:gridSpan w:val="2"/>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740" w:hanging="358"/>
        <w:spacing w:after="0"/>
        <w:tabs>
          <w:tab w:leader="none" w:pos="7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transaction costs.</w:t>
      </w:r>
    </w:p>
    <w:p>
      <w:pPr>
        <w:spacing w:after="0" w:line="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Stockholder dividends</w:t>
      </w:r>
    </w:p>
    <w:p>
      <w:pPr>
        <w:spacing w:after="0" w:line="112"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Ashland paid dividends of 41.5 cents per share for the first and second quarters of fiscal 2026 and 40.5 cents per share in the first and second quarters of fiscal 2025.</w:t>
      </w:r>
    </w:p>
    <w:p>
      <w:pPr>
        <w:spacing w:after="0" w:line="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Capital expenditures</w:t>
      </w:r>
    </w:p>
    <w:p>
      <w:pPr>
        <w:spacing w:after="0" w:line="112"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Capital expenditures were $31 million for the six months ended March 31, 2026, compared to $44 million for the six months ended March 31, 2025.</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w:t>
      </w:r>
    </w:p>
    <w:p>
      <w:pPr>
        <w:spacing w:after="0" w:line="112"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The preparation of Ashland’s Condensed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environmental remediation, asbestos litigation, the accounting for goodwill and other indefinite-lived intangible assets and income taxes. These accounting policies are discussed in detail in “Management’s Discussion and Analysis – Critical Accounting Policies” in Ashland’s Annual Report on Form 10-K for the fiscal year ended September 30, 2025. Although management bases its estimates on historical experience and various other assumptions that are believed to be reasonable under the circumstances, actual results could differ significantly from the estimates under different assumptions or conditions. Management has reviewed the estimates affecting these items with the Audit Committee of Ashland’s Board of Directors. No material changes have been made to the valuation techniques during the three and six months ended March 31, 2026.</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OUTLOOK</w:t>
      </w:r>
    </w:p>
    <w:p>
      <w:pPr>
        <w:spacing w:after="0" w:line="112"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Ashland is updating its full-year fiscal 2026 sales guidance to a range of $1,835 to $1,870 million and its Adjusted EBITDA guidance to a range of $385 to $400 million. The updated outlook reflects productivity challenges associated with the Hopewell scale-up, as well as softer energy-related demand tied to the Middle East conflict and</w:t>
      </w:r>
    </w:p>
    <w:p>
      <w:pPr>
        <w:spacing w:after="0" w:line="17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089" w:right="719" w:bottom="1440" w:gutter="0" w:footer="0" w:header="0"/>
        </w:sectPr>
      </w:pPr>
    </w:p>
    <w:bookmarkStart w:id="58" w:name="page59"/>
    <w:bookmarkEnd w:id="58"/>
    <w:p>
      <w:pPr>
        <w:jc w:val="both"/>
        <w:ind w:right="380"/>
        <w:spacing w:after="0" w:line="269" w:lineRule="auto"/>
        <w:rPr>
          <w:sz w:val="20"/>
          <w:szCs w:val="20"/>
          <w:color w:val="auto"/>
        </w:rPr>
      </w:pPr>
      <w:r>
        <w:rPr>
          <w:rFonts w:ascii="Times New Roman" w:cs="Times New Roman" w:eastAsia="Times New Roman" w:hAnsi="Times New Roman"/>
          <w:sz w:val="20"/>
          <w:szCs w:val="20"/>
          <w:color w:val="auto"/>
        </w:rPr>
        <w:t>reduced EV driven demand for BDO based derivatives. These impacts are partially offset by resilient demand in core end markets, ongoing pricing actions, and continued growth across the globalize and innovate platforms.</w:t>
      </w:r>
    </w:p>
    <w:p>
      <w:pPr>
        <w:spacing w:after="0" w:line="51" w:lineRule="exact"/>
        <w:rPr>
          <w:sz w:val="20"/>
          <w:szCs w:val="20"/>
          <w:color w:val="auto"/>
        </w:rPr>
      </w:pPr>
    </w:p>
    <w:p>
      <w:pPr>
        <w:jc w:val="both"/>
        <w:ind w:right="380"/>
        <w:spacing w:after="0" w:line="241" w:lineRule="exact"/>
        <w:rPr>
          <w:sz w:val="20"/>
          <w:szCs w:val="20"/>
          <w:color w:val="auto"/>
        </w:rPr>
      </w:pPr>
      <w:r>
        <w:rPr>
          <w:rFonts w:ascii="Times New Roman" w:cs="Times New Roman" w:eastAsia="Times New Roman" w:hAnsi="Times New Roman"/>
          <w:sz w:val="20"/>
          <w:szCs w:val="20"/>
          <w:color w:val="auto"/>
        </w:rPr>
        <w:t>Despite a mixed macroeconomic backdrop, Ashland’s core Personal Care and Life Sciences end markets continue to show resilience, underpinned by stable fundamentals and sustained momentum in innovation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led and globalized product offerings. Second quarter sales trends were encouraging, reflecting solid momentum across several consumer</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focused markets, with early third quarter activity showing a continuation of this commercial strength. While cost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savings initiatives remain in progress, a slower</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than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anticipated productivity ramp</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up associated with the Hopewell HEC manufacturing site is delaying the pace of benefit realization. Ashland continues to expect the year to follow a typical seasonal cadence, with stronger performance anticipated in the second half as commercial activity builds and operational stability improves.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Updating prior guidance</w:t>
      </w:r>
    </w:p>
    <w:p>
      <w:pPr>
        <w:spacing w:after="0" w:line="108" w:lineRule="exact"/>
        <w:rPr>
          <w:sz w:val="20"/>
          <w:szCs w:val="20"/>
          <w:color w:val="auto"/>
        </w:rPr>
      </w:pPr>
    </w:p>
    <w:p>
      <w:pPr>
        <w:ind w:left="640" w:hanging="503"/>
        <w:spacing w:after="0"/>
        <w:tabs>
          <w:tab w:leader="none" w:pos="6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Sales: </w:t>
      </w:r>
      <w:r>
        <w:rPr>
          <w:rFonts w:ascii="Times New Roman" w:cs="Times New Roman" w:eastAsia="Times New Roman" w:hAnsi="Times New Roman"/>
          <w:sz w:val="20"/>
          <w:szCs w:val="20"/>
          <w:color w:val="auto"/>
        </w:rPr>
        <w:t>$1,835 to $1,870 million</w:t>
      </w:r>
    </w:p>
    <w:p>
      <w:pPr>
        <w:spacing w:after="0" w:line="107" w:lineRule="exact"/>
        <w:rPr>
          <w:rFonts w:ascii="Times New Roman" w:cs="Times New Roman" w:eastAsia="Times New Roman" w:hAnsi="Times New Roman"/>
          <w:sz w:val="20"/>
          <w:szCs w:val="20"/>
          <w:color w:val="auto"/>
        </w:rPr>
      </w:pPr>
    </w:p>
    <w:p>
      <w:pPr>
        <w:ind w:left="640" w:hanging="503"/>
        <w:spacing w:after="0"/>
        <w:tabs>
          <w:tab w:leader="none" w:pos="6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Adjusted EBITDA: </w:t>
      </w:r>
      <w:r>
        <w:rPr>
          <w:rFonts w:ascii="Times New Roman" w:cs="Times New Roman" w:eastAsia="Times New Roman" w:hAnsi="Times New Roman"/>
          <w:sz w:val="20"/>
          <w:szCs w:val="20"/>
          <w:color w:val="auto"/>
        </w:rPr>
        <w:t>$385 million to $400 million</w:t>
      </w:r>
    </w:p>
    <w:p>
      <w:pPr>
        <w:spacing w:after="0" w:line="107" w:lineRule="exact"/>
        <w:rPr>
          <w:rFonts w:ascii="Times New Roman" w:cs="Times New Roman" w:eastAsia="Times New Roman" w:hAnsi="Times New Roman"/>
          <w:sz w:val="20"/>
          <w:szCs w:val="20"/>
          <w:color w:val="auto"/>
        </w:rPr>
      </w:pPr>
    </w:p>
    <w:p>
      <w:pPr>
        <w:ind w:left="640" w:hanging="503"/>
        <w:spacing w:after="0"/>
        <w:tabs>
          <w:tab w:leader="none" w:pos="6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Adjusted Diluted Earnings Per Share Excluding Intangibles Amortization: </w:t>
      </w:r>
      <w:r>
        <w:rPr>
          <w:rFonts w:ascii="Times New Roman" w:cs="Times New Roman" w:eastAsia="Times New Roman" w:hAnsi="Times New Roman"/>
          <w:sz w:val="20"/>
          <w:szCs w:val="20"/>
          <w:color w:val="auto"/>
        </w:rPr>
        <w:t>mid-to-high single-digit growth</w:t>
      </w:r>
    </w:p>
    <w:p>
      <w:pPr>
        <w:spacing w:after="0" w:line="107" w:lineRule="exact"/>
        <w:rPr>
          <w:rFonts w:ascii="Times New Roman" w:cs="Times New Roman" w:eastAsia="Times New Roman" w:hAnsi="Times New Roman"/>
          <w:sz w:val="20"/>
          <w:szCs w:val="20"/>
          <w:color w:val="auto"/>
        </w:rPr>
      </w:pPr>
    </w:p>
    <w:p>
      <w:pPr>
        <w:ind w:left="640" w:hanging="503"/>
        <w:spacing w:after="0" w:line="273" w:lineRule="auto"/>
        <w:tabs>
          <w:tab w:leader="none" w:pos="6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Ongoing Free Cash Flow Conversion: </w:t>
      </w:r>
      <w:r>
        <w:rPr>
          <w:rFonts w:ascii="Times New Roman" w:cs="Times New Roman" w:eastAsia="Times New Roman" w:hAnsi="Times New Roman"/>
          <w:sz w:val="20"/>
          <w:szCs w:val="20"/>
          <w:color w:val="auto"/>
        </w:rPr>
        <w:t>approximately 50 percent of Adjusted EBITDA with capital expenditures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approximately $100 million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planning assumptions</w:t>
      </w:r>
    </w:p>
    <w:p>
      <w:pPr>
        <w:spacing w:after="0" w:line="112" w:lineRule="exact"/>
        <w:rPr>
          <w:sz w:val="20"/>
          <w:szCs w:val="20"/>
          <w:color w:val="auto"/>
        </w:rPr>
      </w:pPr>
    </w:p>
    <w:p>
      <w:pPr>
        <w:ind w:left="640" w:hanging="503"/>
        <w:spacing w:after="0"/>
        <w:tabs>
          <w:tab w:leader="none" w:pos="6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Portfolio Optimization initiatives completed last year continue to support mix improvement and structural margin resiliency</w:t>
      </w:r>
    </w:p>
    <w:p>
      <w:pPr>
        <w:spacing w:after="0" w:line="107" w:lineRule="exact"/>
        <w:rPr>
          <w:rFonts w:ascii="Times New Roman" w:cs="Times New Roman" w:eastAsia="Times New Roman" w:hAnsi="Times New Roman"/>
          <w:sz w:val="20"/>
          <w:szCs w:val="20"/>
          <w:color w:val="auto"/>
        </w:rPr>
      </w:pPr>
    </w:p>
    <w:p>
      <w:pPr>
        <w:ind w:left="640" w:hanging="503"/>
        <w:spacing w:after="0" w:line="269" w:lineRule="auto"/>
        <w:tabs>
          <w:tab w:leader="none" w:pos="6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Demand in Life Sciences and Personal Care is expected to remain resilient, supported by stable fundamentals and progress across innovation-driven and globalized product lines</w:t>
      </w:r>
    </w:p>
    <w:p>
      <w:pPr>
        <w:spacing w:after="0" w:line="51" w:lineRule="exact"/>
        <w:rPr>
          <w:rFonts w:ascii="Times New Roman" w:cs="Times New Roman" w:eastAsia="Times New Roman" w:hAnsi="Times New Roman"/>
          <w:sz w:val="20"/>
          <w:szCs w:val="20"/>
          <w:color w:val="auto"/>
        </w:rPr>
      </w:pPr>
    </w:p>
    <w:p>
      <w:pPr>
        <w:jc w:val="both"/>
        <w:ind w:left="640" w:hanging="503"/>
        <w:spacing w:after="0" w:line="249" w:lineRule="auto"/>
        <w:tabs>
          <w:tab w:leader="none" w:pos="6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Specialty Additives and Intermediates markets remain stable at trough levels, with a coatings recovery expected to be regionally uneven until broader industrial and housing activity improves. In Specialty Additives the company is expanding its coatings product offering to shift momentum to overall growth. Against this backdrop, the outlook differs across key end markets, with specific areas under pressure:</w:t>
      </w:r>
    </w:p>
    <w:p>
      <w:pPr>
        <w:spacing w:after="0" w:line="39" w:lineRule="exact"/>
        <w:rPr>
          <w:rFonts w:ascii="Times New Roman" w:cs="Times New Roman" w:eastAsia="Times New Roman" w:hAnsi="Times New Roman"/>
          <w:sz w:val="20"/>
          <w:szCs w:val="20"/>
          <w:color w:val="auto"/>
        </w:rPr>
      </w:pPr>
    </w:p>
    <w:p>
      <w:pPr>
        <w:ind w:left="1160" w:hanging="509"/>
        <w:spacing w:after="0" w:line="288" w:lineRule="exact"/>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oConstruction is expected to remain a year</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over</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year headwind as the company actively manages product mix toward higher</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value, pharma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grade applications.</w:t>
      </w:r>
    </w:p>
    <w:p>
      <w:pPr>
        <w:spacing w:after="0" w:line="50" w:lineRule="exact"/>
        <w:rPr>
          <w:rFonts w:ascii="Times New Roman" w:cs="Times New Roman" w:eastAsia="Times New Roman" w:hAnsi="Times New Roman"/>
          <w:sz w:val="20"/>
          <w:szCs w:val="20"/>
          <w:color w:val="auto"/>
        </w:rPr>
      </w:pPr>
    </w:p>
    <w:p>
      <w:pPr>
        <w:ind w:left="1160" w:hanging="509"/>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oEnergy, a smaller end market exposure, is expected to decline in the second half due to the evolving conflict in the Middle East.</w:t>
      </w:r>
    </w:p>
    <w:p>
      <w:pPr>
        <w:spacing w:after="0" w:line="19" w:lineRule="exact"/>
        <w:rPr>
          <w:rFonts w:ascii="Times New Roman" w:cs="Times New Roman" w:eastAsia="Times New Roman" w:hAnsi="Times New Roman"/>
          <w:sz w:val="20"/>
          <w:szCs w:val="20"/>
          <w:color w:val="auto"/>
        </w:rPr>
      </w:pPr>
    </w:p>
    <w:p>
      <w:pPr>
        <w:ind w:left="640"/>
        <w:spacing w:after="0" w:line="230" w:lineRule="exact"/>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9"/>
          <w:szCs w:val="19"/>
          <w:color w:val="auto"/>
        </w:rPr>
        <w:t>EV battery manufacturing build</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outs continue to be delayed amid softer demand.</w:t>
      </w:r>
    </w:p>
    <w:p>
      <w:pPr>
        <w:spacing w:after="0" w:line="152" w:lineRule="exact"/>
        <w:rPr>
          <w:rFonts w:ascii="Times New Roman" w:cs="Times New Roman" w:eastAsia="Times New Roman" w:hAnsi="Times New Roman"/>
          <w:sz w:val="20"/>
          <w:szCs w:val="20"/>
          <w:color w:val="auto"/>
        </w:rPr>
      </w:pPr>
    </w:p>
    <w:p>
      <w:pPr>
        <w:ind w:left="640" w:right="20" w:hanging="503"/>
        <w:spacing w:after="0" w:line="269" w:lineRule="auto"/>
        <w:tabs>
          <w:tab w:leader="none" w:pos="6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Growth in high-value globalized platforms including biofunctional actives, microbial protection, injectables, and tablet coatings is expected to outpace underlying markets</w:t>
      </w:r>
    </w:p>
    <w:p>
      <w:pPr>
        <w:spacing w:after="0" w:line="51" w:lineRule="exact"/>
        <w:rPr>
          <w:rFonts w:ascii="Times New Roman" w:cs="Times New Roman" w:eastAsia="Times New Roman" w:hAnsi="Times New Roman"/>
          <w:sz w:val="20"/>
          <w:szCs w:val="20"/>
          <w:color w:val="auto"/>
        </w:rPr>
      </w:pPr>
    </w:p>
    <w:p>
      <w:pPr>
        <w:jc w:val="both"/>
        <w:ind w:left="640" w:hanging="503"/>
        <w:spacing w:after="0" w:line="244" w:lineRule="exact"/>
        <w:tabs>
          <w:tab w:leader="none" w:pos="6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manufacturing optimization program is progressing; however, fiscal 2026 savings expectations have been reduced by approximately $10 to $12 million, reflecting delayed benefit realization driven primarily by a slower</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than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anticipated productivity ramp</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up at the Hopewell HEC site. Corrective actions are underway, with gradual improvement expected as operational stability is restored over time</w:t>
      </w:r>
    </w:p>
    <w:p>
      <w:pPr>
        <w:spacing w:after="0" w:line="79" w:lineRule="exact"/>
        <w:rPr>
          <w:rFonts w:ascii="Times New Roman" w:cs="Times New Roman" w:eastAsia="Times New Roman" w:hAnsi="Times New Roman"/>
          <w:sz w:val="20"/>
          <w:szCs w:val="20"/>
          <w:color w:val="auto"/>
        </w:rPr>
      </w:pPr>
    </w:p>
    <w:p>
      <w:pPr>
        <w:ind w:left="640" w:hanging="503"/>
        <w:spacing w:after="0"/>
        <w:tabs>
          <w:tab w:leader="none" w:pos="6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Raw material and freight costs are expected to trend higher amid geopolitically related supply pressures in the Middle East</w:t>
      </w:r>
    </w:p>
    <w:p>
      <w:pPr>
        <w:spacing w:after="0" w:line="107" w:lineRule="exact"/>
        <w:rPr>
          <w:rFonts w:ascii="Times New Roman" w:cs="Times New Roman" w:eastAsia="Times New Roman" w:hAnsi="Times New Roman"/>
          <w:sz w:val="20"/>
          <w:szCs w:val="20"/>
          <w:color w:val="auto"/>
        </w:rPr>
      </w:pPr>
    </w:p>
    <w:p>
      <w:pPr>
        <w:ind w:left="640" w:hanging="503"/>
        <w:spacing w:after="0" w:line="269" w:lineRule="auto"/>
        <w:tabs>
          <w:tab w:leader="none" w:pos="6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 believes it is favorably positioned on the global cost curve and has implemented recent pricing actions that are expected to substantially offset these impacts</w:t>
      </w:r>
    </w:p>
    <w:p>
      <w:pPr>
        <w:spacing w:after="0" w:line="51" w:lineRule="exact"/>
        <w:rPr>
          <w:rFonts w:ascii="Times New Roman" w:cs="Times New Roman" w:eastAsia="Times New Roman" w:hAnsi="Times New Roman"/>
          <w:sz w:val="20"/>
          <w:szCs w:val="20"/>
          <w:color w:val="auto"/>
        </w:rPr>
      </w:pPr>
    </w:p>
    <w:p>
      <w:pPr>
        <w:ind w:left="640" w:hanging="503"/>
        <w:spacing w:after="0" w:line="269" w:lineRule="auto"/>
        <w:tabs>
          <w:tab w:leader="none" w:pos="6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Tariff-related uncertainty remains elevated, and the outlook assumes no material incremental impacts beyond known exposures, with mitigation actions aligned to current regulatory expectations</w:t>
      </w:r>
    </w:p>
    <w:p>
      <w:pPr>
        <w:spacing w:after="0" w:line="27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08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112"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Ashland’s market risk exposure at March 31, 2026 is generally consistent with the types of market risk exposures presented in Ashland’s Annual Report on Form 10-K for the fiscal year ended September 30, 2025.</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108" w:lineRule="exact"/>
        <w:rPr>
          <w:sz w:val="20"/>
          <w:szCs w:val="20"/>
          <w:color w:val="auto"/>
        </w:rPr>
      </w:pPr>
    </w:p>
    <w:p>
      <w:pPr>
        <w:jc w:val="both"/>
        <w:ind w:left="38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Disclosure Controls and Procedures </w:t>
      </w:r>
      <w:r>
        <w:rPr>
          <w:rFonts w:ascii="Times New Roman" w:cs="Times New Roman" w:eastAsia="Times New Roman" w:hAnsi="Times New Roman"/>
          <w:sz w:val="20"/>
          <w:szCs w:val="20"/>
          <w:color w:val="auto"/>
        </w:rPr>
        <w:t>- As of the end of the period covered by this quarterly report, Ashland, under the supervision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with the participation of its management, including Ashland’s Chief Executive Officer and its Chief Financial Officer, evaluated the effectiveness of Ashland’s disclosure controls and procedures pursuant to Rule 13a-15(b) and 15d-15(b) promulgated under the Securities Exchange Act of 1934, as amended. Based upon that evaluation, the Chief Executive Officer and Chief Financial Officer concluded that the disclosure controls and procedures were effective as of March 31, 2026.</w:t>
      </w:r>
    </w:p>
    <w:p>
      <w:pPr>
        <w:spacing w:after="0" w:line="72" w:lineRule="exact"/>
        <w:rPr>
          <w:sz w:val="20"/>
          <w:szCs w:val="20"/>
          <w:color w:val="auto"/>
        </w:rPr>
      </w:pPr>
    </w:p>
    <w:p>
      <w:pPr>
        <w:jc w:val="both"/>
        <w:ind w:left="380"/>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Changes in Internal Control over Financial Reporting </w:t>
      </w:r>
      <w:r>
        <w:rPr>
          <w:rFonts w:ascii="Times New Roman" w:cs="Times New Roman" w:eastAsia="Times New Roman" w:hAnsi="Times New Roman"/>
          <w:sz w:val="20"/>
          <w:szCs w:val="20"/>
          <w:color w:val="auto"/>
        </w:rPr>
        <w:t>- During the six months ended March 31, 2026, there were no significant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changes in Ashland's internal control over financial reporting, or in other factors, that occurred during the period covered by this quarterly report that have materially affected, or are reasonably likely to materially affect, Ashland's internal control over financial reporting.</w:t>
      </w:r>
    </w:p>
    <w:p>
      <w:pPr>
        <w:spacing w:after="0" w:line="7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977" w:right="719" w:bottom="1440" w:gutter="0" w:footer="0" w:header="0"/>
        </w:sectPr>
      </w:pPr>
    </w:p>
    <w:bookmarkStart w:id="60" w:name="page61"/>
    <w:bookmarkEnd w:id="60"/>
    <w:p>
      <w:pPr>
        <w:jc w:val="center"/>
        <w:ind w:right="-379"/>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112"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The following is a description of Ashland’s material legal proceedings. Ashland’s threshold for disclosing material environmental legal proceedings involving a governmental authority where potential monetary sanctions are involved is $1 million.</w:t>
      </w:r>
    </w:p>
    <w:p>
      <w:pPr>
        <w:spacing w:after="0" w:line="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Asbestos-Related Litigation</w:t>
      </w:r>
    </w:p>
    <w:p>
      <w:pPr>
        <w:spacing w:after="0" w:line="112" w:lineRule="exact"/>
        <w:rPr>
          <w:sz w:val="20"/>
          <w:szCs w:val="20"/>
          <w:color w:val="auto"/>
        </w:rPr>
      </w:pPr>
    </w:p>
    <w:p>
      <w:pPr>
        <w:jc w:val="both"/>
        <w:ind w:left="380"/>
        <w:spacing w:after="0" w:line="249" w:lineRule="auto"/>
        <w:rPr>
          <w:sz w:val="20"/>
          <w:szCs w:val="20"/>
          <w:color w:val="auto"/>
        </w:rPr>
      </w:pPr>
      <w:r>
        <w:rPr>
          <w:rFonts w:ascii="Times New Roman" w:cs="Times New Roman" w:eastAsia="Times New Roman" w:hAnsi="Times New Roman"/>
          <w:sz w:val="20"/>
          <w:szCs w:val="20"/>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Although Riley was neither a producer nor a manufacturer of asbestos, its industrial boilers contained some asbestos-containing components provided by other companies.</w:t>
      </w:r>
    </w:p>
    <w:p>
      <w:pPr>
        <w:spacing w:after="0" w:line="72"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Hercules LLC (formerly Hercules Incorporated), an indirect wholly-owned subsidiary of Ashland, is also subject to liabilities from asbestos-related personal injury lawsuits involving claims which typically arise from alleged exposure to asbestos fibers from resin encapsulated pipe and tank products which were sold by one of Hercules’ former subsidiaries to a limited industrial market.</w:t>
      </w:r>
    </w:p>
    <w:p>
      <w:pPr>
        <w:spacing w:after="0" w:line="66"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Ashland and Hercules are also defendants in lawsuits alleging exposure to asbestos at facilities formerly or presently owned or operated by Ashland or Hercules.</w:t>
      </w:r>
    </w:p>
    <w:p>
      <w:pPr>
        <w:spacing w:after="0" w:line="51"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For additional detailed information regarding liabilities arising from asbestos-related litigation, see Note L of the Notes to Condensed Consolidated Financial Statements in this quarterly report on Form 10-Q.</w:t>
      </w:r>
    </w:p>
    <w:p>
      <w:pPr>
        <w:spacing w:after="0" w:line="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Environmental Proceedings</w:t>
      </w:r>
    </w:p>
    <w:p>
      <w:pPr>
        <w:spacing w:after="0" w:line="108" w:lineRule="exact"/>
        <w:rPr>
          <w:sz w:val="20"/>
          <w:szCs w:val="20"/>
          <w:color w:val="auto"/>
        </w:rPr>
      </w:pPr>
    </w:p>
    <w:p>
      <w:pPr>
        <w:jc w:val="both"/>
        <w:ind w:left="380" w:firstLine="2"/>
        <w:spacing w:after="0" w:line="243" w:lineRule="auto"/>
        <w:tabs>
          <w:tab w:leader="none" w:pos="664" w:val="left"/>
        </w:tabs>
        <w:numPr>
          <w:ilvl w:val="0"/>
          <w:numId w:val="5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CERCLA and Similar State Law Sites - </w:t>
      </w:r>
      <w:r>
        <w:rPr>
          <w:rFonts w:ascii="Times New Roman" w:cs="Times New Roman" w:eastAsia="Times New Roman" w:hAnsi="Times New Roman"/>
          <w:sz w:val="20"/>
          <w:szCs w:val="20"/>
          <w:color w:val="auto"/>
        </w:rPr>
        <w:t>Under the Comprehensive Environmental Response, Compensation and Liability Act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1980 and similar state laws, Ashland and its subsidiaries may be subject to joint and several liability for cleanup costs in connection with alleged releases of hazardous substances at sites where it has been identified as a “potentially responsible party” (PRP). As of March 31, 2026, Ashland and its subsidiaries have been identified as a PRP by U.S. federal and state authorities, or by private parties seeking contribution, for the cost of environmental investigation and/or cleanup at 52 sites. These sites are currently subject to ongoing investigation and remedial activities, overseen by the United States Environmental Protection Agency (USEPA) or a state agency, in which Ashland or its subsidiaries are typically participating as a member of a PRP group. Generally, the types of relief sought include remediation of contaminated soil and/or groundwater, reimbursement for past costs of site cleanup and administrative oversight and/or long-term monitoring of environmental conditions at the sites. The ultimate costs are not predictable with assurance.</w:t>
      </w:r>
    </w:p>
    <w:p>
      <w:pPr>
        <w:spacing w:after="0" w:line="74" w:lineRule="exact"/>
        <w:rPr>
          <w:rFonts w:ascii="Times New Roman" w:cs="Times New Roman" w:eastAsia="Times New Roman" w:hAnsi="Times New Roman"/>
          <w:sz w:val="20"/>
          <w:szCs w:val="20"/>
          <w:i w:val="1"/>
          <w:iCs w:val="1"/>
          <w:color w:val="auto"/>
        </w:rPr>
      </w:pPr>
    </w:p>
    <w:p>
      <w:pPr>
        <w:jc w:val="both"/>
        <w:ind w:left="380" w:firstLine="2"/>
        <w:spacing w:after="0" w:line="242" w:lineRule="auto"/>
        <w:tabs>
          <w:tab w:leader="none" w:pos="683" w:val="left"/>
        </w:tabs>
        <w:numPr>
          <w:ilvl w:val="0"/>
          <w:numId w:val="5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Lower Passaic River, New Jersey Matters - </w:t>
      </w:r>
      <w:r>
        <w:rPr>
          <w:rFonts w:ascii="Times New Roman" w:cs="Times New Roman" w:eastAsia="Times New Roman" w:hAnsi="Times New Roman"/>
          <w:sz w:val="20"/>
          <w:szCs w:val="20"/>
          <w:color w:val="auto"/>
        </w:rPr>
        <w:t>Ashland, through two formerly owned facilities, and ISP, through a now-closed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facility, have been identified as PRPs, along with approximately 70 other companies (the Cooperating Parties Group or the CPG), in a May 2007 Administrative Order of Consent (AOOC) with the USEPA. The parties are required to perform a remedial investigation and feasibility study (RI/FS) of the entire 17 miles of the Passaic River. In June 2007, the USEPA separately commenced a Focused Feasibility Study (FFS) as an interim measure. In accordance with the 2007 AOOC, in June 2012 the CPG voluntarily entered into another AOOC for an interim removal action focused solely at mile 10.9 of the Passaic River. The allocations for the 2007 AOOC and the 2012 removal action are based on interim allocations, are immaterial and have been accrued. In April 2014, the USEPA released the FFS. The CPG submitted the Draft RI/FS Report on April 30, 2015. The USEPA has released the FFS Record of Decision for the lower 8 miles and reached an agreement with another chemical company to conduct and pay for the remedial design. This chemical company has sued Ashland, ISP and numerous other defendants to recover past and future costs pursuant to the CERCLA. Ashland and ISP participated in an USEPA allocation process that resulted in a partial settlement with the EPA. Possible future allocation proceedings are not expected to have a significant impact to Ashland.</w:t>
      </w:r>
    </w:p>
    <w:p>
      <w:pPr>
        <w:spacing w:after="0" w:line="83" w:lineRule="exact"/>
        <w:rPr>
          <w:sz w:val="20"/>
          <w:szCs w:val="20"/>
          <w:color w:val="auto"/>
        </w:rPr>
      </w:pPr>
    </w:p>
    <w:p>
      <w:pPr>
        <w:ind w:left="380"/>
        <w:spacing w:after="0" w:line="269" w:lineRule="auto"/>
        <w:rPr>
          <w:sz w:val="20"/>
          <w:szCs w:val="20"/>
          <w:color w:val="auto"/>
        </w:rPr>
      </w:pPr>
      <w:r>
        <w:rPr>
          <w:rFonts w:ascii="Times New Roman" w:cs="Times New Roman" w:eastAsia="Times New Roman" w:hAnsi="Times New Roman"/>
          <w:sz w:val="20"/>
          <w:szCs w:val="20"/>
          <w:color w:val="auto"/>
        </w:rPr>
        <w:t>For additional information regarding environmental matters and reserves, see Note L of the Notes to Condensed Consolidated Financial Statements in this quarterly report on Form 10-Q.</w:t>
      </w:r>
    </w:p>
    <w:p>
      <w:pPr>
        <w:spacing w:after="0" w:line="5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977" w:right="719" w:bottom="1440" w:gutter="0" w:footer="0" w:header="0"/>
        </w:sectPr>
      </w:pPr>
    </w:p>
    <w:bookmarkStart w:id="61" w:name="page62"/>
    <w:bookmarkEnd w:id="61"/>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Other Pending Legal Proceedings</w:t>
      </w:r>
    </w:p>
    <w:p>
      <w:pPr>
        <w:spacing w:after="0" w:line="112" w:lineRule="exact"/>
        <w:rPr>
          <w:sz w:val="20"/>
          <w:szCs w:val="20"/>
          <w:color w:val="auto"/>
        </w:rPr>
      </w:pPr>
    </w:p>
    <w:p>
      <w:pPr>
        <w:jc w:val="both"/>
        <w:ind w:left="380" w:right="40"/>
        <w:spacing w:after="0" w:line="245" w:lineRule="auto"/>
        <w:rPr>
          <w:sz w:val="20"/>
          <w:szCs w:val="20"/>
          <w:color w:val="auto"/>
        </w:rPr>
      </w:pPr>
      <w:r>
        <w:rPr>
          <w:rFonts w:ascii="Times New Roman" w:cs="Times New Roman" w:eastAsia="Times New Roman" w:hAnsi="Times New Roman"/>
          <w:sz w:val="20"/>
          <w:szCs w:val="20"/>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as of March 31, 2026. There is a reasonable possibility that a loss exceeding amounts already recognized may be incurred related to these actions; however, Ashland believes that such potential losses were immaterial as of March 31, 2026.</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12" w:lineRule="exact"/>
        <w:rPr>
          <w:sz w:val="20"/>
          <w:szCs w:val="20"/>
          <w:color w:val="auto"/>
        </w:rPr>
      </w:pPr>
    </w:p>
    <w:p>
      <w:pPr>
        <w:jc w:val="both"/>
        <w:ind w:left="380" w:right="40"/>
        <w:spacing w:after="0" w:line="269" w:lineRule="auto"/>
        <w:rPr>
          <w:sz w:val="20"/>
          <w:szCs w:val="20"/>
          <w:color w:val="auto"/>
        </w:rPr>
      </w:pPr>
      <w:r>
        <w:rPr>
          <w:rFonts w:ascii="Times New Roman" w:cs="Times New Roman" w:eastAsia="Times New Roman" w:hAnsi="Times New Roman"/>
          <w:sz w:val="20"/>
          <w:szCs w:val="20"/>
          <w:color w:val="auto"/>
        </w:rPr>
        <w:t>During the period covered by this report, there were no material changes from the risk factors previously disclosed in Ashland’s Annual Report on Form 10-K for the fiscal year ended September 30, 2025.</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Share repurchase activity during the three months ended March 31, 2026 was as follow:</w:t>
      </w:r>
    </w:p>
    <w:p>
      <w:pPr>
        <w:spacing w:after="0" w:line="124" w:lineRule="exact"/>
        <w:rPr>
          <w:sz w:val="20"/>
          <w:szCs w:val="20"/>
          <w:color w:val="auto"/>
        </w:rPr>
      </w:pPr>
    </w:p>
    <w:tbl>
      <w:tblPr>
        <w:tblLayout w:type="fixed"/>
        <w:tblInd w:w="340" w:type="dxa"/>
        <w:tblCellMar>
          <w:top w:w="0" w:type="dxa"/>
          <w:left w:w="0" w:type="dxa"/>
          <w:bottom w:w="0" w:type="dxa"/>
          <w:right w:w="0" w:type="dxa"/>
        </w:tblCellMar>
      </w:tblPr>
      <w:tr>
        <w:trPr>
          <w:trHeight w:val="248"/>
        </w:trPr>
        <w:tc>
          <w:tcPr>
            <w:tcW w:w="3740" w:type="dxa"/>
            <w:vAlign w:val="bottom"/>
            <w:tcBorders>
              <w:top w:val="single" w:sz="8" w:color="auto"/>
            </w:tcBorders>
          </w:tcPr>
          <w:p>
            <w:pPr>
              <w:spacing w:after="0"/>
              <w:rPr>
                <w:sz w:val="21"/>
                <w:szCs w:val="21"/>
                <w:color w:val="auto"/>
              </w:rPr>
            </w:pPr>
          </w:p>
        </w:tc>
        <w:tc>
          <w:tcPr>
            <w:tcW w:w="340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Issuer Purchases of Equity Securities</w:t>
            </w:r>
          </w:p>
        </w:tc>
        <w:tc>
          <w:tcPr>
            <w:tcW w:w="16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rPr>
              <w:t>Dollar Value of</w:t>
            </w:r>
          </w:p>
        </w:tc>
        <w:tc>
          <w:tcPr>
            <w:tcW w:w="0" w:type="dxa"/>
            <w:vAlign w:val="bottom"/>
          </w:tcPr>
          <w:p>
            <w:pPr>
              <w:spacing w:after="0"/>
              <w:rPr>
                <w:sz w:val="1"/>
                <w:szCs w:val="1"/>
                <w:color w:val="auto"/>
              </w:rPr>
            </w:pPr>
          </w:p>
        </w:tc>
      </w:tr>
      <w:tr>
        <w:trPr>
          <w:trHeight w:val="179"/>
        </w:trPr>
        <w:tc>
          <w:tcPr>
            <w:tcW w:w="37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Total 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Shares that May</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Average Price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Be Purchased</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Paid Per Share,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as Part of Publicly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Under the Plans</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94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Total Number of</w:t>
            </w:r>
          </w:p>
        </w:tc>
        <w:tc>
          <w:tcPr>
            <w:tcW w:w="14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9"/>
              </w:rPr>
              <w:t>including</w:t>
            </w:r>
          </w:p>
        </w:tc>
        <w:tc>
          <w:tcPr>
            <w:tcW w:w="1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Announced Plans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rPr>
              <w:t>or Programs</w:t>
            </w:r>
          </w:p>
        </w:tc>
        <w:tc>
          <w:tcPr>
            <w:tcW w:w="0" w:type="dxa"/>
            <w:vAlign w:val="bottom"/>
          </w:tcPr>
          <w:p>
            <w:pPr>
              <w:spacing w:after="0"/>
              <w:rPr>
                <w:sz w:val="1"/>
                <w:szCs w:val="1"/>
                <w:color w:val="auto"/>
              </w:rPr>
            </w:pPr>
          </w:p>
        </w:tc>
      </w:tr>
      <w:tr>
        <w:trPr>
          <w:trHeight w:val="25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Q2 Fiscal Periods</w:t>
            </w:r>
          </w:p>
        </w:tc>
        <w:tc>
          <w:tcPr>
            <w:tcW w:w="19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Shares Purchased</w:t>
            </w:r>
          </w:p>
        </w:tc>
        <w:tc>
          <w:tcPr>
            <w:tcW w:w="14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8"/>
              </w:rPr>
              <w:t>commission</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Programs</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50"/>
              <w:spacing w:after="0" w:line="255" w:lineRule="exact"/>
              <w:rPr>
                <w:sz w:val="20"/>
                <w:szCs w:val="20"/>
                <w:color w:val="auto"/>
              </w:rPr>
            </w:pPr>
            <w:r>
              <w:rPr>
                <w:rFonts w:ascii="Times New Roman" w:cs="Times New Roman" w:eastAsia="Times New Roman" w:hAnsi="Times New Roman"/>
                <w:sz w:val="18"/>
                <w:szCs w:val="18"/>
                <w:color w:val="auto"/>
                <w:w w:val="95"/>
              </w:rPr>
              <w:t>(in millions)</w:t>
            </w:r>
            <w:r>
              <w:rPr>
                <w:rFonts w:ascii="Times New Roman" w:cs="Times New Roman" w:eastAsia="Times New Roman" w:hAnsi="Times New Roman"/>
                <w:sz w:val="24"/>
                <w:szCs w:val="24"/>
                <w:color w:val="auto"/>
                <w:w w:val="95"/>
                <w:vertAlign w:val="superscript"/>
              </w:rPr>
              <w:t>(a)</w:t>
            </w:r>
          </w:p>
        </w:tc>
        <w:tc>
          <w:tcPr>
            <w:tcW w:w="0" w:type="dxa"/>
            <w:vAlign w:val="bottom"/>
          </w:tcPr>
          <w:p>
            <w:pPr>
              <w:spacing w:after="0"/>
              <w:rPr>
                <w:sz w:val="1"/>
                <w:szCs w:val="1"/>
                <w:color w:val="auto"/>
              </w:rPr>
            </w:pPr>
          </w:p>
        </w:tc>
      </w:tr>
      <w:tr>
        <w:trPr>
          <w:trHeight w:val="20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 2026 to January 31, 2026</w:t>
            </w:r>
          </w:p>
        </w:tc>
        <w:tc>
          <w:tcPr>
            <w:tcW w:w="194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2026 to February 28, 2026</w:t>
            </w:r>
          </w:p>
        </w:tc>
        <w:tc>
          <w:tcPr>
            <w:tcW w:w="1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1, 2026 to March 31, 2026</w:t>
            </w:r>
          </w:p>
        </w:tc>
        <w:tc>
          <w:tcPr>
            <w:tcW w:w="170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1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18"/>
                <w:szCs w:val="18"/>
                <w:color w:val="auto"/>
              </w:rPr>
            </w:pPr>
          </w:p>
        </w:tc>
        <w:tc>
          <w:tcPr>
            <w:tcW w:w="16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-222250</wp:posOffset>
            </wp:positionV>
            <wp:extent cx="7747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-222250</wp:posOffset>
            </wp:positionV>
            <wp:extent cx="6858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both"/>
        <w:ind w:left="740" w:right="40" w:hanging="358"/>
        <w:spacing w:after="0" w:line="241" w:lineRule="auto"/>
        <w:tabs>
          <w:tab w:leader="none" w:pos="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28, 2023, Ashland's board of directors authorized a new evergreen $1 billion common share repurchase program (2023 Stock Repurchase Program). The new authorization terminated and replaced the 2022 Stock Repurchase Program, which had $200 million outstanding at the date of termination. As of March 31, 2026, $520 million remained available for repurchase under this authorization.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Securities Trading Plans of Directors and Executive Officers</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NONE.</w:t>
      </w:r>
    </w:p>
    <w:p>
      <w:pPr>
        <w:spacing w:after="0" w:line="1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085" w:right="6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0"/>
          <w:szCs w:val="20"/>
          <w:b w:val="1"/>
          <w:bCs w:val="1"/>
          <w:color w:val="auto"/>
        </w:rPr>
        <w:t>ITEM 6. EXHIBITS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Exhibits</w:t>
      </w:r>
    </w:p>
    <w:p>
      <w:pPr>
        <w:spacing w:after="0" w:line="229" w:lineRule="exact"/>
        <w:rPr>
          <w:sz w:val="20"/>
          <w:szCs w:val="20"/>
          <w:color w:val="auto"/>
        </w:rPr>
      </w:pPr>
    </w:p>
    <w:p>
      <w:pPr>
        <w:spacing w:after="0"/>
        <w:tabs>
          <w:tab w:leader="none" w:pos="1320" w:val="left"/>
        </w:tabs>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3.1</w:t>
      </w:r>
      <w:r>
        <w:rPr>
          <w:sz w:val="20"/>
          <w:szCs w:val="20"/>
          <w:color w:val="auto"/>
        </w:rPr>
        <w:tab/>
      </w:r>
      <w:hyperlink r:id="rId611">
        <w:r>
          <w:rPr>
            <w:rFonts w:ascii="Times New Roman" w:cs="Times New Roman" w:eastAsia="Times New Roman" w:hAnsi="Times New Roman"/>
            <w:sz w:val="20"/>
            <w:szCs w:val="20"/>
            <w:u w:val="single" w:color="auto"/>
            <w:color w:val="0000FF"/>
          </w:rPr>
          <w:t>Amended and Restated Articles of Incorporation of Ashland Global Holdings Inc. (filed as Exhibit 3.1 to Ashland’s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-10795</wp:posOffset>
            </wp:positionV>
            <wp:extent cx="625221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2">
                      <a:extLst>
                        <a:ext uri="{28A0092B-C50C-407E-A947-70E740481C1C}"/>
                      </a:extLst>
                    </a:blip>
                    <a:srcRect/>
                    <a:stretch>
                      <a:fillRect/>
                    </a:stretch>
                  </pic:blipFill>
                  <pic:spPr bwMode="auto">
                    <a:xfrm>
                      <a:off x="0" y="0"/>
                      <a:ext cx="6252210" cy="8890"/>
                    </a:xfrm>
                    <a:prstGeom prst="rect">
                      <a:avLst/>
                    </a:prstGeom>
                    <a:noFill/>
                  </pic:spPr>
                </pic:pic>
              </a:graphicData>
            </a:graphic>
          </wp:anchor>
        </w:drawing>
      </w:r>
    </w:p>
    <w:p>
      <w:pPr>
        <w:spacing w:after="0" w:line="2" w:lineRule="exact"/>
        <w:rPr>
          <w:sz w:val="20"/>
          <w:szCs w:val="20"/>
          <w:color w:val="auto"/>
        </w:rPr>
      </w:pPr>
    </w:p>
    <w:p>
      <w:pPr>
        <w:ind w:left="1340"/>
        <w:spacing w:after="0"/>
        <w:rPr>
          <w:rFonts w:ascii="Times New Roman" w:cs="Times New Roman" w:eastAsia="Times New Roman" w:hAnsi="Times New Roman"/>
          <w:sz w:val="20"/>
          <w:szCs w:val="20"/>
          <w:u w:val="single" w:color="auto"/>
          <w:color w:val="0000FF"/>
        </w:rPr>
      </w:pPr>
      <w:hyperlink r:id="rId611">
        <w:r>
          <w:rPr>
            <w:rFonts w:ascii="Times New Roman" w:cs="Times New Roman" w:eastAsia="Times New Roman" w:hAnsi="Times New Roman"/>
            <w:sz w:val="20"/>
            <w:szCs w:val="20"/>
            <w:u w:val="single" w:color="auto"/>
            <w:color w:val="0000FF"/>
          </w:rPr>
          <w:t>8-K filed on September 20, 2016 (SEC File No. 001-32532)) and incorporated by reference herein).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-24765</wp:posOffset>
            </wp:positionV>
            <wp:extent cx="501332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3">
                      <a:extLst>
                        <a:ext uri="{28A0092B-C50C-407E-A947-70E740481C1C}"/>
                      </a:extLst>
                    </a:blip>
                    <a:srcRect/>
                    <a:stretch>
                      <a:fillRect/>
                    </a:stretch>
                  </pic:blipFill>
                  <pic:spPr bwMode="auto">
                    <a:xfrm>
                      <a:off x="0" y="0"/>
                      <a:ext cx="5013325" cy="825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9840" w:type="dxa"/>
            <w:vAlign w:val="bottom"/>
            <w:tcBorders>
              <w:bottom w:val="single" w:sz="8" w:color="0000FF"/>
            </w:tcBorders>
            <w:gridSpan w:val="8"/>
          </w:tcPr>
          <w:p>
            <w:pPr>
              <w:spacing w:after="0"/>
              <w:rPr>
                <w:rFonts w:ascii="Times New Roman" w:cs="Times New Roman" w:eastAsia="Times New Roman" w:hAnsi="Times New Roman"/>
                <w:sz w:val="20"/>
                <w:szCs w:val="20"/>
                <w:color w:val="0000FF"/>
                <w:w w:val="99"/>
              </w:rPr>
            </w:pPr>
            <w:hyperlink r:id="rId614">
              <w:r>
                <w:rPr>
                  <w:rFonts w:ascii="Times New Roman" w:cs="Times New Roman" w:eastAsia="Times New Roman" w:hAnsi="Times New Roman"/>
                  <w:sz w:val="20"/>
                  <w:szCs w:val="20"/>
                  <w:color w:val="0000FF"/>
                  <w:w w:val="99"/>
                </w:rPr>
                <w:t>Certificate of Ownership &amp; Merger, amending the Company’s Amended and Restated Certificate of Incorporation (filed as</w:t>
              </w:r>
            </w:hyperlink>
          </w:p>
        </w:tc>
      </w:tr>
      <w:tr>
        <w:trPr>
          <w:trHeight w:val="210"/>
        </w:trPr>
        <w:tc>
          <w:tcPr>
            <w:tcW w:w="1340" w:type="dxa"/>
            <w:vAlign w:val="bottom"/>
          </w:tcPr>
          <w:p>
            <w:pPr>
              <w:spacing w:after="0"/>
              <w:rPr>
                <w:sz w:val="18"/>
                <w:szCs w:val="18"/>
                <w:color w:val="auto"/>
              </w:rPr>
            </w:pPr>
          </w:p>
        </w:tc>
        <w:tc>
          <w:tcPr>
            <w:tcW w:w="9840" w:type="dxa"/>
            <w:vAlign w:val="bottom"/>
            <w:tcBorders>
              <w:bottom w:val="single" w:sz="8" w:color="0000FF"/>
            </w:tcBorders>
            <w:gridSpan w:val="8"/>
          </w:tcPr>
          <w:p>
            <w:pPr>
              <w:spacing w:after="0" w:line="209" w:lineRule="exact"/>
              <w:rPr>
                <w:rFonts w:ascii="Times New Roman" w:cs="Times New Roman" w:eastAsia="Times New Roman" w:hAnsi="Times New Roman"/>
                <w:sz w:val="20"/>
                <w:szCs w:val="20"/>
                <w:color w:val="0000FF"/>
              </w:rPr>
            </w:pPr>
            <w:hyperlink r:id="rId614">
              <w:r>
                <w:rPr>
                  <w:rFonts w:ascii="Times New Roman" w:cs="Times New Roman" w:eastAsia="Times New Roman" w:hAnsi="Times New Roman"/>
                  <w:sz w:val="20"/>
                  <w:szCs w:val="20"/>
                  <w:color w:val="0000FF"/>
                </w:rPr>
                <w:t>Exhibit 3.1 to Ashland’s Form 8-K filed on August 1, 2022 (SEC File No. 001-32532) and incorporated by reference</w:t>
              </w:r>
            </w:hyperlink>
          </w:p>
        </w:tc>
      </w:tr>
      <w:tr>
        <w:trPr>
          <w:trHeight w:val="209"/>
        </w:trPr>
        <w:tc>
          <w:tcPr>
            <w:tcW w:w="1340" w:type="dxa"/>
            <w:vAlign w:val="bottom"/>
          </w:tcPr>
          <w:p>
            <w:pPr>
              <w:spacing w:after="0"/>
              <w:rPr>
                <w:sz w:val="18"/>
                <w:szCs w:val="18"/>
                <w:color w:val="auto"/>
              </w:rPr>
            </w:pPr>
          </w:p>
        </w:tc>
        <w:tc>
          <w:tcPr>
            <w:tcW w:w="9840" w:type="dxa"/>
            <w:vAlign w:val="bottom"/>
            <w:gridSpan w:val="8"/>
          </w:tcPr>
          <w:p>
            <w:pPr>
              <w:spacing w:after="0" w:line="209" w:lineRule="exact"/>
              <w:rPr>
                <w:rFonts w:ascii="Times New Roman" w:cs="Times New Roman" w:eastAsia="Times New Roman" w:hAnsi="Times New Roman"/>
                <w:sz w:val="20"/>
                <w:szCs w:val="20"/>
                <w:color w:val="0000FF"/>
              </w:rPr>
            </w:pPr>
            <w:hyperlink r:id="rId614">
              <w:r>
                <w:rPr>
                  <w:rFonts w:ascii="Times New Roman" w:cs="Times New Roman" w:eastAsia="Times New Roman" w:hAnsi="Times New Roman"/>
                  <w:sz w:val="20"/>
                  <w:szCs w:val="20"/>
                  <w:color w:val="0000FF"/>
                </w:rPr>
                <w:t>herein).</w:t>
              </w:r>
            </w:hyperlink>
          </w:p>
        </w:tc>
      </w:tr>
      <w:tr>
        <w:trPr>
          <w:trHeight w:val="20"/>
        </w:trPr>
        <w:tc>
          <w:tcPr>
            <w:tcW w:w="13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3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3.3</w:t>
            </w:r>
          </w:p>
        </w:tc>
        <w:tc>
          <w:tcPr>
            <w:tcW w:w="9840" w:type="dxa"/>
            <w:vAlign w:val="bottom"/>
            <w:tcBorders>
              <w:bottom w:val="single" w:sz="8" w:color="0000FF"/>
            </w:tcBorders>
            <w:gridSpan w:val="8"/>
          </w:tcPr>
          <w:p>
            <w:pPr>
              <w:spacing w:after="0"/>
              <w:rPr>
                <w:rFonts w:ascii="Times New Roman" w:cs="Times New Roman" w:eastAsia="Times New Roman" w:hAnsi="Times New Roman"/>
                <w:sz w:val="20"/>
                <w:szCs w:val="20"/>
                <w:color w:val="0000FF"/>
              </w:rPr>
            </w:pPr>
            <w:hyperlink r:id="rId615">
              <w:r>
                <w:rPr>
                  <w:rFonts w:ascii="Times New Roman" w:cs="Times New Roman" w:eastAsia="Times New Roman" w:hAnsi="Times New Roman"/>
                  <w:sz w:val="20"/>
                  <w:szCs w:val="20"/>
                  <w:color w:val="0000FF"/>
                </w:rPr>
                <w:t>By-laws of Ashland Inc. (Amended and Restated as of September 20, 2022) (filed as Exhibit 3.1 to Ashland’s Form 8-K</w:t>
              </w:r>
            </w:hyperlink>
          </w:p>
        </w:tc>
      </w:tr>
      <w:tr>
        <w:trPr>
          <w:trHeight w:val="209"/>
        </w:trPr>
        <w:tc>
          <w:tcPr>
            <w:tcW w:w="1340" w:type="dxa"/>
            <w:vAlign w:val="bottom"/>
          </w:tcPr>
          <w:p>
            <w:pPr>
              <w:spacing w:after="0"/>
              <w:rPr>
                <w:sz w:val="18"/>
                <w:szCs w:val="18"/>
                <w:color w:val="auto"/>
              </w:rPr>
            </w:pPr>
          </w:p>
        </w:tc>
        <w:tc>
          <w:tcPr>
            <w:tcW w:w="9840" w:type="dxa"/>
            <w:vAlign w:val="bottom"/>
            <w:gridSpan w:val="8"/>
          </w:tcPr>
          <w:p>
            <w:pPr>
              <w:spacing w:after="0" w:line="209" w:lineRule="exact"/>
              <w:rPr>
                <w:rFonts w:ascii="Times New Roman" w:cs="Times New Roman" w:eastAsia="Times New Roman" w:hAnsi="Times New Roman"/>
                <w:sz w:val="20"/>
                <w:szCs w:val="20"/>
                <w:color w:val="0000FF"/>
              </w:rPr>
            </w:pPr>
            <w:hyperlink r:id="rId615">
              <w:r>
                <w:rPr>
                  <w:rFonts w:ascii="Times New Roman" w:cs="Times New Roman" w:eastAsia="Times New Roman" w:hAnsi="Times New Roman"/>
                  <w:sz w:val="20"/>
                  <w:szCs w:val="20"/>
                  <w:color w:val="0000FF"/>
                </w:rPr>
                <w:t>filed on September 20, 2022 (SEC File No. 333-211719) and incorporated by reference herein).</w:t>
              </w:r>
            </w:hyperlink>
          </w:p>
        </w:tc>
      </w:tr>
      <w:tr>
        <w:trPr>
          <w:trHeight w:val="20"/>
        </w:trPr>
        <w:tc>
          <w:tcPr>
            <w:tcW w:w="13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760" w:type="dxa"/>
            <w:vAlign w:val="bottom"/>
            <w:shd w:val="clear" w:color="auto" w:fill="0000FF"/>
          </w:tcPr>
          <w:p>
            <w:pPr>
              <w:spacing w:after="0" w:line="20" w:lineRule="exact"/>
              <w:rPr>
                <w:sz w:val="1"/>
                <w:szCs w:val="1"/>
                <w:color w:val="auto"/>
              </w:rPr>
            </w:pPr>
          </w:p>
        </w:tc>
        <w:tc>
          <w:tcPr>
            <w:tcW w:w="2140" w:type="dxa"/>
            <w:vAlign w:val="bottom"/>
            <w:tcBorders>
              <w:right w:val="single" w:sz="8" w:color="0000EE"/>
            </w:tcBorders>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3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98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Certificate of Guillermo Novo, Chief Executive Officer of Ashland pursuant to Section 302 of the Sarbanes-Oxley Act of</w:t>
            </w:r>
          </w:p>
        </w:tc>
      </w:tr>
      <w:tr>
        <w:trPr>
          <w:trHeight w:val="210"/>
        </w:trPr>
        <w:tc>
          <w:tcPr>
            <w:tcW w:w="1340" w:type="dxa"/>
            <w:vAlign w:val="bottom"/>
          </w:tcPr>
          <w:p>
            <w:pPr>
              <w:spacing w:after="0"/>
              <w:rPr>
                <w:sz w:val="18"/>
                <w:szCs w:val="18"/>
                <w:color w:val="auto"/>
              </w:rPr>
            </w:pPr>
          </w:p>
        </w:tc>
        <w:tc>
          <w:tcPr>
            <w:tcW w:w="440" w:type="dxa"/>
            <w:vAlign w:val="bottom"/>
            <w:tcBorders>
              <w:bottom w:val="single" w:sz="8" w:color="0000FF"/>
            </w:tcBorders>
          </w:tcPr>
          <w:p>
            <w:pPr>
              <w:spacing w:after="0" w:line="209" w:lineRule="exact"/>
              <w:rPr>
                <w:sz w:val="20"/>
                <w:szCs w:val="20"/>
                <w:color w:val="auto"/>
              </w:rPr>
            </w:pPr>
            <w:r>
              <w:rPr>
                <w:rFonts w:ascii="Times New Roman" w:cs="Times New Roman" w:eastAsia="Times New Roman" w:hAnsi="Times New Roman"/>
                <w:sz w:val="20"/>
                <w:szCs w:val="20"/>
                <w:color w:val="0000FF"/>
                <w:w w:val="93"/>
              </w:rPr>
              <w:t>2002.</w:t>
            </w:r>
          </w:p>
        </w:tc>
        <w:tc>
          <w:tcPr>
            <w:tcW w:w="20" w:type="dxa"/>
            <w:vAlign w:val="bottom"/>
            <w:tcBorders>
              <w:bottom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43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98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Certificate of William C. Whitaker, Chief Financial Officer of Ashland pursuant to Section 302 of the Sarbanes-Oxley Act</w:t>
            </w:r>
          </w:p>
        </w:tc>
      </w:tr>
      <w:tr>
        <w:trPr>
          <w:trHeight w:val="210"/>
        </w:trPr>
        <w:tc>
          <w:tcPr>
            <w:tcW w:w="1340" w:type="dxa"/>
            <w:vAlign w:val="bottom"/>
          </w:tcPr>
          <w:p>
            <w:pPr>
              <w:spacing w:after="0"/>
              <w:rPr>
                <w:sz w:val="18"/>
                <w:szCs w:val="18"/>
                <w:color w:val="auto"/>
              </w:rPr>
            </w:pPr>
          </w:p>
        </w:tc>
        <w:tc>
          <w:tcPr>
            <w:tcW w:w="660" w:type="dxa"/>
            <w:vAlign w:val="bottom"/>
            <w:tcBorders>
              <w:bottom w:val="single" w:sz="8" w:color="0000FF"/>
            </w:tcBorders>
            <w:gridSpan w:val="4"/>
          </w:tcPr>
          <w:p>
            <w:pPr>
              <w:spacing w:after="0" w:line="209" w:lineRule="exact"/>
              <w:rPr>
                <w:sz w:val="20"/>
                <w:szCs w:val="20"/>
                <w:color w:val="auto"/>
              </w:rPr>
            </w:pPr>
            <w:r>
              <w:rPr>
                <w:rFonts w:ascii="Times New Roman" w:cs="Times New Roman" w:eastAsia="Times New Roman" w:hAnsi="Times New Roman"/>
                <w:sz w:val="20"/>
                <w:szCs w:val="20"/>
                <w:color w:val="0000FF"/>
                <w:w w:val="95"/>
              </w:rPr>
              <w:t>of 2002.</w:t>
            </w:r>
          </w:p>
        </w:tc>
        <w:tc>
          <w:tcPr>
            <w:tcW w:w="20" w:type="dxa"/>
            <w:vAlign w:val="bottom"/>
            <w:tcBorders>
              <w:bottom w:val="single" w:sz="8" w:color="0000EE"/>
            </w:tcBorders>
          </w:tcPr>
          <w:p>
            <w:pPr>
              <w:spacing w:after="0"/>
              <w:rPr>
                <w:sz w:val="18"/>
                <w:szCs w:val="18"/>
                <w:color w:val="auto"/>
              </w:rPr>
            </w:pPr>
          </w:p>
        </w:tc>
        <w:tc>
          <w:tcPr>
            <w:tcW w:w="9160" w:type="dxa"/>
            <w:vAlign w:val="bottom"/>
            <w:gridSpan w:val="3"/>
          </w:tcPr>
          <w:p>
            <w:pPr>
              <w:spacing w:after="0"/>
              <w:rPr>
                <w:sz w:val="18"/>
                <w:szCs w:val="18"/>
                <w:color w:val="auto"/>
              </w:rPr>
            </w:pPr>
          </w:p>
        </w:tc>
      </w:tr>
      <w:tr>
        <w:trPr>
          <w:trHeight w:val="43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98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Certificate of Guillermo Novo, Chief Executive Officer of Ashland, and William C. Whitaker, Chief Financial Officer of</w:t>
            </w:r>
          </w:p>
        </w:tc>
      </w:tr>
      <w:tr>
        <w:trPr>
          <w:trHeight w:val="210"/>
        </w:trPr>
        <w:tc>
          <w:tcPr>
            <w:tcW w:w="1340" w:type="dxa"/>
            <w:vAlign w:val="bottom"/>
          </w:tcPr>
          <w:p>
            <w:pPr>
              <w:spacing w:after="0"/>
              <w:rPr>
                <w:sz w:val="18"/>
                <w:szCs w:val="18"/>
                <w:color w:val="auto"/>
              </w:rPr>
            </w:pPr>
          </w:p>
        </w:tc>
        <w:tc>
          <w:tcPr>
            <w:tcW w:w="5440" w:type="dxa"/>
            <w:vAlign w:val="bottom"/>
            <w:tcBorders>
              <w:bottom w:val="single" w:sz="8" w:color="0000FF"/>
            </w:tcBorders>
            <w:gridSpan w:val="6"/>
          </w:tcPr>
          <w:p>
            <w:pPr>
              <w:spacing w:after="0" w:line="209" w:lineRule="exact"/>
              <w:rPr>
                <w:sz w:val="20"/>
                <w:szCs w:val="20"/>
                <w:color w:val="auto"/>
              </w:rPr>
            </w:pPr>
            <w:r>
              <w:rPr>
                <w:rFonts w:ascii="Times New Roman" w:cs="Times New Roman" w:eastAsia="Times New Roman" w:hAnsi="Times New Roman"/>
                <w:sz w:val="20"/>
                <w:szCs w:val="20"/>
                <w:color w:val="0000FF"/>
                <w:w w:val="98"/>
              </w:rPr>
              <w:t>Ashland pursuant to Section 906 of the Sarbanes-Oxley Act of 2002.</w:t>
            </w:r>
          </w:p>
        </w:tc>
        <w:tc>
          <w:tcPr>
            <w:tcW w:w="4400" w:type="dxa"/>
            <w:vAlign w:val="bottom"/>
            <w:gridSpan w:val="2"/>
          </w:tcPr>
          <w:p>
            <w:pPr>
              <w:spacing w:after="0"/>
              <w:rPr>
                <w:sz w:val="18"/>
                <w:szCs w:val="18"/>
                <w:color w:val="auto"/>
              </w:rPr>
            </w:pPr>
          </w:p>
        </w:tc>
      </w:tr>
      <w:tr>
        <w:trPr>
          <w:trHeight w:val="485"/>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984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45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984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Inline XBRL Taxonomy Extension Schema With Embedded Linkbases Document.</w:t>
            </w:r>
          </w:p>
        </w:tc>
      </w:tr>
    </w:tbl>
    <w:p>
      <w:pPr>
        <w:spacing w:after="0" w:line="201" w:lineRule="exact"/>
        <w:rPr>
          <w:sz w:val="20"/>
          <w:szCs w:val="20"/>
          <w:color w:val="auto"/>
        </w:rPr>
      </w:pPr>
    </w:p>
    <w:p>
      <w:pPr>
        <w:ind w:left="1340" w:hanging="1332"/>
        <w:spacing w:after="0"/>
        <w:tabs>
          <w:tab w:leader="none" w:pos="13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p>
      <w:pPr>
        <w:spacing w:after="0" w:line="44" w:lineRule="exact"/>
        <w:rPr>
          <w:rFonts w:ascii="Times New Roman" w:cs="Times New Roman" w:eastAsia="Times New Roman" w:hAnsi="Times New Roman"/>
          <w:sz w:val="20"/>
          <w:szCs w:val="20"/>
          <w:color w:val="auto"/>
        </w:rPr>
      </w:pPr>
    </w:p>
    <w:p>
      <w:pPr>
        <w:ind w:left="5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Filed herewith.</w:t>
      </w:r>
    </w:p>
    <w:p>
      <w:pPr>
        <w:jc w:val="both"/>
        <w:ind w:left="1200" w:hanging="612"/>
        <w:spacing w:after="0" w:line="221" w:lineRule="auto"/>
        <w:tabs>
          <w:tab w:leader="none" w:pos="120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Attached as Exhibit 101 to this report are the following documents formatted in XBRL (Extensible Business Reporting Language): (i) Statements of Condensed Consolidated Comprehensive Income (Loss) for the three and six months ended March 31, 2026 and March 31, 2025; (ii) Condensed Consolidated Balance Sheets at March 31, 2026 and September 30, 2025; (iii) Statements of Condensed Consolidated Cash Flows for the six months ended March 31, 2026 and March 31, 2025; and (iv) Notes to Condensed</w:t>
      </w:r>
    </w:p>
    <w:p>
      <w:pPr>
        <w:ind w:left="1200"/>
        <w:spacing w:after="0" w:line="185" w:lineRule="auto"/>
        <w:rPr>
          <w:sz w:val="20"/>
          <w:szCs w:val="20"/>
          <w:color w:val="auto"/>
        </w:rPr>
      </w:pPr>
      <w:r>
        <w:rPr>
          <w:rFonts w:ascii="Times New Roman" w:cs="Times New Roman" w:eastAsia="Times New Roman" w:hAnsi="Times New Roman"/>
          <w:sz w:val="14"/>
          <w:szCs w:val="14"/>
          <w:color w:val="auto"/>
        </w:rPr>
        <w:t>Consolidated Financial Statements.</w:t>
      </w:r>
    </w:p>
    <w:p>
      <w:pPr>
        <w:ind w:left="580"/>
        <w:spacing w:after="0" w:line="195" w:lineRule="auto"/>
        <w:rPr>
          <w:sz w:val="20"/>
          <w:szCs w:val="20"/>
          <w:color w:val="auto"/>
        </w:rPr>
      </w:pPr>
      <w:r>
        <w:rPr>
          <w:rFonts w:ascii="Times New Roman" w:cs="Times New Roman" w:eastAsia="Times New Roman" w:hAnsi="Times New Roman"/>
          <w:sz w:val="7"/>
          <w:szCs w:val="7"/>
          <w:color w:val="auto"/>
        </w:rPr>
        <w:t>SM</w:t>
      </w:r>
    </w:p>
    <w:p>
      <w:pPr>
        <w:ind w:left="1200"/>
        <w:spacing w:after="0"/>
        <w:rPr>
          <w:sz w:val="20"/>
          <w:szCs w:val="20"/>
          <w:color w:val="auto"/>
        </w:rPr>
      </w:pPr>
      <w:r>
        <w:rPr>
          <w:rFonts w:ascii="Times New Roman" w:cs="Times New Roman" w:eastAsia="Times New Roman" w:hAnsi="Times New Roman"/>
          <w:sz w:val="14"/>
          <w:szCs w:val="14"/>
          <w:color w:val="auto"/>
        </w:rPr>
        <w:t>Service mark, Ashland or its subsidiaries, registered in various countries.</w:t>
      </w:r>
    </w:p>
    <w:p>
      <w:pPr>
        <w:spacing w:after="0" w:line="12" w:lineRule="exact"/>
        <w:rPr>
          <w:sz w:val="20"/>
          <w:szCs w:val="20"/>
          <w:color w:val="auto"/>
        </w:rPr>
      </w:pPr>
    </w:p>
    <w:p>
      <w:pPr>
        <w:ind w:left="1200" w:hanging="612"/>
        <w:spacing w:after="0"/>
        <w:tabs>
          <w:tab w:leader="none" w:pos="12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Trademark, Ashland or its subsidiaries, registered in various countries.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7" w:right="35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20" w:lineRule="exact"/>
        <w:rPr>
          <w:sz w:val="20"/>
          <w:szCs w:val="20"/>
          <w:color w:val="auto"/>
        </w:rPr>
      </w:pPr>
    </w:p>
    <w:p>
      <w:pPr>
        <w:ind w:left="380"/>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6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Ashland Inc.</w:t>
            </w:r>
          </w:p>
        </w:tc>
      </w:tr>
      <w:tr>
        <w:trPr>
          <w:trHeight w:val="191"/>
        </w:trPr>
        <w:tc>
          <w:tcPr>
            <w:tcW w:w="34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340" w:type="dxa"/>
            <w:vAlign w:val="bottom"/>
            <w:tcBorders>
              <w:top w:val="single" w:sz="8" w:color="auto"/>
            </w:tcBorders>
          </w:tcPr>
          <w:p>
            <w:pPr>
              <w:ind w:left="2240"/>
              <w:spacing w:after="0" w:line="191" w:lineRule="exact"/>
              <w:rPr>
                <w:sz w:val="20"/>
                <w:szCs w:val="20"/>
                <w:color w:val="auto"/>
              </w:rPr>
            </w:pPr>
            <w:r>
              <w:rPr>
                <w:rFonts w:ascii="Times New Roman" w:cs="Times New Roman" w:eastAsia="Times New Roman" w:hAnsi="Times New Roman"/>
                <w:sz w:val="18"/>
                <w:szCs w:val="18"/>
                <w:color w:val="auto"/>
              </w:rPr>
              <w:t>(Registrant)</w:t>
            </w:r>
          </w:p>
        </w:tc>
        <w:tc>
          <w:tcPr>
            <w:tcW w:w="280" w:type="dxa"/>
            <w:vAlign w:val="bottom"/>
          </w:tcPr>
          <w:p>
            <w:pPr>
              <w:spacing w:after="0"/>
              <w:rPr>
                <w:sz w:val="16"/>
                <w:szCs w:val="16"/>
                <w:color w:val="auto"/>
              </w:rPr>
            </w:pPr>
          </w:p>
        </w:tc>
      </w:tr>
      <w:tr>
        <w:trPr>
          <w:trHeight w:val="234"/>
        </w:trPr>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April 29, 2026</w:t>
            </w:r>
          </w:p>
        </w:tc>
        <w:tc>
          <w:tcPr>
            <w:tcW w:w="218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William C. Whitaker</w:t>
            </w:r>
          </w:p>
        </w:tc>
      </w:tr>
      <w:tr>
        <w:trPr>
          <w:trHeight w:val="191"/>
        </w:trPr>
        <w:tc>
          <w:tcPr>
            <w:tcW w:w="34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William C. Whitaker</w:t>
            </w:r>
          </w:p>
        </w:tc>
        <w:tc>
          <w:tcPr>
            <w:tcW w:w="280" w:type="dxa"/>
            <w:vAlign w:val="bottom"/>
          </w:tcPr>
          <w:p>
            <w:pPr>
              <w:spacing w:after="0"/>
              <w:rPr>
                <w:sz w:val="16"/>
                <w:szCs w:val="16"/>
                <w:color w:val="auto"/>
              </w:rPr>
            </w:pPr>
          </w:p>
        </w:tc>
      </w:tr>
      <w:tr>
        <w:trPr>
          <w:trHeight w:val="216"/>
        </w:trPr>
        <w:tc>
          <w:tcPr>
            <w:tcW w:w="3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 (on behalf of the</w:t>
            </w:r>
          </w:p>
        </w:tc>
      </w:tr>
      <w:tr>
        <w:trPr>
          <w:trHeight w:val="234"/>
        </w:trPr>
        <w:tc>
          <w:tcPr>
            <w:tcW w:w="3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 and as Principal Financial Officer)</w:t>
            </w:r>
          </w:p>
        </w:tc>
      </w:tr>
      <w:tr>
        <w:trPr>
          <w:trHeight w:val="540"/>
        </w:trPr>
        <w:tc>
          <w:tcPr>
            <w:tcW w:w="3440" w:type="dxa"/>
            <w:vAlign w:val="bottom"/>
          </w:tcPr>
          <w:p>
            <w:pPr>
              <w:spacing w:after="0"/>
              <w:rPr>
                <w:sz w:val="24"/>
                <w:szCs w:val="24"/>
                <w:color w:val="auto"/>
              </w:rPr>
            </w:pPr>
          </w:p>
        </w:tc>
        <w:tc>
          <w:tcPr>
            <w:tcW w:w="7520" w:type="dxa"/>
            <w:vAlign w:val="bottom"/>
            <w:gridSpan w:val="2"/>
          </w:tcPr>
          <w:p>
            <w:pPr>
              <w:jc w:val="right"/>
              <w:ind w:right="5150"/>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tcPr>
          <w:p>
            <w:pPr>
              <w:spacing w:after="0"/>
              <w:rPr>
                <w:sz w:val="24"/>
                <w:szCs w:val="24"/>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0"/>
          <w:szCs w:val="20"/>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Guillermo Novo, certify that:</w:t>
      </w:r>
    </w:p>
    <w:p>
      <w:pPr>
        <w:spacing w:after="0" w:line="108" w:lineRule="exact"/>
        <w:rPr>
          <w:sz w:val="20"/>
          <w:szCs w:val="20"/>
          <w:color w:val="auto"/>
        </w:rPr>
      </w:pPr>
    </w:p>
    <w:p>
      <w:pPr>
        <w:ind w:left="760" w:hanging="378"/>
        <w:spacing w:after="0"/>
        <w:tabs>
          <w:tab w:leader="none" w:pos="7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Ashland Inc.;</w:t>
      </w:r>
    </w:p>
    <w:p>
      <w:pPr>
        <w:spacing w:after="0" w:line="107"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Times New Roman" w:cs="Times New Roman" w:eastAsia="Times New Roman" w:hAnsi="Times New Roman"/>
          <w:sz w:val="20"/>
          <w:szCs w:val="20"/>
          <w:color w:val="auto"/>
        </w:rPr>
      </w:pPr>
    </w:p>
    <w:p>
      <w:pPr>
        <w:jc w:val="both"/>
        <w:ind w:left="1500" w:hanging="369"/>
        <w:spacing w:after="0" w:line="274" w:lineRule="auto"/>
        <w:tabs>
          <w:tab w:leader="none" w:pos="1500"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Times New Roman" w:cs="Times New Roman" w:eastAsia="Times New Roman" w:hAnsi="Times New Roman"/>
          <w:sz w:val="19"/>
          <w:szCs w:val="19"/>
          <w:color w:val="auto"/>
        </w:rPr>
      </w:pPr>
    </w:p>
    <w:p>
      <w:pPr>
        <w:jc w:val="both"/>
        <w:ind w:left="1500" w:right="20" w:hanging="369"/>
        <w:spacing w:after="0" w:line="254" w:lineRule="auto"/>
        <w:tabs>
          <w:tab w:leader="none" w:pos="150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Times New Roman" w:cs="Times New Roman" w:eastAsia="Times New Roman" w:hAnsi="Times New Roman"/>
          <w:sz w:val="20"/>
          <w:szCs w:val="20"/>
          <w:color w:val="auto"/>
        </w:rPr>
      </w:pPr>
    </w:p>
    <w:p>
      <w:pPr>
        <w:jc w:val="both"/>
        <w:ind w:left="1500" w:hanging="369"/>
        <w:spacing w:after="0" w:line="254" w:lineRule="auto"/>
        <w:tabs>
          <w:tab w:leader="none" w:pos="150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Times New Roman" w:cs="Times New Roman" w:eastAsia="Times New Roman" w:hAnsi="Times New Roman"/>
          <w:sz w:val="20"/>
          <w:szCs w:val="20"/>
          <w:color w:val="auto"/>
        </w:rPr>
      </w:pPr>
    </w:p>
    <w:p>
      <w:pPr>
        <w:jc w:val="both"/>
        <w:ind w:left="1500" w:right="20" w:hanging="369"/>
        <w:spacing w:after="0" w:line="249" w:lineRule="auto"/>
        <w:tabs>
          <w:tab w:leader="none" w:pos="150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Times New Roman" w:cs="Times New Roman" w:eastAsia="Times New Roman" w:hAnsi="Times New Roman"/>
          <w:sz w:val="20"/>
          <w:szCs w:val="20"/>
          <w:color w:val="auto"/>
        </w:rPr>
      </w:pPr>
    </w:p>
    <w:p>
      <w:pPr>
        <w:jc w:val="both"/>
        <w:ind w:left="1500" w:hanging="369"/>
        <w:spacing w:after="0" w:line="254" w:lineRule="auto"/>
        <w:tabs>
          <w:tab w:leader="none" w:pos="150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Times New Roman" w:cs="Times New Roman" w:eastAsia="Times New Roman" w:hAnsi="Times New Roman"/>
          <w:sz w:val="20"/>
          <w:szCs w:val="20"/>
          <w:color w:val="auto"/>
        </w:rPr>
      </w:pPr>
    </w:p>
    <w:p>
      <w:pPr>
        <w:ind w:left="1500" w:hanging="369"/>
        <w:spacing w:after="0" w:line="269" w:lineRule="auto"/>
        <w:tabs>
          <w:tab w:leader="none" w:pos="150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Date: April 29, 2026</w:t>
      </w:r>
    </w:p>
    <w:p>
      <w:pPr>
        <w:spacing w:after="0" w:line="2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13970</wp:posOffset>
            </wp:positionV>
            <wp:extent cx="320611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0"/>
          <w:szCs w:val="20"/>
          <w:color w:val="auto"/>
        </w:rPr>
        <w:t>Guillermo Novo</w:t>
      </w:r>
    </w:p>
    <w:p>
      <w:pPr>
        <w:spacing w:after="0" w:line="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0"/>
          <w:szCs w:val="20"/>
          <w:color w:val="auto"/>
        </w:rPr>
        <w:t>Chair and Chief Executive Officer</w:t>
      </w:r>
    </w:p>
    <w:p>
      <w:pPr>
        <w:ind w:left="624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William C. Whitaker, certify that:</w:t>
      </w:r>
    </w:p>
    <w:p>
      <w:pPr>
        <w:spacing w:after="0" w:line="108" w:lineRule="exact"/>
        <w:rPr>
          <w:sz w:val="20"/>
          <w:szCs w:val="20"/>
          <w:color w:val="auto"/>
        </w:rPr>
      </w:pPr>
    </w:p>
    <w:p>
      <w:pPr>
        <w:ind w:left="760" w:hanging="378"/>
        <w:spacing w:after="0"/>
        <w:tabs>
          <w:tab w:leader="none" w:pos="7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Ashland Inc.;</w:t>
      </w:r>
    </w:p>
    <w:p>
      <w:pPr>
        <w:spacing w:after="0" w:line="107"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Times New Roman" w:cs="Times New Roman" w:eastAsia="Times New Roman" w:hAnsi="Times New Roman"/>
          <w:sz w:val="20"/>
          <w:szCs w:val="20"/>
          <w:color w:val="auto"/>
        </w:rPr>
      </w:pPr>
    </w:p>
    <w:p>
      <w:pPr>
        <w:jc w:val="both"/>
        <w:ind w:left="1500" w:hanging="369"/>
        <w:spacing w:after="0" w:line="274" w:lineRule="auto"/>
        <w:tabs>
          <w:tab w:leader="none" w:pos="1500"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Times New Roman" w:cs="Times New Roman" w:eastAsia="Times New Roman" w:hAnsi="Times New Roman"/>
          <w:sz w:val="19"/>
          <w:szCs w:val="19"/>
          <w:color w:val="auto"/>
        </w:rPr>
      </w:pPr>
    </w:p>
    <w:p>
      <w:pPr>
        <w:jc w:val="both"/>
        <w:ind w:left="1500" w:right="20" w:hanging="369"/>
        <w:spacing w:after="0" w:line="254" w:lineRule="auto"/>
        <w:tabs>
          <w:tab w:leader="none" w:pos="15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Times New Roman" w:cs="Times New Roman" w:eastAsia="Times New Roman" w:hAnsi="Times New Roman"/>
          <w:sz w:val="20"/>
          <w:szCs w:val="20"/>
          <w:color w:val="auto"/>
        </w:rPr>
      </w:pPr>
    </w:p>
    <w:p>
      <w:pPr>
        <w:jc w:val="both"/>
        <w:ind w:left="1500" w:hanging="369"/>
        <w:spacing w:after="0" w:line="254" w:lineRule="auto"/>
        <w:tabs>
          <w:tab w:leader="none" w:pos="15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Times New Roman" w:cs="Times New Roman" w:eastAsia="Times New Roman" w:hAnsi="Times New Roman"/>
          <w:sz w:val="20"/>
          <w:szCs w:val="20"/>
          <w:color w:val="auto"/>
        </w:rPr>
      </w:pPr>
    </w:p>
    <w:p>
      <w:pPr>
        <w:jc w:val="both"/>
        <w:ind w:left="1500" w:right="20" w:hanging="369"/>
        <w:spacing w:after="0" w:line="249" w:lineRule="auto"/>
        <w:tabs>
          <w:tab w:leader="none" w:pos="15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Times New Roman" w:cs="Times New Roman" w:eastAsia="Times New Roman" w:hAnsi="Times New Roman"/>
          <w:sz w:val="20"/>
          <w:szCs w:val="20"/>
          <w:color w:val="auto"/>
        </w:rPr>
      </w:pPr>
    </w:p>
    <w:p>
      <w:pPr>
        <w:jc w:val="both"/>
        <w:ind w:left="1500" w:hanging="369"/>
        <w:spacing w:after="0" w:line="254" w:lineRule="auto"/>
        <w:tabs>
          <w:tab w:leader="none" w:pos="15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Times New Roman" w:cs="Times New Roman" w:eastAsia="Times New Roman" w:hAnsi="Times New Roman"/>
          <w:sz w:val="20"/>
          <w:szCs w:val="20"/>
          <w:color w:val="auto"/>
        </w:rPr>
      </w:pPr>
    </w:p>
    <w:p>
      <w:pPr>
        <w:ind w:left="1500" w:hanging="369"/>
        <w:spacing w:after="0" w:line="269" w:lineRule="auto"/>
        <w:tabs>
          <w:tab w:leader="none" w:pos="15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Date: April 29, 2026</w:t>
      </w:r>
    </w:p>
    <w:p>
      <w:pPr>
        <w:spacing w:after="0" w:line="2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/s/ William C. Whitaker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13970</wp:posOffset>
            </wp:positionV>
            <wp:extent cx="320611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0"/>
          <w:szCs w:val="20"/>
          <w:color w:val="auto"/>
        </w:rPr>
        <w:t>William C. Whitaker</w:t>
      </w:r>
    </w:p>
    <w:p>
      <w:pPr>
        <w:spacing w:after="0" w:line="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0"/>
          <w:szCs w:val="20"/>
          <w:color w:val="auto"/>
        </w:rPr>
        <w:t>EXHIBIT 32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ASHLAND INC.</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 U.S.C. SECTION 1350,</w:t>
      </w:r>
    </w:p>
    <w:p>
      <w:pPr>
        <w:jc w:val="center"/>
        <w:spacing w:after="0"/>
        <w:rPr>
          <w:sz w:val="20"/>
          <w:szCs w:val="20"/>
          <w:color w:val="auto"/>
        </w:rPr>
      </w:pPr>
      <w:r>
        <w:rPr>
          <w:rFonts w:ascii="Times New Roman" w:cs="Times New Roman" w:eastAsia="Times New Roman" w:hAnsi="Times New Roman"/>
          <w:sz w:val="20"/>
          <w:szCs w:val="20"/>
          <w:color w:val="auto"/>
        </w:rPr>
        <w:t>AS ADOPTED PURSUANT TO</w:t>
      </w:r>
    </w:p>
    <w:p>
      <w:pPr>
        <w:jc w:val="center"/>
        <w:spacing w:after="0"/>
        <w:rPr>
          <w:sz w:val="20"/>
          <w:szCs w:val="20"/>
          <w:color w:val="auto"/>
        </w:rPr>
      </w:pPr>
      <w:r>
        <w:rPr>
          <w:rFonts w:ascii="Times New Roman" w:cs="Times New Roman" w:eastAsia="Times New Roman" w:hAnsi="Times New Roman"/>
          <w:sz w:val="20"/>
          <w:szCs w:val="20"/>
          <w:color w:val="auto"/>
        </w:rPr>
        <w:t>SECTION 906 OF THE SARBANES-OXLEY ACT OF 2002</w:t>
      </w:r>
    </w:p>
    <w:p>
      <w:pPr>
        <w:spacing w:after="0" w:line="2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Quarterly Report of Ashland Inc. (the “Company”) on Form 10-Q for the period ended March 31, 2026, as filed with the Securities and Exchange Commission on the date hereof (the “Report”), each of the undersigned, Guillermo Novo, Chief Executive Officer of the Company, and William C. Whitaker, Chief Financial Officer of the Company, certify, pursuant to 18 U.S.C. Section 1350, as adopted pursuant to Section 906 of the Sarbanes-Oxley Act of 2002, that:</w:t>
      </w:r>
    </w:p>
    <w:p>
      <w:pPr>
        <w:spacing w:after="0" w:line="193" w:lineRule="exact"/>
        <w:rPr>
          <w:sz w:val="20"/>
          <w:szCs w:val="20"/>
          <w:color w:val="auto"/>
        </w:rPr>
      </w:pPr>
    </w:p>
    <w:p>
      <w:pPr>
        <w:ind w:left="760" w:hanging="378"/>
        <w:spacing w:after="0"/>
        <w:tabs>
          <w:tab w:leader="none" w:pos="7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1" w:lineRule="exact"/>
        <w:rPr>
          <w:rFonts w:ascii="Times New Roman" w:cs="Times New Roman" w:eastAsia="Times New Roman" w:hAnsi="Times New Roman"/>
          <w:sz w:val="20"/>
          <w:szCs w:val="20"/>
          <w:color w:val="auto"/>
        </w:rPr>
      </w:pPr>
    </w:p>
    <w:p>
      <w:pPr>
        <w:ind w:left="760" w:hanging="378"/>
        <w:spacing w:after="0" w:line="246" w:lineRule="auto"/>
        <w:tabs>
          <w:tab w:leader="none" w:pos="7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Guillermo Novo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rPr>
          <w:sz w:val="20"/>
          <w:szCs w:val="20"/>
          <w:color w:val="auto"/>
        </w:rPr>
      </w:pPr>
      <w:r>
        <w:rPr>
          <w:rFonts w:ascii="Times New Roman" w:cs="Times New Roman" w:eastAsia="Times New Roman" w:hAnsi="Times New Roman"/>
          <w:sz w:val="20"/>
          <w:szCs w:val="20"/>
          <w:color w:val="auto"/>
        </w:rPr>
        <w:t>April 29,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William C. Whitaker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William C. Whitaker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rPr>
          <w:sz w:val="20"/>
          <w:szCs w:val="20"/>
          <w:color w:val="auto"/>
        </w:rPr>
      </w:pPr>
      <w:r>
        <w:rPr>
          <w:rFonts w:ascii="Times New Roman" w:cs="Times New Roman" w:eastAsia="Times New Roman" w:hAnsi="Times New Roman"/>
          <w:sz w:val="20"/>
          <w:szCs w:val="20"/>
          <w:color w:val="auto"/>
        </w:rPr>
        <w:t>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7" w:name="page68"/>
    <w:bookmarkEnd w:id="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lowerLetter"/>
      <w:start w:val="1"/>
    </w:lvl>
  </w:abstractNum>
  <w:abstractNum w:abstractNumId="3">
    <w:nsid w:val="1E7FF521"/>
    <w:multiLevelType w:val="hybridMultilevel"/>
    <w:lvl w:ilvl="0">
      <w:lvlJc w:val="left"/>
      <w:lvlText w:val="(%1)"/>
      <w:numFmt w:val="lowerLetter"/>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1)"/>
      <w:numFmt w:val="lowerLetter"/>
      <w:start w:val="1"/>
    </w:lvl>
  </w:abstractNum>
  <w:abstractNum w:abstractNumId="6">
    <w:nsid w:val="6CEAF087"/>
    <w:multiLevelType w:val="hybridMultilevel"/>
    <w:lvl w:ilvl="0">
      <w:lvlJc w:val="left"/>
      <w:lvlText w:val="(%1)"/>
      <w:numFmt w:val="lowerLetter"/>
      <w:start w:val="1"/>
    </w:lvl>
  </w:abstractNum>
  <w:abstractNum w:abstractNumId="7">
    <w:nsid w:val="22221A70"/>
    <w:multiLevelType w:val="hybridMultilevel"/>
    <w:lvl w:ilvl="0">
      <w:lvlJc w:val="left"/>
      <w:lvlText w:val="(%1)"/>
      <w:numFmt w:val="lowerLetter"/>
      <w:start w:val="1"/>
    </w:lvl>
  </w:abstractNum>
  <w:abstractNum w:abstractNumId="8">
    <w:nsid w:val="4516DDE9"/>
    <w:multiLevelType w:val="hybridMultilevel"/>
    <w:lvl w:ilvl="0">
      <w:lvlJc w:val="left"/>
      <w:lvlText w:val="(%1)"/>
      <w:numFmt w:val="lowerLetter"/>
      <w:start w:val="1"/>
    </w:lvl>
  </w:abstractNum>
  <w:abstractNum w:abstractNumId="9">
    <w:nsid w:val="3006C83E"/>
    <w:multiLevelType w:val="hybridMultilevel"/>
    <w:lvl w:ilvl="0">
      <w:lvlJc w:val="left"/>
      <w:lvlText w:val="(%1)"/>
      <w:numFmt w:val="lowerLetter"/>
      <w:start w:val="1"/>
    </w:lvl>
  </w:abstractNum>
  <w:abstractNum w:abstractNumId="10">
    <w:nsid w:val="614FD4A1"/>
    <w:multiLevelType w:val="hybridMultilevel"/>
    <w:lvl w:ilvl="0">
      <w:lvlJc w:val="left"/>
      <w:lvlText w:val="(%1)"/>
      <w:numFmt w:val="lowerLetter"/>
      <w:start w:val="1"/>
    </w:lvl>
  </w:abstractNum>
  <w:abstractNum w:abstractNumId="11">
    <w:nsid w:val="419AC241"/>
    <w:multiLevelType w:val="hybridMultilevel"/>
    <w:lvl w:ilvl="0">
      <w:lvlJc w:val="left"/>
      <w:lvlText w:val="(%1)"/>
      <w:numFmt w:val="lowerLetter"/>
      <w:start w:val="1"/>
    </w:lvl>
  </w:abstractNum>
  <w:abstractNum w:abstractNumId="12">
    <w:nsid w:val="5577F8E1"/>
    <w:multiLevelType w:val="hybridMultilevel"/>
    <w:lvl w:ilvl="0">
      <w:lvlJc w:val="left"/>
      <w:lvlText w:val="(%1)"/>
      <w:numFmt w:val="lowerLetter"/>
      <w:start w:val="1"/>
    </w:lvl>
  </w:abstractNum>
  <w:abstractNum w:abstractNumId="13">
    <w:nsid w:val="440BADFC"/>
    <w:multiLevelType w:val="hybridMultilevel"/>
    <w:lvl w:ilvl="0">
      <w:lvlJc w:val="left"/>
      <w:lvlText w:val="(%1)"/>
      <w:numFmt w:val="lowerLetter"/>
      <w:start w:val="1"/>
    </w:lvl>
  </w:abstractNum>
  <w:abstractNum w:abstractNumId="14">
    <w:nsid w:val="5072367"/>
    <w:multiLevelType w:val="hybridMultilevel"/>
    <w:lvl w:ilvl="0">
      <w:lvlJc w:val="left"/>
      <w:lvlText w:val="(%1)"/>
      <w:numFmt w:val="lowerLetter"/>
      <w:start w:val="1"/>
    </w:lvl>
  </w:abstractNum>
  <w:abstractNum w:abstractNumId="15">
    <w:nsid w:val="3804823E"/>
    <w:multiLevelType w:val="hybridMultilevel"/>
    <w:lvl w:ilvl="0">
      <w:lvlJc w:val="left"/>
      <w:lvlText w:val="(%1)"/>
      <w:numFmt w:val="lowerLetter"/>
      <w:start w:val="1"/>
    </w:lvl>
  </w:abstractNum>
  <w:abstractNum w:abstractNumId="16">
    <w:nsid w:val="77465F01"/>
    <w:multiLevelType w:val="hybridMultilevel"/>
    <w:lvl w:ilvl="0">
      <w:lvlJc w:val="left"/>
      <w:lvlText w:val="(%1)"/>
      <w:numFmt w:val="lowerLetter"/>
      <w:start w:val="1"/>
    </w:lvl>
  </w:abstractNum>
  <w:abstractNum w:abstractNumId="17">
    <w:nsid w:val="7724C67E"/>
    <w:multiLevelType w:val="hybridMultilevel"/>
    <w:lvl w:ilvl="0">
      <w:lvlJc w:val="left"/>
      <w:lvlText w:val="(%1)"/>
      <w:numFmt w:val="lowerLetter"/>
      <w:start w:val="1"/>
    </w:lvl>
  </w:abstractNum>
  <w:abstractNum w:abstractNumId="18">
    <w:nsid w:val="5C482A97"/>
    <w:multiLevelType w:val="hybridMultilevel"/>
    <w:lvl w:ilvl="0">
      <w:lvlJc w:val="left"/>
      <w:lvlText w:val="(%1)"/>
      <w:numFmt w:val="lowerLetter"/>
      <w:start w:val="1"/>
    </w:lvl>
  </w:abstractNum>
  <w:abstractNum w:abstractNumId="19">
    <w:nsid w:val="2463B9EA"/>
    <w:multiLevelType w:val="hybridMultilevel"/>
    <w:lvl w:ilvl="0">
      <w:lvlJc w:val="left"/>
      <w:lvlText w:val="(%1)"/>
      <w:numFmt w:val="lowerLetter"/>
      <w:start w:val="1"/>
    </w:lvl>
  </w:abstractNum>
  <w:abstractNum w:abstractNumId="20">
    <w:nsid w:val="5E884ADC"/>
    <w:multiLevelType w:val="hybridMultilevel"/>
    <w:lvl w:ilvl="0">
      <w:lvlJc w:val="left"/>
      <w:lvlText w:val="(%1)"/>
      <w:numFmt w:val="lowerLetter"/>
      <w:start w:val="1"/>
    </w:lvl>
  </w:abstractNum>
  <w:abstractNum w:abstractNumId="21">
    <w:nsid w:val="51EAD36B"/>
    <w:multiLevelType w:val="hybridMultilevel"/>
    <w:lvl w:ilvl="0">
      <w:lvlJc w:val="left"/>
      <w:lvlText w:val="(%1)"/>
      <w:numFmt w:val="lowerLetter"/>
      <w:start w:val="1"/>
    </w:lvl>
  </w:abstractNum>
  <w:abstractNum w:abstractNumId="22">
    <w:nsid w:val="2D517796"/>
    <w:multiLevelType w:val="hybridMultilevel"/>
    <w:lvl w:ilvl="0">
      <w:lvlJc w:val="left"/>
      <w:lvlText w:val="(%1)"/>
      <w:numFmt w:val="lowerLetter"/>
      <w:start w:val="1"/>
    </w:lvl>
  </w:abstractNum>
  <w:abstractNum w:abstractNumId="23">
    <w:nsid w:val="580BD78F"/>
    <w:multiLevelType w:val="hybridMultilevel"/>
    <w:lvl w:ilvl="0">
      <w:lvlJc w:val="left"/>
      <w:lvlText w:val="(%1)"/>
      <w:numFmt w:val="lowerLetter"/>
      <w:start w:val="1"/>
    </w:lvl>
  </w:abstractNum>
  <w:abstractNum w:abstractNumId="24">
    <w:nsid w:val="153EA438"/>
    <w:multiLevelType w:val="hybridMultilevel"/>
    <w:lvl w:ilvl="0">
      <w:lvlJc w:val="left"/>
      <w:lvlText w:val="(%1)"/>
      <w:numFmt w:val="lowerLetter"/>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1)"/>
      <w:numFmt w:val="lowerLetter"/>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1)"/>
      <w:numFmt w:val="lowerLetter"/>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1)"/>
      <w:numFmt w:val="lowerLetter"/>
      <w:start w:val="1"/>
    </w:lvl>
  </w:abstractNum>
  <w:abstractNum w:abstractNumId="38">
    <w:nsid w:val="7644A45C"/>
    <w:multiLevelType w:val="hybridMultilevel"/>
    <w:lvl w:ilvl="0">
      <w:lvlJc w:val="left"/>
      <w:lvlText w:val="(%1)"/>
      <w:numFmt w:val="lowerLetter"/>
      <w:start w:val="1"/>
    </w:lvl>
  </w:abstractNum>
  <w:abstractNum w:abstractNumId="39">
    <w:nsid w:val="32FFF902"/>
    <w:multiLevelType w:val="hybridMultilevel"/>
    <w:lvl w:ilvl="0">
      <w:lvlJc w:val="left"/>
      <w:lvlText w:val="(%1)"/>
      <w:numFmt w:val="lowerLetter"/>
      <w:start w:val="1"/>
    </w:lvl>
  </w:abstractNum>
  <w:abstractNum w:abstractNumId="40">
    <w:nsid w:val="684A481A"/>
    <w:multiLevelType w:val="hybridMultilevel"/>
    <w:lvl w:ilvl="0">
      <w:lvlJc w:val="left"/>
      <w:lvlText w:val="(%1)"/>
      <w:numFmt w:val="lowerLetter"/>
      <w:start w:val="1"/>
    </w:lvl>
  </w:abstractNum>
  <w:abstractNum w:abstractNumId="41">
    <w:nsid w:val="579478FE"/>
    <w:multiLevelType w:val="hybridMultilevel"/>
    <w:lvl w:ilvl="0">
      <w:lvlJc w:val="left"/>
      <w:lvlText w:val="(%1)"/>
      <w:numFmt w:val="lowerLetter"/>
      <w:start w:val="1"/>
    </w:lvl>
  </w:abstractNum>
  <w:abstractNum w:abstractNumId="42">
    <w:nsid w:val="749ABB43"/>
    <w:multiLevelType w:val="hybridMultilevel"/>
    <w:lvl w:ilvl="0">
      <w:lvlJc w:val="left"/>
      <w:lvlText w:val="(%1)"/>
      <w:numFmt w:val="lowerLetter"/>
      <w:start w:val="1"/>
    </w:lvl>
  </w:abstractNum>
  <w:abstractNum w:abstractNumId="43">
    <w:nsid w:val="3DC240FB"/>
    <w:multiLevelType w:val="hybridMultilevel"/>
    <w:lvl w:ilvl="0">
      <w:lvlJc w:val="left"/>
      <w:lvlText w:val="(%1)"/>
      <w:numFmt w:val="lowerLetter"/>
      <w:start w:val="2"/>
    </w:lvl>
  </w:abstractNum>
  <w:abstractNum w:abstractNumId="44">
    <w:nsid w:val="1BA026FA"/>
    <w:multiLevelType w:val="hybridMultilevel"/>
    <w:lvl w:ilvl="0">
      <w:lvlJc w:val="left"/>
      <w:lvlText w:val="(%1)"/>
      <w:numFmt w:val="lowerLetter"/>
      <w:start w:val="1"/>
    </w:lvl>
  </w:abstractNum>
  <w:abstractNum w:abstractNumId="45">
    <w:nsid w:val="79A1DEAA"/>
    <w:multiLevelType w:val="hybridMultilevel"/>
    <w:lvl w:ilvl="0">
      <w:lvlJc w:val="left"/>
      <w:lvlText w:val="(%1)"/>
      <w:numFmt w:val="lowerLetter"/>
      <w:start w:val="1"/>
    </w:lvl>
  </w:abstractNum>
  <w:abstractNum w:abstractNumId="46">
    <w:nsid w:val="75C6C33A"/>
    <w:multiLevelType w:val="hybridMultilevel"/>
    <w:lvl w:ilvl="0">
      <w:lvlJc w:val="left"/>
      <w:lvlText w:val="(%1)"/>
      <w:numFmt w:val="lowerLetter"/>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1)"/>
      <w:numFmt w:val="lowerLetter"/>
      <w:start w:val="1"/>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1"/>
      <w:numFmt w:val="decimal"/>
      <w:start w:val="104"/>
    </w:lvl>
    <w:lvl w:ilvl="1">
      <w:lvlJc w:val="left"/>
      <w:lvlText w:val="*"/>
      <w:numFmt w:val="bullet"/>
      <w:start w:val="1"/>
    </w:lvl>
  </w:abstractNum>
  <w:abstractNum w:abstractNumId="52">
    <w:nsid w:val="23F9C13C"/>
    <w:multiLevelType w:val="hybridMultilevel"/>
    <w:lvl w:ilvl="0">
      <w:lvlJc w:val="left"/>
      <w:lvlText w:val="%1"/>
      <w:numFmt w:val="decimal"/>
      <w:start w:val="1"/>
    </w:lvl>
    <w:lvl w:ilvl="1">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2" Type="http://schemas.openxmlformats.org/officeDocument/2006/relationships/image" Target="media/image604.png"/><Relationship Id="rId613" Type="http://schemas.openxmlformats.org/officeDocument/2006/relationships/image" Target="media/image605.png"/><Relationship Id="rId616" Type="http://schemas.openxmlformats.org/officeDocument/2006/relationships/image" Target="media/image606.png"/><Relationship Id="rId617" Type="http://schemas.openxmlformats.org/officeDocument/2006/relationships/image" Target="media/image607.png"/><Relationship Id="rId618" Type="http://schemas.openxmlformats.org/officeDocument/2006/relationships/image" Target="media/image608.png"/><Relationship Id="rId619" Type="http://schemas.openxmlformats.org/officeDocument/2006/relationships/image" Target="media/image609.png"/><Relationship Id="rId620" Type="http://schemas.openxmlformats.org/officeDocument/2006/relationships/image" Target="media/image610.png"/><Relationship Id="rId621" Type="http://schemas.openxmlformats.org/officeDocument/2006/relationships/image" Target="media/image611.png"/><Relationship Id="rId622" Type="http://schemas.openxmlformats.org/officeDocument/2006/relationships/image" Target="media/image612.png"/><Relationship Id="rId623" Type="http://schemas.openxmlformats.org/officeDocument/2006/relationships/image" Target="media/image613.png"/><Relationship Id="rId624" Type="http://schemas.openxmlformats.org/officeDocument/2006/relationships/image" Target="media/image614.png"/><Relationship Id="rId625" Type="http://schemas.openxmlformats.org/officeDocument/2006/relationships/image" Target="media/image615.png"/><Relationship Id="rId611" Type="http://schemas.openxmlformats.org/officeDocument/2006/relationships/hyperlink" Target="https://www.sec.gov/Archives/edgar/data/1674862/000119312516714093/d246354dex31.htm" TargetMode="External"/><Relationship Id="rId614" Type="http://schemas.openxmlformats.org/officeDocument/2006/relationships/hyperlink" Target="https://www.sec.gov/Archives/edgar/data/1674862/000095017022013666/ash-ex3_1.htm" TargetMode="External"/><Relationship Id="rId615" Type="http://schemas.openxmlformats.org/officeDocument/2006/relationships/hyperlink" Target="https://www.sec.gov/Archives/edgar/data/1674862/000095017022018687/ash-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2026-04-29T15:32:30Z</dcterms:created>
  <dcterms:modified xsi:type="dcterms:W3CDTF">2026-04-29T15:32:30Z</dcterms:modified>
</cp:coreProperties>
</file>